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C31B9">
      <w:pPr>
        <w:divId w:val="375010313"/>
        <w:rPr>
          <w:rFonts w:eastAsia="Times New Roman"/>
          <w:vanish/>
        </w:rPr>
      </w:pPr>
      <w:r>
        <w:rPr>
          <w:rFonts w:eastAsia="Times New Roman"/>
          <w:vanish/>
        </w:rPr>
        <w:t>0000884614false2023FYhttp://fasb.org/us-gaap/2023#AccountingStandardsUpdate202006Memberhttp://fasb.org/us-gaap/2023#GainLossOnSaleOfBusinessnoP1Yhttp://fasb.org/us-gaap/2023#OtherAssetsNoncurrent</w:t>
      </w:r>
      <w:r>
        <w:rPr>
          <w:rFonts w:eastAsia="Times New Roman"/>
          <w:vanish/>
        </w:rPr>
        <w:t>http://fasb.org/us-gaap/2023#OtherAssetsNoncurrenthttp://fasb.org/us-gaap/2023#PropertyPlantAndEquipmentAndFinanceLeaseRightOfUseAssetAfterAccumulatedDepreciationAndAmortizationhttp://fasb.org/us-gaap/2023#PropertyPlantAndEquipmentAndFinanceLeaseRightOfUse</w:t>
      </w:r>
      <w:r>
        <w:rPr>
          <w:rFonts w:eastAsia="Times New Roman"/>
          <w:vanish/>
        </w:rPr>
        <w:t>AssetAfterAccumulatedDepreciationAndAmortizationhttp://fasb.org/us-gaap/2023#OtherLiabilitiesCurrenthttp://fasb.org/us-gaap/2023#OtherLiabilitiesCurrenthttp://fasb.org/us-gaap/2023#OtherLiabilitiesNoncurrenthttp://fasb.org/us-gaap/2023#OtherLiabilitiesNonc</w:t>
      </w:r>
      <w:r>
        <w:rPr>
          <w:rFonts w:eastAsia="Times New Roman"/>
          <w:vanish/>
        </w:rPr>
        <w:t>urrenthttp://fasb.org/us-gaap/2023#LongTermDebtAndCapitalLeaseObligationsCurrenthttp://fasb.org/us-gaap/2023#LongTermDebtAndCapitalLeaseObligationsCurrenthttp://fasb.org/us-gaap/2023#LongTermDebtAndCapitalLeaseObligationshttp://fasb.org/us-gaap/2023#LongTe</w:t>
      </w:r>
      <w:r>
        <w:rPr>
          <w:rFonts w:eastAsia="Times New Roman"/>
          <w:vanish/>
        </w:rPr>
        <w:t>rmDebtAndCapitalLeaseObligations00008846142022-10-012023-09-300000884614us-gaap:CommonStockMember2022-10-012023-09-300000884614us-gaap:CapitalUnitsMember2022-10-012023-09-3000008846142023-03-31iso4217:USD00008846142023-11-10xbrli:shares00008846142023-07-01</w:t>
      </w:r>
      <w:r>
        <w:rPr>
          <w:rFonts w:eastAsia="Times New Roman"/>
          <w:vanish/>
        </w:rPr>
        <w:t>2023-09-3000008846142023-09-3000008846142022-09-3000008846142021-10-012022-09-3000008846142020-10-012021-09-30iso4217:USDxbrli:shares00008846142021-09-3000008846142020-09-300000884614us-gaap:PreferredStockMember2022-09-300000884614us-gaap:PreferredStockMem</w:t>
      </w:r>
      <w:r>
        <w:rPr>
          <w:rFonts w:eastAsia="Times New Roman"/>
          <w:vanish/>
        </w:rPr>
        <w:t>ber2021-09-300000884614us-gaap:PreferredStockMember2020-10-012021-09-300000884614us-gaap:PreferredStockMembersrt:CumulativeEffectPeriodOfAdoptionAdjustmentMember2022-09-300000884614us-gaap:PreferredStockMember2021-10-012022-09-300000884614us-gaap:Preferred</w:t>
      </w:r>
      <w:r>
        <w:rPr>
          <w:rFonts w:eastAsia="Times New Roman"/>
          <w:vanish/>
        </w:rPr>
        <w:t>StockMember2023-09-300000884614us-gaap:CommonStockIncludingAdditionalPaidInCapitalMember2022-09-300000884614us-gaap:CommonStockIncludingAdditionalPaidInCapitalMember2021-09-300000884614us-gaap:CommonStockIncludingAdditionalPaidInCapitalMember2020-09-300000</w:t>
      </w:r>
      <w:r>
        <w:rPr>
          <w:rFonts w:eastAsia="Times New Roman"/>
          <w:vanish/>
        </w:rPr>
        <w:t>884614us-gaap:CommonStockIncludingAdditionalPaidInCapitalMember2022-10-012023-09-300000884614us-gaap:CommonStockIncludingAdditionalPaidInCapitalMember2021-10-012022-09-300000884614us-gaap:CommonStockIncludingAdditionalPaidInCapitalMember2020-10-012021-09-3</w:t>
      </w:r>
      <w:r>
        <w:rPr>
          <w:rFonts w:eastAsia="Times New Roman"/>
          <w:vanish/>
        </w:rPr>
        <w:t>00000884614us-gaap:CommonStockIncludingAdditionalPaidInCapitalMembersrt:CumulativeEffectPeriodOfAdoptionAdjustmentMember2022-09-300000884614us-gaap:CommonStockIncludingAdditionalPaidInCapitalMember2023-09-300000884614us-gaap:RetainedEarningsMember2022-09-3</w:t>
      </w:r>
      <w:r>
        <w:rPr>
          <w:rFonts w:eastAsia="Times New Roman"/>
          <w:vanish/>
        </w:rPr>
        <w:t>00000884614us-gaap:RetainedEarningsMember2021-09-300000884614us-gaap:RetainedEarningsMember2020-09-300000884614us-gaap:RetainedEarningsMember2022-10-012023-09-300000884614us-gaap:RetainedEarningsMember2021-10-012022-09-300000884614us-gaap:RetainedEarningsM</w:t>
      </w:r>
      <w:r>
        <w:rPr>
          <w:rFonts w:eastAsia="Times New Roman"/>
          <w:vanish/>
        </w:rPr>
        <w:t>ember2020-10-012021-09-300000884614us-gaap:RetainedEarningsMembersrt:CumulativeEffectPeriodOfAdoptionAdjustmentMember2022-09-300000884614us-gaap:RetainedEarningsMember2023-09-300000884614us-gaap:AociIncludingPortionAttributableToNoncontrollingInterestMembe</w:t>
      </w:r>
      <w:r>
        <w:rPr>
          <w:rFonts w:eastAsia="Times New Roman"/>
          <w:vanish/>
        </w:rPr>
        <w:t>r2022-09-300000884614us-gaap:AociIncludingPortionAttributableToNoncontrollingInterestMember2021-09-300000884614us-gaap:AociIncludingPortionAttributableToNoncontrollingInterestMember2020-09-300000884614us-gaap:AociIncludingPortionAttributableToNoncontrollin</w:t>
      </w:r>
      <w:r>
        <w:rPr>
          <w:rFonts w:eastAsia="Times New Roman"/>
          <w:vanish/>
        </w:rPr>
        <w:t>gInterestMember2022-10-012023-09-300000884614us-gaap:AociIncludingPortionAttributableToNoncontrollingInterestMember2021-10-012022-09-300000884614us-gaap:AociIncludingPortionAttributableToNoncontrollingInterestMember2020-10-012021-09-300000884614us-gaap:Aoc</w:t>
      </w:r>
      <w:r>
        <w:rPr>
          <w:rFonts w:eastAsia="Times New Roman"/>
          <w:vanish/>
        </w:rPr>
        <w:t>iIncludingPortionAttributableToNoncontrollingInterestMember2023-09-300000884614us-gaap:TreasuryStockCommonMember2022-09-300000884614us-gaap:TreasuryStockCommonMember2021-09-300000884614us-gaap:TreasuryStockCommonMember2020-09-300000884614us-gaap:TreasurySt</w:t>
      </w:r>
      <w:r>
        <w:rPr>
          <w:rFonts w:eastAsia="Times New Roman"/>
          <w:vanish/>
        </w:rPr>
        <w:t>ockCommonMember2022-10-012023-09-300000884614us-gaap:TreasuryStockCommonMember2021-10-012022-09-300000884614us-gaap:TreasuryStockCommonMember2020-10-012021-09-300000884614us-gaap:TreasuryStockCommonMember2023-09-300000884614us-gaap:ParentMember2023-09-3000</w:t>
      </w:r>
      <w:r>
        <w:rPr>
          <w:rFonts w:eastAsia="Times New Roman"/>
          <w:vanish/>
        </w:rPr>
        <w:t>00884614us-gaap:ParentMember2022-09-300000884614us-gaap:ParentMember2021-09-300000884614us-gaap:NoncontrollingInterestMember2022-09-300000884614us-gaap:NoncontrollingInterestMember2021-09-300000884614us-gaap:NoncontrollingInterestMember2020-09-300000884614</w:t>
      </w:r>
      <w:r>
        <w:rPr>
          <w:rFonts w:eastAsia="Times New Roman"/>
          <w:vanish/>
        </w:rPr>
        <w:t>us-gaap:NoncontrollingInterestMember2021-10-012022-09-300000884614us-gaap:NoncontrollingInterestMember2023-09-300000884614ugi:UGIUtilitiesIncMember2022-10-012023-09-300000884614ugi:AmeriGasPropaneMember2023-07-012023-09-300000884614ugi:UGIInternationalMemb</w:t>
      </w:r>
      <w:r>
        <w:rPr>
          <w:rFonts w:eastAsia="Times New Roman"/>
          <w:vanish/>
        </w:rPr>
        <w:t>er2023-09-30xbrli:pure0000884614ugi:AmeriGasPropaneMember2023-09-300000884614srt:CumulativeEffectPeriodOfAdoptionAdjustmentMemberus-gaap:CommonStockMember2022-10-010000884614us-gaap:PreferredStockMembersrt:CumulativeEffectPeriodOfAdoptionAdjustmentMember20</w:t>
      </w:r>
      <w:r>
        <w:rPr>
          <w:rFonts w:eastAsia="Times New Roman"/>
          <w:vanish/>
        </w:rPr>
        <w:t>22-10-010000884614us-gaap:RetainedEarningsMembersrt:CumulativeEffectPeriodOfAdoptionAdjustmentMember2022-10-010000884614ugi:NaturalGasTransportationAndGatheringServicesMember2022-10-012023-09-300000884614ugi:StorageServicesMember2022-10-012023-09-300000884</w:t>
      </w:r>
      <w:r>
        <w:rPr>
          <w:rFonts w:eastAsia="Times New Roman"/>
          <w:vanish/>
        </w:rPr>
        <w:t>614ugi:NaturalGasMember2022-10-012023-09-300000884614ugi:ResidentialMember2022-10-012023-09-300000884614us-gaap:IntersegmentEliminationMemberugi:ResidentialMember2022-10-012023-09-300000884614us-gaap:OperatingSegmentsMemberugi:ResidentialMemberugi:AmeriGas</w:t>
      </w:r>
      <w:r>
        <w:rPr>
          <w:rFonts w:eastAsia="Times New Roman"/>
          <w:vanish/>
        </w:rPr>
        <w:t>PropaneMember2022-10-012023-09-300000884614us-gaap:OperatingSegmentsMemberugi:UGIInternationalMemberugi:ResidentialMember2022-10-012023-09-300000884614us-gaap:OperatingSegmentsMemberugi:MidstreamAndMarketingMemberugi:ResidentialMember2022-10-012023-09-3000</w:t>
      </w:r>
      <w:r>
        <w:rPr>
          <w:rFonts w:eastAsia="Times New Roman"/>
          <w:vanish/>
        </w:rPr>
        <w:t>00884614ugi:UGIUtilitiesIncMemberus-gaap:OperatingSegmentsMemberugi:ResidentialMember2022-10-012023-09-300000884614ugi:ResidentialMemberugi:CorporateAndReconcilingItemsMember2022-10-012023-09-300000884614ugi:CommercialandIndustrialMember2022-10-012023-09-3</w:t>
      </w:r>
      <w:r>
        <w:rPr>
          <w:rFonts w:eastAsia="Times New Roman"/>
          <w:vanish/>
        </w:rPr>
        <w:t>00000884614us-gaap:IntersegmentEliminationMemberugi:CommercialandIndustrialMember2022-10-012023-09-300000884614us-gaap:OperatingSegmentsMemberugi:CommercialandIndustrialMemberugi:AmeriGasPropaneMember2022-10-012023-09-300000884614us-gaap:OperatingSegmentsM</w:t>
      </w:r>
      <w:r>
        <w:rPr>
          <w:rFonts w:eastAsia="Times New Roman"/>
          <w:vanish/>
        </w:rPr>
        <w:t>emberugi:UGIInternationalMemberugi:CommercialandIndustrialMember2022-10-012023-09-300000884614us-gaap:OperatingSegmentsMemberugi:MidstreamAndMarketingMemberugi:CommercialandIndustrialMember2022-10-012023-09-300000884614ugi:UGIUtilitiesIncMemberus-gaap:Oper</w:t>
      </w:r>
      <w:r>
        <w:rPr>
          <w:rFonts w:eastAsia="Times New Roman"/>
          <w:vanish/>
        </w:rPr>
        <w:t>atingSegmentsMemberugi:CommercialandIndustrialMember2022-10-012023-09-300000884614ugi:CommercialandIndustrialMemberugi:CorporateAndReconcilingItemsMember2022-10-012023-09-300000884614ugi:LargeDeliveryServiceMember2022-10-012023-09-300000884614us-gaap:Inter</w:t>
      </w:r>
      <w:r>
        <w:rPr>
          <w:rFonts w:eastAsia="Times New Roman"/>
          <w:vanish/>
        </w:rPr>
        <w:t>segmentEliminationMemberugi:LargeDeliveryServiceMember2022-10-012023-09-300000884614us-gaap:OperatingSegmentsMemberugi:LargeDeliveryServiceMemberugi:AmeriGasPropaneMember2022-10-012023-09-300000884614us-gaap:OperatingSegmentsMemberugi:UGIInternationalMembe</w:t>
      </w:r>
      <w:r>
        <w:rPr>
          <w:rFonts w:eastAsia="Times New Roman"/>
          <w:vanish/>
        </w:rPr>
        <w:t>rugi:LargeDeliveryServiceMember2022-10-012023-09-300000884614us-gaap:OperatingSegmentsMemberugi:MidstreamAndMarketingMemberugi:LargeDeliveryServiceMember2022-10-012023-09-300000884614ugi:UGIUtilitiesIncMemberus-gaap:OperatingSegmentsMemberugi:LargeDelivery</w:t>
      </w:r>
      <w:r>
        <w:rPr>
          <w:rFonts w:eastAsia="Times New Roman"/>
          <w:vanish/>
        </w:rPr>
        <w:t>ServiceMember2022-10-012023-09-300000884614ugi:LargeDeliveryServiceMemberugi:CorporateAndReconcilingItemsMember2022-10-012023-09-300000884614ugi:OffSystemSalesandCapacityReleasesMember2022-10-012023-09-300000884614us-gaap:IntersegmentEliminationMemberugi:O</w:t>
      </w:r>
      <w:r>
        <w:rPr>
          <w:rFonts w:eastAsia="Times New Roman"/>
          <w:vanish/>
        </w:rPr>
        <w:t>ffSystemSalesandCapacityReleasesMember2022-10-012023-09-300000884614us-gaap:OperatingSegmentsMemberugi:OffSystemSalesandCapacityReleasesMemberugi:AmeriGasPropaneMember2022-10-012023-09-300000884614us-gaap:OperatingSegmentsMemberugi:UGIInternationalMemberug</w:t>
      </w:r>
      <w:r>
        <w:rPr>
          <w:rFonts w:eastAsia="Times New Roman"/>
          <w:vanish/>
        </w:rPr>
        <w:t>i:OffSystemSalesandCapacityReleasesMember2022-10-012023-09-300000884614us-gaap:OperatingSegmentsMemberugi:MidstreamAndMarketingMemberugi:OffSystemSalesandCapacityReleasesMember2022-10-012023-09-300000884614ugi:UGIUtilitiesIncMemberus-gaap:OperatingSegments</w:t>
      </w:r>
      <w:r>
        <w:rPr>
          <w:rFonts w:eastAsia="Times New Roman"/>
          <w:vanish/>
        </w:rPr>
        <w:t>Memberugi:OffSystemSalesandCapacityReleasesMember2022-10-012023-09-300000884614ugi:OffSystemSalesandCapacityReleasesMemberugi:CorporateAndReconcilingItemsMember2022-10-012023-09-300000884614ugi:UtilityOtherMember2022-10-012023-09-300000884614ugi:UtilityOth</w:t>
      </w:r>
      <w:r>
        <w:rPr>
          <w:rFonts w:eastAsia="Times New Roman"/>
          <w:vanish/>
        </w:rPr>
        <w:t>erMemberus-gaap:IntersegmentEliminationMember2022-10-012023-09-300000884614ugi:UtilityOtherMemberus-gaap:OperatingSegmentsMemberugi:AmeriGasPropaneMember2022-10-012023-09-300000884614ugi:UtilityOtherMemberus-gaap:OperatingSegmentsMemberugi:UGIInternational</w:t>
      </w:r>
      <w:r>
        <w:rPr>
          <w:rFonts w:eastAsia="Times New Roman"/>
          <w:vanish/>
        </w:rPr>
        <w:t>Member2022-10-012023-09-300000884614ugi:UtilityOtherMemberus-gaap:OperatingSegmentsMemberugi:MidstreamAndMarketingMember2022-10-012023-09-300000884614ugi:UGIUtilitiesIncMemberugi:UtilityOtherMemberus-gaap:OperatingSegmentsMember2022-10-012023-09-3000008846</w:t>
      </w:r>
      <w:r>
        <w:rPr>
          <w:rFonts w:eastAsia="Times New Roman"/>
          <w:vanish/>
        </w:rPr>
        <w:t>14ugi:UtilityOtherMemberugi:CorporateAndReconcilingItemsMember2022-10-012023-09-300000884614ugi:UtilityMember2022-10-012023-09-300000884614us-gaap:IntersegmentEliminationMemberugi:UtilityMember2022-10-012023-09-300000884614us-gaap:OperatingSegmentsMemberug</w:t>
      </w:r>
      <w:r>
        <w:rPr>
          <w:rFonts w:eastAsia="Times New Roman"/>
          <w:vanish/>
        </w:rPr>
        <w:t>i:AmeriGasPropaneMemberugi:UtilityMember2022-10-012023-09-300000884614us-gaap:OperatingSegmentsMemberugi:UGIInternationalMemberugi:UtilityMember2022-10-012023-09-300000884614us-gaap:OperatingSegmentsMemberugi:MidstreamAndMarketingMemberugi:UtilityMember202</w:t>
      </w:r>
      <w:r>
        <w:rPr>
          <w:rFonts w:eastAsia="Times New Roman"/>
          <w:vanish/>
        </w:rPr>
        <w:t>2-10-012023-09-300000884614ugi:UGIUtilitiesIncMemberus-gaap:OperatingSegmentsMemberugi:UtilityMember2022-10-012023-09-300000884614ugi:CorporateAndReconcilingItemsMemberugi:UtilityMember2022-10-012023-09-300000884614us-gaap:RetailMember2022-10-012023-09-300</w:t>
      </w:r>
      <w:r>
        <w:rPr>
          <w:rFonts w:eastAsia="Times New Roman"/>
          <w:vanish/>
        </w:rPr>
        <w:t>000884614us-gaap:RetailMemberus-gaap:IntersegmentEliminationMember2022-10-012023-09-300000884614us-gaap:RetailMemberus-gaap:OperatingSegmentsMemberugi:AmeriGasPropaneMember2022-10-012023-09-300000884614us-gaap:RetailMemberus-gaap:OperatingSegmentsMemberugi</w:t>
      </w:r>
      <w:r>
        <w:rPr>
          <w:rFonts w:eastAsia="Times New Roman"/>
          <w:vanish/>
        </w:rPr>
        <w:t>:UGIInternationalMember2022-10-012023-09-300000884614us-gaap:RetailMemberus-gaap:OperatingSegmentsMemberugi:MidstreamAndMarketingMember2022-10-012023-09-300000884614us-gaap:RetailMemberugi:UGIUtilitiesIncMemberus-gaap:OperatingSegmentsMember2022-10-012023-</w:t>
      </w:r>
      <w:r>
        <w:rPr>
          <w:rFonts w:eastAsia="Times New Roman"/>
          <w:vanish/>
        </w:rPr>
        <w:t>09-300000884614us-gaap:RetailMemberugi:CorporateAndReconcilingItemsMember2022-10-012023-09-300000884614ugi:WholesaleMember2022-10-012023-09-300000884614us-gaap:IntersegmentEliminationMemberugi:WholesaleMember2022-10-012023-09-300000884614us-gaap:OperatingS</w:t>
      </w:r>
      <w:r>
        <w:rPr>
          <w:rFonts w:eastAsia="Times New Roman"/>
          <w:vanish/>
        </w:rPr>
        <w:t>egmentsMemberugi:WholesaleMemberugi:AmeriGasPropaneMember2022-10-012023-09-300000884614us-gaap:OperatingSegmentsMemberugi:WholesaleMemberugi:UGIInternationalMember2022-10-012023-09-300000884614us-gaap:OperatingSegmentsMemberugi:WholesaleMemberugi:Midstream</w:t>
      </w:r>
      <w:r>
        <w:rPr>
          <w:rFonts w:eastAsia="Times New Roman"/>
          <w:vanish/>
        </w:rPr>
        <w:t>AndMarketingMember2022-10-012023-09-300000884614ugi:UGIUtilitiesIncMemberus-gaap:OperatingSegmentsMemberugi:WholesaleMember2022-10-012023-09-300000884614ugi:WholesaleMemberugi:CorporateAndReconcilingItemsMember2022-10-012023-09-300000884614ugi:EnergyMarket</w:t>
      </w:r>
      <w:r>
        <w:rPr>
          <w:rFonts w:eastAsia="Times New Roman"/>
          <w:vanish/>
        </w:rPr>
        <w:t>ingMember2022-10-012023-09-300000884614ugi:EnergyMarketingMemberus-gaap:IntersegmentEliminationMember2022-10-012023-09-300000884614ugi:EnergyMarketingMemberus-gaap:OperatingSegmentsMemberugi:AmeriGasPropaneMember2022-10-012023-09-300000884614ugi:EnergyMark</w:t>
      </w:r>
      <w:r>
        <w:rPr>
          <w:rFonts w:eastAsia="Times New Roman"/>
          <w:vanish/>
        </w:rPr>
        <w:t>etingMemberus-gaap:OperatingSegmentsMemberugi:UGIInternationalMember2022-10-012023-09-300000884614ugi:EnergyMarketingMemberus-gaap:OperatingSegmentsMemberugi:MidstreamAndMarketingMember2022-10-012023-09-300000884614ugi:UGIUtilitiesIncMemberugi:EnergyMarket</w:t>
      </w:r>
      <w:r>
        <w:rPr>
          <w:rFonts w:eastAsia="Times New Roman"/>
          <w:vanish/>
        </w:rPr>
        <w:t>ingMemberus-gaap:OperatingSegmentsMember2022-10-012023-09-300000884614ugi:EnergyMarketingMemberugi:CorporateAndReconcilingItemsMember2022-10-012023-09-300000884614ugi:PipelineMember2022-10-012023-09-300000884614ugi:PipelineMemberus-gaap:IntersegmentElimina</w:t>
      </w:r>
      <w:r>
        <w:rPr>
          <w:rFonts w:eastAsia="Times New Roman"/>
          <w:vanish/>
        </w:rPr>
        <w:t>tionMember2022-10-012023-09-300000884614ugi:PipelineMemberus-gaap:OperatingSegmentsMemberugi:AmeriGasPropaneMember2022-10-012023-09-300000884614ugi:PipelineMemberus-gaap:OperatingSegmentsMemberugi:UGIInternationalMember2022-10-012023-09-300000884614ugi:Pip</w:t>
      </w:r>
      <w:r>
        <w:rPr>
          <w:rFonts w:eastAsia="Times New Roman"/>
          <w:vanish/>
        </w:rPr>
        <w:t>elineMemberus-gaap:OperatingSegmentsMemberugi:MidstreamAndMarketingMember2022-10-012023-09-300000884614ugi:UGIUtilitiesIncMemberugi:PipelineMemberus-gaap:OperatingSegmentsMember2022-10-012023-09-300000884614ugi:PipelineMemberugi:CorporateAndReconcilingItem</w:t>
      </w:r>
      <w:r>
        <w:rPr>
          <w:rFonts w:eastAsia="Times New Roman"/>
          <w:vanish/>
        </w:rPr>
        <w:t>sMember2022-10-012023-09-300000884614ugi:PeakingMember2022-10-012023-09-300000884614us-gaap:IntersegmentEliminationMemberugi:PeakingMember2022-10-012023-09-300000884614us-gaap:OperatingSegmentsMemberugi:PeakingMemberugi:AmeriGasPropaneMember2022-10-012023-</w:t>
      </w:r>
      <w:r>
        <w:rPr>
          <w:rFonts w:eastAsia="Times New Roman"/>
          <w:vanish/>
        </w:rPr>
        <w:t>09-300000884614us-gaap:OperatingSegmentsMemberugi:UGIInternationalMemberugi:PeakingMember2022-10-012023-09-300000884614us-gaap:OperatingSegmentsMemberugi:PeakingMemberugi:MidstreamAndMarketingMember2022-10-012023-09-300000884614ugi:UGIUtilitiesIncMemberus-</w:t>
      </w:r>
      <w:r>
        <w:rPr>
          <w:rFonts w:eastAsia="Times New Roman"/>
          <w:vanish/>
        </w:rPr>
        <w:t>gaap:OperatingSegmentsMemberugi:PeakingMember2022-10-012023-09-300000884614ugi:PeakingMemberugi:CorporateAndReconcilingItemsMember2022-10-012023-09-300000884614ugi:MidstreamOtherMember2022-10-012023-09-300000884614us-gaap:IntersegmentEliminationMemberugi:M</w:t>
      </w:r>
      <w:r>
        <w:rPr>
          <w:rFonts w:eastAsia="Times New Roman"/>
          <w:vanish/>
        </w:rPr>
        <w:t>idstreamOtherMember2022-10-012023-09-300000884614us-gaap:OperatingSegmentsMemberugi:MidstreamOtherMemberugi:AmeriGasPropaneMember2022-10-012023-09-300000884614us-gaap:OperatingSegmentsMemberugi:UGIInternationalMemberugi:MidstreamOtherMember2022-10-012023-0</w:t>
      </w:r>
      <w:r>
        <w:rPr>
          <w:rFonts w:eastAsia="Times New Roman"/>
          <w:vanish/>
        </w:rPr>
        <w:t>9-300000884614us-gaap:OperatingSegmentsMemberugi:MidstreamOtherMemberugi:MidstreamAndMarketingMember2022-10-012023-09-300000884614ugi:UGIUtilitiesIncMemberus-gaap:OperatingSegmentsMemberugi:MidstreamOtherMember2022-10-012023-09-300000884614ugi:MidstreamOth</w:t>
      </w:r>
      <w:r>
        <w:rPr>
          <w:rFonts w:eastAsia="Times New Roman"/>
          <w:vanish/>
        </w:rPr>
        <w:t>erMemberugi:CorporateAndReconcilingItemsMember2022-10-012023-09-300000884614us-gaap:ElectricityGenerationMember2022-10-012023-09-300000884614us-gaap:ElectricityGenerationMemberus-gaap:IntersegmentEliminationMember2022-10-012023-09-300000884614us-gaap:Elect</w:t>
      </w:r>
      <w:r>
        <w:rPr>
          <w:rFonts w:eastAsia="Times New Roman"/>
          <w:vanish/>
        </w:rPr>
        <w:t>ricityGenerationMemberus-gaap:OperatingSegmentsMemberugi:AmeriGasPropaneMember2022-10-012023-09-300000884614us-gaap:ElectricityGenerationMemberus-gaap:OperatingSegmentsMemberugi:UGIInternationalMember2022-10-012023-09-300000884614us-gaap:ElectricityGenerat</w:t>
      </w:r>
      <w:r>
        <w:rPr>
          <w:rFonts w:eastAsia="Times New Roman"/>
          <w:vanish/>
        </w:rPr>
        <w:t>ionMemberus-gaap:OperatingSegmentsMemberugi:MidstreamAndMarketingMember2022-10-012023-09-300000884614us-gaap:ElectricityGenerationMemberugi:UGIUtilitiesIncMemberus-gaap:OperatingSegmentsMember2022-10-012023-09-300000884614us-gaap:ElectricityGenerationMembe</w:t>
      </w:r>
      <w:r>
        <w:rPr>
          <w:rFonts w:eastAsia="Times New Roman"/>
          <w:vanish/>
        </w:rPr>
        <w:t>rugi:CorporateAndReconcilingItemsMember2022-10-012023-09-300000884614ugi:NonutilityOtherMember2022-10-012023-09-300000884614us-gaap:IntersegmentEliminationMemberugi:NonutilityOtherMember2022-10-012023-09-300000884614us-gaap:OperatingSegmentsMemberugi:Nonut</w:t>
      </w:r>
      <w:r>
        <w:rPr>
          <w:rFonts w:eastAsia="Times New Roman"/>
          <w:vanish/>
        </w:rPr>
        <w:t>ilityOtherMemberugi:AmeriGasPropaneMember2022-10-012023-09-300000884614us-gaap:OperatingSegmentsMemberugi:NonutilityOtherMemberugi:UGIInternationalMember2022-10-012023-09-300000884614us-gaap:OperatingSegmentsMemberugi:NonutilityOtherMemberugi:MidstreamAndM</w:t>
      </w:r>
      <w:r>
        <w:rPr>
          <w:rFonts w:eastAsia="Times New Roman"/>
          <w:vanish/>
        </w:rPr>
        <w:t>arketingMember2022-10-012023-09-300000884614ugi:UGIUtilitiesIncMemberus-gaap:OperatingSegmentsMemberugi:NonutilityOtherMember2022-10-012023-09-300000884614ugi:NonutilityOtherMemberugi:CorporateAndReconcilingItemsMember2022-10-012023-09-300000884614ugi:Nonu</w:t>
      </w:r>
      <w:r>
        <w:rPr>
          <w:rFonts w:eastAsia="Times New Roman"/>
          <w:vanish/>
        </w:rPr>
        <w:t>tilityMember2022-10-012023-09-300000884614us-gaap:IntersegmentEliminationMemberugi:NonutilityMember2022-10-012023-09-300000884614us-gaap:OperatingSegmentsMemberugi:AmeriGasPropaneMemberugi:NonutilityMember2022-10-012023-09-300000884614us-gaap:OperatingSegm</w:t>
      </w:r>
      <w:r>
        <w:rPr>
          <w:rFonts w:eastAsia="Times New Roman"/>
          <w:vanish/>
        </w:rPr>
        <w:t>entsMemberugi:UGIInternationalMemberugi:NonutilityMember2022-10-012023-09-300000884614us-gaap:OperatingSegmentsMemberugi:MidstreamAndMarketingMemberugi:NonutilityMember2022-10-012023-09-300000884614ugi:UGIUtilitiesIncMemberus-gaap:OperatingSegmentsMemberug</w:t>
      </w:r>
      <w:r>
        <w:rPr>
          <w:rFonts w:eastAsia="Times New Roman"/>
          <w:vanish/>
        </w:rPr>
        <w:t>i:NonutilityMember2022-10-012023-09-300000884614ugi:CorporateAndReconcilingItemsMemberugi:NonutilityMember2022-10-012023-09-300000884614us-gaap:IntersegmentEliminationMember2022-10-012023-09-300000884614us-gaap:OperatingSegmentsMemberugi:AmeriGasPropaneMem</w:t>
      </w:r>
      <w:r>
        <w:rPr>
          <w:rFonts w:eastAsia="Times New Roman"/>
          <w:vanish/>
        </w:rPr>
        <w:t>ber2022-10-012023-09-300000884614us-gaap:OperatingSegmentsMemberugi:UGIInternationalMember2022-10-012023-09-300000884614us-gaap:OperatingSegmentsMemberugi:MidstreamAndMarketingMember2022-10-012023-09-300000884614ugi:UGIUtilitiesIncMemberus-gaap:OperatingSe</w:t>
      </w:r>
      <w:r>
        <w:rPr>
          <w:rFonts w:eastAsia="Times New Roman"/>
          <w:vanish/>
        </w:rPr>
        <w:t>gmentsMember2022-10-012023-09-300000884614ugi:CorporateAndReconcilingItemsMember2022-10-012023-09-300000884614ugi:ResidentialMember2021-10-012022-09-300000884614us-gaap:IntersegmentEliminationMemberugi:ResidentialMember2021-10-012022-09-300000884614us-gaap</w:t>
      </w:r>
      <w:r>
        <w:rPr>
          <w:rFonts w:eastAsia="Times New Roman"/>
          <w:vanish/>
        </w:rPr>
        <w:t>:OperatingSegmentsMemberugi:ResidentialMemberugi:AmeriGasPropaneMember2021-10-012022-09-300000884614us-gaap:OperatingSegmentsMemberugi:UGIInternationalMemberugi:ResidentialMember2021-10-012022-09-300000884614us-gaap:OperatingSegmentsMemberugi:MidstreamAndM</w:t>
      </w:r>
      <w:r>
        <w:rPr>
          <w:rFonts w:eastAsia="Times New Roman"/>
          <w:vanish/>
        </w:rPr>
        <w:t>arketingMemberugi:ResidentialMember2021-10-012022-09-300000884614ugi:UGIUtilitiesIncMemberus-gaap:OperatingSegmentsMemberugi:ResidentialMember2021-10-012022-09-300000884614ugi:ResidentialMemberugi:CorporateAndReconcilingItemsMember2021-10-012022-09-3000008</w:t>
      </w:r>
      <w:r>
        <w:rPr>
          <w:rFonts w:eastAsia="Times New Roman"/>
          <w:vanish/>
        </w:rPr>
        <w:t>84614ugi:CommercialandIndustrialMember2021-10-012022-09-300000884614us-gaap:IntersegmentEliminationMemberugi:CommercialandIndustrialMember2021-10-012022-09-300000884614us-gaap:OperatingSegmentsMemberugi:CommercialandIndustrialMemberugi:AmeriGasPropaneMembe</w:t>
      </w:r>
      <w:r>
        <w:rPr>
          <w:rFonts w:eastAsia="Times New Roman"/>
          <w:vanish/>
        </w:rPr>
        <w:t>r2021-10-012022-09-300000884614us-gaap:OperatingSegmentsMemberugi:UGIInternationalMemberugi:CommercialandIndustrialMember2021-10-012022-09-300000884614us-gaap:OperatingSegmentsMemberugi:MidstreamAndMarketingMemberugi:CommercialandIndustrialMember2021-10-01</w:t>
      </w:r>
      <w:r>
        <w:rPr>
          <w:rFonts w:eastAsia="Times New Roman"/>
          <w:vanish/>
        </w:rPr>
        <w:t>2022-09-300000884614ugi:UGIUtilitiesIncMemberus-gaap:OperatingSegmentsMemberugi:CommercialandIndustrialMember2021-10-012022-09-300000884614ugi:CommercialandIndustrialMemberugi:CorporateAndReconcilingItemsMember2021-10-012022-09-300000884614ugi:LargeDeliver</w:t>
      </w:r>
      <w:r>
        <w:rPr>
          <w:rFonts w:eastAsia="Times New Roman"/>
          <w:vanish/>
        </w:rPr>
        <w:t>yServiceMember2021-10-012022-09-300000884614us-gaap:IntersegmentEliminationMemberugi:LargeDeliveryServiceMember2021-10-012022-09-300000884614us-gaap:OperatingSegmentsMemberugi:LargeDeliveryServiceMemberugi:AmeriGasPropaneMember2021-10-012022-09-30000088461</w:t>
      </w:r>
      <w:r>
        <w:rPr>
          <w:rFonts w:eastAsia="Times New Roman"/>
          <w:vanish/>
        </w:rPr>
        <w:t>4us-gaap:OperatingSegmentsMemberugi:UGIInternationalMemberugi:LargeDeliveryServiceMember2021-10-012022-09-300000884614us-gaap:OperatingSegmentsMemberugi:MidstreamAndMarketingMemberugi:LargeDeliveryServiceMember2021-10-012022-09-300000884614ugi:UGIUtilities</w:t>
      </w:r>
      <w:r>
        <w:rPr>
          <w:rFonts w:eastAsia="Times New Roman"/>
          <w:vanish/>
        </w:rPr>
        <w:t>IncMemberus-gaap:OperatingSegmentsMemberugi:LargeDeliveryServiceMember2021-10-012022-09-300000884614ugi:LargeDeliveryServiceMemberugi:CorporateAndReconcilingItemsMember2021-10-012022-09-300000884614ugi:OffSystemSalesandCapacityReleasesMember2021-10-012022-</w:t>
      </w:r>
      <w:r>
        <w:rPr>
          <w:rFonts w:eastAsia="Times New Roman"/>
          <w:vanish/>
        </w:rPr>
        <w:t>09-300000884614us-gaap:IntersegmentEliminationMemberugi:OffSystemSalesandCapacityReleasesMember2021-10-012022-09-300000884614us-gaap:OperatingSegmentsMemberugi:OffSystemSalesandCapacityReleasesMemberugi:AmeriGasPropaneMember2021-10-012022-09-300000884614us</w:t>
      </w:r>
      <w:r>
        <w:rPr>
          <w:rFonts w:eastAsia="Times New Roman"/>
          <w:vanish/>
        </w:rPr>
        <w:t>-gaap:OperatingSegmentsMemberugi:UGIInternationalMemberugi:OffSystemSalesandCapacityReleasesMember2021-10-012022-09-300000884614us-gaap:OperatingSegmentsMemberugi:MidstreamAndMarketingMemberugi:OffSystemSalesandCapacityReleasesMember2021-10-012022-09-30000</w:t>
      </w:r>
      <w:r>
        <w:rPr>
          <w:rFonts w:eastAsia="Times New Roman"/>
          <w:vanish/>
        </w:rPr>
        <w:t>0884614ugi:UGIUtilitiesIncMemberus-gaap:OperatingSegmentsMemberugi:OffSystemSalesandCapacityReleasesMember2021-10-012022-09-300000884614ugi:OffSystemSalesandCapacityReleasesMemberugi:CorporateAndReconcilingItemsMember2021-10-012022-09-300000884614ugi:Utili</w:t>
      </w:r>
      <w:r>
        <w:rPr>
          <w:rFonts w:eastAsia="Times New Roman"/>
          <w:vanish/>
        </w:rPr>
        <w:t>tyOtherMember2021-10-012022-09-300000884614ugi:UtilityOtherMemberus-gaap:IntersegmentEliminationMember2021-10-012022-09-300000884614ugi:UtilityOtherMemberus-gaap:OperatingSegmentsMemberugi:AmeriGasPropaneMember2021-10-012022-09-300000884614ugi:UtilityOther</w:t>
      </w:r>
      <w:r>
        <w:rPr>
          <w:rFonts w:eastAsia="Times New Roman"/>
          <w:vanish/>
        </w:rPr>
        <w:t>Memberus-gaap:OperatingSegmentsMemberugi:UGIInternationalMember2021-10-012022-09-300000884614ugi:UtilityOtherMemberus-gaap:OperatingSegmentsMemberugi:MidstreamAndMarketingMember2021-10-012022-09-300000884614ugi:UGIUtilitiesIncMemberugi:UtilityOtherMemberus</w:t>
      </w:r>
      <w:r>
        <w:rPr>
          <w:rFonts w:eastAsia="Times New Roman"/>
          <w:vanish/>
        </w:rPr>
        <w:t>-gaap:OperatingSegmentsMember2021-10-012022-09-300000884614ugi:UtilityOtherMemberugi:CorporateAndReconcilingItemsMember2021-10-012022-09-300000884614ugi:UtilityMember2021-10-012022-09-300000884614us-gaap:IntersegmentEliminationMemberugi:UtilityMember2021-1</w:t>
      </w:r>
      <w:r>
        <w:rPr>
          <w:rFonts w:eastAsia="Times New Roman"/>
          <w:vanish/>
        </w:rPr>
        <w:t>0-012022-09-300000884614us-gaap:OperatingSegmentsMemberugi:AmeriGasPropaneMemberugi:UtilityMember2021-10-012022-09-300000884614us-gaap:OperatingSegmentsMemberugi:UGIInternationalMemberugi:UtilityMember2021-10-012022-09-300000884614us-gaap:OperatingSegments</w:t>
      </w:r>
      <w:r>
        <w:rPr>
          <w:rFonts w:eastAsia="Times New Roman"/>
          <w:vanish/>
        </w:rPr>
        <w:t>Memberugi:MidstreamAndMarketingMemberugi:UtilityMember2021-10-012022-09-300000884614ugi:UGIUtilitiesIncMemberus-gaap:OperatingSegmentsMemberugi:UtilityMember2021-10-012022-09-300000884614ugi:CorporateAndReconcilingItemsMemberugi:UtilityMember2021-10-012022</w:t>
      </w:r>
      <w:r>
        <w:rPr>
          <w:rFonts w:eastAsia="Times New Roman"/>
          <w:vanish/>
        </w:rPr>
        <w:t>-09-300000884614us-gaap:RetailMember2021-10-012022-09-300000884614us-gaap:RetailMemberus-gaap:IntersegmentEliminationMember2021-10-012022-09-300000884614us-gaap:RetailMemberus-gaap:OperatingSegmentsMemberugi:AmeriGasPropaneMember2021-10-012022-09-300000884</w:t>
      </w:r>
      <w:r>
        <w:rPr>
          <w:rFonts w:eastAsia="Times New Roman"/>
          <w:vanish/>
        </w:rPr>
        <w:t>614us-gaap:RetailMemberus-gaap:OperatingSegmentsMemberugi:UGIInternationalMember2021-10-012022-09-300000884614us-gaap:RetailMemberus-gaap:OperatingSegmentsMemberugi:MidstreamAndMarketingMember2021-10-012022-09-300000884614us-gaap:RetailMemberugi:UGIUtiliti</w:t>
      </w:r>
      <w:r>
        <w:rPr>
          <w:rFonts w:eastAsia="Times New Roman"/>
          <w:vanish/>
        </w:rPr>
        <w:t>esIncMemberus-gaap:OperatingSegmentsMember2021-10-012022-09-300000884614us-gaap:RetailMemberugi:CorporateAndReconcilingItemsMember2021-10-012022-09-300000884614ugi:WholesaleMember2021-10-012022-09-300000884614us-gaap:IntersegmentEliminationMemberugi:Wholes</w:t>
      </w:r>
      <w:r>
        <w:rPr>
          <w:rFonts w:eastAsia="Times New Roman"/>
          <w:vanish/>
        </w:rPr>
        <w:t>aleMember2021-10-012022-09-300000884614us-gaap:OperatingSegmentsMemberugi:WholesaleMemberugi:AmeriGasPropaneMember2021-10-012022-09-300000884614us-gaap:OperatingSegmentsMemberugi:WholesaleMemberugi:UGIInternationalMember2021-10-012022-09-300000884614us-gaa</w:t>
      </w:r>
      <w:r>
        <w:rPr>
          <w:rFonts w:eastAsia="Times New Roman"/>
          <w:vanish/>
        </w:rPr>
        <w:t>p:OperatingSegmentsMemberugi:WholesaleMemberugi:MidstreamAndMarketingMember2021-10-012022-09-300000884614ugi:UGIUtilitiesIncMemberus-gaap:OperatingSegmentsMemberugi:WholesaleMember2021-10-012022-09-300000884614ugi:WholesaleMemberugi:CorporateAndReconciling</w:t>
      </w:r>
      <w:r>
        <w:rPr>
          <w:rFonts w:eastAsia="Times New Roman"/>
          <w:vanish/>
        </w:rPr>
        <w:t>ItemsMember2021-10-012022-09-300000884614ugi:EnergyMarketingMember2021-10-012022-09-300000884614ugi:EnergyMarketingMemberus-gaap:IntersegmentEliminationMember2021-10-012022-09-300000884614ugi:EnergyMarketingMemberus-gaap:OperatingSegmentsMemberugi:AmeriGas</w:t>
      </w:r>
      <w:r>
        <w:rPr>
          <w:rFonts w:eastAsia="Times New Roman"/>
          <w:vanish/>
        </w:rPr>
        <w:t>PropaneMember2021-10-012022-09-300000884614ugi:EnergyMarketingMemberus-gaap:OperatingSegmentsMemberugi:UGIInternationalMember2021-10-012022-09-300000884614ugi:EnergyMarketingMemberus-gaap:OperatingSegmentsMemberugi:MidstreamAndMarketingMember2021-10-012022</w:t>
      </w:r>
      <w:r>
        <w:rPr>
          <w:rFonts w:eastAsia="Times New Roman"/>
          <w:vanish/>
        </w:rPr>
        <w:t>-09-300000884614ugi:UGIUtilitiesIncMemberugi:EnergyMarketingMemberus-gaap:OperatingSegmentsMember2021-10-012022-09-300000884614ugi:EnergyMarketingMemberugi:CorporateAndReconcilingItemsMember2021-10-012022-09-300000884614ugi:PipelineMember2021-10-012022-09-</w:t>
      </w:r>
      <w:r>
        <w:rPr>
          <w:rFonts w:eastAsia="Times New Roman"/>
          <w:vanish/>
        </w:rPr>
        <w:t>300000884614ugi:PipelineMemberus-gaap:IntersegmentEliminationMember2021-10-012022-09-300000884614ugi:PipelineMemberus-gaap:OperatingSegmentsMemberugi:AmeriGasPropaneMember2021-10-012022-09-300000884614ugi:PipelineMemberus-gaap:OperatingSegmentsMemberugi:UG</w:t>
      </w:r>
      <w:r>
        <w:rPr>
          <w:rFonts w:eastAsia="Times New Roman"/>
          <w:vanish/>
        </w:rPr>
        <w:t>IInternationalMember2021-10-012022-09-300000884614ugi:PipelineMemberus-gaap:OperatingSegmentsMemberugi:MidstreamAndMarketingMember2021-10-012022-09-300000884614ugi:UGIUtilitiesIncMemberugi:PipelineMemberus-gaap:OperatingSegmentsMember2021-10-012022-09-3000</w:t>
      </w:r>
      <w:r>
        <w:rPr>
          <w:rFonts w:eastAsia="Times New Roman"/>
          <w:vanish/>
        </w:rPr>
        <w:t>00884614ugi:PipelineMemberugi:CorporateAndReconcilingItemsMember2021-10-012022-09-300000884614ugi:PeakingMember2021-10-012022-09-300000884614us-gaap:IntersegmentEliminationMemberugi:PeakingMember2021-10-012022-09-300000884614us-gaap:OperatingSegmentsMember</w:t>
      </w:r>
      <w:r>
        <w:rPr>
          <w:rFonts w:eastAsia="Times New Roman"/>
          <w:vanish/>
        </w:rPr>
        <w:t>ugi:PeakingMemberugi:AmeriGasPropaneMember2021-10-012022-09-300000884614us-gaap:OperatingSegmentsMemberugi:UGIInternationalMemberugi:PeakingMember2021-10-012022-09-300000884614us-gaap:OperatingSegmentsMemberugi:PeakingMemberugi:MidstreamAndMarketingMember2</w:t>
      </w:r>
      <w:r>
        <w:rPr>
          <w:rFonts w:eastAsia="Times New Roman"/>
          <w:vanish/>
        </w:rPr>
        <w:t>021-10-012022-09-300000884614ugi:UGIUtilitiesIncMemberus-gaap:OperatingSegmentsMemberugi:PeakingMember2021-10-012022-09-300000884614ugi:PeakingMemberugi:CorporateAndReconcilingItemsMember2021-10-012022-09-300000884614ugi:MidstreamOtherMember2021-10-012022-</w:t>
      </w:r>
      <w:r>
        <w:rPr>
          <w:rFonts w:eastAsia="Times New Roman"/>
          <w:vanish/>
        </w:rPr>
        <w:t>09-300000884614us-gaap:IntersegmentEliminationMemberugi:MidstreamOtherMember2021-10-012022-09-300000884614us-gaap:OperatingSegmentsMemberugi:MidstreamOtherMemberugi:AmeriGasPropaneMember2021-10-012022-09-300000884614us-gaap:OperatingSegmentsMemberugi:UGIIn</w:t>
      </w:r>
      <w:r>
        <w:rPr>
          <w:rFonts w:eastAsia="Times New Roman"/>
          <w:vanish/>
        </w:rPr>
        <w:t>ternationalMemberugi:MidstreamOtherMember2021-10-012022-09-300000884614us-gaap:OperatingSegmentsMemberugi:MidstreamOtherMemberugi:MidstreamAndMarketingMember2021-10-012022-09-300000884614ugi:UGIUtilitiesIncMemberus-gaap:OperatingSegmentsMemberugi:Midstream</w:t>
      </w:r>
      <w:r>
        <w:rPr>
          <w:rFonts w:eastAsia="Times New Roman"/>
          <w:vanish/>
        </w:rPr>
        <w:t>OtherMember2021-10-012022-09-300000884614ugi:MidstreamOtherMemberugi:CorporateAndReconcilingItemsMember2021-10-012022-09-300000884614us-gaap:ElectricityGenerationMember2021-10-012022-09-300000884614us-gaap:ElectricityGenerationMemberus-gaap:IntersegmentEli</w:t>
      </w:r>
      <w:r>
        <w:rPr>
          <w:rFonts w:eastAsia="Times New Roman"/>
          <w:vanish/>
        </w:rPr>
        <w:t>minationMember2021-10-012022-09-300000884614us-gaap:ElectricityGenerationMemberus-gaap:OperatingSegmentsMemberugi:AmeriGasPropaneMember2021-10-012022-09-300000884614us-gaap:ElectricityGenerationMemberus-gaap:OperatingSegmentsMemberugi:UGIInternationalMembe</w:t>
      </w:r>
      <w:r>
        <w:rPr>
          <w:rFonts w:eastAsia="Times New Roman"/>
          <w:vanish/>
        </w:rPr>
        <w:t>r2021-10-012022-09-300000884614us-gaap:ElectricityGenerationMemberus-gaap:OperatingSegmentsMemberugi:MidstreamAndMarketingMember2021-10-012022-09-300000884614us-gaap:ElectricityGenerationMemberugi:UGIUtilitiesIncMemberus-gaap:OperatingSegmentsMember2021-10</w:t>
      </w:r>
      <w:r>
        <w:rPr>
          <w:rFonts w:eastAsia="Times New Roman"/>
          <w:vanish/>
        </w:rPr>
        <w:t>-012022-09-300000884614us-gaap:ElectricityGenerationMemberugi:CorporateAndReconcilingItemsMember2021-10-012022-09-300000884614ugi:NonutilityOtherMember2021-10-012022-09-300000884614us-gaap:IntersegmentEliminationMemberugi:NonutilityOtherMember2021-10-01202</w:t>
      </w:r>
      <w:r>
        <w:rPr>
          <w:rFonts w:eastAsia="Times New Roman"/>
          <w:vanish/>
        </w:rPr>
        <w:t>2-09-300000884614us-gaap:OperatingSegmentsMemberugi:NonutilityOtherMemberugi:AmeriGasPropaneMember2021-10-012022-09-300000884614us-gaap:OperatingSegmentsMemberugi:NonutilityOtherMemberugi:UGIInternationalMember2021-10-012022-09-300000884614us-gaap:Operatin</w:t>
      </w:r>
      <w:r>
        <w:rPr>
          <w:rFonts w:eastAsia="Times New Roman"/>
          <w:vanish/>
        </w:rPr>
        <w:t>gSegmentsMemberugi:NonutilityOtherMemberugi:MidstreamAndMarketingMember2021-10-012022-09-300000884614ugi:UGIUtilitiesIncMemberus-gaap:OperatingSegmentsMemberugi:NonutilityOtherMember2021-10-012022-09-300000884614ugi:NonutilityOtherMemberugi:CorporateAndRec</w:t>
      </w:r>
      <w:r>
        <w:rPr>
          <w:rFonts w:eastAsia="Times New Roman"/>
          <w:vanish/>
        </w:rPr>
        <w:t>oncilingItemsMember2021-10-012022-09-300000884614ugi:NonutilityMember2021-10-012022-09-300000884614us-gaap:IntersegmentEliminationMemberugi:NonutilityMember2021-10-012022-09-300000884614us-gaap:OperatingSegmentsMemberugi:AmeriGasPropaneMemberugi:Nonutility</w:t>
      </w:r>
      <w:r>
        <w:rPr>
          <w:rFonts w:eastAsia="Times New Roman"/>
          <w:vanish/>
        </w:rPr>
        <w:t>Member2021-10-012022-09-300000884614us-gaap:OperatingSegmentsMemberugi:UGIInternationalMemberugi:NonutilityMember2021-10-012022-09-300000884614us-gaap:OperatingSegmentsMemberugi:MidstreamAndMarketingMemberugi:NonutilityMember2021-10-012022-09-300000884614u</w:t>
      </w:r>
      <w:r>
        <w:rPr>
          <w:rFonts w:eastAsia="Times New Roman"/>
          <w:vanish/>
        </w:rPr>
        <w:t>gi:UGIUtilitiesIncMemberus-gaap:OperatingSegmentsMemberugi:NonutilityMember2021-10-012022-09-300000884614ugi:CorporateAndReconcilingItemsMemberugi:NonutilityMember2021-10-012022-09-300000884614us-gaap:IntersegmentEliminationMember2021-10-012022-09-30000088</w:t>
      </w:r>
      <w:r>
        <w:rPr>
          <w:rFonts w:eastAsia="Times New Roman"/>
          <w:vanish/>
        </w:rPr>
        <w:t>4614us-gaap:OperatingSegmentsMemberugi:AmeriGasPropaneMember2021-10-012022-09-300000884614us-gaap:OperatingSegmentsMemberugi:UGIInternationalMember2021-10-012022-09-300000884614us-gaap:OperatingSegmentsMemberugi:MidstreamAndMarketingMember2021-10-012022-09</w:t>
      </w:r>
      <w:r>
        <w:rPr>
          <w:rFonts w:eastAsia="Times New Roman"/>
          <w:vanish/>
        </w:rPr>
        <w:t>-300000884614ugi:UGIUtilitiesIncMemberus-gaap:OperatingSegmentsMember2021-10-012022-09-300000884614ugi:CorporateAndReconcilingItemsMember2021-10-012022-09-300000884614ugi:ResidentialMember2020-10-012021-09-300000884614us-gaap:IntersegmentEliminationMemberu</w:t>
      </w:r>
      <w:r>
        <w:rPr>
          <w:rFonts w:eastAsia="Times New Roman"/>
          <w:vanish/>
        </w:rPr>
        <w:t>gi:ResidentialMember2020-10-012021-09-300000884614us-gaap:OperatingSegmentsMemberugi:ResidentialMemberugi:AmeriGasPropaneMember2020-10-012021-09-300000884614us-gaap:OperatingSegmentsMemberugi:UGIInternationalMemberugi:ResidentialMember2020-10-012021-09-300</w:t>
      </w:r>
      <w:r>
        <w:rPr>
          <w:rFonts w:eastAsia="Times New Roman"/>
          <w:vanish/>
        </w:rPr>
        <w:t>000884614us-gaap:OperatingSegmentsMemberugi:MidstreamAndMarketingMemberugi:ResidentialMember2020-10-012021-09-300000884614ugi:UGIUtilitiesIncMemberus-gaap:OperatingSegmentsMemberugi:ResidentialMember2020-10-012021-09-300000884614ugi:ResidentialMemberugi:Co</w:t>
      </w:r>
      <w:r>
        <w:rPr>
          <w:rFonts w:eastAsia="Times New Roman"/>
          <w:vanish/>
        </w:rPr>
        <w:t>rporateAndReconcilingItemsMember2020-10-012021-09-300000884614ugi:CommercialandIndustrialMember2020-10-012021-09-300000884614us-gaap:IntersegmentEliminationMemberugi:CommercialandIndustrialMember2020-10-012021-09-300000884614us-gaap:OperatingSegmentsMember</w:t>
      </w:r>
      <w:r>
        <w:rPr>
          <w:rFonts w:eastAsia="Times New Roman"/>
          <w:vanish/>
        </w:rPr>
        <w:t>ugi:CommercialandIndustrialMemberugi:AmeriGasPropaneMember2020-10-012021-09-300000884614us-gaap:OperatingSegmentsMemberugi:UGIInternationalMemberugi:CommercialandIndustrialMember2020-10-012021-09-300000884614us-gaap:OperatingSegmentsMemberugi:MidstreamAndM</w:t>
      </w:r>
      <w:r>
        <w:rPr>
          <w:rFonts w:eastAsia="Times New Roman"/>
          <w:vanish/>
        </w:rPr>
        <w:t>arketingMemberugi:CommercialandIndustrialMember2020-10-012021-09-300000884614ugi:UGIUtilitiesIncMemberus-gaap:OperatingSegmentsMemberugi:CommercialandIndustrialMember2020-10-012021-09-300000884614ugi:CommercialandIndustrialMemberugi:CorporateAndReconciling</w:t>
      </w:r>
      <w:r>
        <w:rPr>
          <w:rFonts w:eastAsia="Times New Roman"/>
          <w:vanish/>
        </w:rPr>
        <w:t>ItemsMember2020-10-012021-09-300000884614ugi:LargeDeliveryServiceMember2020-10-012021-09-300000884614us-gaap:IntersegmentEliminationMemberugi:LargeDeliveryServiceMember2020-10-012021-09-300000884614us-gaap:OperatingSegmentsMemberugi:LargeDeliveryServiceMem</w:t>
      </w:r>
      <w:r>
        <w:rPr>
          <w:rFonts w:eastAsia="Times New Roman"/>
          <w:vanish/>
        </w:rPr>
        <w:t>berugi:AmeriGasPropaneMember2020-10-012021-09-300000884614us-gaap:OperatingSegmentsMemberugi:UGIInternationalMemberugi:LargeDeliveryServiceMember2020-10-012021-09-300000884614us-gaap:OperatingSegmentsMemberugi:MidstreamAndMarketingMemberugi:LargeDeliverySe</w:t>
      </w:r>
      <w:r>
        <w:rPr>
          <w:rFonts w:eastAsia="Times New Roman"/>
          <w:vanish/>
        </w:rPr>
        <w:t>rviceMember2020-10-012021-09-300000884614ugi:UGIUtilitiesIncMemberus-gaap:OperatingSegmentsMemberugi:LargeDeliveryServiceMember2020-10-012021-09-300000884614ugi:LargeDeliveryServiceMemberugi:CorporateAndReconcilingItemsMember2020-10-012021-09-300000884614u</w:t>
      </w:r>
      <w:r>
        <w:rPr>
          <w:rFonts w:eastAsia="Times New Roman"/>
          <w:vanish/>
        </w:rPr>
        <w:t>gi:OffSystemSalesandCapacityReleasesMember2020-10-012021-09-300000884614us-gaap:IntersegmentEliminationMemberugi:OffSystemSalesandCapacityReleasesMember2020-10-012021-09-300000884614us-gaap:OperatingSegmentsMemberugi:OffSystemSalesandCapacityReleasesMember</w:t>
      </w:r>
      <w:r>
        <w:rPr>
          <w:rFonts w:eastAsia="Times New Roman"/>
          <w:vanish/>
        </w:rPr>
        <w:t>ugi:AmeriGasPropaneMember2020-10-012021-09-300000884614us-gaap:OperatingSegmentsMemberugi:UGIInternationalMemberugi:OffSystemSalesandCapacityReleasesMember2020-10-012021-09-300000884614us-gaap:OperatingSegmentsMemberugi:MidstreamAndMarketingMemberugi:OffSy</w:t>
      </w:r>
      <w:r>
        <w:rPr>
          <w:rFonts w:eastAsia="Times New Roman"/>
          <w:vanish/>
        </w:rPr>
        <w:t>stemSalesandCapacityReleasesMember2020-10-012021-09-300000884614ugi:UGIUtilitiesIncMemberus-gaap:OperatingSegmentsMemberugi:OffSystemSalesandCapacityReleasesMember2020-10-012021-09-300000884614ugi:OffSystemSalesandCapacityReleasesMemberugi:CorporateAndReco</w:t>
      </w:r>
      <w:r>
        <w:rPr>
          <w:rFonts w:eastAsia="Times New Roman"/>
          <w:vanish/>
        </w:rPr>
        <w:t>ncilingItemsMember2020-10-012021-09-300000884614ugi:UtilityOtherMember2020-10-012021-09-300000884614ugi:UtilityOtherMemberus-gaap:IntersegmentEliminationMember2020-10-012021-09-300000884614ugi:UtilityOtherMemberus-gaap:OperatingSegmentsMemberugi:AmeriGasPr</w:t>
      </w:r>
      <w:r>
        <w:rPr>
          <w:rFonts w:eastAsia="Times New Roman"/>
          <w:vanish/>
        </w:rPr>
        <w:t>opaneMember2020-10-012021-09-300000884614ugi:UtilityOtherMemberus-gaap:OperatingSegmentsMemberugi:UGIInternationalMember2020-10-012021-09-300000884614ugi:UtilityOtherMemberus-gaap:OperatingSegmentsMemberugi:MidstreamAndMarketingMember2020-10-012021-09-3000</w:t>
      </w:r>
      <w:r>
        <w:rPr>
          <w:rFonts w:eastAsia="Times New Roman"/>
          <w:vanish/>
        </w:rPr>
        <w:t>00884614ugi:UGIUtilitiesIncMemberugi:UtilityOtherMemberus-gaap:OperatingSegmentsMember2020-10-012021-09-300000884614ugi:UtilityOtherMemberugi:CorporateAndReconcilingItemsMember2020-10-012021-09-300000884614ugi:UtilityMember2020-10-012021-09-300000884614us-</w:t>
      </w:r>
      <w:r>
        <w:rPr>
          <w:rFonts w:eastAsia="Times New Roman"/>
          <w:vanish/>
        </w:rPr>
        <w:t>gaap:IntersegmentEliminationMemberugi:UtilityMember2020-10-012021-09-300000884614us-gaap:OperatingSegmentsMemberugi:AmeriGasPropaneMemberugi:UtilityMember2020-10-012021-09-300000884614us-gaap:OperatingSegmentsMemberugi:UGIInternationalMemberugi:UtilityMemb</w:t>
      </w:r>
      <w:r>
        <w:rPr>
          <w:rFonts w:eastAsia="Times New Roman"/>
          <w:vanish/>
        </w:rPr>
        <w:t>er2020-10-012021-09-300000884614us-gaap:OperatingSegmentsMemberugi:MidstreamAndMarketingMemberugi:UtilityMember2020-10-012021-09-300000884614ugi:UGIUtilitiesIncMemberus-gaap:OperatingSegmentsMemberugi:UtilityMember2020-10-012021-09-300000884614ugi:Corporat</w:t>
      </w:r>
      <w:r>
        <w:rPr>
          <w:rFonts w:eastAsia="Times New Roman"/>
          <w:vanish/>
        </w:rPr>
        <w:t>eAndReconcilingItemsMemberugi:UtilityMember2020-10-012021-09-300000884614us-gaap:RetailMember2020-10-012021-09-300000884614us-gaap:RetailMemberus-gaap:IntersegmentEliminationMember2020-10-012021-09-300000884614us-gaap:RetailMemberus-gaap:OperatingSegmentsM</w:t>
      </w:r>
      <w:r>
        <w:rPr>
          <w:rFonts w:eastAsia="Times New Roman"/>
          <w:vanish/>
        </w:rPr>
        <w:t>emberugi:AmeriGasPropaneMember2020-10-012021-09-300000884614us-gaap:RetailMemberus-gaap:OperatingSegmentsMemberugi:UGIInternationalMember2020-10-012021-09-300000884614us-gaap:RetailMemberus-gaap:OperatingSegmentsMemberugi:MidstreamAndMarketingMember2020-10</w:t>
      </w:r>
      <w:r>
        <w:rPr>
          <w:rFonts w:eastAsia="Times New Roman"/>
          <w:vanish/>
        </w:rPr>
        <w:t>-012021-09-300000884614us-gaap:RetailMemberugi:UGIUtilitiesIncMemberus-gaap:OperatingSegmentsMember2020-10-012021-09-300000884614us-gaap:RetailMemberugi:CorporateAndReconcilingItemsMember2020-10-012021-09-300000884614ugi:WholesaleMember2020-10-012021-09-30</w:t>
      </w:r>
      <w:r>
        <w:rPr>
          <w:rFonts w:eastAsia="Times New Roman"/>
          <w:vanish/>
        </w:rPr>
        <w:t>0000884614us-gaap:IntersegmentEliminationMemberugi:WholesaleMember2020-10-012021-09-300000884614us-gaap:OperatingSegmentsMemberugi:WholesaleMemberugi:AmeriGasPropaneMember2020-10-012021-09-300000884614us-gaap:OperatingSegmentsMemberugi:WholesaleMemberugi:U</w:t>
      </w:r>
      <w:r>
        <w:rPr>
          <w:rFonts w:eastAsia="Times New Roman"/>
          <w:vanish/>
        </w:rPr>
        <w:t>GIInternationalMember2020-10-012021-09-300000884614us-gaap:OperatingSegmentsMemberugi:WholesaleMemberugi:MidstreamAndMarketingMember2020-10-012021-09-300000884614ugi:UGIUtilitiesIncMemberus-gaap:OperatingSegmentsMemberugi:WholesaleMember2020-10-012021-09-3</w:t>
      </w:r>
      <w:r>
        <w:rPr>
          <w:rFonts w:eastAsia="Times New Roman"/>
          <w:vanish/>
        </w:rPr>
        <w:t>00000884614ugi:WholesaleMemberugi:CorporateAndReconcilingItemsMember2020-10-012021-09-300000884614ugi:EnergyMarketingMember2020-10-012021-09-300000884614ugi:EnergyMarketingMemberus-gaap:IntersegmentEliminationMember2020-10-012021-09-300000884614ugi:EnergyM</w:t>
      </w:r>
      <w:r>
        <w:rPr>
          <w:rFonts w:eastAsia="Times New Roman"/>
          <w:vanish/>
        </w:rPr>
        <w:t>arketingMemberus-gaap:OperatingSegmentsMemberugi:AmeriGasPropaneMember2020-10-012021-09-300000884614ugi:EnergyMarketingMemberus-gaap:OperatingSegmentsMemberugi:UGIInternationalMember2020-10-012021-09-300000884614ugi:EnergyMarketingMemberus-gaap:OperatingSe</w:t>
      </w:r>
      <w:r>
        <w:rPr>
          <w:rFonts w:eastAsia="Times New Roman"/>
          <w:vanish/>
        </w:rPr>
        <w:t>gmentsMemberugi:MidstreamAndMarketingMember2020-10-012021-09-300000884614ugi:UGIUtilitiesIncMemberugi:EnergyMarketingMemberus-gaap:OperatingSegmentsMember2020-10-012021-09-300000884614ugi:EnergyMarketingMemberugi:CorporateAndReconcilingItemsMember2020-10-0</w:t>
      </w:r>
      <w:r>
        <w:rPr>
          <w:rFonts w:eastAsia="Times New Roman"/>
          <w:vanish/>
        </w:rPr>
        <w:t>12021-09-300000884614ugi:PipelineMember2020-10-012021-09-300000884614ugi:PipelineMemberus-gaap:IntersegmentEliminationMember2020-10-012021-09-300000884614ugi:PipelineMemberus-gaap:OperatingSegmentsMemberugi:AmeriGasPropaneMember2020-10-012021-09-3000008846</w:t>
      </w:r>
      <w:r>
        <w:rPr>
          <w:rFonts w:eastAsia="Times New Roman"/>
          <w:vanish/>
        </w:rPr>
        <w:t>14ugi:PipelineMemberus-gaap:OperatingSegmentsMemberugi:UGIInternationalMember2020-10-012021-09-300000884614ugi:PipelineMemberus-gaap:OperatingSegmentsMemberugi:MidstreamAndMarketingMember2020-10-012021-09-300000884614ugi:UGIUtilitiesIncMemberugi:PipelineMe</w:t>
      </w:r>
      <w:r>
        <w:rPr>
          <w:rFonts w:eastAsia="Times New Roman"/>
          <w:vanish/>
        </w:rPr>
        <w:t>mberus-gaap:OperatingSegmentsMember2020-10-012021-09-300000884614ugi:PipelineMemberugi:CorporateAndReconcilingItemsMember2020-10-012021-09-300000884614ugi:PeakingMember2020-10-012021-09-300000884614us-gaap:IntersegmentEliminationMemberugi:PeakingMember2020</w:t>
      </w:r>
      <w:r>
        <w:rPr>
          <w:rFonts w:eastAsia="Times New Roman"/>
          <w:vanish/>
        </w:rPr>
        <w:t>-10-012021-09-300000884614us-gaap:OperatingSegmentsMemberugi:PeakingMemberugi:AmeriGasPropaneMember2020-10-012021-09-300000884614us-gaap:OperatingSegmentsMemberugi:UGIInternationalMemberugi:PeakingMember2020-10-012021-09-300000884614us-gaap:OperatingSegmen</w:t>
      </w:r>
      <w:r>
        <w:rPr>
          <w:rFonts w:eastAsia="Times New Roman"/>
          <w:vanish/>
        </w:rPr>
        <w:t>tsMemberugi:PeakingMemberugi:MidstreamAndMarketingMember2020-10-012021-09-300000884614ugi:UGIUtilitiesIncMemberus-gaap:OperatingSegmentsMemberugi:PeakingMember2020-10-012021-09-300000884614ugi:PeakingMemberugi:CorporateAndReconcilingItemsMember2020-10-0120</w:t>
      </w:r>
      <w:r>
        <w:rPr>
          <w:rFonts w:eastAsia="Times New Roman"/>
          <w:vanish/>
        </w:rPr>
        <w:t>21-09-300000884614ugi:MidstreamOtherMember2020-10-012021-09-300000884614us-gaap:IntersegmentEliminationMemberugi:MidstreamOtherMember2020-10-012021-09-300000884614us-gaap:OperatingSegmentsMemberugi:MidstreamOtherMemberugi:AmeriGasPropaneMember2020-10-01202</w:t>
      </w:r>
      <w:r>
        <w:rPr>
          <w:rFonts w:eastAsia="Times New Roman"/>
          <w:vanish/>
        </w:rPr>
        <w:t>1-09-300000884614us-gaap:OperatingSegmentsMemberugi:UGIInternationalMemberugi:MidstreamOtherMember2020-10-012021-09-300000884614us-gaap:OperatingSegmentsMemberugi:MidstreamOtherMemberugi:MidstreamAndMarketingMember2020-10-012021-09-300000884614ugi:UGIUtili</w:t>
      </w:r>
      <w:r>
        <w:rPr>
          <w:rFonts w:eastAsia="Times New Roman"/>
          <w:vanish/>
        </w:rPr>
        <w:t>tiesIncMemberus-gaap:OperatingSegmentsMemberugi:MidstreamOtherMember2020-10-012021-09-300000884614ugi:MidstreamOtherMemberugi:CorporateAndReconcilingItemsMember2020-10-012021-09-300000884614us-gaap:ElectricityGenerationMember2020-10-012021-09-300000884614u</w:t>
      </w:r>
      <w:r>
        <w:rPr>
          <w:rFonts w:eastAsia="Times New Roman"/>
          <w:vanish/>
        </w:rPr>
        <w:t>s-gaap:ElectricityGenerationMemberus-gaap:IntersegmentEliminationMember2020-10-012021-09-300000884614us-gaap:ElectricityGenerationMemberus-gaap:OperatingSegmentsMemberugi:AmeriGasPropaneMember2020-10-012021-09-300000884614us-gaap:ElectricityGenerationMembe</w:t>
      </w:r>
      <w:r>
        <w:rPr>
          <w:rFonts w:eastAsia="Times New Roman"/>
          <w:vanish/>
        </w:rPr>
        <w:t>rus-gaap:OperatingSegmentsMemberugi:UGIInternationalMember2020-10-012021-09-300000884614us-gaap:ElectricityGenerationMemberus-gaap:OperatingSegmentsMemberugi:MidstreamAndMarketingMember2020-10-012021-09-300000884614us-gaap:ElectricityGenerationMemberugi:UG</w:t>
      </w:r>
      <w:r>
        <w:rPr>
          <w:rFonts w:eastAsia="Times New Roman"/>
          <w:vanish/>
        </w:rPr>
        <w:t>IUtilitiesIncMemberus-gaap:OperatingSegmentsMember2020-10-012021-09-300000884614us-gaap:ElectricityGenerationMemberugi:CorporateAndReconcilingItemsMember2020-10-012021-09-300000884614ugi:NonutilityOtherMember2020-10-012021-09-300000884614us-gaap:Intersegme</w:t>
      </w:r>
      <w:r>
        <w:rPr>
          <w:rFonts w:eastAsia="Times New Roman"/>
          <w:vanish/>
        </w:rPr>
        <w:t>ntEliminationMemberugi:NonutilityOtherMember2020-10-012021-09-300000884614us-gaap:OperatingSegmentsMemberugi:NonutilityOtherMemberugi:AmeriGasPropaneMember2020-10-012021-09-300000884614us-gaap:OperatingSegmentsMemberugi:NonutilityOtherMemberugi:UGIInternat</w:t>
      </w:r>
      <w:r>
        <w:rPr>
          <w:rFonts w:eastAsia="Times New Roman"/>
          <w:vanish/>
        </w:rPr>
        <w:t>ionalMember2020-10-012021-09-300000884614us-gaap:OperatingSegmentsMemberugi:NonutilityOtherMemberugi:MidstreamAndMarketingMember2020-10-012021-09-300000884614ugi:UGIUtilitiesIncMemberus-gaap:OperatingSegmentsMemberugi:NonutilityOtherMember2020-10-012021-09</w:t>
      </w:r>
      <w:r>
        <w:rPr>
          <w:rFonts w:eastAsia="Times New Roman"/>
          <w:vanish/>
        </w:rPr>
        <w:t>-300000884614ugi:NonutilityOtherMemberugi:CorporateAndReconcilingItemsMember2020-10-012021-09-300000884614ugi:NonutilityMember2020-10-012021-09-300000884614us-gaap:IntersegmentEliminationMemberugi:NonutilityMember2020-10-012021-09-300000884614us-gaap:Opera</w:t>
      </w:r>
      <w:r>
        <w:rPr>
          <w:rFonts w:eastAsia="Times New Roman"/>
          <w:vanish/>
        </w:rPr>
        <w:t>tingSegmentsMemberugi:AmeriGasPropaneMemberugi:NonutilityMember2020-10-012021-09-300000884614us-gaap:OperatingSegmentsMemberugi:UGIInternationalMemberugi:NonutilityMember2020-10-012021-09-300000884614us-gaap:OperatingSegmentsMemberugi:MidstreamAndMarketing</w:t>
      </w:r>
      <w:r>
        <w:rPr>
          <w:rFonts w:eastAsia="Times New Roman"/>
          <w:vanish/>
        </w:rPr>
        <w:t>Memberugi:NonutilityMember2020-10-012021-09-300000884614ugi:UGIUtilitiesIncMemberus-gaap:OperatingSegmentsMemberugi:NonutilityMember2020-10-012021-09-300000884614ugi:CorporateAndReconcilingItemsMemberugi:NonutilityMember2020-10-012021-09-300000884614us-gaa</w:t>
      </w:r>
      <w:r>
        <w:rPr>
          <w:rFonts w:eastAsia="Times New Roman"/>
          <w:vanish/>
        </w:rPr>
        <w:t>p:IntersegmentEliminationMember2020-10-012021-09-300000884614us-gaap:OperatingSegmentsMemberugi:AmeriGasPropaneMember2020-10-012021-09-300000884614us-gaap:OperatingSegmentsMemberugi:UGIInternationalMember2020-10-012021-09-300000884614us-gaap:OperatingSegme</w:t>
      </w:r>
      <w:r>
        <w:rPr>
          <w:rFonts w:eastAsia="Times New Roman"/>
          <w:vanish/>
        </w:rPr>
        <w:t>ntsMemberugi:MidstreamAndMarketingMember2020-10-012021-09-300000884614ugi:UGIUtilitiesIncMemberus-gaap:OperatingSegmentsMember2020-10-012021-09-300000884614ugi:CorporateAndReconcilingItemsMember2020-10-012021-09-300000884614ugi:PennsylvaniaPublicUtilityCom</w:t>
      </w:r>
      <w:r>
        <w:rPr>
          <w:rFonts w:eastAsia="Times New Roman"/>
          <w:vanish/>
        </w:rPr>
        <w:t>missionMemberugi:WeatherNormalizationAdjustmentRiderMemberugi:GasUtilityMember2022-11-012022-11-010000884614ugi:MidstreamAndMarketingMember2023-09-300000884614ugi:UGIUtilitiesIncMember2023-09-300000884614ugi:MountaineerMember2021-09-012021-09-010000884614u</w:t>
      </w:r>
      <w:r>
        <w:rPr>
          <w:rFonts w:eastAsia="Times New Roman"/>
          <w:vanish/>
        </w:rPr>
        <w:t>gi:UGICorporationSeniorCreditFacilityMember2021-09-012021-09-010000884614ugi:MountaineerMember2021-09-010000884614ugi:MountaineerMember2021-09-300000884614ugi:EnergyServicesMemberugi:PennantMember2022-09-300000884614ugi:EnergyServicesMemberugi:PennantMembe</w:t>
      </w:r>
      <w:r>
        <w:rPr>
          <w:rFonts w:eastAsia="Times New Roman"/>
          <w:vanish/>
        </w:rPr>
        <w:t>r2021-10-012022-09-300000884614ugi:EnergyServicesMemberugi:StonehengeMember2022-01-012022-01-310000884614us-gaap:SubsequentEventMemberus-gaap:DisposalGroupHeldForSaleOrDisposedOfBySaleNotDiscontinuedOperationsMemberugi:FranceEnergyMarketingBusinessMember20</w:t>
      </w:r>
      <w:r>
        <w:rPr>
          <w:rFonts w:eastAsia="Times New Roman"/>
          <w:vanish/>
        </w:rPr>
        <w:t>23-10-310000884614ugi:BelgiumEnergyMarketingBusinessMemberus-gaap:DisposalGroupHeldForSaleOrDisposedOfBySaleNotDiscontinuedOperationsMember2023-09-300000884614ugi:BelgiumEnergyMarketingBusinessMemberus-gaap:DisposalGroupHeldForSaleOrDisposedOfBySaleNotDisc</w:t>
      </w:r>
      <w:r>
        <w:rPr>
          <w:rFonts w:eastAsia="Times New Roman"/>
          <w:vanish/>
        </w:rPr>
        <w:t>ontinuedOperationsMember2023-09-012023-09-300000884614us-gaap:DisposalGroupHeldForSaleOrDisposedOfBySaleNotDiscontinuedOperationsMemberugi:UKEnergyMarketingBusinessMember2022-10-210000884614us-gaap:DisposalGroupHeldForSaleOrDisposedOfBySaleNotDiscontinuedO</w:t>
      </w:r>
      <w:r>
        <w:rPr>
          <w:rFonts w:eastAsia="Times New Roman"/>
          <w:vanish/>
        </w:rPr>
        <w:t>perationsMemberugi:UKEnergyMarketingBusinessMember2022-10-012022-10-3100008846142021-10-012021-12-310000884614us-gaap:DisposalGroupHeldForSaleOrDisposedOfBySaleNotDiscontinuedOperationsMemberugi:UKEnergyMarketingBusinessMember2022-09-300000884614us-gaap:Di</w:t>
      </w:r>
      <w:r>
        <w:rPr>
          <w:rFonts w:eastAsia="Times New Roman"/>
          <w:vanish/>
        </w:rPr>
        <w:t>sposalGroupHeldForSaleOrDisposedOfBySaleNotDiscontinuedOperationsMemberugi:NetherlandEnergyMarketingBusinessMember2023-09-300000884614us-gaap:DisposalGroupHeldForSaleOrDisposedOfBySaleNotDiscontinuedOperationsMemberugi:NetherlandEnergyMarketingBusinessMemb</w:t>
      </w:r>
      <w:r>
        <w:rPr>
          <w:rFonts w:eastAsia="Times New Roman"/>
          <w:vanish/>
        </w:rPr>
        <w:t>er2023-07-012023-09-300000884614us-gaap:DisposalGroupHeldforsaleNotDiscontinuedOperationsMemberugi:NetherlandEnergyMarketingBusinessMember2023-07-310000884614us-gaap:DisposalGroupHeldforsaleNotDiscontinuedOperationsMemberugi:NetherlandEnergyMarketingBusine</w:t>
      </w:r>
      <w:r>
        <w:rPr>
          <w:rFonts w:eastAsia="Times New Roman"/>
          <w:vanish/>
        </w:rPr>
        <w:t>ssMember2022-10-012022-12-310000884614us-gaap:SubsequentEventMemberugi:UGIUtilitiesIncMemberus-gaap:RevolvingCreditFacilityMemberus-gaap:LineOfCreditMemberugi:UGIUtilitiesCreditAgreementMember2023-11-090000884614us-gaap:SubsequentEventMemberugi:UGIUtilitie</w:t>
      </w:r>
      <w:r>
        <w:rPr>
          <w:rFonts w:eastAsia="Times New Roman"/>
          <w:vanish/>
        </w:rPr>
        <w:t>sIncMemberus-gaap:LineOfCreditMemberus-gaap:LetterOfCreditMemberugi:UGIUtilitiesCreditAgreementMember2023-11-090000884614us-gaap:SubsequentEventMemberugi:UGIUtilitiesIncMemberus-gaap:BridgeLoanMemberus-gaap:LineOfCreditMemberugi:UGIUtilitiesCreditAgreement</w:t>
      </w:r>
      <w:r>
        <w:rPr>
          <w:rFonts w:eastAsia="Times New Roman"/>
          <w:vanish/>
        </w:rPr>
        <w:t>Member2023-11-090000884614us-gaap:SubsequentEventMemberugi:UGIUtilitiesIncMemberus-gaap:RevolvingCreditFacilityMemberus-gaap:LineOfCreditMemberugi:UGIUtilitiesCreditAgreementMember2023-11-092023-11-090000884614ugi:UGIUtilitiesIncMemberus-gaap:RevolvingCred</w:t>
      </w:r>
      <w:r>
        <w:rPr>
          <w:rFonts w:eastAsia="Times New Roman"/>
          <w:vanish/>
        </w:rPr>
        <w:t>itFacilityMemberus-gaap:LineOfCreditMemberugi:UGIUtilitiesCreditAgreementMember2022-12-130000884614ugi:UGIUtilitiesIncMemberugi:SecuredOvernightFinancingRateSOFRMemberus-gaap:RevolvingCreditFacilityMemberus-gaap:LineOfCreditMemberugi:UGIUtilitiesCreditAgre</w:t>
      </w:r>
      <w:r>
        <w:rPr>
          <w:rFonts w:eastAsia="Times New Roman"/>
          <w:vanish/>
        </w:rPr>
        <w:t>ementMember2022-12-132022-12-130000884614ugi:SeniorNotesDue2028Memberugi:AmeriGasPartnersAndAmeriGasFinanceCorpMemberus-gaap:SeniorNotesMember2023-05-310000884614ugi:AmeriGasPartnersAndAmeriGasFinanceCorpMemberus-gaap:SeniorNotesMemberugi:AmeriGasPartnersS</w:t>
      </w:r>
      <w:r>
        <w:rPr>
          <w:rFonts w:eastAsia="Times New Roman"/>
          <w:vanish/>
        </w:rPr>
        <w:t>eniorNotesMember2023-05-312023-05-310000884614ugi:AmeriGasPartnersAndAmeriGasFinanceCorpMemberus-gaap:SeniorNotesMemberugi:AmeriGasPartnersSeniorNotesMember2023-05-310000884614ugi:AmeriGasPartnersAndAmeriGasFinanceCorpMemberus-gaap:SeniorNotesMemberugi:Ame</w:t>
      </w:r>
      <w:r>
        <w:rPr>
          <w:rFonts w:eastAsia="Times New Roman"/>
          <w:vanish/>
        </w:rPr>
        <w:t>riGasPartnersSeniorNotesMember2023-06-012023-06-300000884614srt:MaximumMemberugi:SeniorNotesDue2028Memberugi:AmeriGasPartnersAndAmeriGasFinanceCorpMemberus-gaap:SeniorNotesMember2023-05-312023-05-310000884614srt:MinimumMemberugi:SeniorNotesDue2028Memberugi</w:t>
      </w:r>
      <w:r>
        <w:rPr>
          <w:rFonts w:eastAsia="Times New Roman"/>
          <w:vanish/>
        </w:rPr>
        <w:t>:AmeriGasPartnersAndAmeriGasFinanceCorpMemberus-gaap:SeniorNotesMember2023-05-312023-05-310000884614ugi:UGIInternationalCreditFacilitiesAgreementMemberus-gaap:UnsecuredDebtMemberus-gaap:LineOfCreditMember2023-03-072023-03-070000884614ugi:UGIInternationalCr</w:t>
      </w:r>
      <w:r>
        <w:rPr>
          <w:rFonts w:eastAsia="Times New Roman"/>
          <w:vanish/>
        </w:rPr>
        <w:t>editFacilitiesAgreementMemberus-gaap:UnsecuredDebtMemberus-gaap:LineOfCreditMember2023-03-07iso4217:EUR0000884614ugi:UGIInternationalCreditFacilitiesAgreementMemberus-gaap:RevolvingCreditFacilityMemberus-gaap:LineOfCreditMember2023-03-070000884614us-gaap:B</w:t>
      </w:r>
      <w:r>
        <w:rPr>
          <w:rFonts w:eastAsia="Times New Roman"/>
          <w:vanish/>
        </w:rPr>
        <w:t>ridgeLoanMemberugi:UGIInternationalCreditFacilitiesAgreementMemberus-gaap:LineOfCreditMember2023-03-070000884614srt:MinimumMemberugi:EuroInterbankOfferedRateMemberugi:UGIInternationalCreditFacilitiesAgreementMemberus-gaap:RevolvingCreditFacilityMemberus-ga</w:t>
      </w:r>
      <w:r>
        <w:rPr>
          <w:rFonts w:eastAsia="Times New Roman"/>
          <w:vanish/>
        </w:rPr>
        <w:t>ap:LineOfCreditMember2023-03-072023-03-070000884614ugi:EuroInterbankOfferedRateMembersrt:MaximumMemberugi:UGIInternationalCreditFacilitiesAgreementMemberus-gaap:RevolvingCreditFacilityMemberus-gaap:LineOfCreditMember2023-03-072023-03-070000884614srt:Minimu</w:t>
      </w:r>
      <w:r>
        <w:rPr>
          <w:rFonts w:eastAsia="Times New Roman"/>
          <w:vanish/>
        </w:rPr>
        <w:t>mMemberugi:DailyNonCumulativeCompoundedReferenceRateMemberugi:UGIInternationalCreditFacilitiesAgreementMemberus-gaap:BridgeLoanMemberus-gaap:LineOfCreditMember2023-03-072023-03-070000884614ugi:DailyNonCumulativeCompoundedReferenceRateMembersrt:MaximumMembe</w:t>
      </w:r>
      <w:r>
        <w:rPr>
          <w:rFonts w:eastAsia="Times New Roman"/>
          <w:vanish/>
        </w:rPr>
        <w:t>rugi:UGIInternationalCreditFacilitiesAgreementMemberus-gaap:BridgeLoanMemberus-gaap:LineOfCreditMember2023-03-072023-03-070000884614us-gaap:InterestRateSwapMember2023-03-310000884614ugi:SecuredOvernightFinancingRateSOFRMemberugi:UGIEnergyServicesCreditAgre</w:t>
      </w:r>
      <w:r>
        <w:rPr>
          <w:rFonts w:eastAsia="Times New Roman"/>
          <w:vanish/>
        </w:rPr>
        <w:t>ementMemberus-gaap:LineOfCreditMember2023-05-122023-05-120000884614ugi:EnergyServicesTermLoanCreditAgreementMemberus-gaap:RevolvingCreditFacilityMemberus-gaap:LineOfCreditMember2023-02-230000884614ugi:EnergyServicesTermLoanCreditAgreementMemberugi:SecuredO</w:t>
      </w:r>
      <w:r>
        <w:rPr>
          <w:rFonts w:eastAsia="Times New Roman"/>
          <w:vanish/>
        </w:rPr>
        <w:t>vernightFinancingRateSOFRAdjustmentRateAbstractus-gaap:RevolvingCreditFacilityMemberus-gaap:LineOfCreditMember2023-02-232023-02-230000884614ugi:EnergyServicesTermLoanCreditAgreementMemberugi:SecuredOvernightFinancingRateSOFRMemberus-gaap:RevolvingCreditFac</w:t>
      </w:r>
      <w:r>
        <w:rPr>
          <w:rFonts w:eastAsia="Times New Roman"/>
          <w:vanish/>
        </w:rPr>
        <w:t>ilityMemberus-gaap:LineOfCreditMember2023-02-232023-02-230000884614ugi:EnergyServicesTermLoanCreditAgreementMemberugi:SecuredOvernightFinancingRateSOFRBaseRateMemberus-gaap:RevolvingCreditFacilityMemberus-gaap:LineOfCreditMember2023-02-232023-02-2300008846</w:t>
      </w:r>
      <w:r>
        <w:rPr>
          <w:rFonts w:eastAsia="Times New Roman"/>
          <w:vanish/>
        </w:rPr>
        <w:t>14ugi:EnergyServicesTermLoanCreditAgreementMemberus-gaap:RevolvingCreditFacilityMemberus-gaap:LineOfCreditMember2023-02-232023-02-230000884614ugi:EnergyServicesTermLoanCreditAgreementMemberus-gaap:RevolvingCreditFacilityMemberus-gaap:LineOfCreditMember2023</w:t>
      </w:r>
      <w:r>
        <w:rPr>
          <w:rFonts w:eastAsia="Times New Roman"/>
          <w:vanish/>
        </w:rPr>
        <w:t>-03-012023-03-310000884614ugi:EnergyServicesTermLoanCreditAgreementMemberus-gaap:RevolvingCreditFacilityMemberus-gaap:LineOfCreditMember2023-03-310000884614ugi:MountaineerMemberugi:Mountaineer2023CreditAgreementMemberus-gaap:RevolvingCreditFacilityMemberus</w:t>
      </w:r>
      <w:r>
        <w:rPr>
          <w:rFonts w:eastAsia="Times New Roman"/>
          <w:vanish/>
        </w:rPr>
        <w:t>-gaap:LineOfCreditMember2022-10-200000884614ugi:MountaineerMemberugi:Mountaineer2023CreditAgreementMemberus-gaap:LineOfCreditMemberus-gaap:LetterOfCreditMember2022-10-200000884614us-gaap:FederalFundsEffectiveSwapRateMemberugi:MountaineerMemberugi:Mountaine</w:t>
      </w:r>
      <w:r>
        <w:rPr>
          <w:rFonts w:eastAsia="Times New Roman"/>
          <w:vanish/>
        </w:rPr>
        <w:t>er2023CreditAgreementMemberus-gaap:RevolvingCreditFacilityMemberus-gaap:LineOfCreditMember2022-10-202022-10-200000884614ugi:MountaineerMemberugi:SecuredOvernightFinancingRateSOFRMemberugi:Mountaineer2023CreditAgreementMemberus-gaap:RevolvingCreditFacilityM</w:t>
      </w:r>
      <w:r>
        <w:rPr>
          <w:rFonts w:eastAsia="Times New Roman"/>
          <w:vanish/>
        </w:rPr>
        <w:t>emberus-gaap:LineOfCreditMember2022-10-202022-10-200000884614srt:MinimumMemberugi:MountaineerMemberugi:Mountaineer2023CreditAgreementMemberus-gaap:RevolvingCreditFacilityMemberugi:BaseRateMarginMemberus-gaap:LineOfCreditMember2022-10-202022-10-200000884614</w:t>
      </w:r>
      <w:r>
        <w:rPr>
          <w:rFonts w:eastAsia="Times New Roman"/>
          <w:vanish/>
        </w:rPr>
        <w:t>ugi:MountaineerMembersrt:MaximumMemberugi:Mountaineer2023CreditAgreementMemberus-gaap:RevolvingCreditFacilityMemberugi:BaseRateMarginMemberus-gaap:LineOfCreditMember2022-10-202022-10-200000884614srt:MinimumMemberugi:MountaineerMemberugi:SecuredOvernightFin</w:t>
      </w:r>
      <w:r>
        <w:rPr>
          <w:rFonts w:eastAsia="Times New Roman"/>
          <w:vanish/>
        </w:rPr>
        <w:t>ancingRateSOFRMemberugi:Mountaineer2023CreditAgreementMemberus-gaap:RevolvingCreditFacilityMemberus-gaap:LineOfCreditMember2022-10-202022-10-200000884614ugi:MountaineerMembersrt:MaximumMemberugi:SecuredOvernightFinancingRateSOFRMemberugi:Mountaineer2023Cre</w:t>
      </w:r>
      <w:r>
        <w:rPr>
          <w:rFonts w:eastAsia="Times New Roman"/>
          <w:vanish/>
        </w:rPr>
        <w:t>ditAgreementMemberus-gaap:RevolvingCreditFacilityMemberus-gaap:LineOfCreditMember2022-10-202022-10-200000884614ugi:MountaineerMemberugi:Mountaineer2023CreditAgreementMemberus-gaap:RevolvingCreditFacilityMemberus-gaap:LineOfCreditMemberugi:OneMonthInterestP</w:t>
      </w:r>
      <w:r>
        <w:rPr>
          <w:rFonts w:eastAsia="Times New Roman"/>
          <w:vanish/>
        </w:rPr>
        <w:t>eriodSecuredOvernightFinancingRateSOFRMember2022-10-202022-10-200000884614ugi:MountaineerMemberugi:Mountaineer2023CreditAgreementMemberus-gaap:RevolvingCreditFacilityMemberugi:ThreeMonthInterestPeriodSecuredOvernightFinancingRateSOFRMemberus-gaap:LineOfCre</w:t>
      </w:r>
      <w:r>
        <w:rPr>
          <w:rFonts w:eastAsia="Times New Roman"/>
          <w:vanish/>
        </w:rPr>
        <w:t>ditMember2022-10-202022-10-200000884614ugi:SixMonthInterestPeriodSecuredOvernightFinancingRateSOFRMemberugi:MountaineerMemberugi:Mountaineer2023CreditAgreementMemberus-gaap:RevolvingCreditFacilityMemberus-gaap:LineOfCreditMember2022-10-202022-10-2000008846</w:t>
      </w:r>
      <w:r>
        <w:rPr>
          <w:rFonts w:eastAsia="Times New Roman"/>
          <w:vanish/>
        </w:rPr>
        <w:t>14ugi:SecuredOvernightFinancingRateSOFRMemberugi:UGIInternationalCreditFacilitiesAgreementMemberus-gaap:RevolvingCreditFacilityMemberus-gaap:LineOfCreditMember2023-05-122023-05-120000884614ugi:UGIInternationalCreditFacilitiesAgreementMemberus-gaap:LineOfCr</w:t>
      </w:r>
      <w:r>
        <w:rPr>
          <w:rFonts w:eastAsia="Times New Roman"/>
          <w:vanish/>
        </w:rPr>
        <w:t>editMember2023-09-202023-09-200000884614ugi:UGIInternationalCreditFacilitiesAgreementMemberus-gaap:LineOfCreditMember2023-09-200000884614ugi:UGIInternationalCreditFacilitiesAgreementMemberus-gaap:RevolvingCreditFacilityMemberus-gaap:LineOfCreditMember2023-</w:t>
      </w:r>
      <w:r>
        <w:rPr>
          <w:rFonts w:eastAsia="Times New Roman"/>
          <w:vanish/>
        </w:rPr>
        <w:t>09-202023-09-200000884614ugi:UGIInternationalCreditFacilitiesAgreementMemberus-gaap:RevolvingCreditFacilityMemberus-gaap:LineOfCreditMember2023-09-200000884614ugi:SecuredOvernightFinancingRateSOFRMemberugi:UGIInternationalCreditFacilitiesAgreementMemberus-</w:t>
      </w:r>
      <w:r>
        <w:rPr>
          <w:rFonts w:eastAsia="Times New Roman"/>
          <w:vanish/>
        </w:rPr>
        <w:t>gaap:RevolvingCreditFacilityMemberus-gaap:LineOfCreditMember2023-09-202023-09-200000884614ugi:AmeriGasOLPMember2023-09-300000884614ugi:UGIInternationalLLCMember2023-09-300000884614ugi:EnergyServicesMember2023-09-300000884614ugi:UGIUtilitiesMember2023-09-30</w:t>
      </w:r>
      <w:r>
        <w:rPr>
          <w:rFonts w:eastAsia="Times New Roman"/>
          <w:vanish/>
        </w:rPr>
        <w:t>0000884614ugi:MountaineerMember2023-09-300000884614ugi:UGICorporationMember2023-09-300000884614ugi:AmeriGasOLPMember2022-09-300000884614ugi:UGIInternationalLLCMember2022-09-300000884614ugi:EnergyServicesMember2022-09-300000884614ugi:UGIUtilitiesMember2022-</w:t>
      </w:r>
      <w:r>
        <w:rPr>
          <w:rFonts w:eastAsia="Times New Roman"/>
          <w:vanish/>
        </w:rPr>
        <w:t>09-300000884614ugi:MountaineerMember2022-09-300000884614ugi:UGICorporationMember2022-09-300000884614ugi:A2022AmeriGasOLPCreditAgreementMemberugi:AmeriGasOLPMemberus-gaap:LineOfCreditMemberus-gaap:LetterOfCreditMember2023-09-300000884614ugi:A2022AmeriGasOLP</w:t>
      </w:r>
      <w:r>
        <w:rPr>
          <w:rFonts w:eastAsia="Times New Roman"/>
          <w:vanish/>
        </w:rPr>
        <w:t>CreditAgreementMemberugi:AmeriGasOLPMemberus-gaap:LineOfCreditMemberus-gaap:LetterOfCreditMember2022-09-300000884614ugi:EnergyServicesMemberugi:EnergyServicesCreditAgreementMemberus-gaap:LineOfCreditMemberus-gaap:LetterOfCreditMember2023-09-300000884614ugi</w:t>
      </w:r>
      <w:r>
        <w:rPr>
          <w:rFonts w:eastAsia="Times New Roman"/>
          <w:vanish/>
        </w:rPr>
        <w:t>:UGIUtilitiesMemberugi:UGIUtilitiesIncCreditAgreementMemberus-gaap:LineOfCreditMemberus-gaap:LetterOfCreditMember2023-09-300000884614ugi:MountaineerMemberus-gaap:LineOfCreditMemberus-gaap:LetterOfCreditMember2023-09-300000884614ugi:UGICorporationMemberugi:</w:t>
      </w:r>
      <w:r>
        <w:rPr>
          <w:rFonts w:eastAsia="Times New Roman"/>
          <w:vanish/>
        </w:rPr>
        <w:t>UGICorporationSeniorCreditFacilityMemberus-gaap:LineOfCreditMember2022-10-012023-09-300000884614ugi:UGICorporationMemberugi:UGICorporationSeniorCreditFacilityMemberus-gaap:LineOfCreditMemberus-gaap:LetterOfCreditMember2023-09-300000884614ugi:EnergyServices</w:t>
      </w:r>
      <w:r>
        <w:rPr>
          <w:rFonts w:eastAsia="Times New Roman"/>
          <w:vanish/>
        </w:rPr>
        <w:t>AccountsReceivableSecuritizationFacilityMemberugi:EnergyServicesMemberus-gaap:SubsequentEventMemberugi:ReceivablesFacilityMember2023-10-212024-04-300000884614ugi:EnergyServicesAccountsReceivableSecuritizationFacilityMemberugi:EnergyServicesMemberus-gaap:Su</w:t>
      </w:r>
      <w:r>
        <w:rPr>
          <w:rFonts w:eastAsia="Times New Roman"/>
          <w:vanish/>
        </w:rPr>
        <w:t>bsequentEventMemberugi:ReceivablesFacilityMember2024-05-012024-10-200000884614ugi:EnergyServicesAccountsReceivableSecuritizationFacilityMemberugi:EnergyServicesMemberugi:ReceivablesFacilityMember2023-09-300000884614ugi:EnergyServicesAccountsReceivableSecur</w:t>
      </w:r>
      <w:r>
        <w:rPr>
          <w:rFonts w:eastAsia="Times New Roman"/>
          <w:vanish/>
        </w:rPr>
        <w:t>itizationFacilityMemberugi:EnergyServicesMemberugi:ReceivablesFacilityMember2022-09-300000884614ugi:EnergyServicesAccountsReceivableSecuritizationFacilityMemberugi:EnergyServicesMemberugi:ReceivablesFacilityMember2021-09-300000884614ugi:EnergyServicesAccou</w:t>
      </w:r>
      <w:r>
        <w:rPr>
          <w:rFonts w:eastAsia="Times New Roman"/>
          <w:vanish/>
        </w:rPr>
        <w:t>ntsReceivableSecuritizationFacilityMemberugi:EnergyServicesMemberugi:ReceivablesFacilityMember2022-10-012023-09-300000884614ugi:EnergyServicesAccountsReceivableSecuritizationFacilityMemberugi:EnergyServicesMemberugi:ReceivablesFacilityMember2021-10-012022-</w:t>
      </w:r>
      <w:r>
        <w:rPr>
          <w:rFonts w:eastAsia="Times New Roman"/>
          <w:vanish/>
        </w:rPr>
        <w:t>09-300000884614ugi:EnergyServicesAccountsReceivableSecuritizationFacilityMemberugi:EnergyServicesMemberugi:ReceivablesFacilityMember2020-10-012021-09-300000884614ugi:AmeriGasPropaneMemberus-gaap:SeniorNotesMemberugi:A5.50SeniorNotesdueMay2025Member2023-09-</w:t>
      </w:r>
      <w:r>
        <w:rPr>
          <w:rFonts w:eastAsia="Times New Roman"/>
          <w:vanish/>
        </w:rPr>
        <w:t>300000884614ugi:AmeriGasPropaneMemberus-gaap:SeniorNotesMemberugi:A5.50SeniorNotesdueMay2025Member2022-09-300000884614ugi:AmeriGasPropaneMemberus-gaap:SeniorNotesMemberugi:SeniorNotesDueAugust2026Member2023-09-300000884614ugi:AmeriGasPropaneMemberus-gaap:S</w:t>
      </w:r>
      <w:r>
        <w:rPr>
          <w:rFonts w:eastAsia="Times New Roman"/>
          <w:vanish/>
        </w:rPr>
        <w:t>eniorNotesMemberugi:SeniorNotesDueAugust2026Member2022-09-300000884614ugi:AmeriGasPropaneMemberus-gaap:SeniorNotesMemberugi:SeniorNotesDueMay2024Member2023-09-300000884614ugi:AmeriGasPropaneMemberus-gaap:SeniorNotesMemberugi:SeniorNotesDueMay2024Member2022</w:t>
      </w:r>
      <w:r>
        <w:rPr>
          <w:rFonts w:eastAsia="Times New Roman"/>
          <w:vanish/>
        </w:rPr>
        <w:t>-09-300000884614ugi:A5.75SeniorNotesDueMay2027Memberugi:AmeriGasPropaneMemberus-gaap:SeniorNotesMember2023-09-300000884614ugi:A5.75SeniorNotesDueMay2027Memberugi:AmeriGasPropaneMemberus-gaap:SeniorNotesMember2022-09-300000884614ugi:AmeriGasPropaneMemberugi</w:t>
      </w:r>
      <w:r>
        <w:rPr>
          <w:rFonts w:eastAsia="Times New Roman"/>
          <w:vanish/>
        </w:rPr>
        <w:t>:A9375SeniorNotesDueMay2028Memberus-gaap:SeniorNotesMember2023-09-300000884614ugi:AmeriGasPropaneMemberugi:A9375SeniorNotesDueMay2028Memberus-gaap:SeniorNotesMember2022-09-300000884614ugi:AmeriGasPropaneMember2023-09-300000884614ugi:AmeriGasPropaneMember20</w:t>
      </w:r>
      <w:r>
        <w:rPr>
          <w:rFonts w:eastAsia="Times New Roman"/>
          <w:vanish/>
        </w:rPr>
        <w:t>22-09-300000884614us-gaap:SeniorNotesMemberugi:A250SeniorNotesDueDecember2029Memberugi:UGIInternationalMember2023-09-300000884614us-gaap:SeniorNotesMemberugi:A250SeniorNotesDueDecember2029Memberugi:UGIInternationalMember2022-09-300000884614ugi:TermLoanDueM</w:t>
      </w:r>
      <w:r>
        <w:rPr>
          <w:rFonts w:eastAsia="Times New Roman"/>
          <w:vanish/>
        </w:rPr>
        <w:t>arch2028Memberugi:VariableRateMemberugi:UGIInternationalMember2023-09-300000884614ugi:TermLoanDueMarch2028Memberugi:VariableRateMemberugi:UGIInternationalMember2022-09-300000884614ugi:VariableRateMemberugi:TermLoanDueOctober2023Memberugi:UGIInternationalMe</w:t>
      </w:r>
      <w:r>
        <w:rPr>
          <w:rFonts w:eastAsia="Times New Roman"/>
          <w:vanish/>
        </w:rPr>
        <w:t>mber2023-09-300000884614ugi:VariableRateMemberugi:TermLoanDueOctober2023Memberugi:UGIInternationalMember2022-09-300000884614ugi:OtherNotesMemberugi:OtherNotesMemberugi:UGIInternationalMember2023-09-300000884614ugi:OtherNotesMemberugi:OtherNotesMemberugi:UG</w:t>
      </w:r>
      <w:r>
        <w:rPr>
          <w:rFonts w:eastAsia="Times New Roman"/>
          <w:vanish/>
        </w:rPr>
        <w:t>IInternationalMember2022-09-300000884614ugi:UGIInternationalMember2023-09-300000884614ugi:UGIInternationalMember2022-09-300000884614ugi:VariableRateMemberugi:MidstreamAndMarketingMemberugi:TermLoanMember2023-09-300000884614ugi:VariableRateMemberugi:Midstre</w:t>
      </w:r>
      <w:r>
        <w:rPr>
          <w:rFonts w:eastAsia="Times New Roman"/>
          <w:vanish/>
        </w:rPr>
        <w:t>amAndMarketingMemberugi:TermLoanMember2022-09-300000884614ugi:OtherNotesMemberugi:OtherNotesMemberugi:MidstreamAndMarketingMember2023-09-300000884614ugi:OtherNotesMemberugi:OtherNotesMemberugi:MidstreamAndMarketingMember2022-09-300000884614ugi:MidstreamAnd</w:t>
      </w:r>
      <w:r>
        <w:rPr>
          <w:rFonts w:eastAsia="Times New Roman"/>
          <w:vanish/>
        </w:rPr>
        <w:t>MarketingMember2023-09-300000884614ugi:MidstreamAndMarketingMember2022-09-300000884614ugi:UGIUtilitiesIncMemberus-gaap:SeniorNotesMemberugi:SeniorNotesdueSeptember2046Member2023-09-300000884614ugi:UGIUtilitiesIncMemberus-gaap:SeniorNotesMemberugi:SeniorNot</w:t>
      </w:r>
      <w:r>
        <w:rPr>
          <w:rFonts w:eastAsia="Times New Roman"/>
          <w:vanish/>
        </w:rPr>
        <w:t>esdueSeptember2046Member2022-09-300000884614ugi:UGIUtilitiesIncMemberugi:FourPointNintyEightPercentSeniorNoteMemberus-gaap:SeniorNotesMember2023-09-300000884614ugi:UGIUtilitiesIncMemberugi:FourPointNintyEightPercentSeniorNoteMemberus-gaap:SeniorNotesMember</w:t>
      </w:r>
      <w:r>
        <w:rPr>
          <w:rFonts w:eastAsia="Times New Roman"/>
          <w:vanish/>
        </w:rPr>
        <w:t>2022-09-300000884614ugi:SeniorNotesDueSeptember2050Memberugi:UGIUtilitiesIncMemberus-gaap:SeniorNotesMember2023-09-300000884614ugi:SeniorNotesDueSeptember2050Memberugi:UGIUtilitiesIncMemberus-gaap:SeniorNotesMember2022-09-300000884614ugi:UGIUtilitiesIncMem</w:t>
      </w:r>
      <w:r>
        <w:rPr>
          <w:rFonts w:eastAsia="Times New Roman"/>
          <w:vanish/>
        </w:rPr>
        <w:t>berus-gaap:SeniorNotesMemberugi:FourPointFiftyFivePercentSeniorNoteMember2023-09-300000884614ugi:UGIUtilitiesIncMemberus-gaap:SeniorNotesMemberugi:FourPointFiftyFivePercentSeniorNoteMember2022-09-300000884614ugi:SeniorNotesdueOctober2046Memberugi:UGIUtilit</w:t>
      </w:r>
      <w:r>
        <w:rPr>
          <w:rFonts w:eastAsia="Times New Roman"/>
          <w:vanish/>
        </w:rPr>
        <w:t>iesIncMemberus-gaap:SeniorNotesMember2023-09-300000884614ugi:SeniorNotesdueOctober2046Memberugi:UGIUtilitiesIncMemberus-gaap:SeniorNotesMember2022-09-300000884614ugi:UGIUtilitiesIncMemberus-gaap:SeniorNotesMemberugi:SeniorNotesDueSeptember2036Member2023-09</w:t>
      </w:r>
      <w:r>
        <w:rPr>
          <w:rFonts w:eastAsia="Times New Roman"/>
          <w:vanish/>
        </w:rPr>
        <w:t>-300000884614ugi:UGIUtilitiesIncMemberus-gaap:SeniorNotesMemberugi:SeniorNotesDueSeptember2036Member2022-09-300000884614ugi:UGIUtilitiesIncMemberus-gaap:SeniorNotesMemberugi:A295SeniorNotesDueJune2026Member2023-09-300000884614ugi:UGIUtilitiesIncMemberus-ga</w:t>
      </w:r>
      <w:r>
        <w:rPr>
          <w:rFonts w:eastAsia="Times New Roman"/>
          <w:vanish/>
        </w:rPr>
        <w:t>ap:SeniorNotesMemberugi:A295SeniorNotesDueJune2026Member2022-09-300000884614ugi:A159SeniorNotesDueJune2026Memberugi:UGIUtilitiesIncMemberus-gaap:SeniorNotesMember2023-09-300000884614ugi:A159SeniorNotesDueJune2026Memberugi:UGIUtilitiesIncMemberus-gaap:Senio</w:t>
      </w:r>
      <w:r>
        <w:rPr>
          <w:rFonts w:eastAsia="Times New Roman"/>
          <w:vanish/>
        </w:rPr>
        <w:t>rNotesMember2022-09-300000884614ugi:UGIUtilitiesIncMemberus-gaap:SeniorNotesMemberugi:A164SeniorNotesDueSeptember2026Member2023-09-300000884614ugi:UGIUtilitiesIncMemberus-gaap:SeniorNotesMemberugi:A164SeniorNotesDueSeptember2026Member2022-09-300000884614ug</w:t>
      </w:r>
      <w:r>
        <w:rPr>
          <w:rFonts w:eastAsia="Times New Roman"/>
          <w:vanish/>
        </w:rPr>
        <w:t>i:UGIUtilitiesIncMemberus-gaap:SeniorNotesMemberugi:A475SeniorNotesDueJuly2032Member2023-09-300000884614ugi:UGIUtilitiesIncMemberus-gaap:SeniorNotesMemberugi:A475SeniorNotesDueJuly2032Member2022-09-300000884614ugi:UGIUtilitiesIncMemberus-gaap:SeniorNotesMe</w:t>
      </w:r>
      <w:r>
        <w:rPr>
          <w:rFonts w:eastAsia="Times New Roman"/>
          <w:vanish/>
        </w:rPr>
        <w:t>mberugi:A499SeniorNotesDueSeptember2052Member2023-09-300000884614ugi:UGIUtilitiesIncMemberus-gaap:SeniorNotesMemberugi:A499SeniorNotesDueSeptember2052Member2022-09-300000884614us-gaap:MediumTermNotesMemberugi:UGIUtilitiesIncMemberugi:MediumTermNotesDueOcto</w:t>
      </w:r>
      <w:r>
        <w:rPr>
          <w:rFonts w:eastAsia="Times New Roman"/>
          <w:vanish/>
        </w:rPr>
        <w:t>ber2034Member2023-09-300000884614us-gaap:MediumTermNotesMemberugi:UGIUtilitiesIncMemberugi:MediumTermNotesDueOctober2034Member2022-09-300000884614us-gaap:MediumTermNotesMemberugi:UGIUtilitiesIncMemberugi:MediumTermNotesAugust2033Member2023-09-300000884614u</w:t>
      </w:r>
      <w:r>
        <w:rPr>
          <w:rFonts w:eastAsia="Times New Roman"/>
          <w:vanish/>
        </w:rPr>
        <w:t>s-gaap:MediumTermNotesMemberugi:UGIUtilitiesIncMemberugi:MediumTermNotesAugust2033Member2022-09-300000884614ugi:UGIUtilitiesIncMemberugi:MountaineerSeniorNotesMember2023-09-300000884614ugi:UGIUtilitiesIncMemberugi:MountaineerSeniorNotesMember2022-09-300000</w:t>
      </w:r>
      <w:r>
        <w:rPr>
          <w:rFonts w:eastAsia="Times New Roman"/>
          <w:vanish/>
        </w:rPr>
        <w:t>884614ugi:VariableRateMemberugi:UGIUtilitiesIncMemberugi:TermLoanMember2023-09-300000884614ugi:VariableRateMemberugi:UGIUtilitiesIncMemberugi:TermLoanMember2022-09-300000884614ugi:OtherNotesMemberugi:OtherNotesMemberugi:UGIUtilitiesIncMember2023-09-3000008</w:t>
      </w:r>
      <w:r>
        <w:rPr>
          <w:rFonts w:eastAsia="Times New Roman"/>
          <w:vanish/>
        </w:rPr>
        <w:t>84614ugi:OtherNotesMemberugi:OtherNotesMemberugi:UGIUtilitiesIncMember2022-09-300000884614ugi:UGIUtilitiesIncMember2023-09-300000884614ugi:UGIUtilitiesIncMember2022-09-300000884614ugi:UGICorporationMemberus-gaap:LineOfCreditMember2023-09-300000884614ugi:UG</w:t>
      </w:r>
      <w:r>
        <w:rPr>
          <w:rFonts w:eastAsia="Times New Roman"/>
          <w:vanish/>
        </w:rPr>
        <w:t>ICorporationMemberus-gaap:LineOfCreditMember2022-09-300000884614ugi:VariableRateLoanDueMay2025OneMemberugi:UGICorporationMemberugi:TermLoanMember2023-09-300000884614ugi:VariableRateLoanDueMay2025OneMemberugi:UGICorporationMemberugi:TermLoanMember2022-09-30</w:t>
      </w:r>
      <w:r>
        <w:rPr>
          <w:rFonts w:eastAsia="Times New Roman"/>
          <w:vanish/>
        </w:rPr>
        <w:t>0000884614ugi:VariableRateLoanDueMay2025TwoMemberugi:UGICorporationMemberugi:TermLoanMember2023-09-300000884614ugi:VariableRateLoanDueMay2025TwoMemberugi:UGICorporationMemberugi:TermLoanMember2022-09-300000884614ugi:VariableRateLoanDueMay2025ThreeMemberugi</w:t>
      </w:r>
      <w:r>
        <w:rPr>
          <w:rFonts w:eastAsia="Times New Roman"/>
          <w:vanish/>
        </w:rPr>
        <w:t>:UGICorporationMemberugi:TermLoanMember2023-09-300000884614ugi:VariableRateLoanDueMay2025ThreeMemberugi:UGICorporationMemberugi:TermLoanMember2022-09-300000884614ugi:OtherBusinessesMember2023-09-300000884614ugi:OtherBusinessesMember2022-09-300000884614ugi:</w:t>
      </w:r>
      <w:r>
        <w:rPr>
          <w:rFonts w:eastAsia="Times New Roman"/>
          <w:vanish/>
        </w:rPr>
        <w:t>VariableRateMemberugi:TermLoanMemberugi:UGIInternationalMember2022-09-300000884614ugi:VariableRateMemberugi:MidstreamAndMarketingMemberugi:TermLoanMember2022-10-012023-09-300000884614us-gaap:SecuredDebtMemberugi:MountaineerSeniorNotesMember2022-09-30000088</w:t>
      </w:r>
      <w:r>
        <w:rPr>
          <w:rFonts w:eastAsia="Times New Roman"/>
          <w:vanish/>
        </w:rPr>
        <w:t>4614us-gaap:SecuredDebtMemberugi:MountaineerSeniorNotesMember2023-09-300000884614srt:MinimumMemberus-gaap:SecuredDebtMemberugi:MountaineerSeniorNotesMember2023-09-300000884614us-gaap:SecuredDebtMembersrt:MaximumMemberugi:MountaineerSeniorNotesMember2023-09</w:t>
      </w:r>
      <w:r>
        <w:rPr>
          <w:rFonts w:eastAsia="Times New Roman"/>
          <w:vanish/>
        </w:rPr>
        <w:t>-300000884614ugi:VariableRateMemberugi:UGIUtilitiesIncMember2023-09-300000884614ugi:VariableRateMemberugi:UGIUtilitiesIncMemberugi:TermLoanMember2022-10-012023-09-300000884614ugi:UGICorporationMemberugi:VariableRateLoanDueMay2025OneMember2023-09-3000008846</w:t>
      </w:r>
      <w:r>
        <w:rPr>
          <w:rFonts w:eastAsia="Times New Roman"/>
          <w:vanish/>
        </w:rPr>
        <w:t>14ugi:VariableRateLoanDueMay2025TwoMemberugi:UGICorporationMemberugi:TermLoanMember2022-10-012023-09-300000884614ugi:UGICorporationMemberugi:VariableRateLoanDueMay2025ThreeMember2023-09-300000884614us-gaap:SubsequentEventMemberugi:A2022AmeriGasOLPCreditAgr</w:t>
      </w:r>
      <w:r>
        <w:rPr>
          <w:rFonts w:eastAsia="Times New Roman"/>
          <w:vanish/>
        </w:rPr>
        <w:t>eementMemberugi:AmeriGasOLPMemberus-gaap:RevolvingCreditFacilityMemberus-gaap:LineOfCreditMember2023-11-140000884614us-gaap:SubsequentEventMemberugi:A2022AmeriGasOLPCreditAgreementMemberugi:AmeriGasOLPMemberus-gaap:RevolvingCreditFacilityMemberus-gaap:Line</w:t>
      </w:r>
      <w:r>
        <w:rPr>
          <w:rFonts w:eastAsia="Times New Roman"/>
          <w:vanish/>
        </w:rPr>
        <w:t>OfCreditMember2023-11-150000884614ugi:AmeriGasOLPMember2023-03-312023-03-310000884614ugi:AmeriGasOLPMember2023-04-242023-04-240000884614ugi:A2022AmeriGasOLPCreditAgreementMemberugi:AmeriGasOLPMember2023-03-312023-03-31ugi:cure0000884614ugi:AmeriGasOLPMembe</w:t>
      </w:r>
      <w:r>
        <w:rPr>
          <w:rFonts w:eastAsia="Times New Roman"/>
          <w:vanish/>
        </w:rPr>
        <w:t>r2023-05-012023-05-310000884614us-gaap:StateAndLocalJurisdictionMember2022-10-012023-09-300000884614us-gaap:StateAndLocalJurisdictionMember2021-10-012022-09-300000884614us-gaap:StateAndLocalJurisdictionMember2020-10-012021-09-300000884614us-gaap:ForeignCou</w:t>
      </w:r>
      <w:r>
        <w:rPr>
          <w:rFonts w:eastAsia="Times New Roman"/>
          <w:vanish/>
        </w:rPr>
        <w:t>ntryMember2022-10-012023-09-300000884614us-gaap:ForeignCountryMember2021-10-012022-09-300000884614us-gaap:ForeignCountryMember2020-10-012021-09-300000884614us-gaap:DomesticCountryMember2022-10-012023-09-300000884614us-gaap:DomesticCountryMember2021-10-0120</w:t>
      </w:r>
      <w:r>
        <w:rPr>
          <w:rFonts w:eastAsia="Times New Roman"/>
          <w:vanish/>
        </w:rPr>
        <w:t>22-09-300000884614us-gaap:DomesticCountryMember2020-10-012021-09-300000884614country:ITus-gaap:ForeignCountryMember2021-09-300000884614ugi:Fiscal2021Member2023-09-300000884614ugi:Fiscal2021Member2022-09-300000884614ugi:FlagaMemberus-gaap:ForeignCountryMemb</w:t>
      </w:r>
      <w:r>
        <w:rPr>
          <w:rFonts w:eastAsia="Times New Roman"/>
          <w:vanish/>
        </w:rPr>
        <w:t>er2023-09-300000884614us-gaap:ForeignCountryMemberugi:UGIFranceMember2023-09-300000884614us-gaap:AdministrationOfTheTreasuryBelgiumMemberus-gaap:ForeignCountryMember2023-09-300000884614us-gaap:HerMajestysRevenueAndCustomsHMRCMemberus-gaap:ForeignCountryMem</w:t>
      </w:r>
      <w:r>
        <w:rPr>
          <w:rFonts w:eastAsia="Times New Roman"/>
          <w:vanish/>
        </w:rPr>
        <w:t>ber2023-09-300000884614us-gaap:ForeignCountryMemberus-gaap:TaxAndCustomsAdministrationNetherlandsMember2023-09-300000884614us-gaap:StateAndLocalJurisdictionMember2023-09-300000884614ugi:OtherSubsidiariesMember2023-09-300000884614ugi:DisallowedInterestMembe</w:t>
      </w:r>
      <w:r>
        <w:rPr>
          <w:rFonts w:eastAsia="Times New Roman"/>
          <w:vanish/>
        </w:rPr>
        <w:t>r2022-10-012023-09-300000884614ugi:ForeignNetOperatingLossCarryForwardsMember2022-10-012023-09-300000884614ugi:NotionalInterestDeductionCarryoverMember2022-10-012023-09-300000884614ugi:StateTaxRateChangesMember2022-10-012023-09-300000884614ugi:CapitalLosse</w:t>
      </w:r>
      <w:r>
        <w:rPr>
          <w:rFonts w:eastAsia="Times New Roman"/>
          <w:vanish/>
        </w:rPr>
        <w:t>sMember2022-10-012023-09-300000884614ugi:FutureUtilizationOfForeignTaxCreditsMember2022-10-012023-09-300000884614ugi:NotionalInterestDeductionCarryoverMember2021-10-012022-09-300000884614ugi:FutureUtilizationOfForeignTaxCreditsMember2021-10-012022-09-30000</w:t>
      </w:r>
      <w:r>
        <w:rPr>
          <w:rFonts w:eastAsia="Times New Roman"/>
          <w:vanish/>
        </w:rPr>
        <w:t>0884614ugi:StateTaxRateChangesMember2021-10-012022-09-300000884614ugi:ForeignNetOperatingLossCarryForwardsMember2021-10-012022-09-300000884614us-gaap:PensionPlansDefinedBenefitMember2022-09-300000884614us-gaap:PensionPlansDefinedBenefitMember2021-09-300000</w:t>
      </w:r>
      <w:r>
        <w:rPr>
          <w:rFonts w:eastAsia="Times New Roman"/>
          <w:vanish/>
        </w:rPr>
        <w:t>884614us-gaap:PensionPlansDefinedBenefitMember2022-10-012023-09-300000884614us-gaap:PensionPlansDefinedBenefitMember2021-10-012022-09-300000884614us-gaap:PensionPlansDefinedBenefitMember2023-09-300000884614us-gaap:PensionPlansDefinedBenefitMember2020-10-01</w:t>
      </w:r>
      <w:r>
        <w:rPr>
          <w:rFonts w:eastAsia="Times New Roman"/>
          <w:vanish/>
        </w:rPr>
        <w:t>2021-09-300000884614country:USus-gaap:PensionPlansDefinedBenefitMember2022-10-012023-09-300000884614country:USus-gaap:PensionPlansDefinedBenefitMember2021-10-012022-09-300000884614country:USus-gaap:PensionPlansDefinedBenefitMember2020-10-012021-09-30000088</w:t>
      </w:r>
      <w:r>
        <w:rPr>
          <w:rFonts w:eastAsia="Times New Roman"/>
          <w:vanish/>
        </w:rPr>
        <w:t>4614country:USus-gaap:PensionPlansDefinedBenefitMember2023-09-300000884614us-gaap:SupplementalEmployeeRetirementPlanDefinedBenefitMember2023-09-300000884614us-gaap:SupplementalEmployeeRetirementPlanDefinedBenefitMember2022-09-300000884614us-gaap:Supplement</w:t>
      </w:r>
      <w:r>
        <w:rPr>
          <w:rFonts w:eastAsia="Times New Roman"/>
          <w:vanish/>
        </w:rPr>
        <w:t>alEmployeeRetirementPlanDefinedBenefitMember2022-10-012023-09-300000884614us-gaap:SupplementalEmployeeRetirementPlanDefinedBenefitMember2021-10-012022-09-300000884614us-gaap:SupplementalEmployeeRetirementPlanDefinedBenefitMember2020-10-012021-09-3000008846</w:t>
      </w:r>
      <w:r>
        <w:rPr>
          <w:rFonts w:eastAsia="Times New Roman"/>
          <w:vanish/>
        </w:rPr>
        <w:t>14country:USus-gaap:DefinedBenefitPlanEquitySecuritiesUsMemberus-gaap:PensionPlansDefinedBenefitMember2023-09-300000884614country:USus-gaap:DefinedBenefitPlanEquitySecuritiesUsMemberus-gaap:PensionPlansDefinedBenefitMember2022-09-300000884614country:USus-g</w:t>
      </w:r>
      <w:r>
        <w:rPr>
          <w:rFonts w:eastAsia="Times New Roman"/>
          <w:vanish/>
        </w:rPr>
        <w:t>aap:PensionPlansDefinedBenefitMemberus-gaap:DefinedBenefitPlanEquitySecuritiesNonUsMember2023-09-300000884614country:USus-gaap:PensionPlansDefinedBenefitMemberus-gaap:DefinedBenefitPlanEquitySecuritiesNonUsMember2022-09-300000884614country:USugi:DefinedBen</w:t>
      </w:r>
      <w:r>
        <w:rPr>
          <w:rFonts w:eastAsia="Times New Roman"/>
          <w:vanish/>
        </w:rPr>
        <w:t>efitPlanEquitySecuritiesUSNonUSMemberus-gaap:PensionPlansDefinedBenefitMember2023-09-300000884614country:USugi:DefinedBenefitPlanEquitySecuritiesUSNonUSMemberus-gaap:PensionPlansDefinedBenefitMember2022-09-300000884614country:USus-gaap:EquitySecuritiesMemb</w:t>
      </w:r>
      <w:r>
        <w:rPr>
          <w:rFonts w:eastAsia="Times New Roman"/>
          <w:vanish/>
        </w:rPr>
        <w:t>erus-gaap:PensionPlansDefinedBenefitMember2023-09-300000884614country:USus-gaap:EquitySecuritiesMemberus-gaap:PensionPlansDefinedBenefitMember2022-09-300000884614country:USugi:FixedIncomeFundsAndCashEquivalentsMemberus-gaap:PensionPlansDefinedBenefitMember</w:t>
      </w:r>
      <w:r>
        <w:rPr>
          <w:rFonts w:eastAsia="Times New Roman"/>
          <w:vanish/>
        </w:rPr>
        <w:t>2023-09-300000884614country:USugi:FixedIncomeFundsAndCashEquivalentsMemberus-gaap:PensionPlansDefinedBenefitMember2022-09-300000884614country:USus-gaap:PensionPlansDefinedBenefitMemberugi:AlternativeInvestmentsMember2023-09-300000884614country:USus-gaap:Pe</w:t>
      </w:r>
      <w:r>
        <w:rPr>
          <w:rFonts w:eastAsia="Times New Roman"/>
          <w:vanish/>
        </w:rPr>
        <w:t>nsionPlansDefinedBenefitMemberugi:AlternativeInvestmentsMember2022-09-300000884614country:USus-gaap:PensionPlansDefinedBenefitMember2022-09-300000884614country:USus-gaap:DefinedBenefitPlanEquitySecuritiesCommonStockMemberus-gaap:PensionPlansDefinedBenefitM</w:t>
      </w:r>
      <w:r>
        <w:rPr>
          <w:rFonts w:eastAsia="Times New Roman"/>
          <w:vanish/>
        </w:rPr>
        <w:t>ember2023-09-300000884614country:USus-gaap:DefinedBenefitPlanEquitySecuritiesCommonStockMemberus-gaap:PensionPlansDefinedBenefitMember2022-09-300000884614country:USus-gaap:PensionPlansDefinedBenefitMemberugi:DefinedBenefitUSEquityIndexInvestmentMember2023-</w:t>
      </w:r>
      <w:r>
        <w:rPr>
          <w:rFonts w:eastAsia="Times New Roman"/>
          <w:vanish/>
        </w:rPr>
        <w:t>09-300000884614country:USus-gaap:PensionPlansDefinedBenefitMemberugi:DefinedBenefitUSEquityIndexInvestmentMember2022-09-300000884614country:USugi:DefinedBenefitPlanNonUsEquityIndexInvestmentsMemberus-gaap:PensionPlansDefinedBenefitMember2023-09-30000088461</w:t>
      </w:r>
      <w:r>
        <w:rPr>
          <w:rFonts w:eastAsia="Times New Roman"/>
          <w:vanish/>
        </w:rPr>
        <w:t>4country:USugi:DefinedBenefitPlanNonUsEquityIndexInvestmentsMemberus-gaap:PensionPlansDefinedBenefitMember2022-09-300000884614country:USus-gaap:PensionPlansDefinedBenefitMemberugi:BondIndexMutualFundsMember2023-09-300000884614country:USus-gaap:PensionPlans</w:t>
      </w:r>
      <w:r>
        <w:rPr>
          <w:rFonts w:eastAsia="Times New Roman"/>
          <w:vanish/>
        </w:rPr>
        <w:t>DefinedBenefitMemberugi:BondIndexMutualFundsMember2022-09-300000884614country:USus-gaap:DefinedBenefitPlanCashAndCashEquivalentsMemberus-gaap:PensionPlansDefinedBenefitMember2023-09-300000884614country:USus-gaap:DefinedBenefitPlanCashAndCashEquivalentsMemb</w:t>
      </w:r>
      <w:r>
        <w:rPr>
          <w:rFonts w:eastAsia="Times New Roman"/>
          <w:vanish/>
        </w:rPr>
        <w:t>erus-gaap:PensionPlansDefinedBenefitMember2022-09-300000884614country:USus-gaap:DefinedBenefitPlanCommonCollectiveTrustMemberus-gaap:PensionPlansDefinedBenefitMember2023-09-300000884614country:USus-gaap:DefinedBenefitPlanCommonCollectiveTrustMemberus-gaap:</w:t>
      </w:r>
      <w:r>
        <w:rPr>
          <w:rFonts w:eastAsia="Times New Roman"/>
          <w:vanish/>
        </w:rPr>
        <w:t>PensionPlansDefinedBenefitMember2022-09-300000884614us-gaap:OtherPensionPlansPostretirementOrSupplementalPlansDefinedBenefitMember2022-10-012023-09-300000884614us-gaap:OtherPensionPlansPostretirementOrSupplementalPlansDefinedBenefitMember2021-10-012022-09-</w:t>
      </w:r>
      <w:r>
        <w:rPr>
          <w:rFonts w:eastAsia="Times New Roman"/>
          <w:vanish/>
        </w:rPr>
        <w:t>300000884614us-gaap:OtherPensionPlansPostretirementOrSupplementalPlansDefinedBenefitMember2020-10-012021-09-300000884614us-gaap:OtherPensionPlansPostretirementOrSupplementalPlansDefinedBenefitMember2023-09-300000884614us-gaap:OtherPensionPlansPostretiremen</w:t>
      </w:r>
      <w:r>
        <w:rPr>
          <w:rFonts w:eastAsia="Times New Roman"/>
          <w:vanish/>
        </w:rPr>
        <w:t>tOrSupplementalPlansDefinedBenefitMember2022-09-300000884614ugi:UGIUtilitiesIncMemberugi:IncomeTaxesRecoverableMember2023-09-300000884614ugi:UGIUtilitiesIncMemberugi:IncomeTaxesRecoverableMember2022-09-300000884614us-gaap:PensionCostsMemberugi:UGIUtilities</w:t>
      </w:r>
      <w:r>
        <w:rPr>
          <w:rFonts w:eastAsia="Times New Roman"/>
          <w:vanish/>
        </w:rPr>
        <w:t>IncMember2023-09-300000884614us-gaap:PensionCostsMemberugi:UGIUtilitiesIncMember2022-09-300000884614us-gaap:EnvironmentalRestorationCostsMemberugi:UGIUtilitiesIncMember2023-09-300000884614us-gaap:EnvironmentalRestorationCostsMemberugi:UGIUtilitiesIncMember</w:t>
      </w:r>
      <w:r>
        <w:rPr>
          <w:rFonts w:eastAsia="Times New Roman"/>
          <w:vanish/>
        </w:rPr>
        <w:t>2022-09-300000884614us-gaap:DeferredFuelCostsMemberugi:UGIUtilitiesIncMember2023-09-300000884614us-gaap:DeferredFuelCostsMemberugi:UGIUtilitiesIncMember2022-09-300000884614ugi:UGIUtilitiesIncMemberugi:RemovalCostsNetMember2023-09-300000884614ugi:UGIUtiliti</w:t>
      </w:r>
      <w:r>
        <w:rPr>
          <w:rFonts w:eastAsia="Times New Roman"/>
          <w:vanish/>
        </w:rPr>
        <w:t>esIncMemberugi:RemovalCostsNetMember2022-09-300000884614ugi:OtherRegulatoryAssetsMemberugi:UGIUtilitiesIncMember2023-09-300000884614ugi:OtherRegulatoryAssetsMemberugi:UGIUtilitiesIncMember2022-09-300000884614ugi:UGIUtilitiesIncMemberus-gaap:PostretirementB</w:t>
      </w:r>
      <w:r>
        <w:rPr>
          <w:rFonts w:eastAsia="Times New Roman"/>
          <w:vanish/>
        </w:rPr>
        <w:t>enefitCostsMember2023-09-300000884614ugi:UGIUtilitiesIncMemberus-gaap:PostretirementBenefitCostsMember2022-09-300000884614ugi:UGIUtilitiesIncMemberugi:DeferredFuelAndPowerRefundsMember2023-09-300000884614ugi:UGIUtilitiesIncMemberugi:DeferredFuelAndPowerRef</w:t>
      </w:r>
      <w:r>
        <w:rPr>
          <w:rFonts w:eastAsia="Times New Roman"/>
          <w:vanish/>
        </w:rPr>
        <w:t>undsMember2022-09-300000884614ugi:UGIUtilitiesIncMemberus-gaap:DeferredIncomeTaxChargesMember2023-09-300000884614ugi:UGIUtilitiesIncMemberus-gaap:DeferredIncomeTaxChargesMember2022-09-300000884614ugi:ExcessFederalDeferredIncomeTaxesMemberugi:UGIUtilitiesIn</w:t>
      </w:r>
      <w:r>
        <w:rPr>
          <w:rFonts w:eastAsia="Times New Roman"/>
          <w:vanish/>
        </w:rPr>
        <w:t>cMember2023-09-300000884614ugi:ExcessFederalDeferredIncomeTaxesMemberugi:UGIUtilitiesIncMember2022-09-300000884614ugi:UGIUtilitiesIncMemberus-gaap:OtherLiabilitiesMember2023-09-300000884614ugi:UGIUtilitiesIncMemberus-gaap:OtherLiabilitiesMember2022-09-3000</w:t>
      </w:r>
      <w:r>
        <w:rPr>
          <w:rFonts w:eastAsia="Times New Roman"/>
          <w:vanish/>
        </w:rPr>
        <w:t>00884614srt:MinimumMember2022-10-012023-09-300000884614srt:MaximumMember2022-10-012023-09-300000884614us-gaap:RemovalCostsMembersrt:MaximumMember2023-09-300000884614us-gaap:PostretirementBenefitCostsMember2016-10-1900008846142016-10-190000884614ugi:PublicS</w:t>
      </w:r>
      <w:r>
        <w:rPr>
          <w:rFonts w:eastAsia="Times New Roman"/>
          <w:vanish/>
        </w:rPr>
        <w:t>erviceCommissionOfWestVirginiaMember2022-12-010000884614ugi:GasUtilityMember2022-10-012023-09-300000884614ugi:GasUtilityMember2021-10-012022-09-300000884614ugi:PennsylvaniaPublicUtilityCommissionMemberugi:UGIUtilitiesIncMember2023-01-272023-01-270000884614</w:t>
      </w:r>
      <w:r>
        <w:rPr>
          <w:rFonts w:eastAsia="Times New Roman"/>
          <w:vanish/>
        </w:rPr>
        <w:t>ugi:PennsylvaniaPublicUtilityCommissionMemberugi:UGIUtilitiesIncMember2023-09-212023-09-210000884614ugi:PennsylvaniaPublicUtilityCommissionMemberugi:GasUtilityMember2022-01-282022-01-280000884614ugi:PennsylvaniaPublicUtilityCommissionMemberugi:JointPetitio</w:t>
      </w:r>
      <w:r>
        <w:rPr>
          <w:rFonts w:eastAsia="Times New Roman"/>
          <w:vanish/>
        </w:rPr>
        <w:t>nForApprovalOfSettlementMemberugi:GasUtilityMember2022-09-152022-09-150000884614ugi:PennsylvaniaPublicUtilityCommissionMemberugi:JointPetitionForApprovalOfSettlementPhaseIMemberugi:GasUtilityMember2022-10-292022-10-290000884614ugi:PennsylvaniaPublicUtility</w:t>
      </w:r>
      <w:r>
        <w:rPr>
          <w:rFonts w:eastAsia="Times New Roman"/>
          <w:vanish/>
        </w:rPr>
        <w:t>CommissionMemberugi:JointPetitionForApprovalOfSettlementPhaseIIMembersrt:ScenarioForecastMemberugi:GasUtilityMember2023-10-012023-10-010000884614ugi:PennsylvaniaPublicUtilityCommissionMemberugi:JointPetitionForApprovalOfSettlementMemberugi:GasUtilityMember</w:t>
      </w:r>
      <w:r>
        <w:rPr>
          <w:rFonts w:eastAsia="Times New Roman"/>
          <w:vanish/>
        </w:rPr>
        <w:t>2022-11-012022-11-010000884614ugi:PennsylvaniaPublicUtilityCommissionMemberugi:JointPetitionForApprovalOfSettlementMemberugi:GasUtilityMember2022-09-150000884614ugi:PennsylvaniaPublicUtilityCommissionMemberugi:UGIGasMember2021-02-082021-02-080000884614ugi:</w:t>
      </w:r>
      <w:r>
        <w:rPr>
          <w:rFonts w:eastAsia="Times New Roman"/>
          <w:vanish/>
        </w:rPr>
        <w:t>PennsylvaniaPublicUtilityCommissionMemberugi:UGIGasMember2021-11-092021-11-090000884614ugi:PublicServiceCommissionOfWestVirginiaMemberugi:MountaineerMemberugi:A2023InfrastructureReplacementAndExpansionPlanMember2023-07-312023-07-310000884614ugi:PublicServi</w:t>
      </w:r>
      <w:r>
        <w:rPr>
          <w:rFonts w:eastAsia="Times New Roman"/>
          <w:vanish/>
        </w:rPr>
        <w:t>ceCommissionOfWestVirginiaMemberugi:MountaineerMemberugi:A2023InfrastructureReplacementAndExpansionPlanCapitalInvestmentsAfter2022Member2023-07-312023-07-310000884614ugi:PublicServiceCommissionOfWestVirginiaMemberugi:MountaineerMemberugi:A2023Infrastructur</w:t>
      </w:r>
      <w:r>
        <w:rPr>
          <w:rFonts w:eastAsia="Times New Roman"/>
          <w:vanish/>
        </w:rPr>
        <w:t>eReplacementAndExpansionPlanCapitalImprovement2023Member2023-07-312023-07-310000884614ugi:PublicServiceCommissionOfWestVirginiaMemberugi:MountaineerMemberugi:A2023InfrastructureReplacementAndExpansionPlanCapitalImprovements2024Member2023-07-312023-07-31000</w:t>
      </w:r>
      <w:r>
        <w:rPr>
          <w:rFonts w:eastAsia="Times New Roman"/>
          <w:vanish/>
        </w:rPr>
        <w:t>0884614ugi:PublicServiceCommissionOfWestVirginiaMemberugi:A2023InfrastructureReplacementAndExpansionPlanExpectedMemberugi:MountaineerMember2023-07-312023-07-310000884614ugi:PublicServiceCommissionOfWestVirginiaMemberugi:MountaineerMemberugi:A2023Infrastruc</w:t>
      </w:r>
      <w:r>
        <w:rPr>
          <w:rFonts w:eastAsia="Times New Roman"/>
          <w:vanish/>
        </w:rPr>
        <w:t>tureReplacementAndExpansionPlanCapitalInvestmentsMember2023-07-312023-07-310000884614ugi:PublicServiceCommissionOfWestVirginiaMemberugi:MountaineerMemberugi:NetRevenueIncreaseMember2023-03-062023-03-060000884614ugi:PublicServiceCommissionOfWestVirginiaMemb</w:t>
      </w:r>
      <w:r>
        <w:rPr>
          <w:rFonts w:eastAsia="Times New Roman"/>
          <w:vanish/>
        </w:rPr>
        <w:t>erugi:MountaineerMemberugi:BaseRateCaseBaseRateMember2023-03-062023-03-060000884614ugi:PublicServiceCommissionOfWestVirginiaMemberugi:MountaineerMemberugi:BaseRateCaseInfrastructureRiderMember2023-03-062023-03-060000884614ugi:PublicServiceCommissionOfWestV</w:t>
      </w:r>
      <w:r>
        <w:rPr>
          <w:rFonts w:eastAsia="Times New Roman"/>
          <w:vanish/>
        </w:rPr>
        <w:t>irginiaMemberugi:MountaineerMemberus-gaap:SubsequentEventMemberugi:NetRevenueIncreaseMember2023-10-062023-10-060000884614ugi:PublicServiceCommissionOfWestVirginiaMemberugi:MountaineerMemberugi:A2022IREPFor20232027Member2022-07-292022-07-290000884614ugi:Pub</w:t>
      </w:r>
      <w:r>
        <w:rPr>
          <w:rFonts w:eastAsia="Times New Roman"/>
          <w:vanish/>
        </w:rPr>
        <w:t>licServiceCommissionOfWestVirginiaMemberugi:A2022IREPFor2023Memberugi:MountaineerMember2022-07-292022-07-290000884614ugi:PublicServiceCommissionOfWestVirginiaMemberugi:MountaineerMemberugi:A2023IREPRevenueMember2022-11-162022-11-160000884614ugi:PublicServi</w:t>
      </w:r>
      <w:r>
        <w:rPr>
          <w:rFonts w:eastAsia="Times New Roman"/>
          <w:vanish/>
        </w:rPr>
        <w:t>ceCommissionOfWestVirginiaMemberugi:MountaineerMemberugi:A2021IREPRecoveryMember2022-11-162022-11-160000884614ugi:NonUtilityLpgAndNaturalGasMember2023-09-300000884614ugi:NonUtilityLpgAndNaturalGasMember2022-09-300000884614ugi:GasUtilityNaturalGasMember2023</w:t>
      </w:r>
      <w:r>
        <w:rPr>
          <w:rFonts w:eastAsia="Times New Roman"/>
          <w:vanish/>
        </w:rPr>
        <w:t>-09-300000884614ugi:GasUtilityNaturalGasMember2022-09-300000884614ugi:EnergyCertificatesMember2023-09-300000884614ugi:EnergyCertificatesMember2022-09-300000884614ugi:MaterialsSuppliesAndOtherMember2023-09-300000884614ugi:MaterialsSuppliesAndOtherMember2022</w:t>
      </w:r>
      <w:r>
        <w:rPr>
          <w:rFonts w:eastAsia="Times New Roman"/>
          <w:vanish/>
        </w:rPr>
        <w:t>-09-300000884614ugi:DistributionMember2023-09-300000884614ugi:DistributionMember2022-09-300000884614ugi:TransmissionMember2023-09-300000884614ugi:TransmissionMember2022-09-300000884614ugi:GeneralandOtherPropertyPlantandEquipmentMember2023-09-300000884614ug</w:t>
      </w:r>
      <w:r>
        <w:rPr>
          <w:rFonts w:eastAsia="Times New Roman"/>
          <w:vanish/>
        </w:rPr>
        <w:t>i:GeneralandOtherPropertyPlantandEquipmentMember2022-09-300000884614us-gaap:ConstructionInProgressMember2023-09-300000884614us-gaap:ConstructionInProgressMember2022-09-300000884614us-gaap:LandMember2023-09-300000884614us-gaap:LandMember2022-09-300000884614</w:t>
      </w:r>
      <w:r>
        <w:rPr>
          <w:rFonts w:eastAsia="Times New Roman"/>
          <w:vanish/>
        </w:rPr>
        <w:t>us-gaap:BuildingImprovementsMember2023-09-300000884614us-gaap:BuildingImprovementsMember2022-09-300000884614srt:MinimumMemberus-gaap:BuildingImprovementsMember2023-09-300000884614srt:MaximumMemberus-gaap:BuildingImprovementsMember2023-09-300000884614us-gaa</w:t>
      </w:r>
      <w:r>
        <w:rPr>
          <w:rFonts w:eastAsia="Times New Roman"/>
          <w:vanish/>
        </w:rPr>
        <w:t>p:TransportationEquipmentMember2023-09-300000884614us-gaap:TransportationEquipmentMember2022-09-300000884614srt:MinimumMemberus-gaap:TransportationEquipmentMember2023-09-300000884614srt:MaximumMemberus-gaap:TransportationEquipmentMember2023-09-300000884614</w:t>
      </w:r>
      <w:r>
        <w:rPr>
          <w:rFonts w:eastAsia="Times New Roman"/>
          <w:vanish/>
        </w:rPr>
        <w:t>ugi:EquipmentPrimarilyCylindersAndTanksMember2023-09-300000884614ugi:EquipmentPrimarilyCylindersAndTanksMember2022-09-300000884614ugi:EquipmentPrimarilyCylindersAndTanksMembersrt:MinimumMember2023-09-300000884614ugi:EquipmentPrimarilyCylindersAndTanksMembe</w:t>
      </w:r>
      <w:r>
        <w:rPr>
          <w:rFonts w:eastAsia="Times New Roman"/>
          <w:vanish/>
        </w:rPr>
        <w:t>rsrt:MaximumMember2023-09-300000884614us-gaap:ElectricGenerationEquipmentMember2023-09-300000884614us-gaap:ElectricGenerationEquipmentMember2022-09-300000884614srt:MinimumMemberus-gaap:ElectricGenerationEquipmentMember2023-09-300000884614srt:MaximumMemberu</w:t>
      </w:r>
      <w:r>
        <w:rPr>
          <w:rFonts w:eastAsia="Times New Roman"/>
          <w:vanish/>
        </w:rPr>
        <w:t>s-gaap:ElectricGenerationEquipmentMember2023-09-300000884614us-gaap:PipelinesMember2023-09-300000884614us-gaap:PipelinesMember2022-09-300000884614srt:MinimumMemberus-gaap:PipelinesMember2023-09-300000884614srt:MaximumMemberus-gaap:PipelinesMember2023-09-30</w:t>
      </w:r>
      <w:r>
        <w:rPr>
          <w:rFonts w:eastAsia="Times New Roman"/>
          <w:vanish/>
        </w:rPr>
        <w:t>0000884614us-gaap:OtherCapitalizedPropertyPlantAndEquipmentMember2023-09-300000884614us-gaap:OtherCapitalizedPropertyPlantAndEquipmentMember2022-09-300000884614us-gaap:OtherCapitalizedPropertyPlantAndEquipmentMembersrt:MinimumMember2023-09-300000884614us-g</w:t>
      </w:r>
      <w:r>
        <w:rPr>
          <w:rFonts w:eastAsia="Times New Roman"/>
          <w:vanish/>
        </w:rPr>
        <w:t>aap:OtherCapitalizedPropertyPlantAndEquipmentMembersrt:MaximumMember2023-09-300000884614ugi:GasUtilityMember2022-10-012023-09-300000884614ugi:GasUtilityMember2021-10-012022-09-300000884614ugi:GasUtilityMember2020-10-012021-09-300000884614ugi:ElectricUtilit</w:t>
      </w:r>
      <w:r>
        <w:rPr>
          <w:rFonts w:eastAsia="Times New Roman"/>
          <w:vanish/>
        </w:rPr>
        <w:t>yMember2022-10-012023-09-300000884614ugi:ElectricUtilityMember2021-10-012022-09-300000884614ugi:ElectricUtilityMember2020-10-012021-09-300000884614ugi:AmeriGasPropaneMember2021-09-300000884614ugi:UGIInternationalMember2021-09-300000884614ugi:MidstreamAndMa</w:t>
      </w:r>
      <w:r>
        <w:rPr>
          <w:rFonts w:eastAsia="Times New Roman"/>
          <w:vanish/>
        </w:rPr>
        <w:t>rketingMember2021-09-300000884614ugi:GasUtilityMember2021-09-300000884614ugi:AmeriGasPropaneMember2021-10-012022-09-300000884614ugi:UGIInternationalMember2021-10-012022-09-300000884614ugi:MidstreamAndMarketingMember2021-10-012022-09-300000884614ugi:AmeriGa</w:t>
      </w:r>
      <w:r>
        <w:rPr>
          <w:rFonts w:eastAsia="Times New Roman"/>
          <w:vanish/>
        </w:rPr>
        <w:t>sPropaneMember2022-09-300000884614ugi:UGIInternationalMember2022-09-300000884614ugi:MidstreamAndMarketingMember2022-09-300000884614ugi:GasUtilityMember2022-09-300000884614ugi:AmeriGasPropaneMember2022-10-012023-09-300000884614ugi:UGIInternationalMember2022</w:t>
      </w:r>
      <w:r>
        <w:rPr>
          <w:rFonts w:eastAsia="Times New Roman"/>
          <w:vanish/>
        </w:rPr>
        <w:t>-10-012023-09-300000884614ugi:MidstreamAndMarketingMember2022-10-012023-09-300000884614ugi:UGIInternationalMember2023-09-300000884614ugi:GasUtilityMember2023-09-300000884614us-gaap:CustomerRelationshipsMember2022-10-012023-09-300000884614us-gaap:CommonStoc</w:t>
      </w:r>
      <w:r>
        <w:rPr>
          <w:rFonts w:eastAsia="Times New Roman"/>
          <w:vanish/>
        </w:rPr>
        <w:t>kMember2022-02-020000884614us-gaap:CommonStockMember2022-02-022022-02-020000884614us-gaap:CommonStockMember2021-10-012022-09-300000884614us-gaap:CommonStockMember2020-10-012021-09-300000884614us-gaap:PreferredStockMember2020-09-300000884614us-gaap:CommonSt</w:t>
      </w:r>
      <w:r>
        <w:rPr>
          <w:rFonts w:eastAsia="Times New Roman"/>
          <w:vanish/>
        </w:rPr>
        <w:t>ockMember2020-09-300000884614us-gaap:TreasuryStockCommonMemberus-gaap:CommonStockMember2020-09-300000884614us-gaap:PreferredStockMember2020-10-012021-09-300000884614us-gaap:TreasuryStockCommonMemberus-gaap:CommonStockMember2020-10-012021-09-300000884614us-</w:t>
      </w:r>
      <w:r>
        <w:rPr>
          <w:rFonts w:eastAsia="Times New Roman"/>
          <w:vanish/>
        </w:rPr>
        <w:t>gaap:PreferredStockMember2021-09-300000884614us-gaap:CommonStockMember2021-09-300000884614us-gaap:TreasuryStockCommonMemberus-gaap:CommonStockMember2021-09-300000884614us-gaap:TreasuryStockCommonMemberus-gaap:CommonStockMember2021-10-012022-09-300000884614</w:t>
      </w:r>
      <w:r>
        <w:rPr>
          <w:rFonts w:eastAsia="Times New Roman"/>
          <w:vanish/>
        </w:rPr>
        <w:t>us-gaap:PreferredStockMember2022-09-300000884614us-gaap:CommonStockMember2022-09-300000884614us-gaap:TreasuryStockCommonMemberus-gaap:CommonStockMember2022-09-300000884614us-gaap:TreasuryStockCommonMemberus-gaap:CommonStockMember2022-10-012023-09-300000884</w:t>
      </w:r>
      <w:r>
        <w:rPr>
          <w:rFonts w:eastAsia="Times New Roman"/>
          <w:vanish/>
        </w:rPr>
        <w:t>614us-gaap:PreferredStockMember2023-09-300000884614us-gaap:CommonStockMember2023-09-300000884614us-gaap:TreasuryStockCommonMemberus-gaap:CommonStockMember2023-09-300000884614us-gaap:PreferredStockMemberus-gaap:CapitalUnitsMember2021-05-252021-05-2500008846</w:t>
      </w:r>
      <w:r>
        <w:rPr>
          <w:rFonts w:eastAsia="Times New Roman"/>
          <w:vanish/>
        </w:rPr>
        <w:t>14us-gaap:PreferredStockMemberus-gaap:CapitalUnitsMember2021-05-250000884614us-gaap:PreferredStockMemberus-gaap:ConvertiblePreferredStockMember2021-05-252021-05-250000884614us-gaap:ConvertiblePreferredStockMember2021-05-252021-05-2500008846142021-05-250000</w:t>
      </w:r>
      <w:r>
        <w:rPr>
          <w:rFonts w:eastAsia="Times New Roman"/>
          <w:vanish/>
        </w:rPr>
        <w:t>884614us-gaap:ConvertiblePreferredStockMember2021-05-250000884614us-gaap:SeriesBPreferredStockMember2022-09-300000884614us-gaap:SeriesBPreferredStockMember2023-09-300000884614us-gaap:SeriesBPreferredStockMember2021-09-300000884614ugi:A2024PurchaseContracts</w:t>
      </w:r>
      <w:r>
        <w:rPr>
          <w:rFonts w:eastAsia="Times New Roman"/>
          <w:vanish/>
        </w:rPr>
        <w:t>Membersrt:ScenarioForecastMember2024-06-012024-06-010000884614ugi:A2024PurchaseContractsMember2021-05-252021-05-250000884614ugi:A2024PurchaseContractsMember2021-05-2500008846142021-05-170000884614ugi:A2021IAPMemberus-gaap:CommonStockMember2021-01-290000884</w:t>
      </w:r>
      <w:r>
        <w:rPr>
          <w:rFonts w:eastAsia="Times New Roman"/>
          <w:vanish/>
        </w:rPr>
        <w:t>614ugi:A2021IAPMemberus-gaap:CommonStockMember2021-01-292021-01-290000884614ugi:A2021IAPMemberus-gaap:CommonStockMember2023-09-300000884614us-gaap:EmployeeStockOptionMember2023-09-300000884614us-gaap:EmployeeStockOptionMember2022-10-012023-09-300000884614u</w:t>
      </w:r>
      <w:r>
        <w:rPr>
          <w:rFonts w:eastAsia="Times New Roman"/>
          <w:vanish/>
        </w:rPr>
        <w:t>gi:UgiPerformanceUnitMembersrt:MinimumMember2022-10-012023-09-300000884614ugi:UgiPerformanceUnitMembersrt:MaximumMember2022-10-012023-09-300000884614srt:MinimumMemberugi:UgiPerformanceUnitsAndStockUnitsMember2023-01-012023-01-310000884614srt:MaximumMemberu</w:t>
      </w:r>
      <w:r>
        <w:rPr>
          <w:rFonts w:eastAsia="Times New Roman"/>
          <w:vanish/>
        </w:rPr>
        <w:t>gi:UgiPerformanceUnitsAndStockUnitsMember2023-01-012023-01-310000884614ugi:UgiPerformanceUnitMember2022-10-012023-09-300000884614ugi:UgiPerformanceUnitMember2021-10-012022-09-300000884614ugi:UgiPerformanceUnitMember2020-10-012021-09-300000884614ugi:UgiPerf</w:t>
      </w:r>
      <w:r>
        <w:rPr>
          <w:rFonts w:eastAsia="Times New Roman"/>
          <w:vanish/>
        </w:rPr>
        <w:t>ormanceUnitsAndStockUnitsMember2023-09-300000884614ugi:UgiPerformanceUnitsAndStockUnitsMember2022-10-012023-09-300000884614srt:MinimumMemberus-gaap:VehiclesMember2023-09-300000884614srt:MaximumMemberus-gaap:VehiclesMember2023-09-300000884614ugi:AmeriGasOLP</w:t>
      </w:r>
      <w:r>
        <w:rPr>
          <w:rFonts w:eastAsia="Times New Roman"/>
          <w:vanish/>
        </w:rPr>
        <w:t>Member2023-07-012023-09-300000884614ugi:LeaseLiabilityTotalMemberugi:AmeriGasPropaneMemberugi:SegmentConcentrationRiskMember2022-10-012023-09-300000884614ugi:UGIUtilitiesIncMemberugi:PNGandCPGMember2023-09-30ugi:subsidiary0000884614ugi:CPGCOA.PNGCOAandUGIG</w:t>
      </w:r>
      <w:r>
        <w:rPr>
          <w:rFonts w:eastAsia="Times New Roman"/>
          <w:vanish/>
        </w:rPr>
        <w:t>asCOAMember2023-09-300000884614ugi:CPGCOA.PNGCOAandUGIGasCOAMember2022-09-300000884614ugi:SaranacLakeNewYorkMemberugi:NewYorkStateDepartmentofEnvironmentConservationRemediationPlanMemberugi:AmeriGasOLPMember2017-01-012017-12-31ugi:record_of_decision0000884</w:t>
      </w:r>
      <w:r>
        <w:rPr>
          <w:rFonts w:eastAsia="Times New Roman"/>
          <w:vanish/>
        </w:rPr>
        <w:t>614ugi:SaranacLakeNewYorkMemberugi:NewYorkStateDepartmentofEnvironmentConservationRemediationPlanMemberugi:AmeriGasOLPMember2017-12-310000884614ugi:SaranacLakeNewYorkMemberugi:NewYorkStateDepartmentofEnvironmentConservationRemediationPlanMemberugi:AmeriGas</w:t>
      </w:r>
      <w:r>
        <w:rPr>
          <w:rFonts w:eastAsia="Times New Roman"/>
          <w:vanish/>
        </w:rPr>
        <w:t>OLPMember2021-09-300000884614ugi:SaranacLakeNewYorkMemberugi:NewYorkStateDepartmentofEnvironmentConservationRemediationPlanMemberugi:AmeriGasOLPMember2022-09-300000884614us-gaap:DamageFromFireExplosionOrOtherHazardMember2023-03-24ugi:person0000884614us-gaa</w:t>
      </w:r>
      <w:r>
        <w:rPr>
          <w:rFonts w:eastAsia="Times New Roman"/>
          <w:vanish/>
        </w:rPr>
        <w:t>p:FairValueInputsLevel1Memberus-gaap:CommodityContractMember2023-09-300000884614us-gaap:FairValueInputsLevel2Memberus-gaap:CommodityContractMember2023-09-300000884614us-gaap:FairValueInputsLevel3Memberus-gaap:CommodityContractMember2023-09-300000884614us-g</w:t>
      </w:r>
      <w:r>
        <w:rPr>
          <w:rFonts w:eastAsia="Times New Roman"/>
          <w:vanish/>
        </w:rPr>
        <w:t>aap:CommodityContractMember2023-09-300000884614us-gaap:FairValueInputsLevel1Memberus-gaap:ForeignExchangeContractMember2023-09-300000884614us-gaap:ForeignExchangeContractMemberus-gaap:FairValueInputsLevel2Member2023-09-300000884614us-gaap:ForeignExchangeCo</w:t>
      </w:r>
      <w:r>
        <w:rPr>
          <w:rFonts w:eastAsia="Times New Roman"/>
          <w:vanish/>
        </w:rPr>
        <w:t>ntractMemberus-gaap:FairValueInputsLevel3Member2023-09-300000884614us-gaap:ForeignExchangeContractMember2023-09-300000884614us-gaap:FairValueInputsLevel1Memberus-gaap:InterestRateContractMember2023-09-300000884614us-gaap:FairValueInputsLevel2Memberus-gaap:</w:t>
      </w:r>
      <w:r>
        <w:rPr>
          <w:rFonts w:eastAsia="Times New Roman"/>
          <w:vanish/>
        </w:rPr>
        <w:t>InterestRateContractMember2023-09-300000884614us-gaap:FairValueInputsLevel3Memberus-gaap:InterestRateContractMember2023-09-300000884614us-gaap:InterestRateContractMember2023-09-300000884614us-gaap:FairValueInputsLevel1Member2023-09-300000884614us-gaap:Fair</w:t>
      </w:r>
      <w:r>
        <w:rPr>
          <w:rFonts w:eastAsia="Times New Roman"/>
          <w:vanish/>
        </w:rPr>
        <w:t>ValueInputsLevel2Member2023-09-300000884614us-gaap:FairValueInputsLevel3Member2023-09-300000884614us-gaap:FairValueInputsLevel1Memberus-gaap:CommodityContractMember2022-09-300000884614us-gaap:FairValueInputsLevel2Memberus-gaap:CommodityContractMember2022-0</w:t>
      </w:r>
      <w:r>
        <w:rPr>
          <w:rFonts w:eastAsia="Times New Roman"/>
          <w:vanish/>
        </w:rPr>
        <w:t>9-300000884614us-gaap:FairValueInputsLevel3Memberus-gaap:CommodityContractMember2022-09-300000884614us-gaap:CommodityContractMember2022-09-300000884614us-gaap:FairValueInputsLevel1Memberus-gaap:ForeignExchangeContractMember2022-09-300000884614us-gaap:Forei</w:t>
      </w:r>
      <w:r>
        <w:rPr>
          <w:rFonts w:eastAsia="Times New Roman"/>
          <w:vanish/>
        </w:rPr>
        <w:t>gnExchangeContractMemberus-gaap:FairValueInputsLevel2Member2022-09-300000884614us-gaap:ForeignExchangeContractMemberus-gaap:FairValueInputsLevel3Member2022-09-300000884614us-gaap:ForeignExchangeContractMember2022-09-300000884614us-gaap:FairValueInputsLevel</w:t>
      </w:r>
      <w:r>
        <w:rPr>
          <w:rFonts w:eastAsia="Times New Roman"/>
          <w:vanish/>
        </w:rPr>
        <w:t>1Memberus-gaap:InterestRateContractMember2022-09-300000884614us-gaap:FairValueInputsLevel2Memberus-gaap:InterestRateContractMember2022-09-300000884614us-gaap:FairValueInputsLevel3Memberus-gaap:InterestRateContractMember2022-09-300000884614us-gaap:InterestR</w:t>
      </w:r>
      <w:r>
        <w:rPr>
          <w:rFonts w:eastAsia="Times New Roman"/>
          <w:vanish/>
        </w:rPr>
        <w:t>ateContractMember2022-09-300000884614us-gaap:FairValueInputsLevel1Member2022-09-300000884614us-gaap:FairValueInputsLevel2Member2022-09-300000884614us-gaap:FairValueInputsLevel3Member2022-09-300000884614us-gaap:FairValueInputsLevel3Membersrt:MinimumMemberus</w:t>
      </w:r>
      <w:r>
        <w:rPr>
          <w:rFonts w:eastAsia="Times New Roman"/>
          <w:vanish/>
        </w:rPr>
        <w:t>-gaap:CommodityContractMember2023-09-300000884614us-gaap:FairValueInputsLevel3Membersrt:MaximumMemberus-gaap:CommodityContractMember2023-09-300000884614ugi:AmeriGasPropaneMember2023-04-012023-06-300000884614us-gaap:CarryingReportedAmountFairValueDisclosure</w:t>
      </w:r>
      <w:r>
        <w:rPr>
          <w:rFonts w:eastAsia="Times New Roman"/>
          <w:vanish/>
        </w:rPr>
        <w:t>Member2023-09-300000884614us-gaap:CarryingReportedAmountFairValueDisclosureMember2022-09-300000884614us-gaap:EstimateOfFairValueFairValueDisclosureMember2023-09-300000884614us-gaap:EstimateOfFairValueFairValueDisclosureMember2022-09-300000884614ugi:Interes</w:t>
      </w:r>
      <w:r>
        <w:rPr>
          <w:rFonts w:eastAsia="Times New Roman"/>
          <w:vanish/>
        </w:rPr>
        <w:t>tRateProtectionAgreementsMember2022-09-300000884614ugi:InterestRateProtectionAgreementsMember2023-09-300000884614us-gaap:ForeignExchangeForwardMember2023-09-300000884614us-gaap:SeniorNotesMemberugi:UGIInternationalLLCMemberugi:A325SeniorNotesDueNovember202</w:t>
      </w:r>
      <w:r>
        <w:rPr>
          <w:rFonts w:eastAsia="Times New Roman"/>
          <w:vanish/>
        </w:rPr>
        <w:t>5Member2021-12-070000884614us-gaap:ForeignExchangeContractMemberugi:UGIInternationalLLCMemberus-gaap:NetInvestmentHedgingMember2021-12-070000884614us-gaap:RegulatedOperationMemberugi:NaturalGasMemberus-gaap:CommodityContractMember2023-09-30ugi:DTH000088461</w:t>
      </w:r>
      <w:r>
        <w:rPr>
          <w:rFonts w:eastAsia="Times New Roman"/>
          <w:vanish/>
        </w:rPr>
        <w:t>4us-gaap:RegulatedOperationMemberugi:NaturalGasMemberus-gaap:CommodityContractMember2022-09-300000884614us-gaap:PublicUtilitiesInventoryPropaneMemberus-gaap:CommodityContractMember2022-10-012023-09-30utr:gal0000884614us-gaap:PublicUtilitiesInventoryPropane</w:t>
      </w:r>
      <w:r>
        <w:rPr>
          <w:rFonts w:eastAsia="Times New Roman"/>
          <w:vanish/>
        </w:rPr>
        <w:t>Memberus-gaap:CommodityContractMember2021-10-012022-09-300000884614ugi:NaturalGasMemberugi:NaturalGasFuturesForwardAndPipelineContractsMember2023-09-300000884614ugi:NaturalGasMemberugi:NaturalGasFuturesForwardAndPipelineContractsMember2022-09-300000884614u</w:t>
      </w:r>
      <w:r>
        <w:rPr>
          <w:rFonts w:eastAsia="Times New Roman"/>
          <w:vanish/>
        </w:rPr>
        <w:t>s-gaap:ElectricityMemberus-gaap:CommodityContractMember2022-10-012023-09-30utr:kWh0000884614us-gaap:ElectricityMemberus-gaap:CommodityContractMember2021-10-012022-09-300000884614us-gaap:InterestRateSwapMember2023-09-300000884614us-gaap:InterestRateSwapMemb</w:t>
      </w:r>
      <w:r>
        <w:rPr>
          <w:rFonts w:eastAsia="Times New Roman"/>
          <w:vanish/>
        </w:rPr>
        <w:t>er2022-09-300000884614us-gaap:ForeignExchangeContractMemberus-gaap:DesignatedAsHedgingInstrumentMember2023-09-300000884614us-gaap:ForeignExchangeContractMemberus-gaap:DesignatedAsHedgingInstrumentMember2022-09-300000884614us-gaap:InterestRateContractMember</w:t>
      </w:r>
      <w:r>
        <w:rPr>
          <w:rFonts w:eastAsia="Times New Roman"/>
          <w:vanish/>
        </w:rPr>
        <w:t>us-gaap:DesignatedAsHedgingInstrumentMember2023-09-300000884614us-gaap:InterestRateContractMemberus-gaap:DesignatedAsHedgingInstrumentMember2022-09-300000884614us-gaap:DesignatedAsHedgingInstrumentMember2023-09-300000884614us-gaap:DesignatedAsHedgingInstru</w:t>
      </w:r>
      <w:r>
        <w:rPr>
          <w:rFonts w:eastAsia="Times New Roman"/>
          <w:vanish/>
        </w:rPr>
        <w:t>mentMember2022-09-300000884614ugi:CommodityContractSubjectToPGCandDSMechanismsMember2023-09-300000884614ugi:CommodityContractSubjectToPGCandDSMechanismsMember2022-09-300000884614us-gaap:NondesignatedMemberus-gaap:CommodityContractMember2023-09-300000884614</w:t>
      </w:r>
      <w:r>
        <w:rPr>
          <w:rFonts w:eastAsia="Times New Roman"/>
          <w:vanish/>
        </w:rPr>
        <w:t>us-gaap:NondesignatedMemberus-gaap:CommodityContractMember2022-09-300000884614us-gaap:ForeignExchangeContractMemberus-gaap:NondesignatedMember2023-09-300000884614us-gaap:ForeignExchangeContractMemberus-gaap:NondesignatedMember2022-09-300000884614us-gaap:No</w:t>
      </w:r>
      <w:r>
        <w:rPr>
          <w:rFonts w:eastAsia="Times New Roman"/>
          <w:vanish/>
        </w:rPr>
        <w:t>ndesignatedMember2023-09-300000884614us-gaap:NondesignatedMember2022-09-300000884614us-gaap:NondesignatedMemberus-gaap:CommodityContractMemberugi:DisposalGroupIncludingDiscontinuedOperationAssetsCurrentMember2023-09-300000884614us-gaap:NondesignatedMemberu</w:t>
      </w:r>
      <w:r>
        <w:rPr>
          <w:rFonts w:eastAsia="Times New Roman"/>
          <w:vanish/>
        </w:rPr>
        <w:t>s-gaap:CommodityContractMemberugi:DisposalGroupIncludingDiscontinuedOperationAssetsCurrentMember2022-09-300000884614us-gaap:NondesignatedMemberus-gaap:CommodityContractMemberugi:DisposalGroupIncludingDiscontinuedOperationLiabilitiesCurrentMember2023-09-300</w:t>
      </w:r>
      <w:r>
        <w:rPr>
          <w:rFonts w:eastAsia="Times New Roman"/>
          <w:vanish/>
        </w:rPr>
        <w:t>000884614us-gaap:NondesignatedMemberus-gaap:CommodityContractMemberugi:DisposalGroupIncludingDiscontinuedOperationLiabilitiesCurrentMember2022-09-300000884614us-gaap:CashFlowHedgingMemberus-gaap:InterestRateContractMember2022-10-012023-09-300000884614us-ga</w:t>
      </w:r>
      <w:r>
        <w:rPr>
          <w:rFonts w:eastAsia="Times New Roman"/>
          <w:vanish/>
        </w:rPr>
        <w:t>ap:CashFlowHedgingMemberus-gaap:InterestRateContractMember2021-10-012022-09-300000884614us-gaap:CashFlowHedgingMemberus-gaap:InterestRateContractMember2020-10-012021-09-300000884614us-gaap:CashFlowHedgingMemberus-gaap:InterestRateContractMemberus-gaap:Inte</w:t>
      </w:r>
      <w:r>
        <w:rPr>
          <w:rFonts w:eastAsia="Times New Roman"/>
          <w:vanish/>
        </w:rPr>
        <w:t>restExpenseMember2022-10-012023-09-300000884614us-gaap:CashFlowHedgingMemberus-gaap:InterestRateContractMemberus-gaap:InterestExpenseMember2021-10-012022-09-300000884614us-gaap:CashFlowHedgingMemberus-gaap:InterestRateContractMemberus-gaap:InterestExpenseM</w:t>
      </w:r>
      <w:r>
        <w:rPr>
          <w:rFonts w:eastAsia="Times New Roman"/>
          <w:vanish/>
        </w:rPr>
        <w:t>ember2020-10-012021-09-300000884614us-gaap:ForeignExchangeContractMemberus-gaap:NetInvestmentHedgingMember2022-10-012023-09-300000884614us-gaap:ForeignExchangeContractMemberus-gaap:NetInvestmentHedgingMember2021-10-012022-09-300000884614us-gaap:ForeignExch</w:t>
      </w:r>
      <w:r>
        <w:rPr>
          <w:rFonts w:eastAsia="Times New Roman"/>
          <w:vanish/>
        </w:rPr>
        <w:t>angeContractMemberus-gaap:NetInvestmentHedgingMember2020-10-012021-09-300000884614us-gaap:NondesignatedMemberus-gaap:CommodityContractMemberus-gaap:SalesRevenueNetMember2022-10-012023-09-300000884614us-gaap:NondesignatedMemberus-gaap:CommodityContractMembe</w:t>
      </w:r>
      <w:r>
        <w:rPr>
          <w:rFonts w:eastAsia="Times New Roman"/>
          <w:vanish/>
        </w:rPr>
        <w:t>rus-gaap:SalesRevenueNetMember2021-10-012022-09-300000884614us-gaap:NondesignatedMemberus-gaap:CommodityContractMemberus-gaap:SalesRevenueNetMember2020-10-012021-09-300000884614us-gaap:CostOfSalesMemberus-gaap:NondesignatedMemberus-gaap:CommodityContractMe</w:t>
      </w:r>
      <w:r>
        <w:rPr>
          <w:rFonts w:eastAsia="Times New Roman"/>
          <w:vanish/>
        </w:rPr>
        <w:t>mber2022-10-012023-09-300000884614us-gaap:CostOfSalesMemberus-gaap:NondesignatedMemberus-gaap:CommodityContractMember2021-10-012022-09-300000884614us-gaap:CostOfSalesMemberus-gaap:NondesignatedMemberus-gaap:CommodityContractMember2020-10-012021-09-30000088</w:t>
      </w:r>
      <w:r>
        <w:rPr>
          <w:rFonts w:eastAsia="Times New Roman"/>
          <w:vanish/>
        </w:rPr>
        <w:t>4614us-gaap:NondesignatedMemberus-gaap:OtherOperatingIncomeExpenseMemberus-gaap:CommodityContractMember2022-10-012023-09-300000884614us-gaap:NondesignatedMemberus-gaap:OtherOperatingIncomeExpenseMemberus-gaap:CommodityContractMember2021-10-012022-09-300000</w:t>
      </w:r>
      <w:r>
        <w:rPr>
          <w:rFonts w:eastAsia="Times New Roman"/>
          <w:vanish/>
        </w:rPr>
        <w:t>884614us-gaap:NondesignatedMemberus-gaap:OtherOperatingIncomeExpenseMemberus-gaap:CommodityContractMember2020-10-012021-09-300000884614us-gaap:ForeignExchangeContractMemberus-gaap:NondesignatedMemberus-gaap:OtherIncomeMember2022-10-012023-09-300000884614us</w:t>
      </w:r>
      <w:r>
        <w:rPr>
          <w:rFonts w:eastAsia="Times New Roman"/>
          <w:vanish/>
        </w:rPr>
        <w:t>-gaap:ForeignExchangeContractMemberus-gaap:NondesignatedMemberus-gaap:OtherIncomeMember2021-10-012022-09-300000884614us-gaap:ForeignExchangeContractMemberus-gaap:NondesignatedMemberus-gaap:OtherIncomeMember2020-10-012021-09-300000884614us-gaap:Nondesignate</w:t>
      </w:r>
      <w:r>
        <w:rPr>
          <w:rFonts w:eastAsia="Times New Roman"/>
          <w:vanish/>
        </w:rPr>
        <w:t>dMember2022-10-012023-09-300000884614us-gaap:NondesignatedMember2021-10-012022-09-300000884614us-gaap:NondesignatedMember2020-10-012021-09-300000884614us-gaap:AccumulatedDefinedBenefitPlansAdjustmentMember2020-09-300000884614us-gaap:AccumulatedGainLossNetC</w:t>
      </w:r>
      <w:r>
        <w:rPr>
          <w:rFonts w:eastAsia="Times New Roman"/>
          <w:vanish/>
        </w:rPr>
        <w:t>ashFlowHedgeParentMember2020-09-300000884614us-gaap:AccumulatedTranslationAdjustmentMember2020-09-300000884614us-gaap:AccumulatedDefinedBenefitPlansAdjustmentMember2020-10-012021-09-300000884614us-gaap:AccumulatedGainLossNetCashFlowHedgeParentMember2020-10</w:t>
      </w:r>
      <w:r>
        <w:rPr>
          <w:rFonts w:eastAsia="Times New Roman"/>
          <w:vanish/>
        </w:rPr>
        <w:t>-012021-09-300000884614us-gaap:AccumulatedTranslationAdjustmentMember2020-10-012021-09-300000884614us-gaap:AccumulatedDefinedBenefitPlansAdjustmentMember2021-09-300000884614us-gaap:AccumulatedGainLossNetCashFlowHedgeParentMember2021-09-300000884614us-gaap:</w:t>
      </w:r>
      <w:r>
        <w:rPr>
          <w:rFonts w:eastAsia="Times New Roman"/>
          <w:vanish/>
        </w:rPr>
        <w:t>AccumulatedTranslationAdjustmentMember2021-09-300000884614us-gaap:AccumulatedDefinedBenefitPlansAdjustmentMember2021-10-012022-09-300000884614us-gaap:AccumulatedGainLossNetCashFlowHedgeParentMember2021-10-012022-09-300000884614us-gaap:AccumulatedTranslatio</w:t>
      </w:r>
      <w:r>
        <w:rPr>
          <w:rFonts w:eastAsia="Times New Roman"/>
          <w:vanish/>
        </w:rPr>
        <w:t>nAdjustmentMember2021-10-012022-09-300000884614us-gaap:AccumulatedDefinedBenefitPlansAdjustmentMember2022-09-300000884614us-gaap:AccumulatedGainLossNetCashFlowHedgeParentMember2022-09-300000884614us-gaap:AccumulatedTranslationAdjustmentMember2022-09-300000</w:t>
      </w:r>
      <w:r>
        <w:rPr>
          <w:rFonts w:eastAsia="Times New Roman"/>
          <w:vanish/>
        </w:rPr>
        <w:t>884614us-gaap:AccumulatedDefinedBenefitPlansAdjustmentMember2022-10-012023-09-300000884614us-gaap:AccumulatedGainLossNetCashFlowHedgeParentMember2022-10-012023-09-300000884614us-gaap:AccumulatedTranslationAdjustmentMember2022-10-012023-09-300000884614us-ga</w:t>
      </w:r>
      <w:r>
        <w:rPr>
          <w:rFonts w:eastAsia="Times New Roman"/>
          <w:vanish/>
        </w:rPr>
        <w:t>ap:AccumulatedDefinedBenefitPlansAdjustmentMember2023-09-300000884614us-gaap:AccumulatedGainLossNetCashFlowHedgeParentMember2023-09-300000884614us-gaap:AccumulatedTranslationAdjustmentMember2023-09-300000884614us-gaap:BuildingMember2022-10-012023-09-300000</w:t>
      </w:r>
      <w:r>
        <w:rPr>
          <w:rFonts w:eastAsia="Times New Roman"/>
          <w:vanish/>
        </w:rPr>
        <w:t>884614ugi:MidstreamAndMarketingMemberugi:AurumRenewablesMember2023-09-300000884614ugi:MidstreamAndMarketingMemberugi:AurumRenewablesMember2022-09-300000884614ugi:AurumRenewablesMember2023-09-300000884614ugi:PineRunMidstreamLLCMemberugi:MidstreamAndMarketin</w:t>
      </w:r>
      <w:r>
        <w:rPr>
          <w:rFonts w:eastAsia="Times New Roman"/>
          <w:vanish/>
        </w:rPr>
        <w:t>gMember2023-09-300000884614ugi:PineRunMidstreamLLCMemberugi:MidstreamAndMarketingMember2022-09-300000884614ugi:MBLBioenergyMemberugi:MidstreamAndMarketingMember2023-09-300000884614ugi:MBLBioenergyMemberugi:MidstreamAndMarketingMember2022-09-300000884614ugi</w:t>
      </w:r>
      <w:r>
        <w:rPr>
          <w:rFonts w:eastAsia="Times New Roman"/>
          <w:vanish/>
        </w:rPr>
        <w:t>:OtherEquityInvestmentsMemberugi:MidstreamAndMarketingMember2023-09-300000884614ugi:OtherEquityInvestmentsMemberugi:MidstreamAndMarketingMember2022-09-300000884614ugi:AurumRenewablesMember2023-01-012023-01-31utr:MW0000884614ugi:AurumRenewablesMember2023-01</w:t>
      </w:r>
      <w:r>
        <w:rPr>
          <w:rFonts w:eastAsia="Times New Roman"/>
          <w:vanish/>
        </w:rPr>
        <w:t>-31utr:MMBTU0000884614ugi:PineRunMidstreamLLCMember2021-02-012021-02-280000884614ugi:PennantMember2022-09-300000884614ugi:PennantMember2022-07-012022-09-300000884614srt:AffiliatedEntityMemberugi:PennantMember2023-09-30ugi:owner0000884614srt:AffiliatedEntit</w:t>
      </w:r>
      <w:r>
        <w:rPr>
          <w:rFonts w:eastAsia="Times New Roman"/>
          <w:vanish/>
        </w:rPr>
        <w:t>yMemberugi:PennEastPipelineCompanyLLCMember2023-09-30utr:mi0000884614ugi:PennEastPipelineCompanyLLCMember2021-06-012021-06-300000884614ugi:PennEastPipelineCompanyLLCMember2021-10-012022-09-300000884614us-gaap:FairValueInputsLevel2Memberugi:PennEastPipeline</w:t>
      </w:r>
      <w:r>
        <w:rPr>
          <w:rFonts w:eastAsia="Times New Roman"/>
          <w:vanish/>
        </w:rPr>
        <w:t>CompanyLLCMember2022-09-300000884614us-gaap:FairValueInputsLevel2Memberugi:PennEastPipelineCompanyLLCMember2023-09-300000884614ugi:OtherEquityInvestmentsMember2022-10-012023-09-300000884614ugi:OtherEquityInvestmentsMember2021-10-012022-09-30ugi:segmentugi:</w:t>
      </w:r>
      <w:r>
        <w:rPr>
          <w:rFonts w:eastAsia="Times New Roman"/>
          <w:vanish/>
        </w:rPr>
        <w:t>state0000884614country:FRus-gaap:GeographicConcentrationRiskMemberus-gaap:SalesRevenueNetMember2022-10-012023-09-300000884614country:FRugi:LonglivedAssetsMemberus-gaap:GeographicConcentrationRiskMember2022-10-012023-09-300000884614us-gaap:IntersegmentElimi</w:t>
      </w:r>
      <w:r>
        <w:rPr>
          <w:rFonts w:eastAsia="Times New Roman"/>
          <w:vanish/>
        </w:rPr>
        <w:t>nationMemberugi:AmeriGasPropaneMember2022-10-012023-09-300000884614us-gaap:IntersegmentEliminationMemberugi:UGIInternationalMember2022-10-012023-09-300000884614us-gaap:IntersegmentEliminationMemberugi:MidstreamAndMarketingMember2022-10-012023-09-3000008846</w:t>
      </w:r>
      <w:r>
        <w:rPr>
          <w:rFonts w:eastAsia="Times New Roman"/>
          <w:vanish/>
        </w:rPr>
        <w:t>14ugi:UGIUtilitiesIncMemberus-gaap:IntersegmentEliminationMember2022-10-012023-09-300000884614ugi:CorporateReconcilingItemsAndEliminationsMember2022-10-012023-09-300000884614us-gaap:IntersegmentEliminationMember2023-09-300000884614us-gaap:OperatingSegments</w:t>
      </w:r>
      <w:r>
        <w:rPr>
          <w:rFonts w:eastAsia="Times New Roman"/>
          <w:vanish/>
        </w:rPr>
        <w:t>Memberugi:AmeriGasPropaneMember2023-09-300000884614us-gaap:OperatingSegmentsMemberugi:UGIInternationalMember2023-09-300000884614us-gaap:OperatingSegmentsMemberugi:MidstreamAndMarketingMember2023-09-300000884614ugi:UGIUtilitiesIncMemberus-gaap:OperatingSegm</w:t>
      </w:r>
      <w:r>
        <w:rPr>
          <w:rFonts w:eastAsia="Times New Roman"/>
          <w:vanish/>
        </w:rPr>
        <w:t>entsMember2023-09-300000884614ugi:CorporateAndReconcilingItemsMember2023-09-300000884614us-gaap:IntersegmentEliminationMemberugi:AmeriGasPropaneMember2021-10-012022-09-300000884614us-gaap:IntersegmentEliminationMemberugi:UGIInternationalMember2021-10-01202</w:t>
      </w:r>
      <w:r>
        <w:rPr>
          <w:rFonts w:eastAsia="Times New Roman"/>
          <w:vanish/>
        </w:rPr>
        <w:t>2-09-300000884614us-gaap:IntersegmentEliminationMemberugi:MidstreamAndMarketingMember2021-10-012022-09-300000884614ugi:UGIUtilitiesIncMemberus-gaap:IntersegmentEliminationMember2021-10-012022-09-300000884614ugi:CorporateReconcilingItemsAndEliminationsMembe</w:t>
      </w:r>
      <w:r>
        <w:rPr>
          <w:rFonts w:eastAsia="Times New Roman"/>
          <w:vanish/>
        </w:rPr>
        <w:t>r2021-10-012022-09-300000884614us-gaap:IntersegmentEliminationMember2022-09-300000884614us-gaap:OperatingSegmentsMemberugi:AmeriGasPropaneMember2022-09-300000884614us-gaap:OperatingSegmentsMemberugi:UGIInternationalMember2022-09-300000884614us-gaap:Operati</w:t>
      </w:r>
      <w:r>
        <w:rPr>
          <w:rFonts w:eastAsia="Times New Roman"/>
          <w:vanish/>
        </w:rPr>
        <w:t>ngSegmentsMemberugi:MidstreamAndMarketingMember2022-09-300000884614ugi:UGIUtilitiesIncMemberus-gaap:OperatingSegmentsMember2022-09-300000884614ugi:CorporateAndReconcilingItemsMember2022-09-300000884614us-gaap:IntersegmentEliminationMemberugi:AmeriGasPropan</w:t>
      </w:r>
      <w:r>
        <w:rPr>
          <w:rFonts w:eastAsia="Times New Roman"/>
          <w:vanish/>
        </w:rPr>
        <w:t>eMember2020-10-012021-09-300000884614us-gaap:IntersegmentEliminationMemberugi:UGIInternationalMember2020-10-012021-09-300000884614us-gaap:IntersegmentEliminationMemberugi:MidstreamAndMarketingMember2020-10-012021-09-300000884614ugi:UGIUtilitiesIncMemberus-</w:t>
      </w:r>
      <w:r>
        <w:rPr>
          <w:rFonts w:eastAsia="Times New Roman"/>
          <w:vanish/>
        </w:rPr>
        <w:t>gaap:IntersegmentEliminationMember2020-10-012021-09-300000884614ugi:CorporateReconcilingItemsAndEliminationsMember2020-10-012021-09-300000884614us-gaap:IntersegmentEliminationMember2021-09-300000884614us-gaap:OperatingSegmentsMemberugi:AmeriGasPropaneMembe</w:t>
      </w:r>
      <w:r>
        <w:rPr>
          <w:rFonts w:eastAsia="Times New Roman"/>
          <w:vanish/>
        </w:rPr>
        <w:t>r2021-09-300000884614us-gaap:OperatingSegmentsMemberugi:UGIInternationalMember2021-09-300000884614us-gaap:OperatingSegmentsMemberugi:MidstreamAndMarketingMember2021-09-300000884614ugi:UGIUtilitiesIncMemberus-gaap:OperatingSegmentsMember2021-09-300000884614</w:t>
      </w:r>
      <w:r>
        <w:rPr>
          <w:rFonts w:eastAsia="Times New Roman"/>
          <w:vanish/>
        </w:rPr>
        <w:t>ugi:CorporateAndReconcilingItemsMember2021-09-300000884614us-gaap:SalesMemberugi:CorporateAndReconcilingItemsMemberugi:AmeriGasPropaneMember2022-10-012023-09-300000884614ugi:UGIInternationalMemberus-gaap:SalesMemberugi:CorporateAndReconcilingItemsMember202</w:t>
      </w:r>
      <w:r>
        <w:rPr>
          <w:rFonts w:eastAsia="Times New Roman"/>
          <w:vanish/>
        </w:rPr>
        <w:t>2-10-012023-09-300000884614ugi:MidstreamAndMarketingMemberus-gaap:SalesMemberugi:CorporateAndReconcilingItemsMember2022-10-012023-09-300000884614us-gaap:CostOfSalesMemberugi:CorporateAndReconcilingItemsMemberugi:AmeriGasPropaneMember2022-10-012023-09-30000</w:t>
      </w:r>
      <w:r>
        <w:rPr>
          <w:rFonts w:eastAsia="Times New Roman"/>
          <w:vanish/>
        </w:rPr>
        <w:t>0884614us-gaap:CostOfSalesMemberugi:UGIInternationalMemberugi:CorporateAndReconcilingItemsMember2022-10-012023-09-300000884614us-gaap:CostOfSalesMemberugi:MidstreamAndMarketingMemberugi:CorporateAndReconcilingItemsMember2022-10-012023-09-300000884614ugi:Co</w:t>
      </w:r>
      <w:r>
        <w:rPr>
          <w:rFonts w:eastAsia="Times New Roman"/>
          <w:vanish/>
        </w:rPr>
        <w:t>rporateAndReconcilingItemsMemberugi:AmeriGasPropaneMemberus-gaap:GeneralAndAdministrativeExpenseMember2022-10-012023-09-300000884614ugi:UGIInternationalMemberugi:CorporateAndReconcilingItemsMemberus-gaap:GeneralAndAdministrativeExpenseMember2022-10-012023-</w:t>
      </w:r>
      <w:r>
        <w:rPr>
          <w:rFonts w:eastAsia="Times New Roman"/>
          <w:vanish/>
        </w:rPr>
        <w:t>09-300000884614ugi:MidstreamAndMarketingMemberugi:CorporateAndReconcilingItemsMemberus-gaap:GeneralAndAdministrativeExpenseMember2022-10-012023-09-300000884614ugi:CorporateAndReconcilingItemsMemberugi:AmeriGasPropaneMember2022-10-012023-09-300000884614ugi:</w:t>
      </w:r>
      <w:r>
        <w:rPr>
          <w:rFonts w:eastAsia="Times New Roman"/>
          <w:vanish/>
        </w:rPr>
        <w:t>UGIInternationalMemberugi:CorporateAndReconcilingItemsMember2022-10-012023-09-300000884614ugi:MidstreamAndMarketingMemberugi:CorporateAndReconcilingItemsMember2022-10-012023-09-300000884614us-gaap:OtherNonoperatingIncomeExpenseMemberugi:CorporateAndReconci</w:t>
      </w:r>
      <w:r>
        <w:rPr>
          <w:rFonts w:eastAsia="Times New Roman"/>
          <w:vanish/>
        </w:rPr>
        <w:t>lingItemsMemberugi:AmeriGasPropaneMember2022-10-012023-09-300000884614ugi:UGIInternationalMemberus-gaap:OtherNonoperatingIncomeExpenseMemberugi:CorporateAndReconcilingItemsMember2022-10-012023-09-300000884614us-gaap:OtherNonoperatingIncomeExpenseMemberugi:</w:t>
      </w:r>
      <w:r>
        <w:rPr>
          <w:rFonts w:eastAsia="Times New Roman"/>
          <w:vanish/>
        </w:rPr>
        <w:t>MidstreamAndMarketingMemberugi:CorporateAndReconcilingItemsMember2022-10-012023-09-300000884614ugi:SalesAndGeneralAndAdministrativeExpenseMemberugi:CorporateAndReconcilingItemsMemberugi:AmeriGasPropaneMember2022-10-012023-09-300000884614ugi:UGIInternationa</w:t>
      </w:r>
      <w:r>
        <w:rPr>
          <w:rFonts w:eastAsia="Times New Roman"/>
          <w:vanish/>
        </w:rPr>
        <w:t>lMemberugi:SalesAndGeneralAndAdministrativeExpenseMemberugi:CorporateAndReconcilingItemsMember2022-10-012023-09-300000884614ugi:MidstreamAndMarketingMemberugi:SalesAndGeneralAndAdministrativeExpenseMemberugi:CorporateAndReconcilingItemsMember2022-10-012023</w:t>
      </w:r>
      <w:r>
        <w:rPr>
          <w:rFonts w:eastAsia="Times New Roman"/>
          <w:vanish/>
        </w:rPr>
        <w:t>-09-300000884614ugi:CorporateAndReconcilingItemsMemberugi:AmeriGasPropaneMemberugi:GainLossOnDispositionOfBusinessMember2022-10-012023-09-300000884614ugi:UGIInternationalMemberugi:CorporateAndReconcilingItemsMemberugi:GainLossOnDispositionOfBusinessMember2</w:t>
      </w:r>
      <w:r>
        <w:rPr>
          <w:rFonts w:eastAsia="Times New Roman"/>
          <w:vanish/>
        </w:rPr>
        <w:t>022-10-012023-09-300000884614ugi:MidstreamAndMarketingMemberugi:CorporateAndReconcilingItemsMemberugi:GainLossOnDispositionOfBusinessMember2022-10-012023-09-300000884614us-gaap:SalesMemberugi:CorporateAndReconcilingItemsMemberugi:AmeriGasPropaneMember2021-</w:t>
      </w:r>
      <w:r>
        <w:rPr>
          <w:rFonts w:eastAsia="Times New Roman"/>
          <w:vanish/>
        </w:rPr>
        <w:t>10-012022-09-300000884614ugi:UGIInternationalMemberus-gaap:SalesMemberugi:CorporateAndReconcilingItemsMember2021-10-012022-09-300000884614ugi:MidstreamAndMarketingMemberus-gaap:SalesMemberugi:CorporateAndReconcilingItemsMember2021-10-012022-09-300000884614</w:t>
      </w:r>
      <w:r>
        <w:rPr>
          <w:rFonts w:eastAsia="Times New Roman"/>
          <w:vanish/>
        </w:rPr>
        <w:t>us-gaap:CostOfSalesMemberugi:CorporateAndReconcilingItemsMemberugi:AmeriGasPropaneMember2021-10-012022-09-300000884614us-gaap:CostOfSalesMemberugi:UGIInternationalMemberugi:CorporateAndReconcilingItemsMember2021-10-012022-09-300000884614us-gaap:CostOfSales</w:t>
      </w:r>
      <w:r>
        <w:rPr>
          <w:rFonts w:eastAsia="Times New Roman"/>
          <w:vanish/>
        </w:rPr>
        <w:t>Memberugi:MidstreamAndMarketingMemberugi:CorporateAndReconcilingItemsMember2021-10-012022-09-300000884614us-gaap:OtherOperatingIncomeExpenseMemberugi:CorporateAndReconcilingItemsMemberugi:AmeriGasPropaneMember2021-10-012022-09-300000884614ugi:UGIInternatio</w:t>
      </w:r>
      <w:r>
        <w:rPr>
          <w:rFonts w:eastAsia="Times New Roman"/>
          <w:vanish/>
        </w:rPr>
        <w:t>nalMemberus-gaap:OtherOperatingIncomeExpenseMemberugi:CorporateAndReconcilingItemsMember2021-10-012022-09-300000884614us-gaap:OtherOperatingIncomeExpenseMemberugi:MidstreamAndMarketingMemberugi:CorporateAndReconcilingItemsMember2021-10-012022-09-3000008846</w:t>
      </w:r>
      <w:r>
        <w:rPr>
          <w:rFonts w:eastAsia="Times New Roman"/>
          <w:vanish/>
        </w:rPr>
        <w:t>14ugi:CorporateAndReconcilingItemsMemberugi:AmeriGasPropaneMemberus-gaap:GeneralAndAdministrativeExpenseMember2021-10-012022-09-300000884614ugi:UGIInternationalMemberugi:CorporateAndReconcilingItemsMemberus-gaap:GeneralAndAdministrativeExpenseMember2021-10</w:t>
      </w:r>
      <w:r>
        <w:rPr>
          <w:rFonts w:eastAsia="Times New Roman"/>
          <w:vanish/>
        </w:rPr>
        <w:t>-012022-09-300000884614ugi:MidstreamAndMarketingMemberugi:CorporateAndReconcilingItemsMemberus-gaap:GeneralAndAdministrativeExpenseMember2021-10-012022-09-300000884614ugi:CorporateAndReconcilingItemsMemberugi:AmeriGasPropaneMember2021-10-012022-09-30000088</w:t>
      </w:r>
      <w:r>
        <w:rPr>
          <w:rFonts w:eastAsia="Times New Roman"/>
          <w:vanish/>
        </w:rPr>
        <w:t>4614ugi:UGIInternationalMemberugi:CorporateAndReconcilingItemsMember2021-10-012022-09-300000884614ugi:MidstreamAndMarketingMemberugi:CorporateAndReconcilingItemsMember2021-10-012022-09-300000884614us-gaap:OtherNonoperatingIncomeExpenseMemberugi:CorporateAn</w:t>
      </w:r>
      <w:r>
        <w:rPr>
          <w:rFonts w:eastAsia="Times New Roman"/>
          <w:vanish/>
        </w:rPr>
        <w:t>dReconcilingItemsMemberugi:AmeriGasPropaneMember2021-10-012022-09-300000884614ugi:UGIInternationalMemberus-gaap:OtherNonoperatingIncomeExpenseMemberugi:CorporateAndReconcilingItemsMember2021-10-012022-09-300000884614us-gaap:OtherNonoperatingIncomeExpenseMe</w:t>
      </w:r>
      <w:r>
        <w:rPr>
          <w:rFonts w:eastAsia="Times New Roman"/>
          <w:vanish/>
        </w:rPr>
        <w:t>mberugi:MidstreamAndMarketingMemberugi:CorporateAndReconcilingItemsMember2021-10-012022-09-300000884614ugi:IncomeLossFromEquityMethodInvestmentsMemberugi:CorporateAndReconcilingItemsMemberugi:AmeriGasPropaneMember2021-10-012022-09-300000884614ugi:UGIIntern</w:t>
      </w:r>
      <w:r>
        <w:rPr>
          <w:rFonts w:eastAsia="Times New Roman"/>
          <w:vanish/>
        </w:rPr>
        <w:t>ationalMemberugi:IncomeLossFromEquityMethodInvestmentsMemberugi:CorporateAndReconcilingItemsMember2021-10-012022-09-300000884614ugi:IncomeLossFromEquityMethodInvestmentsMemberugi:MidstreamAndMarketingMemberugi:CorporateAndReconcilingItemsMember2021-10-0120</w:t>
      </w:r>
      <w:r>
        <w:rPr>
          <w:rFonts w:eastAsia="Times New Roman"/>
          <w:vanish/>
        </w:rPr>
        <w:t>22-09-300000884614us-gaap:SalesMemberugi:CorporateAndReconcilingItemsMemberugi:AmeriGasPropaneMember2020-10-012021-09-300000884614ugi:UGIInternationalMemberus-gaap:SalesMemberugi:CorporateAndReconcilingItemsMember2020-10-012021-09-300000884614ugi:Midstream</w:t>
      </w:r>
      <w:r>
        <w:rPr>
          <w:rFonts w:eastAsia="Times New Roman"/>
          <w:vanish/>
        </w:rPr>
        <w:t>AndMarketingMemberus-gaap:SalesMemberugi:CorporateAndReconcilingItemsMember2020-10-012021-09-300000884614us-gaap:CostOfSalesMemberugi:CorporateAndReconcilingItemsMemberugi:AmeriGasPropaneMember2020-10-012021-09-300000884614us-gaap:CostOfSalesMemberugi:UGII</w:t>
      </w:r>
      <w:r>
        <w:rPr>
          <w:rFonts w:eastAsia="Times New Roman"/>
          <w:vanish/>
        </w:rPr>
        <w:t>nternationalMemberugi:CorporateAndReconcilingItemsMember2020-10-012021-09-300000884614us-gaap:CostOfSalesMemberugi:MidstreamAndMarketingMemberugi:CorporateAndReconcilingItemsMember2020-10-012021-09-300000884614us-gaap:OtherNonoperatingIncomeExpenseMemberug</w:t>
      </w:r>
      <w:r>
        <w:rPr>
          <w:rFonts w:eastAsia="Times New Roman"/>
          <w:vanish/>
        </w:rPr>
        <w:t>i:CorporateAndReconcilingItemsMemberugi:AmeriGasPropaneMember2020-10-012021-09-300000884614ugi:UGIInternationalMemberus-gaap:OtherNonoperatingIncomeExpenseMemberugi:CorporateAndReconcilingItemsMember2020-10-012021-09-300000884614us-gaap:OtherNonoperatingIn</w:t>
      </w:r>
      <w:r>
        <w:rPr>
          <w:rFonts w:eastAsia="Times New Roman"/>
          <w:vanish/>
        </w:rPr>
        <w:t>comeExpenseMemberugi:MidstreamAndMarketingMemberugi:CorporateAndReconcilingItemsMember2020-10-012021-09-300000884614ugi:CorporateAndReconcilingItemsMemberugi:AmeriGasPropaneMemberus-gaap:GeneralAndAdministrativeExpenseMember2020-10-012021-09-300000884614ug</w:t>
      </w:r>
      <w:r>
        <w:rPr>
          <w:rFonts w:eastAsia="Times New Roman"/>
          <w:vanish/>
        </w:rPr>
        <w:t>i:UGIInternationalMemberugi:CorporateAndReconcilingItemsMemberus-gaap:GeneralAndAdministrativeExpenseMember2020-10-012021-09-300000884614ugi:MidstreamAndMarketingMemberugi:CorporateAndReconcilingItemsMemberus-gaap:GeneralAndAdministrativeExpenseMember2020-</w:t>
      </w:r>
      <w:r>
        <w:rPr>
          <w:rFonts w:eastAsia="Times New Roman"/>
          <w:vanish/>
        </w:rPr>
        <w:t>10-012021-09-300000884614ugi:IncomeLossFromEquityMethodInvestmentsMemberugi:CorporateAndReconcilingItemsMemberugi:AmeriGasPropaneMember2020-10-012021-09-300000884614ugi:UGIInternationalMemberugi:IncomeLossFromEquityMethodInvestmentsMemberugi:CorporateAndRe</w:t>
      </w:r>
      <w:r>
        <w:rPr>
          <w:rFonts w:eastAsia="Times New Roman"/>
          <w:vanish/>
        </w:rPr>
        <w:t>concilingItemsMember2020-10-012021-09-300000884614ugi:IncomeLossFromEquityMethodInvestmentsMemberugi:MidstreamAndMarketingMemberugi:CorporateAndReconcilingItemsMember2020-10-012021-09-300000884614ugi:CorporateServicesMemberMember2022-10-012023-09-300000884</w:t>
      </w:r>
      <w:r>
        <w:rPr>
          <w:rFonts w:eastAsia="Times New Roman"/>
          <w:vanish/>
        </w:rPr>
        <w:t>614ugi:CorporateServicesMemberMember2021-10-012022-09-300000884614ugi:CorporateServicesMemberMember2020-10-012021-09-300000884614srt:ParentCompanyMember2023-09-300000884614srt:ParentCompanyMember2022-09-300000884614srt:ParentCompanyMember2022-10-012023-09-</w:t>
      </w:r>
      <w:r>
        <w:rPr>
          <w:rFonts w:eastAsia="Times New Roman"/>
          <w:vanish/>
        </w:rPr>
        <w:t>300000884614srt:ParentCompanyMember2021-10-012022-09-300000884614srt:ParentCompanyMember2020-10-012021-09-300000884614srt:ParentCompanyMember2021-09-300000884614srt:ParentCompanyMember2020-09-300000884614us-gaap:AllowanceForCreditLossMember2022-09-30000088</w:t>
      </w:r>
      <w:r>
        <w:rPr>
          <w:rFonts w:eastAsia="Times New Roman"/>
          <w:vanish/>
        </w:rPr>
        <w:t>4614us-gaap:AllowanceForCreditLossMember2022-10-012023-09-300000884614us-gaap:AllowanceForCreditLossMember2023-09-300000884614us-gaap:ValuationAllowanceOfDeferredTaxAssetsMember2022-09-300000884614us-gaap:ValuationAllowanceOfDeferredTaxAssetsMember2022-10-</w:t>
      </w:r>
      <w:r>
        <w:rPr>
          <w:rFonts w:eastAsia="Times New Roman"/>
          <w:vanish/>
        </w:rPr>
        <w:t>012023-09-300000884614us-gaap:ValuationAllowanceOfDeferredTaxAssetsMember2023-09-300000884614us-gaap:AllowanceForCreditLossMember2021-09-300000884614us-gaap:AllowanceForCreditLossMember2021-10-012022-09-300000884614us-gaap:ValuationAllowanceOfDeferredTaxAs</w:t>
      </w:r>
      <w:r>
        <w:rPr>
          <w:rFonts w:eastAsia="Times New Roman"/>
          <w:vanish/>
        </w:rPr>
        <w:t>setsMember2021-09-300000884614us-gaap:ValuationAllowanceOfDeferredTaxAssetsMember2021-10-012022-09-300000884614us-gaap:AllowanceForCreditLossMember2020-09-300000884614us-gaap:AllowanceForCreditLossMember2020-10-012021-09-300000884614us-gaap:ValuationAllowa</w:t>
      </w:r>
      <w:r>
        <w:rPr>
          <w:rFonts w:eastAsia="Times New Roman"/>
          <w:vanish/>
        </w:rPr>
        <w:t>nceOfDeferredTaxAssetsMember2020-09-300000884614us-gaap:ValuationAllowanceOfDeferredTaxAssetsMember2020-10-012021-09-30</w:t>
      </w:r>
    </w:p>
    <w:p w:rsidR="00000000" w:rsidRDefault="00AC31B9">
      <w:pPr>
        <w:divId w:val="1175339385"/>
        <w:rPr>
          <w:rFonts w:eastAsia="Times New Roman"/>
        </w:rPr>
      </w:pPr>
      <w:hyperlink w:anchor="ic92dd05487854a4eaece953328045c39_7" w:history="1">
        <w:r>
          <w:rPr>
            <w:rStyle w:val="a3"/>
            <w:rFonts w:eastAsia="Times New Roman"/>
            <w:b/>
            <w:bCs/>
            <w:sz w:val="20"/>
            <w:szCs w:val="20"/>
          </w:rPr>
          <w:t>Table of Contents</w:t>
        </w:r>
      </w:hyperlink>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jc w:val="center"/>
        </w:trPr>
        <w:tc>
          <w:tcPr>
            <w:tcW w:w="50" w:type="pct"/>
            <w:vAlign w:val="center"/>
            <w:hideMark/>
          </w:tcPr>
          <w:p w:rsidR="00000000" w:rsidRDefault="00AC31B9">
            <w:pPr>
              <w:rPr>
                <w:rFonts w:eastAsia="Times New Roman"/>
              </w:rPr>
            </w:pPr>
          </w:p>
        </w:tc>
        <w:tc>
          <w:tcPr>
            <w:tcW w:w="494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trHeight w:val="60"/>
          <w:jc w:val="center"/>
        </w:trPr>
        <w:tc>
          <w:tcPr>
            <w:tcW w:w="0" w:type="auto"/>
            <w:gridSpan w:val="3"/>
            <w:tcBorders>
              <w:top w:val="single" w:sz="24" w:space="0" w:color="000000"/>
              <w:bottom w:val="single" w:sz="8" w:space="0" w:color="000000"/>
            </w:tcBorders>
            <w:tcMar>
              <w:top w:w="0" w:type="dxa"/>
              <w:left w:w="20" w:type="dxa"/>
              <w:bottom w:w="0" w:type="dxa"/>
              <w:right w:w="20" w:type="dxa"/>
            </w:tcMar>
            <w:vAlign w:val="center"/>
            <w:hideMark/>
          </w:tcPr>
          <w:p w:rsidR="00000000" w:rsidRDefault="00AC31B9">
            <w:pPr>
              <w:spacing w:after="100"/>
              <w:rPr>
                <w:rFonts w:eastAsia="Times New Roman"/>
                <w:sz w:val="20"/>
                <w:szCs w:val="20"/>
              </w:rPr>
            </w:pPr>
          </w:p>
        </w:tc>
      </w:tr>
    </w:tbl>
    <w:p w:rsidR="00000000" w:rsidRDefault="00AC31B9">
      <w:pPr>
        <w:jc w:val="center"/>
        <w:rPr>
          <w:rFonts w:eastAsia="Times New Roman"/>
        </w:rPr>
      </w:pPr>
      <w:r>
        <w:rPr>
          <w:rFonts w:eastAsia="Times New Roman"/>
          <w:b/>
          <w:bCs/>
          <w:color w:val="000000"/>
        </w:rPr>
        <w:t>UNITED STATES</w:t>
      </w:r>
    </w:p>
    <w:p w:rsidR="00000000" w:rsidRDefault="00AC31B9">
      <w:pPr>
        <w:jc w:val="center"/>
        <w:rPr>
          <w:rFonts w:eastAsia="Times New Roman"/>
        </w:rPr>
      </w:pPr>
      <w:r>
        <w:rPr>
          <w:rFonts w:eastAsia="Times New Roman"/>
          <w:b/>
          <w:bCs/>
          <w:color w:val="000000"/>
        </w:rPr>
        <w:t>SECURITIES AND EXCHANGE COMMISSION</w:t>
      </w:r>
    </w:p>
    <w:p w:rsidR="00000000" w:rsidRDefault="00AC31B9">
      <w:pPr>
        <w:jc w:val="center"/>
        <w:rPr>
          <w:rFonts w:eastAsia="Times New Roman"/>
        </w:rPr>
      </w:pPr>
      <w:r>
        <w:rPr>
          <w:rFonts w:eastAsia="Times New Roman"/>
          <w:b/>
          <w:bCs/>
          <w:color w:val="000000"/>
          <w:sz w:val="22"/>
          <w:szCs w:val="22"/>
        </w:rPr>
        <w:t>WASHINGTON, D.C. 20549</w:t>
      </w:r>
    </w:p>
    <w:tbl>
      <w:tblPr>
        <w:tblW w:w="2640" w:type="dxa"/>
        <w:jc w:val="center"/>
        <w:tblCellMar>
          <w:top w:w="15" w:type="dxa"/>
          <w:left w:w="15" w:type="dxa"/>
          <w:bottom w:w="15" w:type="dxa"/>
          <w:right w:w="15" w:type="dxa"/>
        </w:tblCellMar>
        <w:tblLook w:val="04A0" w:firstRow="1" w:lastRow="0" w:firstColumn="1" w:lastColumn="0" w:noHBand="0" w:noVBand="1"/>
      </w:tblPr>
      <w:tblGrid>
        <w:gridCol w:w="36"/>
        <w:gridCol w:w="2568"/>
        <w:gridCol w:w="36"/>
      </w:tblGrid>
      <w:tr w:rsidR="00000000">
        <w:trPr>
          <w:jc w:val="center"/>
        </w:trPr>
        <w:tc>
          <w:tcPr>
            <w:tcW w:w="20" w:type="dxa"/>
            <w:vAlign w:val="center"/>
            <w:hideMark/>
          </w:tcPr>
          <w:p w:rsidR="00000000" w:rsidRDefault="00AC31B9">
            <w:pPr>
              <w:jc w:val="center"/>
              <w:rPr>
                <w:rFonts w:eastAsia="Times New Roman"/>
              </w:rPr>
            </w:pPr>
          </w:p>
        </w:tc>
        <w:tc>
          <w:tcPr>
            <w:tcW w:w="2600"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r>
      <w:tr w:rsidR="00000000">
        <w:trPr>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AC31B9">
            <w:pPr>
              <w:spacing w:after="100"/>
              <w:rPr>
                <w:rFonts w:eastAsia="Times New Roman"/>
                <w:sz w:val="20"/>
                <w:szCs w:val="20"/>
              </w:rPr>
            </w:pPr>
          </w:p>
        </w:tc>
      </w:tr>
    </w:tbl>
    <w:p w:rsidR="00000000" w:rsidRDefault="00AC31B9">
      <w:pPr>
        <w:jc w:val="center"/>
        <w:rPr>
          <w:rFonts w:eastAsia="Times New Roman"/>
        </w:rPr>
      </w:pPr>
      <w:r>
        <w:rPr>
          <w:rFonts w:eastAsia="Times New Roman"/>
          <w:b/>
          <w:bCs/>
          <w:color w:val="000000"/>
          <w:sz w:val="36"/>
          <w:szCs w:val="36"/>
        </w:rPr>
        <w:t xml:space="preserve">FORM 10-K </w:t>
      </w:r>
    </w:p>
    <w:tbl>
      <w:tblPr>
        <w:tblW w:w="5000" w:type="pct"/>
        <w:jc w:val="center"/>
        <w:tblCellMar>
          <w:top w:w="15" w:type="dxa"/>
          <w:left w:w="15" w:type="dxa"/>
          <w:bottom w:w="15" w:type="dxa"/>
          <w:right w:w="15" w:type="dxa"/>
        </w:tblCellMar>
        <w:tblLook w:val="04A0" w:firstRow="1" w:lastRow="0" w:firstColumn="1" w:lastColumn="0" w:noHBand="0" w:noVBand="1"/>
      </w:tblPr>
      <w:tblGrid>
        <w:gridCol w:w="75"/>
        <w:gridCol w:w="239"/>
        <w:gridCol w:w="36"/>
        <w:gridCol w:w="69"/>
        <w:gridCol w:w="7851"/>
        <w:gridCol w:w="36"/>
      </w:tblGrid>
      <w:tr w:rsidR="00000000">
        <w:trPr>
          <w:jc w:val="center"/>
        </w:trPr>
        <w:tc>
          <w:tcPr>
            <w:tcW w:w="50" w:type="pct"/>
            <w:vAlign w:val="center"/>
            <w:hideMark/>
          </w:tcPr>
          <w:p w:rsidR="00000000" w:rsidRDefault="00AC31B9">
            <w:pPr>
              <w:jc w:val="center"/>
              <w:rPr>
                <w:rFonts w:eastAsia="Times New Roman"/>
              </w:rPr>
            </w:pPr>
          </w:p>
        </w:tc>
        <w:tc>
          <w:tcPr>
            <w:tcW w:w="15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73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center"/>
            <w:hideMark/>
          </w:tcPr>
          <w:p w:rsidR="00000000" w:rsidRDefault="00AC31B9">
            <w:pPr>
              <w:spacing w:after="100"/>
              <w:jc w:val="both"/>
              <w:rPr>
                <w:rFonts w:eastAsia="Times New Roman"/>
              </w:rPr>
            </w:pPr>
            <w:r>
              <w:rPr>
                <w:rFonts w:eastAsia="Times New Roman"/>
                <w:b/>
                <w:bCs/>
                <w:color w:val="000000"/>
                <w:sz w:val="22"/>
                <w:szCs w:val="22"/>
              </w:rPr>
              <w:t>ANNUAL REPORT PURSUANT TO SECTION 13 OR 15(d) OF THE SECURITIES EXCHANGE ACT OF 1934</w:t>
            </w:r>
          </w:p>
        </w:tc>
      </w:tr>
    </w:tbl>
    <w:p w:rsidR="00000000" w:rsidRDefault="00AC31B9">
      <w:pPr>
        <w:jc w:val="center"/>
        <w:rPr>
          <w:rFonts w:eastAsia="Times New Roman"/>
        </w:rPr>
      </w:pPr>
      <w:r>
        <w:rPr>
          <w:rFonts w:eastAsia="Times New Roman"/>
          <w:b/>
          <w:bCs/>
          <w:color w:val="000000"/>
          <w:sz w:val="18"/>
          <w:szCs w:val="18"/>
        </w:rPr>
        <w:t xml:space="preserve">FOR THE FISCAL YEAR ENDED SEPTEMBER 30, 2023 </w:t>
      </w:r>
    </w:p>
    <w:tbl>
      <w:tblPr>
        <w:tblW w:w="4970" w:type="pct"/>
        <w:jc w:val="center"/>
        <w:tblCellMar>
          <w:top w:w="15" w:type="dxa"/>
          <w:left w:w="15" w:type="dxa"/>
          <w:bottom w:w="15" w:type="dxa"/>
          <w:right w:w="15" w:type="dxa"/>
        </w:tblCellMar>
        <w:tblLook w:val="04A0" w:firstRow="1" w:lastRow="0" w:firstColumn="1" w:lastColumn="0" w:noHBand="0" w:noVBand="1"/>
      </w:tblPr>
      <w:tblGrid>
        <w:gridCol w:w="68"/>
        <w:gridCol w:w="234"/>
        <w:gridCol w:w="36"/>
        <w:gridCol w:w="69"/>
        <w:gridCol w:w="7813"/>
        <w:gridCol w:w="36"/>
      </w:tblGrid>
      <w:tr w:rsidR="00000000">
        <w:trPr>
          <w:jc w:val="center"/>
        </w:trPr>
        <w:tc>
          <w:tcPr>
            <w:tcW w:w="50" w:type="pct"/>
            <w:vAlign w:val="center"/>
            <w:hideMark/>
          </w:tcPr>
          <w:p w:rsidR="00000000" w:rsidRDefault="00AC31B9">
            <w:pPr>
              <w:jc w:val="center"/>
              <w:rPr>
                <w:rFonts w:eastAsia="Times New Roman"/>
              </w:rPr>
            </w:pPr>
          </w:p>
        </w:tc>
        <w:tc>
          <w:tcPr>
            <w:tcW w:w="15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73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AC31B9">
            <w:pPr>
              <w:spacing w:after="100"/>
              <w:jc w:val="both"/>
              <w:rPr>
                <w:rFonts w:eastAsia="Times New Roman"/>
              </w:rPr>
            </w:pPr>
            <w:r>
              <w:rPr>
                <w:rFonts w:eastAsia="Times New Roman"/>
                <w:b/>
                <w:bCs/>
                <w:color w:val="000000"/>
                <w:sz w:val="22"/>
                <w:szCs w:val="22"/>
              </w:rPr>
              <w:t>TRANSITION REPORT PURSUANT TO SECTION 13 OR 15(d) OF THE SECURITIES EXCHANGE ACT OF 1934</w:t>
            </w:r>
          </w:p>
        </w:tc>
      </w:tr>
    </w:tbl>
    <w:p w:rsidR="00000000" w:rsidRDefault="00AC31B9">
      <w:pPr>
        <w:jc w:val="center"/>
        <w:rPr>
          <w:rFonts w:eastAsia="Times New Roman"/>
        </w:rPr>
      </w:pPr>
      <w:r>
        <w:rPr>
          <w:rFonts w:eastAsia="Times New Roman"/>
          <w:b/>
          <w:bCs/>
          <w:color w:val="000000"/>
          <w:sz w:val="20"/>
          <w:szCs w:val="20"/>
        </w:rPr>
        <w:t>For the transition period from  ________ to ________  </w:t>
      </w:r>
    </w:p>
    <w:p w:rsidR="00000000" w:rsidRDefault="00AC31B9">
      <w:pPr>
        <w:jc w:val="center"/>
        <w:rPr>
          <w:rFonts w:eastAsia="Times New Roman"/>
        </w:rPr>
      </w:pPr>
      <w:r>
        <w:rPr>
          <w:rFonts w:eastAsia="Times New Roman"/>
          <w:b/>
          <w:bCs/>
          <w:color w:val="000000"/>
          <w:sz w:val="18"/>
          <w:szCs w:val="18"/>
        </w:rPr>
        <w:t xml:space="preserve">Commission file number 1-11071 </w:t>
      </w:r>
    </w:p>
    <w:p w:rsidR="00000000" w:rsidRDefault="00AC31B9">
      <w:pPr>
        <w:jc w:val="center"/>
        <w:rPr>
          <w:rFonts w:eastAsia="Times New Roman"/>
        </w:rPr>
      </w:pPr>
      <w:r>
        <w:rPr>
          <w:rFonts w:eastAsia="Times New Roman"/>
          <w:b/>
          <w:bCs/>
          <w:color w:val="000000"/>
          <w:sz w:val="48"/>
          <w:szCs w:val="48"/>
        </w:rPr>
        <w:t>UGI CORPORATION</w:t>
      </w:r>
    </w:p>
    <w:p w:rsidR="00000000" w:rsidRDefault="00AC31B9">
      <w:pPr>
        <w:jc w:val="center"/>
        <w:rPr>
          <w:rFonts w:eastAsia="Times New Roman"/>
        </w:rPr>
      </w:pPr>
      <w:r>
        <w:rPr>
          <w:rFonts w:eastAsia="Times New Roman"/>
          <w:b/>
          <w:bCs/>
          <w:color w:val="000000"/>
          <w:sz w:val="20"/>
          <w:szCs w:val="20"/>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3762"/>
        <w:gridCol w:w="36"/>
        <w:gridCol w:w="69"/>
        <w:gridCol w:w="465"/>
        <w:gridCol w:w="36"/>
        <w:gridCol w:w="70"/>
        <w:gridCol w:w="3763"/>
        <w:gridCol w:w="36"/>
      </w:tblGrid>
      <w:tr w:rsidR="00000000">
        <w:trPr>
          <w:divId w:val="1852917536"/>
        </w:trPr>
        <w:tc>
          <w:tcPr>
            <w:tcW w:w="50" w:type="pct"/>
            <w:vAlign w:val="center"/>
            <w:hideMark/>
          </w:tcPr>
          <w:p w:rsidR="00000000" w:rsidRDefault="00AC31B9">
            <w:pPr>
              <w:jc w:val="center"/>
              <w:rPr>
                <w:rFonts w:eastAsia="Times New Roman"/>
              </w:rPr>
            </w:pPr>
          </w:p>
        </w:tc>
        <w:tc>
          <w:tcPr>
            <w:tcW w:w="227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28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227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852917536"/>
        </w:trPr>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18"/>
                <w:szCs w:val="18"/>
              </w:rPr>
              <w:t>Pennsylvania</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18"/>
                <w:szCs w:val="18"/>
              </w:rPr>
              <w:t>23-2668356</w:t>
            </w:r>
          </w:p>
        </w:tc>
      </w:tr>
      <w:tr w:rsidR="00000000">
        <w:trPr>
          <w:divId w:val="1852917536"/>
        </w:trPr>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b/>
                <w:bCs/>
                <w:color w:val="000000"/>
                <w:sz w:val="18"/>
                <w:szCs w:val="18"/>
              </w:rPr>
              <w:t>(State or Other Jurisdiction of</w:t>
            </w:r>
            <w:r>
              <w:rPr>
                <w:rFonts w:eastAsia="Times New Roman"/>
                <w:b/>
                <w:bCs/>
                <w:color w:val="000000"/>
                <w:sz w:val="18"/>
                <w:szCs w:val="18"/>
              </w:rPr>
              <w:br/>
              <w:t>Incorporation or Organization)</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b/>
                <w:bCs/>
                <w:color w:val="000000"/>
                <w:sz w:val="18"/>
                <w:szCs w:val="18"/>
              </w:rPr>
              <w:t>(I.R.S. Employer Identification No.)</w:t>
            </w:r>
          </w:p>
        </w:tc>
      </w:tr>
    </w:tbl>
    <w:p w:rsidR="00000000" w:rsidRDefault="00AC31B9">
      <w:pPr>
        <w:jc w:val="center"/>
        <w:rPr>
          <w:rFonts w:eastAsia="Times New Roman"/>
        </w:rPr>
      </w:pPr>
      <w:r>
        <w:rPr>
          <w:rFonts w:eastAsia="Times New Roman"/>
          <w:color w:val="000000"/>
          <w:sz w:val="18"/>
          <w:szCs w:val="18"/>
        </w:rPr>
        <w:t xml:space="preserve">500 North Gulph Road, </w:t>
      </w:r>
      <w:r>
        <w:rPr>
          <w:rFonts w:eastAsia="Times New Roman"/>
          <w:color w:val="000000"/>
          <w:sz w:val="18"/>
          <w:szCs w:val="18"/>
        </w:rPr>
        <w:t xml:space="preserve">King of Prussia, PA 19406 </w:t>
      </w:r>
    </w:p>
    <w:p w:rsidR="00000000" w:rsidRDefault="00AC31B9">
      <w:pPr>
        <w:jc w:val="center"/>
        <w:rPr>
          <w:rFonts w:eastAsia="Times New Roman"/>
        </w:rPr>
      </w:pPr>
      <w:r>
        <w:rPr>
          <w:rFonts w:eastAsia="Times New Roman"/>
          <w:b/>
          <w:bCs/>
          <w:color w:val="000000"/>
          <w:sz w:val="18"/>
          <w:szCs w:val="18"/>
        </w:rPr>
        <w:t>(Address of Principal Executive Offices) (Zip Code)</w:t>
      </w:r>
    </w:p>
    <w:p w:rsidR="00000000" w:rsidRDefault="00AC31B9">
      <w:pPr>
        <w:jc w:val="center"/>
        <w:divId w:val="841701867"/>
        <w:rPr>
          <w:rFonts w:eastAsia="Times New Roman"/>
        </w:rPr>
      </w:pPr>
      <w:r>
        <w:rPr>
          <w:rFonts w:eastAsia="Times New Roman"/>
          <w:color w:val="000000"/>
          <w:sz w:val="18"/>
          <w:szCs w:val="18"/>
        </w:rPr>
        <w:t xml:space="preserve">(610) 337-1000 </w:t>
      </w:r>
    </w:p>
    <w:p w:rsidR="00000000" w:rsidRDefault="00AC31B9">
      <w:pPr>
        <w:jc w:val="center"/>
        <w:rPr>
          <w:rFonts w:eastAsia="Times New Roman"/>
        </w:rPr>
      </w:pPr>
      <w:r>
        <w:rPr>
          <w:rFonts w:eastAsia="Times New Roman"/>
          <w:b/>
          <w:bCs/>
          <w:color w:val="000000"/>
          <w:sz w:val="18"/>
          <w:szCs w:val="18"/>
        </w:rPr>
        <w:t>(Registrant’s telephone number, including area code)</w:t>
      </w:r>
    </w:p>
    <w:p w:rsidR="00000000" w:rsidRDefault="00AC31B9">
      <w:pPr>
        <w:jc w:val="center"/>
        <w:divId w:val="694621583"/>
        <w:rPr>
          <w:rFonts w:eastAsia="Times New Roman"/>
        </w:rPr>
      </w:pPr>
      <w:r>
        <w:rPr>
          <w:rFonts w:eastAsia="Times New Roman"/>
          <w:b/>
          <w:bCs/>
          <w:color w:val="000000"/>
          <w:sz w:val="18"/>
          <w:szCs w:val="18"/>
        </w:rPr>
        <w:t>Securities registered pursuant to Section 12(b) of the Act:</w:t>
      </w:r>
    </w:p>
    <w:tbl>
      <w:tblPr>
        <w:tblW w:w="4992" w:type="pct"/>
        <w:tblCellMar>
          <w:top w:w="15" w:type="dxa"/>
          <w:left w:w="15" w:type="dxa"/>
          <w:bottom w:w="15" w:type="dxa"/>
          <w:right w:w="15" w:type="dxa"/>
        </w:tblCellMar>
        <w:tblLook w:val="04A0" w:firstRow="1" w:lastRow="0" w:firstColumn="1" w:lastColumn="0" w:noHBand="0" w:noVBand="1"/>
      </w:tblPr>
      <w:tblGrid>
        <w:gridCol w:w="69"/>
        <w:gridCol w:w="3258"/>
        <w:gridCol w:w="37"/>
        <w:gridCol w:w="69"/>
        <w:gridCol w:w="1460"/>
        <w:gridCol w:w="36"/>
        <w:gridCol w:w="69"/>
        <w:gridCol w:w="3259"/>
        <w:gridCol w:w="36"/>
      </w:tblGrid>
      <w:tr w:rsidR="00000000">
        <w:trPr>
          <w:divId w:val="689138542"/>
        </w:trPr>
        <w:tc>
          <w:tcPr>
            <w:tcW w:w="50" w:type="pct"/>
            <w:vAlign w:val="center"/>
            <w:hideMark/>
          </w:tcPr>
          <w:p w:rsidR="00000000" w:rsidRDefault="00AC31B9">
            <w:pPr>
              <w:jc w:val="center"/>
              <w:rPr>
                <w:rFonts w:eastAsia="Times New Roman"/>
              </w:rPr>
            </w:pPr>
          </w:p>
        </w:tc>
        <w:tc>
          <w:tcPr>
            <w:tcW w:w="197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88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97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689138542"/>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Name of each exchange on which registered:</w:t>
            </w:r>
          </w:p>
        </w:tc>
      </w:tr>
      <w:tr w:rsidR="00000000">
        <w:trPr>
          <w:divId w:val="689138542"/>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18"/>
                <w:szCs w:val="18"/>
              </w:rPr>
              <w:t>Common Stock, without par value</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UGI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18"/>
                <w:szCs w:val="18"/>
              </w:rPr>
              <w:t>New York Stock Exchange</w:t>
            </w:r>
          </w:p>
        </w:tc>
      </w:tr>
      <w:tr w:rsidR="00000000">
        <w:trPr>
          <w:divId w:val="689138542"/>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18"/>
                <w:szCs w:val="18"/>
              </w:rPr>
              <w:t>Corporate Units</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UGIC</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18"/>
                <w:szCs w:val="18"/>
              </w:rPr>
              <w:t>New York Stock Exchange</w:t>
            </w:r>
          </w:p>
        </w:tc>
      </w:tr>
    </w:tbl>
    <w:p w:rsidR="00000000" w:rsidRDefault="00AC31B9">
      <w:pPr>
        <w:jc w:val="center"/>
        <w:rPr>
          <w:rFonts w:eastAsia="Times New Roman"/>
        </w:rPr>
      </w:pPr>
      <w:r>
        <w:rPr>
          <w:rFonts w:eastAsia="Times New Roman"/>
          <w:b/>
          <w:bCs/>
          <w:color w:val="000000"/>
          <w:sz w:val="18"/>
          <w:szCs w:val="18"/>
        </w:rPr>
        <w:t>Securities registered pursuant to Section 12(g) of the Act:</w:t>
      </w:r>
      <w:r>
        <w:rPr>
          <w:rFonts w:eastAsia="Times New Roman"/>
          <w:color w:val="000000"/>
          <w:sz w:val="18"/>
          <w:szCs w:val="18"/>
        </w:rPr>
        <w:t xml:space="preserve"> None</w:t>
      </w:r>
    </w:p>
    <w:p w:rsidR="00000000" w:rsidRDefault="00AC31B9">
      <w:pPr>
        <w:jc w:val="both"/>
        <w:rPr>
          <w:rFonts w:eastAsia="Times New Roman"/>
        </w:rPr>
      </w:pPr>
      <w:r>
        <w:rPr>
          <w:rFonts w:eastAsia="Times New Roman"/>
          <w:color w:val="000000"/>
          <w:sz w:val="18"/>
          <w:szCs w:val="18"/>
        </w:rPr>
        <w:t xml:space="preserve">Indicate by check mark if the registrant is a well-known seasoned issuer, as defined in Rule 405 of the Securities Act. Yes </w:t>
      </w:r>
      <w:r>
        <w:rPr>
          <w:rFonts w:ascii="Segoe UI Emoji" w:eastAsia="Times New Roman" w:hAnsi="Segoe UI Emoji" w:cs="Segoe UI Emoji"/>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rsidR="00000000" w:rsidRDefault="00AC31B9">
      <w:pPr>
        <w:jc w:val="both"/>
        <w:divId w:val="248928994"/>
        <w:rPr>
          <w:rFonts w:eastAsia="Times New Roman"/>
        </w:rPr>
      </w:pPr>
      <w:r>
        <w:rPr>
          <w:rFonts w:eastAsia="Times New Roman"/>
          <w:color w:val="000000"/>
          <w:sz w:val="18"/>
          <w:szCs w:val="18"/>
        </w:rPr>
        <w:t xml:space="preserve">Indicate by check mark if the registrant is not required to </w:t>
      </w:r>
      <w:r>
        <w:rPr>
          <w:rFonts w:eastAsia="Times New Roman"/>
          <w:color w:val="000000"/>
          <w:sz w:val="18"/>
          <w:szCs w:val="18"/>
        </w:rPr>
        <w:t xml:space="preserve">file reports pursuant to Section 13 or Section 15(d) of the Act.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 </w:t>
      </w:r>
      <w:r>
        <w:rPr>
          <w:rFonts w:ascii="Segoe UI Emoji" w:eastAsia="Times New Roman" w:hAnsi="Segoe UI Emoji" w:cs="Segoe UI Emoji"/>
          <w:color w:val="000000"/>
          <w:sz w:val="18"/>
          <w:szCs w:val="18"/>
        </w:rPr>
        <w:t>☑</w:t>
      </w:r>
    </w:p>
    <w:p w:rsidR="00000000" w:rsidRDefault="00AC31B9">
      <w:pPr>
        <w:jc w:val="both"/>
        <w:divId w:val="774832895"/>
        <w:rPr>
          <w:rFonts w:eastAsia="Times New Roman"/>
        </w:rPr>
      </w:pPr>
      <w:r>
        <w:rPr>
          <w:rFonts w:eastAsia="Times New Roman"/>
          <w:color w:val="000000"/>
          <w:sz w:val="18"/>
          <w:szCs w:val="18"/>
        </w:rPr>
        <w:t>Indicate by check mark whether the registrant (1) has filed all reports required to be filed by Section </w:t>
      </w:r>
      <w:r>
        <w:rPr>
          <w:rFonts w:eastAsia="Times New Roman"/>
          <w:color w:val="000000"/>
          <w:sz w:val="18"/>
          <w:szCs w:val="18"/>
        </w:rPr>
        <w:t xml:space="preserve">13 or 15(d) of the Securities Exchange Act of 1934 during the preceding 12 months (or for such shorter period that the registrant was required to file such reports), and (2) has been subject to such filing requirements for the past 90 days. Yes </w:t>
      </w:r>
      <w:r>
        <w:rPr>
          <w:rFonts w:ascii="Segoe UI Emoji" w:eastAsia="Times New Roman" w:hAnsi="Segoe UI Emoji" w:cs="Segoe UI Emoji"/>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rsidR="00000000" w:rsidRDefault="00AC31B9">
      <w:pPr>
        <w:jc w:val="both"/>
        <w:divId w:val="110251790"/>
        <w:rPr>
          <w:rFonts w:eastAsia="Times New Roman"/>
        </w:rPr>
      </w:pPr>
      <w:r>
        <w:rPr>
          <w:rFonts w:eastAsia="Times New Roman"/>
          <w:color w:val="000000"/>
          <w:sz w:val="18"/>
          <w:szCs w:val="18"/>
        </w:rPr>
        <w:t>Indi</w:t>
      </w:r>
      <w:r>
        <w:rPr>
          <w:rFonts w:eastAsia="Times New Roman"/>
          <w:color w:val="000000"/>
          <w:sz w:val="18"/>
          <w:szCs w:val="18"/>
        </w:rPr>
        <w:t>cate by check mark whether the registrant has submitted electronically every Interactive Data File required to be submitted pursuant to Rule 405 of Regulation S-T (§232.405 of this chapter) during the preceding 12 months (or for such shorter period that th</w:t>
      </w:r>
      <w:r>
        <w:rPr>
          <w:rFonts w:eastAsia="Times New Roman"/>
          <w:color w:val="000000"/>
          <w:sz w:val="18"/>
          <w:szCs w:val="18"/>
        </w:rPr>
        <w:t xml:space="preserve">e registrant was required to submit such files). Yes </w:t>
      </w:r>
      <w:r>
        <w:rPr>
          <w:rFonts w:ascii="Segoe UI Emoji" w:eastAsia="Times New Roman" w:hAnsi="Segoe UI Emoji" w:cs="Segoe UI Emoji"/>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rsidR="00000000" w:rsidRDefault="00AC31B9">
      <w:pPr>
        <w:jc w:val="both"/>
        <w:divId w:val="1813062151"/>
        <w:rPr>
          <w:rFonts w:eastAsia="Times New Roman"/>
        </w:rPr>
      </w:pPr>
      <w:r>
        <w:rPr>
          <w:rFonts w:eastAsia="Times New Roman"/>
          <w:color w:val="000000"/>
          <w:sz w:val="18"/>
          <w:szCs w:val="18"/>
        </w:rPr>
        <w:t>Indicate by check mark whether the registrant is a large accelerated filer, an accelerated filer, a non-accelerated filer, a smaller reporting company, or an emerging growth company. See the defin</w:t>
      </w:r>
      <w:r>
        <w:rPr>
          <w:rFonts w:eastAsia="Times New Roman"/>
          <w:color w:val="000000"/>
          <w:sz w:val="18"/>
          <w:szCs w:val="18"/>
        </w:rPr>
        <w:t>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5"/>
        <w:gridCol w:w="1919"/>
        <w:gridCol w:w="36"/>
        <w:gridCol w:w="95"/>
        <w:gridCol w:w="184"/>
        <w:gridCol w:w="36"/>
        <w:gridCol w:w="65"/>
        <w:gridCol w:w="618"/>
        <w:gridCol w:w="36"/>
        <w:gridCol w:w="65"/>
        <w:gridCol w:w="1919"/>
        <w:gridCol w:w="36"/>
        <w:gridCol w:w="65"/>
        <w:gridCol w:w="145"/>
        <w:gridCol w:w="36"/>
        <w:gridCol w:w="65"/>
        <w:gridCol w:w="618"/>
        <w:gridCol w:w="36"/>
        <w:gridCol w:w="65"/>
        <w:gridCol w:w="1919"/>
        <w:gridCol w:w="36"/>
        <w:gridCol w:w="65"/>
        <w:gridCol w:w="146"/>
        <w:gridCol w:w="36"/>
      </w:tblGrid>
      <w:tr w:rsidR="00000000">
        <w:trPr>
          <w:divId w:val="98378591"/>
        </w:trPr>
        <w:tc>
          <w:tcPr>
            <w:tcW w:w="50" w:type="pct"/>
            <w:vAlign w:val="center"/>
            <w:hideMark/>
          </w:tcPr>
          <w:p w:rsidR="00000000" w:rsidRDefault="00AC31B9">
            <w:pPr>
              <w:jc w:val="both"/>
              <w:rPr>
                <w:rFonts w:eastAsia="Times New Roman"/>
              </w:rPr>
            </w:pPr>
          </w:p>
        </w:tc>
        <w:tc>
          <w:tcPr>
            <w:tcW w:w="116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9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8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16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9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8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16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9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98378591"/>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ascii="Segoe UI Emoji" w:eastAsia="Times New Roman" w:hAnsi="Segoe UI Emoji" w:cs="Segoe UI Emoji"/>
                <w:color w:val="000000"/>
                <w:sz w:val="18"/>
                <w:szCs w:val="18"/>
              </w:rPr>
              <w:t>☑</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ascii="Segoe UI Symbol" w:eastAsia="Times New Roman" w:hAnsi="Segoe UI Symbol" w:cs="Segoe UI Symbol"/>
                <w:color w:val="000000"/>
                <w:sz w:val="18"/>
                <w:szCs w:val="18"/>
              </w:rPr>
              <w:t>☐</w:t>
            </w:r>
          </w:p>
        </w:tc>
      </w:tr>
      <w:tr w:rsidR="00000000">
        <w:trPr>
          <w:divId w:val="98378591"/>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bl>
    <w:p w:rsidR="00000000" w:rsidRDefault="00AC31B9">
      <w:pPr>
        <w:jc w:val="both"/>
        <w:rPr>
          <w:rFonts w:eastAsia="Times New Roman"/>
        </w:rPr>
      </w:pPr>
      <w:r>
        <w:rPr>
          <w:rFonts w:eastAsia="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AC31B9">
      <w:pPr>
        <w:jc w:val="both"/>
        <w:divId w:val="2000618899"/>
        <w:rPr>
          <w:rFonts w:eastAsia="Times New Roman"/>
        </w:rPr>
      </w:pPr>
      <w:r>
        <w:rPr>
          <w:rFonts w:eastAsia="Times New Roman"/>
          <w:color w:val="000000"/>
          <w:sz w:val="18"/>
          <w:szCs w:val="18"/>
        </w:rPr>
        <w:t>Indicate by check mark whether the registrant has filed a report on and attestation to its management’s assessment of the effectiveness of its internal control over financial reporting under Section 404(b) of the Sarbanes-Oxley Act (15 U.S.C. 7262(b)) by t</w:t>
      </w:r>
      <w:r>
        <w:rPr>
          <w:rFonts w:eastAsia="Times New Roman"/>
          <w:color w:val="000000"/>
          <w:sz w:val="18"/>
          <w:szCs w:val="18"/>
        </w:rPr>
        <w:t>he registered public accounting firm that prepared or issued its audit repo</w:t>
      </w:r>
      <w:r>
        <w:rPr>
          <w:rFonts w:ascii="Arial Unicode MS" w:eastAsia="Times New Roman" w:hAnsi="Arial Unicode MS"/>
          <w:color w:val="000000"/>
          <w:sz w:val="18"/>
          <w:szCs w:val="18"/>
        </w:rPr>
        <w:t xml:space="preserve">rt. </w:t>
      </w:r>
      <w:r>
        <w:rPr>
          <w:rFonts w:ascii="Segoe UI Emoji" w:eastAsia="Times New Roman" w:hAnsi="Segoe UI Emoji" w:cs="Segoe UI Emoji"/>
          <w:color w:val="000000"/>
          <w:sz w:val="18"/>
          <w:szCs w:val="18"/>
        </w:rPr>
        <w:t>☑</w:t>
      </w:r>
      <w:r>
        <w:rPr>
          <w:rFonts w:eastAsia="Times New Roman"/>
          <w:color w:val="000000"/>
          <w:sz w:val="18"/>
          <w:szCs w:val="18"/>
        </w:rPr>
        <w:t xml:space="preserve"> </w:t>
      </w:r>
    </w:p>
    <w:p w:rsidR="00000000" w:rsidRDefault="00AC31B9">
      <w:pPr>
        <w:jc w:val="both"/>
        <w:divId w:val="1461264990"/>
        <w:rPr>
          <w:rFonts w:eastAsia="Times New Roman"/>
        </w:rPr>
      </w:pPr>
      <w:r>
        <w:rPr>
          <w:rFonts w:eastAsia="Times New Roman"/>
          <w:color w:val="000000"/>
          <w:sz w:val="18"/>
          <w:szCs w:val="18"/>
        </w:rPr>
        <w:lastRenderedPageBreak/>
        <w:t>If securities are registered pursuant to Section 12(b) of the Act, indicate by check mark whether the financial statements of the registrant included in the filing reflect th</w:t>
      </w:r>
      <w:r>
        <w:rPr>
          <w:rFonts w:eastAsia="Times New Roman"/>
          <w:color w:val="000000"/>
          <w:sz w:val="18"/>
          <w:szCs w:val="18"/>
        </w:rPr>
        <w:t xml:space="preserve">e correction of an error to previously issued financial statements. </w:t>
      </w:r>
      <w:r>
        <w:rPr>
          <w:rFonts w:ascii="Segoe UI Symbol" w:eastAsia="Times New Roman" w:hAnsi="Segoe UI Symbol" w:cs="Segoe UI Symbol"/>
          <w:color w:val="000000"/>
          <w:sz w:val="18"/>
          <w:szCs w:val="18"/>
        </w:rPr>
        <w:t>☐</w:t>
      </w:r>
    </w:p>
    <w:p w:rsidR="00000000" w:rsidRDefault="00AC31B9">
      <w:pPr>
        <w:jc w:val="both"/>
        <w:divId w:val="237906927"/>
        <w:rPr>
          <w:rFonts w:eastAsia="Times New Roman"/>
        </w:rPr>
      </w:pPr>
      <w:r>
        <w:rPr>
          <w:rFonts w:eastAsia="Times New Roman"/>
          <w:color w:val="000000"/>
          <w:sz w:val="18"/>
          <w:szCs w:val="18"/>
        </w:rPr>
        <w:t>Indicate by check mark whether any of those error corrections are restatements that required a recovery analysis of incentive-based compensation received by any of the registrant’s execu</w:t>
      </w:r>
      <w:r>
        <w:rPr>
          <w:rFonts w:eastAsia="Times New Roman"/>
          <w:color w:val="000000"/>
          <w:sz w:val="18"/>
          <w:szCs w:val="18"/>
        </w:rPr>
        <w:t xml:space="preserve">tive officers during the relevant recovery period pursuant to §240.10D-1(b). </w:t>
      </w:r>
      <w:r>
        <w:rPr>
          <w:rFonts w:ascii="Segoe UI Symbol" w:eastAsia="Times New Roman" w:hAnsi="Segoe UI Symbol" w:cs="Segoe UI Symbol"/>
          <w:color w:val="000000"/>
          <w:sz w:val="18"/>
          <w:szCs w:val="18"/>
        </w:rPr>
        <w:t>☐</w:t>
      </w:r>
    </w:p>
    <w:p w:rsidR="00000000" w:rsidRDefault="00AC31B9">
      <w:pPr>
        <w:jc w:val="both"/>
        <w:divId w:val="137965225"/>
        <w:rPr>
          <w:rFonts w:eastAsia="Times New Roman"/>
        </w:rPr>
      </w:pPr>
      <w:r>
        <w:rPr>
          <w:rFonts w:eastAsia="Times New Roman"/>
          <w:color w:val="000000"/>
          <w:sz w:val="18"/>
          <w:szCs w:val="18"/>
        </w:rPr>
        <w:t xml:space="preserve">Indicate by check mark whether the registrant is a shell company (as defined in Rule 12b-2 of the Act).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 </w:t>
      </w:r>
      <w:r>
        <w:rPr>
          <w:rFonts w:ascii="Segoe UI Emoji" w:eastAsia="Times New Roman" w:hAnsi="Segoe UI Emoji" w:cs="Segoe UI Emoji"/>
          <w:color w:val="000000"/>
          <w:sz w:val="18"/>
          <w:szCs w:val="18"/>
        </w:rPr>
        <w:t>☑</w:t>
      </w:r>
    </w:p>
    <w:p w:rsidR="00000000" w:rsidRDefault="00AC31B9">
      <w:pPr>
        <w:jc w:val="both"/>
        <w:divId w:val="665059674"/>
        <w:rPr>
          <w:rFonts w:eastAsia="Times New Roman"/>
        </w:rPr>
      </w:pPr>
      <w:r>
        <w:rPr>
          <w:rFonts w:eastAsia="Times New Roman"/>
          <w:color w:val="000000"/>
          <w:sz w:val="18"/>
          <w:szCs w:val="18"/>
        </w:rPr>
        <w:t>The aggregate market value of UGI Corporation Common Stock hel</w:t>
      </w:r>
      <w:r>
        <w:rPr>
          <w:rFonts w:eastAsia="Times New Roman"/>
          <w:color w:val="000000"/>
          <w:sz w:val="18"/>
          <w:szCs w:val="18"/>
        </w:rPr>
        <w:t>d by non-affiliates of the registrant on March 31, 2023 was $7,252,195,251.</w:t>
      </w:r>
    </w:p>
    <w:p w:rsidR="00000000" w:rsidRDefault="00AC31B9">
      <w:pPr>
        <w:jc w:val="both"/>
        <w:divId w:val="1773040501"/>
        <w:rPr>
          <w:rFonts w:eastAsia="Times New Roman"/>
        </w:rPr>
      </w:pPr>
      <w:r>
        <w:rPr>
          <w:rFonts w:eastAsia="Times New Roman"/>
          <w:color w:val="000000"/>
          <w:sz w:val="18"/>
          <w:szCs w:val="18"/>
        </w:rPr>
        <w:t>At November 10, 2023, there were 210,899,583 shares of UGI Corporation Common Stock issued and outstanding.</w:t>
      </w:r>
    </w:p>
    <w:p w:rsidR="00000000" w:rsidRDefault="00AC31B9">
      <w:pPr>
        <w:jc w:val="both"/>
        <w:divId w:val="2050911788"/>
        <w:rPr>
          <w:rFonts w:eastAsia="Times New Roman"/>
        </w:rPr>
      </w:pPr>
      <w:r>
        <w:rPr>
          <w:rFonts w:eastAsia="Times New Roman"/>
          <w:color w:val="000000"/>
          <w:sz w:val="18"/>
          <w:szCs w:val="18"/>
        </w:rPr>
        <w:t>Portions of the Proxy Statement for the Annual Meeting of Shareholders t</w:t>
      </w:r>
      <w:r>
        <w:rPr>
          <w:rFonts w:eastAsia="Times New Roman"/>
          <w:color w:val="000000"/>
          <w:sz w:val="18"/>
          <w:szCs w:val="18"/>
        </w:rPr>
        <w:t>o be held on January 26, 2024 are incorporated by reference into Part III of this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jc w:val="center"/>
        </w:trPr>
        <w:tc>
          <w:tcPr>
            <w:tcW w:w="50" w:type="pct"/>
            <w:vAlign w:val="center"/>
            <w:hideMark/>
          </w:tcPr>
          <w:p w:rsidR="00000000" w:rsidRDefault="00AC31B9">
            <w:pPr>
              <w:jc w:val="both"/>
              <w:rPr>
                <w:rFonts w:eastAsia="Times New Roman"/>
              </w:rPr>
            </w:pPr>
          </w:p>
        </w:tc>
        <w:tc>
          <w:tcPr>
            <w:tcW w:w="494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trHeight w:val="60"/>
          <w:jc w:val="center"/>
        </w:trPr>
        <w:tc>
          <w:tcPr>
            <w:tcW w:w="0" w:type="auto"/>
            <w:gridSpan w:val="3"/>
            <w:tcBorders>
              <w:top w:val="single" w:sz="8" w:space="0" w:color="000000"/>
              <w:bottom w:val="single" w:sz="24" w:space="0" w:color="000000"/>
            </w:tcBorders>
            <w:tcMar>
              <w:top w:w="0" w:type="dxa"/>
              <w:left w:w="20" w:type="dxa"/>
              <w:bottom w:w="0" w:type="dxa"/>
              <w:right w:w="20" w:type="dxa"/>
            </w:tcMar>
            <w:vAlign w:val="center"/>
            <w:hideMark/>
          </w:tcPr>
          <w:p w:rsidR="00000000" w:rsidRDefault="00AC31B9">
            <w:pPr>
              <w:spacing w:after="100"/>
              <w:rPr>
                <w:rFonts w:eastAsia="Times New Roman"/>
                <w:sz w:val="20"/>
                <w:szCs w:val="20"/>
              </w:rPr>
            </w:pPr>
          </w:p>
        </w:tc>
      </w:tr>
    </w:tbl>
    <w:p w:rsidR="00000000" w:rsidRDefault="00AC31B9">
      <w:pPr>
        <w:divId w:val="1377967532"/>
        <w:rPr>
          <w:rFonts w:eastAsia="Times New Roman"/>
        </w:rPr>
      </w:pPr>
    </w:p>
    <w:p w:rsidR="00000000" w:rsidRDefault="00AC31B9">
      <w:pPr>
        <w:rPr>
          <w:rFonts w:eastAsia="Times New Roman"/>
        </w:rPr>
      </w:pPr>
      <w:r>
        <w:rPr>
          <w:rFonts w:eastAsia="Times New Roman"/>
        </w:rPr>
        <w:pict>
          <v:rect id="_x0000_i1025" style="width:0;height:1.5pt" o:hralign="center" o:hrstd="t" o:hr="t" fillcolor="#a0a0a0" stroked="f"/>
        </w:pict>
      </w:r>
    </w:p>
    <w:p w:rsidR="00000000" w:rsidRDefault="00AC31B9">
      <w:pPr>
        <w:divId w:val="1436025423"/>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center"/>
        <w:rPr>
          <w:rFonts w:eastAsia="Times New Roman"/>
        </w:rPr>
      </w:pPr>
      <w:r>
        <w:rPr>
          <w:rFonts w:eastAsia="Times New Roman"/>
          <w:b/>
          <w:bCs/>
          <w:color w:val="000000"/>
          <w:sz w:val="20"/>
          <w:szCs w:val="20"/>
        </w:rPr>
        <w:t>TABLE OF CONTENTS</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9542"/>
        <w:gridCol w:w="36"/>
        <w:gridCol w:w="36"/>
        <w:gridCol w:w="559"/>
        <w:gridCol w:w="36"/>
      </w:tblGrid>
      <w:tr w:rsidR="00000000">
        <w:trPr>
          <w:divId w:val="1541824471"/>
          <w:jc w:val="center"/>
        </w:trPr>
        <w:tc>
          <w:tcPr>
            <w:tcW w:w="20" w:type="dxa"/>
            <w:vAlign w:val="center"/>
            <w:hideMark/>
          </w:tcPr>
          <w:p w:rsidR="00000000" w:rsidRDefault="00AC31B9">
            <w:pPr>
              <w:jc w:val="center"/>
              <w:rPr>
                <w:rFonts w:eastAsia="Times New Roman"/>
              </w:rPr>
            </w:pPr>
          </w:p>
        </w:tc>
        <w:tc>
          <w:tcPr>
            <w:tcW w:w="9605"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c>
          <w:tcPr>
            <w:tcW w:w="560"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b/>
                <w:bCs/>
                <w:color w:val="000000"/>
                <w:sz w:val="20"/>
                <w:szCs w:val="20"/>
              </w:rPr>
              <w:t>Page</w:t>
            </w:r>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2133597425"/>
              <w:rPr>
                <w:rFonts w:eastAsia="Times New Roman"/>
              </w:rPr>
            </w:pPr>
            <w:hyperlink w:anchor="ic92dd05487854a4eaece953328045c39_10" w:history="1">
              <w:r>
                <w:rPr>
                  <w:rStyle w:val="a3"/>
                  <w:rFonts w:eastAsia="Times New Roman"/>
                  <w:sz w:val="20"/>
                  <w:szCs w:val="20"/>
                </w:rPr>
                <w:t>Glossary of Terms and Abbreviations</w:t>
              </w:r>
            </w:hyperlink>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10" w:history="1">
              <w:r>
                <w:rPr>
                  <w:rStyle w:val="a3"/>
                  <w:rFonts w:eastAsia="Times New Roman"/>
                  <w:sz w:val="20"/>
                  <w:szCs w:val="20"/>
                </w:rPr>
                <w:t>2</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1621648006"/>
              <w:rPr>
                <w:rFonts w:eastAsia="Times New Roman"/>
              </w:rPr>
            </w:pPr>
            <w:hyperlink w:anchor="ic92dd05487854a4eaece953328045c39_13" w:history="1">
              <w:r>
                <w:rPr>
                  <w:rStyle w:val="a3"/>
                  <w:rFonts w:eastAsia="Times New Roman"/>
                  <w:sz w:val="20"/>
                  <w:szCs w:val="20"/>
                </w:rPr>
                <w:t>Forward-Looking Information</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13" w:history="1">
              <w:r>
                <w:rPr>
                  <w:rStyle w:val="a3"/>
                  <w:rFonts w:eastAsia="Times New Roman"/>
                  <w:sz w:val="20"/>
                  <w:szCs w:val="20"/>
                </w:rPr>
                <w:t>9</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1712412088"/>
              <w:rPr>
                <w:rFonts w:eastAsia="Times New Roman"/>
              </w:rPr>
            </w:pPr>
            <w:hyperlink w:anchor="ic92dd05487854a4eaece953328045c39_16" w:history="1">
              <w:r>
                <w:rPr>
                  <w:rStyle w:val="a3"/>
                  <w:rFonts w:eastAsia="Times New Roman"/>
                  <w:b/>
                  <w:bCs/>
                  <w:sz w:val="20"/>
                  <w:szCs w:val="20"/>
                </w:rPr>
                <w:t>PART I:</w:t>
              </w:r>
            </w:hyperlink>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269821927"/>
              <w:rPr>
                <w:rFonts w:eastAsia="Times New Roman"/>
              </w:rPr>
            </w:pPr>
            <w:hyperlink w:anchor="ic92dd05487854a4eaece953328045c39_19" w:history="1">
              <w:r>
                <w:rPr>
                  <w:rStyle w:val="a3"/>
                  <w:rFonts w:eastAsia="Times New Roman"/>
                  <w:sz w:val="20"/>
                  <w:szCs w:val="20"/>
                </w:rPr>
                <w:t>Items 1. and 2. Business and Properties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19" w:history="1">
              <w:r>
                <w:rPr>
                  <w:rStyle w:val="a3"/>
                  <w:rFonts w:eastAsia="Times New Roman"/>
                  <w:sz w:val="20"/>
                  <w:szCs w:val="20"/>
                </w:rPr>
                <w:t>9</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1590580905"/>
              <w:rPr>
                <w:rFonts w:eastAsia="Times New Roman"/>
              </w:rPr>
            </w:pPr>
            <w:hyperlink w:anchor="ic92dd05487854a4eaece953328045c39_43"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43" w:history="1">
              <w:r>
                <w:rPr>
                  <w:rStyle w:val="a3"/>
                  <w:rFonts w:eastAsia="Times New Roman"/>
                  <w:sz w:val="20"/>
                  <w:szCs w:val="20"/>
                </w:rPr>
                <w:t>33</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1173181445"/>
              <w:rPr>
                <w:rFonts w:eastAsia="Times New Roman"/>
              </w:rPr>
            </w:pPr>
            <w:hyperlink w:anchor="ic92dd05487854a4eaece953328045c39_46" w:history="1">
              <w:r>
                <w:rPr>
                  <w:rStyle w:val="a3"/>
                  <w:rFonts w:eastAsia="Times New Roman"/>
                  <w:sz w:val="20"/>
                  <w:szCs w:val="20"/>
                </w:rPr>
                <w:t>Item 1B. Unresolved Staff Comments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46" w:history="1">
              <w:r>
                <w:rPr>
                  <w:rStyle w:val="a3"/>
                  <w:rFonts w:eastAsia="Times New Roman"/>
                  <w:sz w:val="20"/>
                  <w:szCs w:val="20"/>
                </w:rPr>
                <w:t>46</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1483157766"/>
              <w:rPr>
                <w:rFonts w:eastAsia="Times New Roman"/>
              </w:rPr>
            </w:pPr>
            <w:hyperlink w:anchor="ic92dd05487854a4eaece953328045c39_49" w:history="1">
              <w:r>
                <w:rPr>
                  <w:rStyle w:val="a3"/>
                  <w:rFonts w:eastAsia="Times New Roman"/>
                  <w:sz w:val="20"/>
                  <w:szCs w:val="20"/>
                </w:rPr>
                <w:t>Item 3. Legal Proceedings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49" w:history="1">
              <w:r>
                <w:rPr>
                  <w:rStyle w:val="a3"/>
                  <w:rFonts w:eastAsia="Times New Roman"/>
                  <w:sz w:val="20"/>
                  <w:szCs w:val="20"/>
                </w:rPr>
                <w:t>46</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1499425012"/>
              <w:rPr>
                <w:rFonts w:eastAsia="Times New Roman"/>
              </w:rPr>
            </w:pPr>
            <w:hyperlink w:anchor="ic92dd05487854a4eaece953328045c39_52" w:history="1">
              <w:r>
                <w:rPr>
                  <w:rStyle w:val="a3"/>
                  <w:rFonts w:eastAsia="Times New Roman"/>
                  <w:sz w:val="20"/>
                  <w:szCs w:val="20"/>
                </w:rPr>
                <w:t>Item 4. Mine Safety Disclosures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52" w:history="1">
              <w:r>
                <w:rPr>
                  <w:rStyle w:val="a3"/>
                  <w:rFonts w:eastAsia="Times New Roman"/>
                  <w:sz w:val="20"/>
                  <w:szCs w:val="20"/>
                </w:rPr>
                <w:t>46</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23335048"/>
              <w:rPr>
                <w:rFonts w:eastAsia="Times New Roman"/>
              </w:rPr>
            </w:pPr>
            <w:hyperlink w:anchor="ic92dd05487854a4eaece953328045c39_55" w:history="1">
              <w:r>
                <w:rPr>
                  <w:rStyle w:val="a3"/>
                  <w:rFonts w:eastAsia="Times New Roman"/>
                  <w:b/>
                  <w:bCs/>
                  <w:sz w:val="20"/>
                  <w:szCs w:val="20"/>
                </w:rPr>
                <w:t>PART II:</w:t>
              </w:r>
            </w:hyperlink>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r>
      <w:tr w:rsidR="00000000">
        <w:trPr>
          <w:divId w:val="1541824471"/>
          <w:trHeight w:val="480"/>
          <w:jc w:val="center"/>
        </w:trPr>
        <w:tc>
          <w:tcPr>
            <w:tcW w:w="0" w:type="auto"/>
            <w:gridSpan w:val="3"/>
            <w:tcMar>
              <w:top w:w="30" w:type="dxa"/>
              <w:left w:w="20" w:type="dxa"/>
              <w:bottom w:w="30" w:type="dxa"/>
              <w:right w:w="20" w:type="dxa"/>
            </w:tcMar>
            <w:vAlign w:val="bottom"/>
            <w:hideMark/>
          </w:tcPr>
          <w:p w:rsidR="00000000" w:rsidRDefault="00AC31B9">
            <w:pPr>
              <w:spacing w:after="100"/>
              <w:divId w:val="1302492478"/>
              <w:rPr>
                <w:rFonts w:eastAsia="Times New Roman"/>
              </w:rPr>
            </w:pPr>
            <w:hyperlink w:anchor="ic92dd05487854a4eaece953328045c39_58" w:history="1">
              <w:r>
                <w:rPr>
                  <w:rStyle w:val="a3"/>
                  <w:rFonts w:eastAsia="Times New Roman"/>
                  <w:sz w:val="20"/>
                  <w:szCs w:val="20"/>
                </w:rPr>
                <w:t>Item 5. Market for Registrant’</w:t>
              </w:r>
              <w:r>
                <w:rPr>
                  <w:rStyle w:val="a3"/>
                  <w:rFonts w:eastAsia="Times New Roman"/>
                  <w:sz w:val="20"/>
                  <w:szCs w:val="20"/>
                </w:rPr>
                <w: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58" w:history="1">
              <w:r>
                <w:rPr>
                  <w:rStyle w:val="a3"/>
                  <w:rFonts w:eastAsia="Times New Roman"/>
                  <w:sz w:val="20"/>
                  <w:szCs w:val="20"/>
                </w:rPr>
                <w:t>47</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2009215245"/>
              <w:rPr>
                <w:rFonts w:eastAsia="Times New Roman"/>
              </w:rPr>
            </w:pPr>
            <w:hyperlink w:anchor="ic92dd05487854a4eaece953328045c39_61" w:history="1">
              <w:r>
                <w:rPr>
                  <w:rStyle w:val="a3"/>
                  <w:rFonts w:eastAsia="Times New Roman"/>
                  <w:sz w:val="20"/>
                  <w:szCs w:val="20"/>
                </w:rPr>
                <w:t>Item 6. Selected Financial Data</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61" w:history="1">
              <w:r>
                <w:rPr>
                  <w:rStyle w:val="a3"/>
                  <w:rFonts w:eastAsia="Times New Roman"/>
                  <w:sz w:val="20"/>
                  <w:szCs w:val="20"/>
                </w:rPr>
                <w:t>48</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1247156925"/>
              <w:rPr>
                <w:rFonts w:eastAsia="Times New Roman"/>
              </w:rPr>
            </w:pPr>
            <w:hyperlink w:anchor="ic92dd05487854a4eaece953328045c39_64" w:history="1">
              <w:r>
                <w:rPr>
                  <w:rStyle w:val="a3"/>
                  <w:rFonts w:eastAsia="Times New Roman"/>
                  <w:sz w:val="20"/>
                  <w:szCs w:val="20"/>
                </w:rPr>
                <w:t>Item 7. Management’s Discussion and Ana</w:t>
              </w:r>
              <w:r>
                <w:rPr>
                  <w:rStyle w:val="a3"/>
                  <w:rFonts w:eastAsia="Times New Roman"/>
                  <w:sz w:val="20"/>
                  <w:szCs w:val="20"/>
                </w:rPr>
                <w:t>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64" w:history="1">
              <w:r>
                <w:rPr>
                  <w:rStyle w:val="a3"/>
                  <w:rFonts w:eastAsia="Times New Roman"/>
                  <w:sz w:val="20"/>
                  <w:szCs w:val="20"/>
                </w:rPr>
                <w:t>48</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1265728324"/>
              <w:rPr>
                <w:rFonts w:eastAsia="Times New Roman"/>
              </w:rPr>
            </w:pPr>
            <w:hyperlink w:anchor="ic92dd05487854a4eaece953328045c39_94" w:history="1">
              <w:r>
                <w:rPr>
                  <w:rStyle w:val="a3"/>
                  <w:rFonts w:eastAsia="Times New Roman"/>
                  <w:sz w:val="20"/>
                  <w:szCs w:val="20"/>
                </w:rPr>
                <w:t>Item 7A. 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94" w:history="1">
              <w:r>
                <w:rPr>
                  <w:rStyle w:val="a3"/>
                  <w:rFonts w:eastAsia="Times New Roman"/>
                  <w:sz w:val="20"/>
                  <w:szCs w:val="20"/>
                </w:rPr>
                <w:t>71</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423962878"/>
              <w:rPr>
                <w:rFonts w:eastAsia="Times New Roman"/>
              </w:rPr>
            </w:pPr>
            <w:hyperlink w:anchor="ic92dd05487854a4eaece953328045c39_97" w:history="1">
              <w:r>
                <w:rPr>
                  <w:rStyle w:val="a3"/>
                  <w:rFonts w:eastAsia="Times New Roman"/>
                  <w:sz w:val="20"/>
                  <w:szCs w:val="20"/>
                </w:rPr>
                <w:t>Item 8. Financial Statements and Supplementary Data</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97" w:history="1">
              <w:r>
                <w:rPr>
                  <w:rStyle w:val="a3"/>
                  <w:rFonts w:eastAsia="Times New Roman"/>
                  <w:sz w:val="20"/>
                  <w:szCs w:val="20"/>
                </w:rPr>
                <w:t>71</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612444234"/>
              <w:rPr>
                <w:rFonts w:eastAsia="Times New Roman"/>
              </w:rPr>
            </w:pPr>
            <w:hyperlink w:anchor="ic92dd05487854a4eaece953328045c39_100" w:history="1">
              <w:r>
                <w:rPr>
                  <w:rStyle w:val="a3"/>
                  <w:rFonts w:eastAsia="Times New Roman"/>
                  <w:sz w:val="20"/>
                  <w:szCs w:val="20"/>
                </w:rPr>
                <w:t>Item 9. 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100" w:history="1">
              <w:r>
                <w:rPr>
                  <w:rStyle w:val="a3"/>
                  <w:rFonts w:eastAsia="Times New Roman"/>
                  <w:sz w:val="20"/>
                  <w:szCs w:val="20"/>
                </w:rPr>
                <w:t>71</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667908521"/>
              <w:rPr>
                <w:rFonts w:eastAsia="Times New Roman"/>
              </w:rPr>
            </w:pPr>
            <w:hyperlink w:anchor="ic92dd05487854a4eaece953328045c39_103" w:history="1">
              <w:r>
                <w:rPr>
                  <w:rStyle w:val="a3"/>
                  <w:rFonts w:eastAsia="Times New Roman"/>
                  <w:sz w:val="20"/>
                  <w:szCs w:val="20"/>
                </w:rPr>
                <w:t>Item 9A. Controls and Procedures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103" w:history="1">
              <w:r>
                <w:rPr>
                  <w:rStyle w:val="a3"/>
                  <w:rFonts w:eastAsia="Times New Roman"/>
                  <w:sz w:val="20"/>
                  <w:szCs w:val="20"/>
                </w:rPr>
                <w:t>71</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1680037204"/>
              <w:rPr>
                <w:rFonts w:eastAsia="Times New Roman"/>
              </w:rPr>
            </w:pPr>
            <w:hyperlink w:anchor="ic92dd05487854a4eaece953328045c39_106" w:history="1">
              <w:r>
                <w:rPr>
                  <w:rStyle w:val="a3"/>
                  <w:rFonts w:eastAsia="Times New Roman"/>
                  <w:sz w:val="20"/>
                  <w:szCs w:val="20"/>
                </w:rPr>
                <w:t>Item </w:t>
              </w:r>
              <w:r>
                <w:rPr>
                  <w:rStyle w:val="a3"/>
                  <w:rFonts w:eastAsia="Times New Roman"/>
                  <w:sz w:val="20"/>
                  <w:szCs w:val="20"/>
                </w:rPr>
                <w:t>9B. Other Information</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106" w:history="1">
              <w:r>
                <w:rPr>
                  <w:rStyle w:val="a3"/>
                  <w:rFonts w:eastAsia="Times New Roman"/>
                  <w:sz w:val="20"/>
                  <w:szCs w:val="20"/>
                </w:rPr>
                <w:t>74</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284041536"/>
              <w:rPr>
                <w:rFonts w:eastAsia="Times New Roman"/>
              </w:rPr>
            </w:pPr>
            <w:hyperlink w:anchor="ic92dd05487854a4eaece953328045c39_109" w:history="1">
              <w:r>
                <w:rPr>
                  <w:rStyle w:val="a3"/>
                  <w:rFonts w:eastAsia="Times New Roman"/>
                  <w:sz w:val="20"/>
                  <w:szCs w:val="20"/>
                </w:rPr>
                <w:t>Item 9C. Disclosure Regarding Foreign Jurisdictions that Prevent Inspections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109" w:history="1">
              <w:r>
                <w:rPr>
                  <w:rStyle w:val="a3"/>
                  <w:rFonts w:eastAsia="Times New Roman"/>
                  <w:sz w:val="20"/>
                  <w:szCs w:val="20"/>
                </w:rPr>
                <w:t>74</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408617171"/>
              <w:rPr>
                <w:rFonts w:eastAsia="Times New Roman"/>
              </w:rPr>
            </w:pPr>
            <w:hyperlink w:anchor="ic92dd05487854a4eaece953328045c39_112" w:history="1">
              <w:r>
                <w:rPr>
                  <w:rStyle w:val="a3"/>
                  <w:rFonts w:eastAsia="Times New Roman"/>
                  <w:b/>
                  <w:bCs/>
                  <w:sz w:val="20"/>
                  <w:szCs w:val="20"/>
                </w:rPr>
                <w:t>PART III:</w:t>
              </w:r>
            </w:hyperlink>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647787172"/>
              <w:rPr>
                <w:rFonts w:eastAsia="Times New Roman"/>
              </w:rPr>
            </w:pPr>
            <w:hyperlink w:anchor="ic92dd05487854a4eaece953328045c39_115" w:history="1">
              <w:r>
                <w:rPr>
                  <w:rStyle w:val="a3"/>
                  <w:rFonts w:eastAsia="Times New Roman"/>
                  <w:sz w:val="20"/>
                  <w:szCs w:val="20"/>
                </w:rPr>
                <w:t>Item 10. 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115" w:history="1">
              <w:r>
                <w:rPr>
                  <w:rStyle w:val="a3"/>
                  <w:rFonts w:eastAsia="Times New Roman"/>
                  <w:sz w:val="20"/>
                  <w:szCs w:val="20"/>
                </w:rPr>
                <w:t>75</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453134835"/>
              <w:rPr>
                <w:rFonts w:eastAsia="Times New Roman"/>
              </w:rPr>
            </w:pPr>
            <w:hyperlink w:anchor="ic92dd05487854a4eaece953328045c39_115" w:history="1">
              <w:r>
                <w:rPr>
                  <w:rStyle w:val="a3"/>
                  <w:rFonts w:eastAsia="Times New Roman"/>
                  <w:sz w:val="20"/>
                  <w:szCs w:val="20"/>
                </w:rPr>
                <w:t>Item</w:t>
              </w:r>
              <w:r>
                <w:rPr>
                  <w:rStyle w:val="a3"/>
                  <w:rFonts w:eastAsia="Times New Roman"/>
                  <w:sz w:val="20"/>
                  <w:szCs w:val="20"/>
                </w:rPr>
                <w:t> 11. Executive Compensation</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115" w:history="1">
              <w:r>
                <w:rPr>
                  <w:rStyle w:val="a3"/>
                  <w:rFonts w:eastAsia="Times New Roman"/>
                  <w:sz w:val="20"/>
                  <w:szCs w:val="20"/>
                </w:rPr>
                <w:t>75</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370693180"/>
              <w:rPr>
                <w:rFonts w:eastAsia="Times New Roman"/>
              </w:rPr>
            </w:pPr>
            <w:hyperlink w:anchor="ic92dd05487854a4eaece953328045c39_115" w:history="1">
              <w:r>
                <w:rPr>
                  <w:rStyle w:val="a3"/>
                  <w:rFonts w:eastAsia="Times New Roman"/>
                  <w:sz w:val="20"/>
                  <w:szCs w:val="20"/>
                </w:rPr>
                <w:t>Item </w:t>
              </w:r>
              <w:r>
                <w:rPr>
                  <w:rStyle w:val="a3"/>
                  <w:rFonts w:eastAsia="Times New Roman"/>
                  <w:sz w:val="20"/>
                  <w:szCs w:val="20"/>
                </w:rPr>
                <w:t>12. 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115" w:history="1">
              <w:r>
                <w:rPr>
                  <w:rStyle w:val="a3"/>
                  <w:rFonts w:eastAsia="Times New Roman"/>
                  <w:sz w:val="20"/>
                  <w:szCs w:val="20"/>
                </w:rPr>
                <w:t>75</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477115189"/>
              <w:rPr>
                <w:rFonts w:eastAsia="Times New Roman"/>
              </w:rPr>
            </w:pPr>
            <w:hyperlink w:anchor="ic92dd05487854a4eaece953328045c39_115" w:history="1">
              <w:r>
                <w:rPr>
                  <w:rStyle w:val="a3"/>
                  <w:rFonts w:eastAsia="Times New Roman"/>
                  <w:sz w:val="20"/>
                  <w:szCs w:val="20"/>
                </w:rPr>
                <w:t>Item 13. Certain Relationship</w:t>
              </w:r>
              <w:r>
                <w:rPr>
                  <w:rStyle w:val="a3"/>
                  <w:rFonts w:eastAsia="Times New Roman"/>
                  <w:sz w:val="20"/>
                  <w:szCs w:val="20"/>
                </w:rPr>
                <w:t>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115" w:history="1">
              <w:r>
                <w:rPr>
                  <w:rStyle w:val="a3"/>
                  <w:rFonts w:eastAsia="Times New Roman"/>
                  <w:sz w:val="20"/>
                  <w:szCs w:val="20"/>
                </w:rPr>
                <w:t>75</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80375904"/>
              <w:rPr>
                <w:rFonts w:eastAsia="Times New Roman"/>
              </w:rPr>
            </w:pPr>
            <w:hyperlink w:anchor="ic92dd05487854a4eaece953328045c39_115" w:history="1">
              <w:r>
                <w:rPr>
                  <w:rStyle w:val="a3"/>
                  <w:rFonts w:eastAsia="Times New Roman"/>
                  <w:sz w:val="20"/>
                  <w:szCs w:val="20"/>
                </w:rPr>
                <w:t>Item </w:t>
              </w:r>
              <w:r>
                <w:rPr>
                  <w:rStyle w:val="a3"/>
                  <w:rFonts w:eastAsia="Times New Roman"/>
                  <w:sz w:val="20"/>
                  <w:szCs w:val="20"/>
                </w:rPr>
                <w:t>14. Principal Accounting Fees and Services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115" w:history="1">
              <w:r>
                <w:rPr>
                  <w:rStyle w:val="a3"/>
                  <w:rFonts w:eastAsia="Times New Roman"/>
                  <w:sz w:val="20"/>
                  <w:szCs w:val="20"/>
                </w:rPr>
                <w:t>75</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950211464"/>
              <w:rPr>
                <w:rFonts w:eastAsia="Times New Roman"/>
              </w:rPr>
            </w:pPr>
            <w:hyperlink w:anchor="ic92dd05487854a4eaece953328045c39_118" w:history="1">
              <w:r>
                <w:rPr>
                  <w:rStyle w:val="a3"/>
                  <w:rFonts w:eastAsia="Times New Roman"/>
                  <w:b/>
                  <w:bCs/>
                  <w:sz w:val="20"/>
                  <w:szCs w:val="20"/>
                </w:rPr>
                <w:t>PART IV:</w:t>
              </w:r>
            </w:hyperlink>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1348218464"/>
              <w:rPr>
                <w:rFonts w:eastAsia="Times New Roman"/>
              </w:rPr>
            </w:pPr>
            <w:hyperlink w:anchor="ic92dd05487854a4eaece953328045c39_121" w:history="1">
              <w:r>
                <w:rPr>
                  <w:rStyle w:val="a3"/>
                  <w:rFonts w:eastAsia="Times New Roman"/>
                  <w:sz w:val="20"/>
                  <w:szCs w:val="20"/>
                </w:rPr>
                <w:t>Item 15. Exhibits and Financial Statement Schedules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121" w:history="1">
              <w:r>
                <w:rPr>
                  <w:rStyle w:val="a3"/>
                  <w:rFonts w:eastAsia="Times New Roman"/>
                  <w:sz w:val="20"/>
                  <w:szCs w:val="20"/>
                </w:rPr>
                <w:t>78</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886528362"/>
              <w:rPr>
                <w:rFonts w:eastAsia="Times New Roman"/>
              </w:rPr>
            </w:pPr>
            <w:hyperlink w:anchor="ic92dd05487854a4eaece953328045c39_124" w:history="1">
              <w:r>
                <w:rPr>
                  <w:rStyle w:val="a3"/>
                  <w:rFonts w:eastAsia="Times New Roman"/>
                  <w:sz w:val="20"/>
                  <w:szCs w:val="20"/>
                </w:rPr>
                <w:t>Item 16. Form 10</w:t>
              </w:r>
              <w:r>
                <w:rPr>
                  <w:rStyle w:val="a3"/>
                  <w:rFonts w:eastAsia="Times New Roman"/>
                  <w:sz w:val="20"/>
                  <w:szCs w:val="20"/>
                </w:rPr>
                <w:t>-K Summary</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124" w:history="1">
              <w:r>
                <w:rPr>
                  <w:rStyle w:val="a3"/>
                  <w:rFonts w:eastAsia="Times New Roman"/>
                  <w:sz w:val="20"/>
                  <w:szCs w:val="20"/>
                </w:rPr>
                <w:t>90</w:t>
              </w:r>
            </w:hyperlink>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1747799538"/>
              <w:rPr>
                <w:rFonts w:eastAsia="Times New Roman"/>
              </w:rPr>
            </w:pPr>
            <w:hyperlink w:anchor="ic92dd05487854a4eaece953328045c39_130"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hyperlink w:anchor="ic92dd05487854a4eaece953328045c39_130" w:history="1">
              <w:r>
                <w:rPr>
                  <w:rStyle w:val="a3"/>
                  <w:rFonts w:eastAsia="Times New Roman"/>
                  <w:sz w:val="20"/>
                  <w:szCs w:val="20"/>
                </w:rPr>
                <w:t>91</w:t>
              </w:r>
            </w:hyperlink>
          </w:p>
        </w:tc>
      </w:tr>
      <w:tr w:rsidR="00000000">
        <w:trPr>
          <w:divId w:val="1541824471"/>
          <w:trHeight w:val="22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r>
      <w:tr w:rsidR="00000000">
        <w:trPr>
          <w:divId w:val="1541824471"/>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1524399569"/>
              <w:rPr>
                <w:rFonts w:eastAsia="Times New Roman"/>
              </w:rPr>
            </w:pPr>
            <w:hyperlink w:anchor="ic92dd05487854a4eaece953328045c39_136" w:history="1">
              <w:r>
                <w:rPr>
                  <w:rStyle w:val="a3"/>
                  <w:rFonts w:eastAsia="Times New Roman"/>
                  <w:sz w:val="20"/>
                  <w:szCs w:val="20"/>
                </w:rPr>
                <w:t>Index to Financial Statements and Financial Statement Schedules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FF"/>
                <w:sz w:val="20"/>
                <w:szCs w:val="20"/>
                <w:u w:val="single"/>
              </w:rPr>
              <w:t>F-</w:t>
            </w:r>
            <w:hyperlink w:anchor="ic92dd05487854a4eaece953328045c39_136" w:history="1">
              <w:r>
                <w:rPr>
                  <w:rStyle w:val="a3"/>
                  <w:rFonts w:eastAsia="Times New Roman"/>
                  <w:sz w:val="20"/>
                  <w:szCs w:val="20"/>
                </w:rPr>
                <w:t>2</w:t>
              </w:r>
            </w:hyperlink>
          </w:p>
        </w:tc>
      </w:tr>
      <w:tr w:rsidR="00000000">
        <w:trPr>
          <w:divId w:val="1541824471"/>
          <w:trHeight w:val="22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12"/>
                <w:szCs w:val="12"/>
              </w:rPr>
              <w:t> </w:t>
            </w:r>
          </w:p>
        </w:tc>
      </w:tr>
    </w:tbl>
    <w:p w:rsidR="00000000" w:rsidRDefault="00AC31B9">
      <w:pPr>
        <w:divId w:val="1594362801"/>
        <w:rPr>
          <w:rFonts w:eastAsia="Times New Roman"/>
        </w:rPr>
      </w:pPr>
    </w:p>
    <w:p w:rsidR="00000000" w:rsidRDefault="00AC31B9">
      <w:pPr>
        <w:jc w:val="center"/>
        <w:divId w:val="226771742"/>
        <w:rPr>
          <w:rFonts w:eastAsia="Times New Roman"/>
        </w:rPr>
      </w:pPr>
      <w:r>
        <w:rPr>
          <w:rFonts w:eastAsia="Times New Roman"/>
          <w:color w:val="000000"/>
          <w:sz w:val="20"/>
          <w:szCs w:val="20"/>
        </w:rPr>
        <w:t>1</w:t>
      </w:r>
    </w:p>
    <w:p w:rsidR="00000000" w:rsidRDefault="00AC31B9">
      <w:pPr>
        <w:rPr>
          <w:rFonts w:eastAsia="Times New Roman"/>
        </w:rPr>
      </w:pPr>
      <w:r>
        <w:rPr>
          <w:rFonts w:eastAsia="Times New Roman"/>
        </w:rPr>
        <w:pict>
          <v:rect id="_x0000_i1026" style="width:0;height:1.5pt" o:hralign="center" o:hrstd="t" o:hr="t" fillcolor="#a0a0a0" stroked="f"/>
        </w:pict>
      </w:r>
    </w:p>
    <w:p w:rsidR="00000000" w:rsidRDefault="00AC31B9">
      <w:pPr>
        <w:divId w:val="1598514816"/>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center"/>
        <w:rPr>
          <w:rFonts w:eastAsia="Times New Roman"/>
        </w:rPr>
      </w:pPr>
      <w:r>
        <w:rPr>
          <w:rFonts w:eastAsia="Times New Roman"/>
          <w:b/>
          <w:bCs/>
          <w:color w:val="000000"/>
          <w:sz w:val="20"/>
          <w:szCs w:val="20"/>
        </w:rPr>
        <w:t>GLOSSARY OF TERMS AND ABBREVIATIONS</w:t>
      </w:r>
    </w:p>
    <w:p w:rsidR="00000000" w:rsidRDefault="00AC31B9">
      <w:pPr>
        <w:jc w:val="both"/>
        <w:rPr>
          <w:rFonts w:eastAsia="Times New Roman"/>
        </w:rPr>
      </w:pPr>
      <w:r>
        <w:rPr>
          <w:rFonts w:eastAsia="Times New Roman"/>
          <w:b/>
          <w:bCs/>
          <w:i/>
          <w:iCs/>
          <w:color w:val="000000"/>
          <w:sz w:val="20"/>
          <w:szCs w:val="20"/>
        </w:rPr>
        <w:t> </w:t>
      </w:r>
    </w:p>
    <w:p w:rsidR="00000000" w:rsidRDefault="00AC31B9">
      <w:pPr>
        <w:jc w:val="both"/>
        <w:rPr>
          <w:rFonts w:eastAsia="Times New Roman"/>
        </w:rPr>
      </w:pPr>
      <w:r>
        <w:rPr>
          <w:rFonts w:eastAsia="Times New Roman"/>
          <w:color w:val="000000"/>
          <w:sz w:val="20"/>
          <w:szCs w:val="20"/>
        </w:rPr>
        <w:t>Terms and abbreviations used in this Form 10-K are defined below:</w:t>
      </w:r>
    </w:p>
    <w:p w:rsidR="00000000" w:rsidRDefault="00AC31B9">
      <w:pPr>
        <w:jc w:val="both"/>
        <w:rPr>
          <w:rFonts w:eastAsia="Times New Roman"/>
        </w:rPr>
      </w:pPr>
    </w:p>
    <w:p w:rsidR="00000000" w:rsidRDefault="00AC31B9">
      <w:pPr>
        <w:jc w:val="center"/>
        <w:rPr>
          <w:rFonts w:eastAsia="Times New Roman"/>
        </w:rPr>
      </w:pPr>
      <w:r>
        <w:rPr>
          <w:rFonts w:eastAsia="Times New Roman"/>
          <w:b/>
          <w:bCs/>
          <w:i/>
          <w:iCs/>
          <w:color w:val="000000"/>
          <w:sz w:val="20"/>
          <w:szCs w:val="20"/>
          <w:u w:val="single"/>
        </w:rPr>
        <w:t>UGI Corporation and Related Entities</w:t>
      </w:r>
    </w:p>
    <w:p w:rsidR="00000000" w:rsidRDefault="00AC31B9">
      <w:pPr>
        <w:jc w:val="both"/>
        <w:rPr>
          <w:rFonts w:eastAsia="Times New Roman"/>
        </w:rPr>
      </w:pPr>
      <w:r>
        <w:rPr>
          <w:rFonts w:eastAsia="Times New Roman"/>
          <w:b/>
          <w:bCs/>
          <w:i/>
          <w:iCs/>
          <w:color w:val="000000"/>
          <w:sz w:val="20"/>
          <w:szCs w:val="20"/>
        </w:rPr>
        <w:t> </w:t>
      </w:r>
    </w:p>
    <w:p w:rsidR="00000000" w:rsidRDefault="00AC31B9">
      <w:pPr>
        <w:jc w:val="both"/>
        <w:rPr>
          <w:rFonts w:eastAsia="Times New Roman"/>
        </w:rPr>
      </w:pPr>
      <w:r>
        <w:rPr>
          <w:rFonts w:eastAsia="Times New Roman"/>
          <w:b/>
          <w:bCs/>
          <w:i/>
          <w:iCs/>
          <w:color w:val="000000"/>
          <w:sz w:val="20"/>
          <w:szCs w:val="20"/>
        </w:rPr>
        <w:t xml:space="preserve">AmeriGas Finance Corp. - </w:t>
      </w:r>
      <w:r>
        <w:rPr>
          <w:rFonts w:eastAsia="Times New Roman"/>
          <w:color w:val="000000"/>
          <w:sz w:val="20"/>
          <w:szCs w:val="20"/>
        </w:rPr>
        <w:t>A wholly owned subsidiary of AmeriGas Partners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AmeriGas OLP - </w:t>
      </w:r>
      <w:r>
        <w:rPr>
          <w:rFonts w:eastAsia="Times New Roman"/>
          <w:color w:val="000000"/>
          <w:sz w:val="20"/>
          <w:szCs w:val="20"/>
        </w:rPr>
        <w:t>AmeriGas Propane, L.P., the principal operating subsidiary o</w:t>
      </w:r>
      <w:r>
        <w:rPr>
          <w:rFonts w:eastAsia="Times New Roman"/>
          <w:color w:val="000000"/>
          <w:sz w:val="20"/>
          <w:szCs w:val="20"/>
        </w:rPr>
        <w:t>f AmeriGas Partners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AmeriGas Partners -</w:t>
      </w:r>
      <w:r>
        <w:rPr>
          <w:rFonts w:eastAsia="Times New Roman"/>
          <w:color w:val="000000"/>
          <w:sz w:val="20"/>
          <w:szCs w:val="20"/>
        </w:rPr>
        <w:t xml:space="preserve"> AmeriGas Partners, L.P., an indirect wholly owned subsidiary of UGI; also referred to, together with its consolidated subsidiaries, as the “Partnership”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AmeriGas Propane -</w:t>
      </w:r>
      <w:r>
        <w:rPr>
          <w:rFonts w:eastAsia="Times New Roman"/>
          <w:color w:val="000000"/>
          <w:sz w:val="20"/>
          <w:szCs w:val="20"/>
        </w:rPr>
        <w:t xml:space="preserve"> Reportable segment comprising AmeriGas </w:t>
      </w:r>
      <w:r>
        <w:rPr>
          <w:rFonts w:eastAsia="Times New Roman"/>
          <w:color w:val="000000"/>
          <w:sz w:val="20"/>
          <w:szCs w:val="20"/>
        </w:rPr>
        <w:t>Propane, Inc. and its subsidiaries, including AmeriGas Partners and AmeriGas OLP</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AmeriGas Propane, Inc. -</w:t>
      </w:r>
      <w:r>
        <w:rPr>
          <w:rFonts w:eastAsia="Times New Roman"/>
          <w:color w:val="000000"/>
          <w:sz w:val="20"/>
          <w:szCs w:val="20"/>
        </w:rPr>
        <w:t xml:space="preserve"> A wholly owned second-tier subsidiary of UGI and the general partner of AmeriGas Partners; also referred to as the “General Partner”</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AvantiGas - </w:t>
      </w:r>
      <w:r>
        <w:rPr>
          <w:rFonts w:eastAsia="Times New Roman"/>
          <w:color w:val="000000"/>
          <w:sz w:val="20"/>
          <w:szCs w:val="20"/>
        </w:rPr>
        <w:t>A</w:t>
      </w:r>
      <w:r>
        <w:rPr>
          <w:rFonts w:eastAsia="Times New Roman"/>
          <w:color w:val="000000"/>
          <w:sz w:val="20"/>
          <w:szCs w:val="20"/>
        </w:rPr>
        <w:t>vantiGas Limited, an indirect wholly owned subsidiary of UGI International, LLC</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Company -</w:t>
      </w:r>
      <w:r>
        <w:rPr>
          <w:rFonts w:eastAsia="Times New Roman"/>
          <w:color w:val="000000"/>
          <w:sz w:val="20"/>
          <w:szCs w:val="20"/>
        </w:rPr>
        <w:t xml:space="preserve"> UGI and its consolidated subsidiaries collectively</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DVEP -</w:t>
      </w:r>
      <w:r>
        <w:rPr>
          <w:rFonts w:eastAsia="Times New Roman"/>
          <w:color w:val="000000"/>
          <w:sz w:val="20"/>
          <w:szCs w:val="20"/>
        </w:rPr>
        <w:t xml:space="preserve"> DVEP Investeringen B.V., an indirect wholly owned subsidiary of UGI International, LLC</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Electric Utilit</w:t>
      </w:r>
      <w:r>
        <w:rPr>
          <w:rFonts w:eastAsia="Times New Roman"/>
          <w:b/>
          <w:bCs/>
          <w:i/>
          <w:iCs/>
          <w:color w:val="000000"/>
          <w:sz w:val="20"/>
          <w:szCs w:val="20"/>
        </w:rPr>
        <w:t>y -</w:t>
      </w:r>
      <w:r>
        <w:rPr>
          <w:rFonts w:eastAsia="Times New Roman"/>
          <w:color w:val="000000"/>
          <w:sz w:val="20"/>
          <w:szCs w:val="20"/>
        </w:rPr>
        <w:t xml:space="preserve"> UGI Utilities’ regulated electric distribution utility</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Energy Services -</w:t>
      </w:r>
      <w:r>
        <w:rPr>
          <w:rFonts w:eastAsia="Times New Roman"/>
          <w:color w:val="000000"/>
          <w:sz w:val="20"/>
          <w:szCs w:val="20"/>
        </w:rPr>
        <w:t xml:space="preserve"> UGI Energy Services, LLC, a wholly owned subsidiary of Enterprises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Enterprises -</w:t>
      </w:r>
      <w:r>
        <w:rPr>
          <w:rFonts w:eastAsia="Times New Roman"/>
          <w:color w:val="000000"/>
          <w:sz w:val="20"/>
          <w:szCs w:val="20"/>
        </w:rPr>
        <w:t xml:space="preserve"> UGI Enterprises, LLC, a wholly owned subsidiary of UGI</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ESFC -</w:t>
      </w:r>
      <w:r>
        <w:rPr>
          <w:rFonts w:eastAsia="Times New Roman"/>
          <w:color w:val="000000"/>
          <w:sz w:val="20"/>
          <w:szCs w:val="20"/>
        </w:rPr>
        <w:t xml:space="preserve"> </w:t>
      </w:r>
      <w:r>
        <w:rPr>
          <w:rFonts w:eastAsia="Times New Roman"/>
          <w:color w:val="000000"/>
          <w:sz w:val="20"/>
          <w:szCs w:val="20"/>
        </w:rPr>
        <w:t>Energy Services Funding Corporation, a wholly owned subsidiary of Energy Services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Flaga - </w:t>
      </w:r>
      <w:r>
        <w:rPr>
          <w:rFonts w:eastAsia="Times New Roman"/>
          <w:color w:val="000000"/>
          <w:sz w:val="20"/>
          <w:szCs w:val="20"/>
        </w:rPr>
        <w:t>Flaga GmbH, an indirect wholly owned subsidiary of UGI International, LLC</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Gas Utility -</w:t>
      </w:r>
      <w:r>
        <w:rPr>
          <w:rFonts w:eastAsia="Times New Roman"/>
          <w:color w:val="000000"/>
          <w:sz w:val="20"/>
          <w:szCs w:val="20"/>
        </w:rPr>
        <w:t xml:space="preserve"> UGI’s regulated natural gas businesses, inclusive of PA Gas Utility and WV</w:t>
      </w:r>
      <w:r>
        <w:rPr>
          <w:rFonts w:eastAsia="Times New Roman"/>
          <w:color w:val="000000"/>
          <w:sz w:val="20"/>
          <w:szCs w:val="20"/>
        </w:rPr>
        <w:t xml:space="preserve"> Gas Utility</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General Partner -</w:t>
      </w:r>
      <w:r>
        <w:rPr>
          <w:rFonts w:eastAsia="Times New Roman"/>
          <w:b/>
          <w:bCs/>
          <w:color w:val="000000"/>
          <w:sz w:val="20"/>
          <w:szCs w:val="20"/>
        </w:rPr>
        <w:t xml:space="preserve"> </w:t>
      </w:r>
      <w:r>
        <w:rPr>
          <w:rFonts w:eastAsia="Times New Roman"/>
          <w:color w:val="000000"/>
          <w:sz w:val="20"/>
          <w:szCs w:val="20"/>
        </w:rPr>
        <w:t>AmeriGas Propane, Inc., the general partner of AmeriGas Partners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lastRenderedPageBreak/>
        <w:t xml:space="preserve">GHI - </w:t>
      </w:r>
      <w:r>
        <w:rPr>
          <w:rFonts w:eastAsia="Times New Roman"/>
          <w:color w:val="000000"/>
          <w:sz w:val="20"/>
          <w:szCs w:val="20"/>
        </w:rPr>
        <w:t>GHI Energy, LLC, a Houston-based renewable natural gas company and indirect wholly owned subsidiary of Energy Services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MBL Bioenergy - </w:t>
      </w:r>
      <w:r>
        <w:rPr>
          <w:rFonts w:eastAsia="Times New Roman"/>
          <w:color w:val="000000"/>
          <w:sz w:val="20"/>
          <w:szCs w:val="20"/>
        </w:rPr>
        <w:t>MBL Bioenergy</w:t>
      </w:r>
      <w:r>
        <w:rPr>
          <w:rFonts w:eastAsia="Times New Roman"/>
          <w:color w:val="000000"/>
          <w:sz w:val="20"/>
          <w:szCs w:val="20"/>
        </w:rPr>
        <w:t>, LLC</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Midstream &amp; Marketing -</w:t>
      </w:r>
      <w:r>
        <w:rPr>
          <w:rFonts w:eastAsia="Times New Roman"/>
          <w:color w:val="000000"/>
          <w:sz w:val="20"/>
          <w:szCs w:val="20"/>
        </w:rPr>
        <w:t xml:space="preserve"> Reportable segment comprising Energy Services and UGID</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Mountaineer</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Mountaineer Gas Company, a natural gas distribution company in West Virginia and a wholly owned subsidiary of Mountaintop Energy Holdings, LLC</w:t>
      </w:r>
    </w:p>
    <w:p w:rsidR="00000000" w:rsidRDefault="00AC31B9">
      <w:pPr>
        <w:divId w:val="262301801"/>
        <w:rPr>
          <w:rFonts w:eastAsia="Times New Roman"/>
        </w:rPr>
      </w:pPr>
    </w:p>
    <w:p w:rsidR="00000000" w:rsidRDefault="00AC31B9">
      <w:pPr>
        <w:jc w:val="both"/>
        <w:rPr>
          <w:rFonts w:eastAsia="Times New Roman"/>
        </w:rPr>
      </w:pPr>
      <w:r>
        <w:rPr>
          <w:rFonts w:eastAsia="Times New Roman"/>
          <w:b/>
          <w:bCs/>
          <w:i/>
          <w:iCs/>
          <w:color w:val="000000"/>
          <w:sz w:val="20"/>
          <w:szCs w:val="20"/>
        </w:rPr>
        <w:t>Mountain</w:t>
      </w:r>
      <w:r>
        <w:rPr>
          <w:rFonts w:eastAsia="Times New Roman"/>
          <w:b/>
          <w:bCs/>
          <w:i/>
          <w:iCs/>
          <w:color w:val="000000"/>
          <w:sz w:val="20"/>
          <w:szCs w:val="20"/>
        </w:rPr>
        <w:t>top Energy Holdings, LLC -</w:t>
      </w:r>
      <w:r>
        <w:rPr>
          <w:rFonts w:eastAsia="Times New Roman"/>
          <w:color w:val="000000"/>
          <w:sz w:val="20"/>
          <w:szCs w:val="20"/>
        </w:rPr>
        <w:t xml:space="preserve"> Parent company of Mountaineer and wholly owned subsidiary of UGI, acquired on September 1, 2021</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PA Gas Utility - </w:t>
      </w:r>
      <w:r>
        <w:rPr>
          <w:rFonts w:eastAsia="Times New Roman"/>
          <w:color w:val="000000"/>
          <w:sz w:val="20"/>
          <w:szCs w:val="20"/>
        </w:rPr>
        <w:t>UGI Utilities’ regulated natural gas distribution business, primarily located in Pennsylvania</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Partnership -</w:t>
      </w:r>
      <w:r>
        <w:rPr>
          <w:rFonts w:eastAsia="Times New Roman"/>
          <w:color w:val="000000"/>
          <w:sz w:val="20"/>
          <w:szCs w:val="20"/>
        </w:rPr>
        <w:t xml:space="preserve"> Amer</w:t>
      </w:r>
      <w:r>
        <w:rPr>
          <w:rFonts w:eastAsia="Times New Roman"/>
          <w:color w:val="000000"/>
          <w:sz w:val="20"/>
          <w:szCs w:val="20"/>
        </w:rPr>
        <w:t>iGas Partners and its consolidated subsidiaries, including AmeriGas OLP; also referred to as “AmeriGas Partners”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Pennant -</w:t>
      </w:r>
      <w:r>
        <w:rPr>
          <w:rFonts w:eastAsia="Times New Roman"/>
          <w:color w:val="000000"/>
          <w:sz w:val="20"/>
          <w:szCs w:val="20"/>
        </w:rPr>
        <w:t xml:space="preserve"> </w:t>
      </w:r>
      <w:r>
        <w:rPr>
          <w:rFonts w:eastAsia="Times New Roman"/>
          <w:color w:val="000000"/>
          <w:sz w:val="20"/>
          <w:szCs w:val="20"/>
        </w:rPr>
        <w:t>Pennant Midstream, LLC, an indirect wholly owned subsidiary of Energy Services</w:t>
      </w:r>
    </w:p>
    <w:p w:rsidR="00000000" w:rsidRDefault="00AC31B9">
      <w:pPr>
        <w:jc w:val="center"/>
        <w:divId w:val="982346619"/>
        <w:rPr>
          <w:rFonts w:eastAsia="Times New Roman"/>
        </w:rPr>
      </w:pPr>
      <w:r>
        <w:rPr>
          <w:rFonts w:eastAsia="Times New Roman"/>
          <w:color w:val="000000"/>
          <w:sz w:val="20"/>
          <w:szCs w:val="20"/>
        </w:rPr>
        <w:t>2</w:t>
      </w:r>
    </w:p>
    <w:p w:rsidR="00000000" w:rsidRDefault="00AC31B9">
      <w:pPr>
        <w:rPr>
          <w:rFonts w:eastAsia="Times New Roman"/>
        </w:rPr>
      </w:pPr>
      <w:r>
        <w:rPr>
          <w:rFonts w:eastAsia="Times New Roman"/>
        </w:rPr>
        <w:pict>
          <v:rect id="_x0000_i1027" style="width:0;height:1.5pt" o:hralign="center" o:hrstd="t" o:hr="t" fillcolor="#a0a0a0" stroked="f"/>
        </w:pict>
      </w:r>
    </w:p>
    <w:p w:rsidR="00000000" w:rsidRDefault="00AC31B9">
      <w:pPr>
        <w:divId w:val="250505942"/>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PennEast - </w:t>
      </w:r>
      <w:r>
        <w:rPr>
          <w:rFonts w:eastAsia="Times New Roman"/>
          <w:color w:val="000000"/>
          <w:sz w:val="20"/>
          <w:szCs w:val="20"/>
        </w:rPr>
        <w:t>PennEast Pipeline Company, LLC</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Pine Run</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w:t>
      </w:r>
      <w:r>
        <w:rPr>
          <w:rFonts w:eastAsia="Times New Roman"/>
          <w:color w:val="000000"/>
          <w:sz w:val="20"/>
          <w:szCs w:val="20"/>
        </w:rPr>
        <w:t>Pine Run Gathering, LLC</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Stonehenge - </w:t>
      </w:r>
      <w:r>
        <w:rPr>
          <w:rFonts w:eastAsia="Times New Roman"/>
          <w:color w:val="000000"/>
          <w:sz w:val="20"/>
          <w:szCs w:val="20"/>
        </w:rPr>
        <w:t>Stonehenge Appalachia, LLC, a midstream natural gas gathering business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UGI Corporation or, collectively, UGI Corporation and its consolidated subsidiaries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Appalachia</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UGI Appalachia, LLC, a wholly owned</w:t>
      </w:r>
      <w:r>
        <w:rPr>
          <w:rFonts w:eastAsia="Times New Roman"/>
          <w:color w:val="000000"/>
          <w:sz w:val="20"/>
          <w:szCs w:val="20"/>
        </w:rPr>
        <w:t xml:space="preserve"> subsidiary of Energy Services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UGI France - </w:t>
      </w:r>
      <w:r>
        <w:rPr>
          <w:rFonts w:eastAsia="Times New Roman"/>
          <w:color w:val="000000"/>
          <w:sz w:val="20"/>
          <w:szCs w:val="20"/>
        </w:rPr>
        <w:t>UGI France SAS (</w:t>
      </w:r>
      <w:r>
        <w:rPr>
          <w:rFonts w:eastAsia="Times New Roman"/>
          <w:i/>
          <w:iCs/>
          <w:color w:val="000000"/>
          <w:sz w:val="20"/>
          <w:szCs w:val="20"/>
        </w:rPr>
        <w:t>a Société par actions simplifiée</w:t>
      </w:r>
      <w:r>
        <w:rPr>
          <w:rFonts w:eastAsia="Times New Roman"/>
          <w:color w:val="000000"/>
          <w:sz w:val="20"/>
          <w:szCs w:val="20"/>
        </w:rPr>
        <w:t>), an indirect wholly owned subsidiary of UGI International, LLC</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International</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Reportable segment principally comprising UGI’s foreign operations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In</w:t>
      </w:r>
      <w:r>
        <w:rPr>
          <w:rFonts w:eastAsia="Times New Roman"/>
          <w:b/>
          <w:bCs/>
          <w:i/>
          <w:iCs/>
          <w:color w:val="000000"/>
          <w:sz w:val="20"/>
          <w:szCs w:val="20"/>
        </w:rPr>
        <w:t>ternational, LLC</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UGI International, LLC, a wholly owned subsidiary of Enterprises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Moraine East</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UGI Moraine East Gathering LLC, a wholly owned subsidiary comprising the assets acquired in the Stonehenge Acquisition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Pine Run, LLC</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 wholly o</w:t>
      </w:r>
      <w:r>
        <w:rPr>
          <w:rFonts w:eastAsia="Times New Roman"/>
          <w:color w:val="000000"/>
          <w:sz w:val="20"/>
          <w:szCs w:val="20"/>
        </w:rPr>
        <w:t>wned subsidiary of Energy Services that holds a 49% membership interest in Pine Run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Utilities -</w:t>
      </w:r>
      <w:r>
        <w:rPr>
          <w:rFonts w:eastAsia="Times New Roman"/>
          <w:color w:val="000000"/>
          <w:sz w:val="20"/>
          <w:szCs w:val="20"/>
        </w:rPr>
        <w:t xml:space="preserve"> Reportable segment comprising UGI Utilities and Mountaintop Energy Holdings, LLC</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Utilities -</w:t>
      </w:r>
      <w:r>
        <w:rPr>
          <w:rFonts w:eastAsia="Times New Roman"/>
          <w:color w:val="000000"/>
          <w:sz w:val="20"/>
          <w:szCs w:val="20"/>
        </w:rPr>
        <w:t xml:space="preserve"> </w:t>
      </w:r>
      <w:r>
        <w:rPr>
          <w:rFonts w:eastAsia="Times New Roman"/>
          <w:color w:val="000000"/>
          <w:sz w:val="20"/>
          <w:szCs w:val="20"/>
        </w:rPr>
        <w:t>UGI Utilities, Inc., a wholly owned subsidiary of UGI comprising PA Gas Utility and Electric Utility</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UGID -</w:t>
      </w:r>
      <w:r>
        <w:rPr>
          <w:rFonts w:eastAsia="Times New Roman"/>
          <w:color w:val="000000"/>
          <w:sz w:val="20"/>
          <w:szCs w:val="20"/>
        </w:rPr>
        <w:t xml:space="preserve"> UGI Development Company, a wholly owned subsidiary of Energy Services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UniverGas -</w:t>
      </w:r>
      <w:r>
        <w:rPr>
          <w:rFonts w:eastAsia="Times New Roman"/>
          <w:color w:val="000000"/>
          <w:sz w:val="20"/>
          <w:szCs w:val="20"/>
        </w:rPr>
        <w:t xml:space="preserve"> UniverGas Italia S.r.l, an indirect wholly owned subsidiary of</w:t>
      </w:r>
      <w:r>
        <w:rPr>
          <w:rFonts w:eastAsia="Times New Roman"/>
          <w:color w:val="000000"/>
          <w:sz w:val="20"/>
          <w:szCs w:val="20"/>
        </w:rPr>
        <w:t xml:space="preserve"> UGI International, LLC</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lastRenderedPageBreak/>
        <w:t>WV Gas Utility</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Mountaineer’s regulated natural gas distribution business, located in West Virginia</w:t>
      </w:r>
    </w:p>
    <w:p w:rsidR="00000000" w:rsidRDefault="00AC31B9">
      <w:pPr>
        <w:jc w:val="both"/>
        <w:divId w:val="857933569"/>
        <w:rPr>
          <w:rFonts w:eastAsia="Times New Roman"/>
        </w:rPr>
      </w:pPr>
    </w:p>
    <w:p w:rsidR="00000000" w:rsidRDefault="00AC31B9">
      <w:pPr>
        <w:jc w:val="center"/>
        <w:rPr>
          <w:rFonts w:eastAsia="Times New Roman"/>
        </w:rPr>
      </w:pPr>
      <w:r>
        <w:rPr>
          <w:rFonts w:eastAsia="Times New Roman"/>
          <w:b/>
          <w:bCs/>
          <w:i/>
          <w:iCs/>
          <w:color w:val="000000"/>
          <w:sz w:val="20"/>
          <w:szCs w:val="20"/>
          <w:u w:val="single"/>
        </w:rPr>
        <w:t>Other Terms and Abbreviations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2013 OICP - </w:t>
      </w:r>
      <w:r>
        <w:rPr>
          <w:rFonts w:eastAsia="Times New Roman"/>
          <w:color w:val="000000"/>
          <w:sz w:val="20"/>
          <w:szCs w:val="20"/>
        </w:rPr>
        <w:t xml:space="preserve">UGI Corporation 2013 Omnibus Incentive Compensation Plan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5.625% Senior Notes</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An underwritten public offering of $675 million aggregate principal amount of notes due May 2024, issued by AmeriGas Partners. Pursuant to the tender offer, dated May 22, 202</w:t>
      </w:r>
      <w:r>
        <w:rPr>
          <w:rFonts w:eastAsia="Times New Roman"/>
          <w:color w:val="000000"/>
          <w:sz w:val="20"/>
          <w:szCs w:val="20"/>
        </w:rPr>
        <w:t>3, AmeriGas Partners, in June 2023, redeemed all outstanding 5.625% Senior Notes due May 2024 and in so doing was released from the obligations with respect to the indenture for the 5.625% Senior Notes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9.375% Senior Notes -</w:t>
      </w:r>
      <w:r>
        <w:rPr>
          <w:rFonts w:eastAsia="Times New Roman"/>
          <w:color w:val="000000"/>
          <w:sz w:val="20"/>
          <w:szCs w:val="20"/>
        </w:rPr>
        <w:t xml:space="preserve"> An underwritten private offeri</w:t>
      </w:r>
      <w:r>
        <w:rPr>
          <w:rFonts w:eastAsia="Times New Roman"/>
          <w:color w:val="000000"/>
          <w:sz w:val="20"/>
          <w:szCs w:val="20"/>
        </w:rPr>
        <w:t>ng of $500 million aggregate principal amount of notes due May 2028, co-issued by AmeriGas Partners and AmeriGas Finance Corp.</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2021 IAP - </w:t>
      </w:r>
      <w:r>
        <w:rPr>
          <w:rFonts w:eastAsia="Times New Roman"/>
          <w:color w:val="000000"/>
          <w:sz w:val="20"/>
          <w:szCs w:val="20"/>
        </w:rPr>
        <w:t>UGI Corporation 2021 Incentive Award Plan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2022 AmeriGas OLP Credit Agreement </w:t>
      </w:r>
      <w:r>
        <w:rPr>
          <w:rFonts w:eastAsia="Times New Roman"/>
          <w:i/>
          <w:iCs/>
          <w:color w:val="000000"/>
          <w:sz w:val="20"/>
          <w:szCs w:val="20"/>
        </w:rPr>
        <w:t>-</w:t>
      </w:r>
      <w:r>
        <w:rPr>
          <w:rFonts w:eastAsia="Times New Roman"/>
          <w:color w:val="000000"/>
          <w:sz w:val="20"/>
          <w:szCs w:val="20"/>
        </w:rPr>
        <w:t xml:space="preserve"> Entered into by AmeriGas OLP provid</w:t>
      </w:r>
      <w:r>
        <w:rPr>
          <w:rFonts w:eastAsia="Times New Roman"/>
          <w:color w:val="000000"/>
          <w:sz w:val="20"/>
          <w:szCs w:val="20"/>
        </w:rPr>
        <w:t xml:space="preserve">ing for borrowings of up to $600 million, with the option to increase to a maximum principal amount of $900 million assuming certain conditions are met, including a letter of credit subfacility of up to $100 million, scheduled to expire in September 2026. </w:t>
      </w:r>
      <w:r>
        <w:rPr>
          <w:rFonts w:eastAsia="Times New Roman"/>
          <w:color w:val="000000"/>
          <w:sz w:val="20"/>
          <w:szCs w:val="20"/>
        </w:rPr>
        <w:t xml:space="preserve">On November 15, 2023, the Company amended the 2022 AmeriGas OLP Credit agreement reducing the revolver to $400 million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2024 Purchase Contract</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 forward stock purchase contract issued by the Company as a part of the issuance of Equity Units which oblig</w:t>
      </w:r>
      <w:r>
        <w:rPr>
          <w:rFonts w:eastAsia="Times New Roman"/>
          <w:color w:val="000000"/>
          <w:sz w:val="20"/>
          <w:szCs w:val="20"/>
        </w:rPr>
        <w:t>ates holders to purchase a number of shares of UGI Common Stock from the Company on June 1, 2024</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ABO -</w:t>
      </w:r>
      <w:r>
        <w:rPr>
          <w:rFonts w:eastAsia="Times New Roman"/>
          <w:color w:val="000000"/>
          <w:sz w:val="20"/>
          <w:szCs w:val="20"/>
        </w:rPr>
        <w:t xml:space="preserve"> Accumulated Benefit Obligation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ACE -</w:t>
      </w:r>
      <w:r>
        <w:rPr>
          <w:rFonts w:eastAsia="Times New Roman"/>
          <w:color w:val="000000"/>
          <w:sz w:val="20"/>
          <w:szCs w:val="20"/>
        </w:rPr>
        <w:t xml:space="preserve"> AmeriGas Cylinder Exchange</w:t>
      </w:r>
    </w:p>
    <w:p w:rsidR="00000000" w:rsidRDefault="00AC31B9">
      <w:pPr>
        <w:jc w:val="center"/>
        <w:divId w:val="1149707502"/>
        <w:rPr>
          <w:rFonts w:eastAsia="Times New Roman"/>
        </w:rPr>
      </w:pPr>
      <w:r>
        <w:rPr>
          <w:rFonts w:eastAsia="Times New Roman"/>
          <w:color w:val="000000"/>
          <w:sz w:val="20"/>
          <w:szCs w:val="20"/>
        </w:rPr>
        <w:t>3</w:t>
      </w:r>
    </w:p>
    <w:p w:rsidR="00000000" w:rsidRDefault="00AC31B9">
      <w:pPr>
        <w:rPr>
          <w:rFonts w:eastAsia="Times New Roman"/>
        </w:rPr>
      </w:pPr>
      <w:r>
        <w:rPr>
          <w:rFonts w:eastAsia="Times New Roman"/>
        </w:rPr>
        <w:pict>
          <v:rect id="_x0000_i1028" style="width:0;height:1.5pt" o:hralign="center" o:hrstd="t" o:hr="t" fillcolor="#a0a0a0" stroked="f"/>
        </w:pict>
      </w:r>
    </w:p>
    <w:p w:rsidR="00000000" w:rsidRDefault="00AC31B9">
      <w:pPr>
        <w:divId w:val="932709897"/>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AFUDC -</w:t>
      </w:r>
      <w:r>
        <w:rPr>
          <w:rFonts w:eastAsia="Times New Roman"/>
          <w:color w:val="000000"/>
          <w:sz w:val="20"/>
          <w:szCs w:val="20"/>
        </w:rPr>
        <w:t xml:space="preserve"> Allowance for Funds Used During Construction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AmeriGas OLP Credit Agreement</w:t>
      </w:r>
      <w:r>
        <w:rPr>
          <w:rFonts w:eastAsia="Times New Roman"/>
          <w:color w:val="000000"/>
          <w:sz w:val="20"/>
          <w:szCs w:val="20"/>
        </w:rPr>
        <w:t xml:space="preserve"> </w:t>
      </w:r>
      <w:r>
        <w:rPr>
          <w:rFonts w:eastAsia="Times New Roman"/>
          <w:color w:val="000000"/>
          <w:sz w:val="20"/>
          <w:szCs w:val="20"/>
        </w:rPr>
        <w:t xml:space="preserve">- The second amended and restated credit agreement entered into by AmeriGas OLP providing for borrowings of up to $600 million, including a letter of credit subfacility of up to $150 million, was paid in full and terminated concurrently with the execution </w:t>
      </w:r>
      <w:r>
        <w:rPr>
          <w:rFonts w:eastAsia="Times New Roman"/>
          <w:color w:val="000000"/>
          <w:sz w:val="20"/>
          <w:szCs w:val="20"/>
        </w:rPr>
        <w:t>of the 2022 AmeriGas OLP Credit Agreement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AOCI - </w:t>
      </w:r>
      <w:r>
        <w:rPr>
          <w:rFonts w:eastAsia="Times New Roman"/>
          <w:color w:val="000000"/>
          <w:sz w:val="20"/>
          <w:szCs w:val="20"/>
        </w:rPr>
        <w:t>Accumulated Other Comprehensive Income (Loss)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ASC -</w:t>
      </w:r>
      <w:r>
        <w:rPr>
          <w:rFonts w:eastAsia="Times New Roman"/>
          <w:color w:val="000000"/>
          <w:sz w:val="20"/>
          <w:szCs w:val="20"/>
        </w:rPr>
        <w:t xml:space="preserve"> Accounting Standards Codification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ASC 606</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ASC 606, “Revenue from Contracts with Customers”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ASC 820 - </w:t>
      </w:r>
      <w:r>
        <w:rPr>
          <w:rFonts w:eastAsia="Times New Roman"/>
          <w:color w:val="000000"/>
          <w:sz w:val="20"/>
          <w:szCs w:val="20"/>
        </w:rPr>
        <w:t>ASC 820, “</w:t>
      </w:r>
      <w:r>
        <w:rPr>
          <w:rFonts w:eastAsia="Times New Roman"/>
          <w:color w:val="000000"/>
          <w:sz w:val="20"/>
          <w:szCs w:val="20"/>
        </w:rPr>
        <w:t xml:space="preserve">Fair Value Measurement”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ASC 980</w:t>
      </w:r>
      <w:r>
        <w:rPr>
          <w:rFonts w:eastAsia="Times New Roman"/>
          <w:color w:val="000000"/>
          <w:sz w:val="20"/>
          <w:szCs w:val="20"/>
        </w:rPr>
        <w:t xml:space="preserve"> </w:t>
      </w:r>
      <w:r>
        <w:rPr>
          <w:rFonts w:eastAsia="Times New Roman"/>
          <w:b/>
          <w:bCs/>
          <w:i/>
          <w:iCs/>
          <w:color w:val="000000"/>
          <w:sz w:val="20"/>
          <w:szCs w:val="20"/>
        </w:rPr>
        <w:t xml:space="preserve">- </w:t>
      </w:r>
      <w:r>
        <w:rPr>
          <w:rFonts w:eastAsia="Times New Roman"/>
          <w:color w:val="000000"/>
          <w:sz w:val="20"/>
          <w:szCs w:val="20"/>
        </w:rPr>
        <w:t>ASC 980, “Regulated Operations”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ASU -</w:t>
      </w:r>
      <w:r>
        <w:rPr>
          <w:rFonts w:eastAsia="Times New Roman"/>
          <w:color w:val="000000"/>
          <w:sz w:val="20"/>
          <w:szCs w:val="20"/>
        </w:rPr>
        <w:t xml:space="preserve"> Accounting Standards Update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Bcf -</w:t>
      </w:r>
      <w:r>
        <w:rPr>
          <w:rFonts w:eastAsia="Times New Roman"/>
          <w:color w:val="000000"/>
          <w:sz w:val="20"/>
          <w:szCs w:val="20"/>
        </w:rPr>
        <w:t xml:space="preserve"> Billions of cubic feet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lastRenderedPageBreak/>
        <w:t>Board of Directors -</w:t>
      </w:r>
      <w:r>
        <w:rPr>
          <w:rFonts w:eastAsia="Times New Roman"/>
          <w:i/>
          <w:iCs/>
          <w:color w:val="000000"/>
          <w:sz w:val="20"/>
          <w:szCs w:val="20"/>
        </w:rPr>
        <w:t xml:space="preserve"> </w:t>
      </w:r>
      <w:r>
        <w:rPr>
          <w:rFonts w:eastAsia="Times New Roman"/>
          <w:color w:val="000000"/>
          <w:sz w:val="20"/>
          <w:szCs w:val="20"/>
        </w:rPr>
        <w:t>The board of directors of UGI</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Btu -</w:t>
      </w:r>
      <w:r>
        <w:rPr>
          <w:rFonts w:eastAsia="Times New Roman"/>
          <w:color w:val="000000"/>
          <w:sz w:val="20"/>
          <w:szCs w:val="20"/>
        </w:rPr>
        <w:t xml:space="preserve"> British thermal unit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CERCLA -</w:t>
      </w:r>
      <w:r>
        <w:rPr>
          <w:rFonts w:eastAsia="Times New Roman"/>
          <w:color w:val="000000"/>
          <w:sz w:val="20"/>
          <w:szCs w:val="20"/>
        </w:rPr>
        <w:t xml:space="preserve"> Comprehensive Environmental</w:t>
      </w:r>
      <w:r>
        <w:rPr>
          <w:rFonts w:eastAsia="Times New Roman"/>
          <w:color w:val="000000"/>
          <w:sz w:val="20"/>
          <w:szCs w:val="20"/>
        </w:rPr>
        <w:t xml:space="preserve"> Response, Compensation and Liability Act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CFTC -</w:t>
      </w:r>
      <w:r>
        <w:rPr>
          <w:rFonts w:eastAsia="Times New Roman"/>
          <w:color w:val="000000"/>
          <w:sz w:val="20"/>
          <w:szCs w:val="20"/>
        </w:rPr>
        <w:t xml:space="preserve"> Commodity Futures Trading Commission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COA -</w:t>
      </w:r>
      <w:r>
        <w:rPr>
          <w:rFonts w:eastAsia="Times New Roman"/>
          <w:color w:val="000000"/>
          <w:sz w:val="20"/>
          <w:szCs w:val="20"/>
        </w:rPr>
        <w:t xml:space="preserve"> Consent Order and Agreement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CODM -</w:t>
      </w:r>
      <w:r>
        <w:rPr>
          <w:rFonts w:eastAsia="Times New Roman"/>
          <w:color w:val="000000"/>
          <w:sz w:val="20"/>
          <w:szCs w:val="20"/>
        </w:rPr>
        <w:t xml:space="preserve"> Chief Operating Decision Maker as defined in ASC 280, “Segment Reporting”</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Common Stock - </w:t>
      </w:r>
      <w:r>
        <w:rPr>
          <w:rFonts w:eastAsia="Times New Roman"/>
          <w:color w:val="000000"/>
          <w:sz w:val="20"/>
          <w:szCs w:val="20"/>
        </w:rPr>
        <w:t>Shares of UGI common stock</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Com</w:t>
      </w:r>
      <w:r>
        <w:rPr>
          <w:rFonts w:eastAsia="Times New Roman"/>
          <w:b/>
          <w:bCs/>
          <w:i/>
          <w:iCs/>
          <w:color w:val="000000"/>
          <w:sz w:val="20"/>
          <w:szCs w:val="20"/>
        </w:rPr>
        <w:t xml:space="preserve">mon Units - </w:t>
      </w:r>
      <w:r>
        <w:rPr>
          <w:rFonts w:eastAsia="Times New Roman"/>
          <w:color w:val="000000"/>
          <w:sz w:val="20"/>
          <w:szCs w:val="20"/>
        </w:rPr>
        <w:t>Limited partnership ownership interests in AmeriGas Partners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Convertible Preferred Stock</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Preferred stock of UGI titled 0.125% series A cumulative perpetual convertible preferred stock without par value and having a liquidation preference of</w:t>
      </w:r>
      <w:r>
        <w:rPr>
          <w:rFonts w:eastAsia="Times New Roman"/>
          <w:color w:val="000000"/>
          <w:sz w:val="20"/>
          <w:szCs w:val="20"/>
        </w:rPr>
        <w:t xml:space="preserve"> $1,000 per share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Core market - </w:t>
      </w:r>
      <w:r>
        <w:rPr>
          <w:rFonts w:eastAsia="Times New Roman"/>
          <w:color w:val="000000"/>
          <w:sz w:val="20"/>
          <w:szCs w:val="20"/>
        </w:rPr>
        <w:t>Comprises (1) firm residential, commercial and industrial customers to whom Utilities has a statutory obligation to provide service who purchase their natural gas or electricity from Utilities; and (2) residential, commercial and industrial customers to wh</w:t>
      </w:r>
      <w:r>
        <w:rPr>
          <w:rFonts w:eastAsia="Times New Roman"/>
          <w:color w:val="000000"/>
          <w:sz w:val="20"/>
          <w:szCs w:val="20"/>
        </w:rPr>
        <w:t>om Utilities has a statutory obligation to provide service who purchase their natural gas or electricity from others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DOT -</w:t>
      </w:r>
      <w:r>
        <w:rPr>
          <w:rFonts w:eastAsia="Times New Roman"/>
          <w:color w:val="000000"/>
          <w:sz w:val="20"/>
          <w:szCs w:val="20"/>
        </w:rPr>
        <w:t xml:space="preserve"> U.S. Department of Transportation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DSIC -</w:t>
      </w:r>
      <w:r>
        <w:rPr>
          <w:rFonts w:eastAsia="Times New Roman"/>
          <w:color w:val="000000"/>
          <w:sz w:val="20"/>
          <w:szCs w:val="20"/>
        </w:rPr>
        <w:t xml:space="preserve"> Distribution System Improvement Charge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Energy Services Amended Term Loan Credi</w:t>
      </w:r>
      <w:r>
        <w:rPr>
          <w:rFonts w:eastAsia="Times New Roman"/>
          <w:b/>
          <w:bCs/>
          <w:i/>
          <w:iCs/>
          <w:color w:val="000000"/>
          <w:sz w:val="20"/>
          <w:szCs w:val="20"/>
        </w:rPr>
        <w:t xml:space="preserve">t Agreement - </w:t>
      </w:r>
      <w:r>
        <w:rPr>
          <w:rFonts w:eastAsia="Times New Roman"/>
          <w:color w:val="000000"/>
          <w:sz w:val="20"/>
          <w:szCs w:val="20"/>
        </w:rPr>
        <w:t>The first amendment to the Energy Services Term Loan Credit Agreement, entered into on February 23, 2023, comprising an $800 million variable-rate term loan with a final maturity of February 2030</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Energy Services Term Loan Credit Agreement -</w:t>
      </w:r>
      <w:r>
        <w:rPr>
          <w:rFonts w:eastAsia="Times New Roman"/>
          <w:b/>
          <w:bCs/>
          <w:i/>
          <w:iCs/>
          <w:color w:val="000000"/>
          <w:sz w:val="20"/>
          <w:szCs w:val="20"/>
        </w:rPr>
        <w:t xml:space="preserve"> </w:t>
      </w:r>
      <w:r>
        <w:rPr>
          <w:rFonts w:eastAsia="Times New Roman"/>
          <w:color w:val="000000"/>
          <w:sz w:val="20"/>
          <w:szCs w:val="20"/>
        </w:rPr>
        <w:t>A seven-year $700 million variable rate senior secured term loan agreement entered into on August 13, 2019 by Energy Services and amended on February 23, 2023</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EPACT 2005 -</w:t>
      </w:r>
      <w:r>
        <w:rPr>
          <w:rFonts w:eastAsia="Times New Roman"/>
          <w:color w:val="000000"/>
          <w:sz w:val="20"/>
          <w:szCs w:val="20"/>
        </w:rPr>
        <w:t xml:space="preserve"> Energy Policy Act of 2005</w:t>
      </w:r>
    </w:p>
    <w:p w:rsidR="00000000" w:rsidRDefault="00AC31B9">
      <w:pPr>
        <w:jc w:val="both"/>
        <w:rPr>
          <w:rFonts w:eastAsia="Times New Roman"/>
        </w:rPr>
      </w:pPr>
    </w:p>
    <w:p w:rsidR="00000000" w:rsidRDefault="00AC31B9">
      <w:pPr>
        <w:jc w:val="center"/>
        <w:divId w:val="1994941584"/>
        <w:rPr>
          <w:rFonts w:eastAsia="Times New Roman"/>
        </w:rPr>
      </w:pPr>
      <w:r>
        <w:rPr>
          <w:rFonts w:eastAsia="Times New Roman"/>
          <w:color w:val="000000"/>
          <w:sz w:val="20"/>
          <w:szCs w:val="20"/>
        </w:rPr>
        <w:t>4</w:t>
      </w:r>
    </w:p>
    <w:p w:rsidR="00000000" w:rsidRDefault="00AC31B9">
      <w:pPr>
        <w:rPr>
          <w:rFonts w:eastAsia="Times New Roman"/>
        </w:rPr>
      </w:pPr>
      <w:r>
        <w:rPr>
          <w:rFonts w:eastAsia="Times New Roman"/>
        </w:rPr>
        <w:pict>
          <v:rect id="_x0000_i1029" style="width:0;height:1.5pt" o:hralign="center" o:hrstd="t" o:hr="t" fillcolor="#a0a0a0" stroked="f"/>
        </w:pict>
      </w:r>
    </w:p>
    <w:p w:rsidR="00000000" w:rsidRDefault="00AC31B9">
      <w:pPr>
        <w:divId w:val="1375159363"/>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b/>
          <w:bCs/>
          <w:i/>
          <w:iCs/>
          <w:color w:val="000000"/>
          <w:sz w:val="20"/>
          <w:szCs w:val="20"/>
        </w:rPr>
        <w:t xml:space="preserve">ERISA - </w:t>
      </w:r>
      <w:r>
        <w:rPr>
          <w:rFonts w:eastAsia="Times New Roman"/>
          <w:color w:val="000000"/>
          <w:sz w:val="20"/>
          <w:szCs w:val="20"/>
        </w:rPr>
        <w:t>Employee Retirement Income Security Act of 1974</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ERO -</w:t>
      </w:r>
      <w:r>
        <w:rPr>
          <w:rFonts w:eastAsia="Times New Roman"/>
          <w:color w:val="000000"/>
          <w:sz w:val="20"/>
          <w:szCs w:val="20"/>
        </w:rPr>
        <w:t xml:space="preserve"> Electric Reliability Organization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EU -</w:t>
      </w:r>
      <w:r>
        <w:rPr>
          <w:rFonts w:eastAsia="Times New Roman"/>
          <w:color w:val="000000"/>
          <w:sz w:val="20"/>
          <w:szCs w:val="20"/>
        </w:rPr>
        <w:t xml:space="preserve"> European Union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Equity Unit Agreements</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Collection of agreements governing the rights, privileges and obligations of the holders of the Equity Units and UGI as issuer of the Equity Units, which were filed with the SEC on Form 8-K on May 25, 2021</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Equity Unit</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 corporate unit consisting of </w:t>
      </w:r>
      <w:r>
        <w:rPr>
          <w:rFonts w:eastAsia="Times New Roman"/>
          <w:color w:val="000000"/>
          <w:sz w:val="20"/>
          <w:szCs w:val="20"/>
        </w:rPr>
        <w:t>a 2024 Purchase Contract and 1/10th or 10% undivided interest in one share of Convertible Preferred Stock</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Exchange Act -</w:t>
      </w:r>
      <w:r>
        <w:rPr>
          <w:rFonts w:eastAsia="Times New Roman"/>
          <w:color w:val="000000"/>
          <w:sz w:val="20"/>
          <w:szCs w:val="20"/>
        </w:rPr>
        <w:t xml:space="preserve"> Securities Exchange Act of 1934, as amended</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FDIC -</w:t>
      </w:r>
      <w:r>
        <w:rPr>
          <w:rFonts w:eastAsia="Times New Roman"/>
          <w:color w:val="000000"/>
          <w:sz w:val="20"/>
          <w:szCs w:val="20"/>
        </w:rPr>
        <w:t xml:space="preserve"> Federal Deposit Insurance Corporation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FERC -</w:t>
      </w:r>
      <w:r>
        <w:rPr>
          <w:rFonts w:eastAsia="Times New Roman"/>
          <w:color w:val="000000"/>
          <w:sz w:val="20"/>
          <w:szCs w:val="20"/>
        </w:rPr>
        <w:t xml:space="preserve"> </w:t>
      </w:r>
      <w:r>
        <w:rPr>
          <w:rFonts w:eastAsia="Times New Roman"/>
          <w:color w:val="000000"/>
          <w:sz w:val="20"/>
          <w:szCs w:val="20"/>
        </w:rPr>
        <w:t>Federal Energy Regulatory Commission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FIFO</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First-in, first-out inventory valuation method</w:t>
      </w:r>
    </w:p>
    <w:p w:rsidR="00000000" w:rsidRDefault="00AC31B9">
      <w:pPr>
        <w:jc w:val="both"/>
        <w:rPr>
          <w:rFonts w:eastAsia="Times New Roman"/>
        </w:rPr>
      </w:pPr>
    </w:p>
    <w:p w:rsidR="00000000" w:rsidRDefault="00AC31B9">
      <w:pPr>
        <w:divId w:val="912086937"/>
        <w:rPr>
          <w:rFonts w:eastAsia="Times New Roman"/>
        </w:rPr>
      </w:pPr>
      <w:r>
        <w:rPr>
          <w:rFonts w:eastAsia="Times New Roman"/>
          <w:b/>
          <w:bCs/>
          <w:i/>
          <w:iCs/>
          <w:color w:val="000000"/>
          <w:sz w:val="20"/>
          <w:szCs w:val="20"/>
        </w:rPr>
        <w:t>Fiscal 2020</w:t>
      </w:r>
      <w:r>
        <w:rPr>
          <w:rFonts w:eastAsia="Times New Roman"/>
          <w:color w:val="000000"/>
          <w:sz w:val="20"/>
          <w:szCs w:val="20"/>
        </w:rPr>
        <w:t xml:space="preserve"> </w:t>
      </w:r>
      <w:r>
        <w:rPr>
          <w:rFonts w:eastAsia="Times New Roman"/>
          <w:b/>
          <w:bCs/>
          <w:i/>
          <w:iCs/>
          <w:color w:val="000000"/>
          <w:sz w:val="20"/>
          <w:szCs w:val="20"/>
        </w:rPr>
        <w:t xml:space="preserve">- </w:t>
      </w:r>
      <w:r>
        <w:rPr>
          <w:rFonts w:eastAsia="Times New Roman"/>
          <w:color w:val="000000"/>
          <w:sz w:val="20"/>
          <w:szCs w:val="20"/>
        </w:rPr>
        <w:t>The fiscal year ended September 30, 2020</w:t>
      </w:r>
    </w:p>
    <w:p w:rsidR="00000000" w:rsidRDefault="00AC31B9">
      <w:pPr>
        <w:divId w:val="577247820"/>
        <w:rPr>
          <w:rFonts w:eastAsia="Times New Roman"/>
        </w:rPr>
      </w:pPr>
    </w:p>
    <w:p w:rsidR="00000000" w:rsidRDefault="00AC31B9">
      <w:pPr>
        <w:divId w:val="1651713787"/>
        <w:rPr>
          <w:rFonts w:eastAsia="Times New Roman"/>
        </w:rPr>
      </w:pPr>
      <w:r>
        <w:rPr>
          <w:rFonts w:eastAsia="Times New Roman"/>
          <w:b/>
          <w:bCs/>
          <w:i/>
          <w:iCs/>
          <w:color w:val="000000"/>
          <w:sz w:val="20"/>
          <w:szCs w:val="20"/>
        </w:rPr>
        <w:t>Fiscal 2021</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fiscal year ended September 30, 2021</w:t>
      </w:r>
    </w:p>
    <w:p w:rsidR="00000000" w:rsidRDefault="00AC31B9">
      <w:pPr>
        <w:divId w:val="6446824"/>
        <w:rPr>
          <w:rFonts w:eastAsia="Times New Roman"/>
        </w:rPr>
      </w:pPr>
    </w:p>
    <w:p w:rsidR="00000000" w:rsidRDefault="00AC31B9">
      <w:pPr>
        <w:divId w:val="406458785"/>
        <w:rPr>
          <w:rFonts w:eastAsia="Times New Roman"/>
        </w:rPr>
      </w:pPr>
      <w:r>
        <w:rPr>
          <w:rFonts w:eastAsia="Times New Roman"/>
          <w:b/>
          <w:bCs/>
          <w:i/>
          <w:iCs/>
          <w:color w:val="000000"/>
          <w:sz w:val="20"/>
          <w:szCs w:val="20"/>
        </w:rPr>
        <w:t>Fiscal 2022</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fiscal year ended September 3</w:t>
      </w:r>
      <w:r>
        <w:rPr>
          <w:rFonts w:eastAsia="Times New Roman"/>
          <w:color w:val="000000"/>
          <w:sz w:val="20"/>
          <w:szCs w:val="20"/>
        </w:rPr>
        <w:t>0, 2022</w:t>
      </w:r>
    </w:p>
    <w:p w:rsidR="00000000" w:rsidRDefault="00AC31B9">
      <w:pPr>
        <w:divId w:val="1381898169"/>
        <w:rPr>
          <w:rFonts w:eastAsia="Times New Roman"/>
        </w:rPr>
      </w:pPr>
    </w:p>
    <w:p w:rsidR="00000000" w:rsidRDefault="00AC31B9">
      <w:pPr>
        <w:divId w:val="682784916"/>
        <w:rPr>
          <w:rFonts w:eastAsia="Times New Roman"/>
        </w:rPr>
      </w:pPr>
      <w:r>
        <w:rPr>
          <w:rFonts w:eastAsia="Times New Roman"/>
          <w:b/>
          <w:bCs/>
          <w:i/>
          <w:iCs/>
          <w:color w:val="000000"/>
          <w:sz w:val="20"/>
          <w:szCs w:val="20"/>
        </w:rPr>
        <w:t>Fiscal 2023</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fiscal year ended September 30, 2023</w:t>
      </w:r>
    </w:p>
    <w:p w:rsidR="00000000" w:rsidRDefault="00AC31B9">
      <w:pPr>
        <w:divId w:val="1589847978"/>
        <w:rPr>
          <w:rFonts w:eastAsia="Times New Roman"/>
        </w:rPr>
      </w:pPr>
    </w:p>
    <w:p w:rsidR="00000000" w:rsidRDefault="00AC31B9">
      <w:pPr>
        <w:jc w:val="both"/>
        <w:rPr>
          <w:rFonts w:eastAsia="Times New Roman"/>
        </w:rPr>
      </w:pPr>
      <w:r>
        <w:rPr>
          <w:rFonts w:eastAsia="Times New Roman"/>
          <w:b/>
          <w:bCs/>
          <w:i/>
          <w:iCs/>
          <w:color w:val="000000"/>
          <w:sz w:val="20"/>
          <w:szCs w:val="20"/>
        </w:rPr>
        <w:t>Fiscal 2024</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fiscal year ending September 30, 2024</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Fiscal 2025</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fiscal year ending September 30, 2025</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Fiscal 2026</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w:t>
      </w:r>
      <w:r>
        <w:rPr>
          <w:rFonts w:eastAsia="Times New Roman"/>
          <w:color w:val="000000"/>
          <w:sz w:val="20"/>
          <w:szCs w:val="20"/>
        </w:rPr>
        <w:t>The fiscal year ending September 30, 2026</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Fiscal 2027</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fiscal year ending September 30, 2027</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Fiscal 2028</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fiscal year ending September 30, 2028</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GAAP -</w:t>
      </w:r>
      <w:r>
        <w:rPr>
          <w:rFonts w:eastAsia="Times New Roman"/>
          <w:color w:val="000000"/>
          <w:sz w:val="20"/>
          <w:szCs w:val="20"/>
        </w:rPr>
        <w:t xml:space="preserve"> U.S. generally accepted accounting principles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GDPR -</w:t>
      </w:r>
      <w:r>
        <w:rPr>
          <w:rFonts w:eastAsia="Times New Roman"/>
          <w:color w:val="000000"/>
          <w:sz w:val="20"/>
          <w:szCs w:val="20"/>
        </w:rPr>
        <w:t xml:space="preserve"> General Data Protection Regulation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GHG -</w:t>
      </w:r>
      <w:r>
        <w:rPr>
          <w:rFonts w:eastAsia="Times New Roman"/>
          <w:color w:val="000000"/>
          <w:sz w:val="20"/>
          <w:szCs w:val="20"/>
        </w:rPr>
        <w:t xml:space="preserve"> Greenhouse gas</w:t>
      </w:r>
    </w:p>
    <w:p w:rsidR="00000000" w:rsidRDefault="00AC31B9">
      <w:pPr>
        <w:jc w:val="both"/>
        <w:rPr>
          <w:rFonts w:eastAsia="Times New Roman"/>
        </w:rPr>
      </w:pPr>
    </w:p>
    <w:p w:rsidR="00000000" w:rsidRDefault="00AC31B9">
      <w:pPr>
        <w:divId w:val="862861599"/>
        <w:rPr>
          <w:rFonts w:eastAsia="Times New Roman"/>
        </w:rPr>
      </w:pPr>
      <w:r>
        <w:rPr>
          <w:rFonts w:eastAsia="Times New Roman"/>
          <w:b/>
          <w:bCs/>
          <w:i/>
          <w:iCs/>
          <w:color w:val="000000"/>
          <w:sz w:val="20"/>
          <w:szCs w:val="20"/>
        </w:rPr>
        <w:t>GILTI</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Global Intangible Low Taxed Income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Gwh -</w:t>
      </w:r>
      <w:r>
        <w:rPr>
          <w:rFonts w:eastAsia="Times New Roman"/>
          <w:color w:val="000000"/>
          <w:sz w:val="20"/>
          <w:szCs w:val="20"/>
        </w:rPr>
        <w:t xml:space="preserve"> Millions of kilowatt hours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Hunlock</w:t>
      </w:r>
      <w:r>
        <w:rPr>
          <w:rFonts w:eastAsia="Times New Roman"/>
          <w:color w:val="000000"/>
          <w:sz w:val="20"/>
          <w:szCs w:val="20"/>
        </w:rPr>
        <w:t xml:space="preserve"> - Hunlock Creek Energy Center located </w:t>
      </w:r>
      <w:r>
        <w:rPr>
          <w:rFonts w:eastAsia="Times New Roman"/>
          <w:color w:val="000000"/>
          <w:sz w:val="20"/>
          <w:szCs w:val="20"/>
        </w:rPr>
        <w:t>near Wilkes-Barre, Pennsylvania, a 174-megawatt natural gas-fueled electricity generating station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ICE -</w:t>
      </w:r>
      <w:r>
        <w:rPr>
          <w:rFonts w:eastAsia="Times New Roman"/>
          <w:color w:val="000000"/>
          <w:sz w:val="20"/>
          <w:szCs w:val="20"/>
        </w:rPr>
        <w:t xml:space="preserve"> Intercontinental Exchange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IRC</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Internal Revenue Code</w:t>
      </w:r>
    </w:p>
    <w:p w:rsidR="00000000" w:rsidRDefault="00AC31B9">
      <w:pPr>
        <w:jc w:val="both"/>
        <w:rPr>
          <w:rFonts w:eastAsia="Times New Roman"/>
        </w:rPr>
      </w:pPr>
    </w:p>
    <w:p w:rsidR="00000000" w:rsidRDefault="00AC31B9">
      <w:pPr>
        <w:divId w:val="1612475614"/>
        <w:rPr>
          <w:rFonts w:eastAsia="Times New Roman"/>
        </w:rPr>
      </w:pPr>
      <w:r>
        <w:rPr>
          <w:rFonts w:eastAsia="Times New Roman"/>
          <w:b/>
          <w:bCs/>
          <w:i/>
          <w:iCs/>
          <w:color w:val="000000"/>
          <w:sz w:val="20"/>
          <w:szCs w:val="20"/>
        </w:rPr>
        <w:t>IREP -</w:t>
      </w:r>
      <w:r>
        <w:rPr>
          <w:rFonts w:eastAsia="Times New Roman"/>
          <w:color w:val="000000"/>
          <w:sz w:val="20"/>
          <w:szCs w:val="20"/>
        </w:rPr>
        <w:t xml:space="preserve"> Infrastructure Replacement and Expansion Plan </w:t>
      </w:r>
    </w:p>
    <w:p w:rsidR="00000000" w:rsidRDefault="00AC31B9">
      <w:pPr>
        <w:divId w:val="836000787"/>
        <w:rPr>
          <w:rFonts w:eastAsia="Times New Roman"/>
        </w:rPr>
      </w:pPr>
    </w:p>
    <w:p w:rsidR="00000000" w:rsidRDefault="00AC31B9">
      <w:pPr>
        <w:jc w:val="both"/>
        <w:rPr>
          <w:rFonts w:eastAsia="Times New Roman"/>
        </w:rPr>
      </w:pPr>
      <w:r>
        <w:rPr>
          <w:rFonts w:eastAsia="Times New Roman"/>
          <w:b/>
          <w:bCs/>
          <w:i/>
          <w:iCs/>
          <w:color w:val="000000"/>
          <w:sz w:val="20"/>
          <w:szCs w:val="20"/>
        </w:rPr>
        <w:t>IRPA -</w:t>
      </w:r>
      <w:r>
        <w:rPr>
          <w:rFonts w:eastAsia="Times New Roman"/>
          <w:color w:val="000000"/>
          <w:sz w:val="20"/>
          <w:szCs w:val="20"/>
        </w:rPr>
        <w:t xml:space="preserve"> Interest rate protection agre</w:t>
      </w:r>
      <w:r>
        <w:rPr>
          <w:rFonts w:eastAsia="Times New Roman"/>
          <w:color w:val="000000"/>
          <w:sz w:val="20"/>
          <w:szCs w:val="20"/>
        </w:rPr>
        <w:t>ement</w:t>
      </w:r>
    </w:p>
    <w:p w:rsidR="00000000" w:rsidRDefault="00AC31B9">
      <w:pPr>
        <w:jc w:val="both"/>
        <w:rPr>
          <w:rFonts w:eastAsia="Times New Roman"/>
        </w:rPr>
      </w:pPr>
    </w:p>
    <w:p w:rsidR="00000000" w:rsidRDefault="00AC31B9">
      <w:pPr>
        <w:jc w:val="center"/>
        <w:divId w:val="2001997921"/>
        <w:rPr>
          <w:rFonts w:eastAsia="Times New Roman"/>
        </w:rPr>
      </w:pPr>
      <w:r>
        <w:rPr>
          <w:rFonts w:eastAsia="Times New Roman"/>
          <w:color w:val="000000"/>
          <w:sz w:val="20"/>
          <w:szCs w:val="20"/>
        </w:rPr>
        <w:t>5</w:t>
      </w:r>
    </w:p>
    <w:p w:rsidR="00000000" w:rsidRDefault="00AC31B9">
      <w:pPr>
        <w:rPr>
          <w:rFonts w:eastAsia="Times New Roman"/>
        </w:rPr>
      </w:pPr>
      <w:r>
        <w:rPr>
          <w:rFonts w:eastAsia="Times New Roman"/>
        </w:rPr>
        <w:pict>
          <v:rect id="_x0000_i1030" style="width:0;height:1.5pt" o:hralign="center" o:hrstd="t" o:hr="t" fillcolor="#a0a0a0" stroked="f"/>
        </w:pict>
      </w:r>
    </w:p>
    <w:p w:rsidR="00000000" w:rsidRDefault="00AC31B9">
      <w:pPr>
        <w:divId w:val="508642245"/>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b/>
          <w:bCs/>
          <w:i/>
          <w:iCs/>
          <w:color w:val="000000"/>
          <w:sz w:val="20"/>
          <w:szCs w:val="20"/>
        </w:rPr>
        <w:t>IRS</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Internal Revenue Service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IT -</w:t>
      </w:r>
      <w:r>
        <w:rPr>
          <w:rFonts w:eastAsia="Times New Roman"/>
          <w:color w:val="000000"/>
          <w:sz w:val="20"/>
          <w:szCs w:val="20"/>
        </w:rPr>
        <w:t xml:space="preserve"> Information technology</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LIBOR -</w:t>
      </w:r>
      <w:r>
        <w:rPr>
          <w:rFonts w:eastAsia="Times New Roman"/>
          <w:color w:val="000000"/>
          <w:sz w:val="20"/>
          <w:szCs w:val="20"/>
        </w:rPr>
        <w:t xml:space="preserve"> London Inter-bank Offered Rate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LNG -</w:t>
      </w:r>
      <w:r>
        <w:rPr>
          <w:rFonts w:eastAsia="Times New Roman"/>
          <w:color w:val="000000"/>
          <w:sz w:val="20"/>
          <w:szCs w:val="20"/>
        </w:rPr>
        <w:t xml:space="preserve"> </w:t>
      </w:r>
      <w:r>
        <w:rPr>
          <w:rFonts w:eastAsia="Times New Roman"/>
          <w:color w:val="000000"/>
          <w:sz w:val="20"/>
          <w:szCs w:val="20"/>
        </w:rPr>
        <w:t>Liquefied natural gas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LPG -</w:t>
      </w:r>
      <w:r>
        <w:rPr>
          <w:rFonts w:eastAsia="Times New Roman"/>
          <w:color w:val="000000"/>
          <w:sz w:val="20"/>
          <w:szCs w:val="20"/>
        </w:rPr>
        <w:t xml:space="preserve"> Liquefied petroleum gas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LTIIP -</w:t>
      </w:r>
      <w:r>
        <w:rPr>
          <w:rFonts w:eastAsia="Times New Roman"/>
          <w:color w:val="000000"/>
          <w:sz w:val="20"/>
          <w:szCs w:val="20"/>
        </w:rPr>
        <w:t xml:space="preserve"> Long-term infrastructure improvement plans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MD&amp;A - </w:t>
      </w:r>
      <w:r>
        <w:rPr>
          <w:rFonts w:eastAsia="Times New Roman"/>
          <w:color w:val="000000"/>
          <w:sz w:val="20"/>
          <w:szCs w:val="20"/>
        </w:rPr>
        <w:t>Management’</w:t>
      </w:r>
      <w:r>
        <w:rPr>
          <w:rFonts w:eastAsia="Times New Roman"/>
          <w:color w:val="000000"/>
          <w:sz w:val="20"/>
          <w:szCs w:val="20"/>
        </w:rPr>
        <w:t>s Discussion and Analysis of Financial Condition and Results of Operations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MDPSC - </w:t>
      </w:r>
      <w:r>
        <w:rPr>
          <w:rFonts w:eastAsia="Times New Roman"/>
          <w:color w:val="000000"/>
          <w:sz w:val="20"/>
          <w:szCs w:val="20"/>
        </w:rPr>
        <w:t>Maryland Public Service Commission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MGP - </w:t>
      </w:r>
      <w:r>
        <w:rPr>
          <w:rFonts w:eastAsia="Times New Roman"/>
          <w:color w:val="000000"/>
          <w:sz w:val="20"/>
          <w:szCs w:val="20"/>
        </w:rPr>
        <w:t>Manufactured gas plant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Mountaineer Acquisition</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Acquisition of Mountaintop Energy Holdings LLC, which closed on September 1, </w:t>
      </w:r>
      <w:r>
        <w:rPr>
          <w:rFonts w:eastAsia="Times New Roman"/>
          <w:color w:val="000000"/>
          <w:sz w:val="20"/>
          <w:szCs w:val="20"/>
        </w:rPr>
        <w:t>2021</w:t>
      </w:r>
      <w:r>
        <w:rPr>
          <w:rFonts w:eastAsia="Times New Roman"/>
          <w:b/>
          <w:bCs/>
          <w:i/>
          <w:iCs/>
          <w:color w:val="000000"/>
          <w:sz w:val="20"/>
          <w:szCs w:val="20"/>
        </w:rPr>
        <w:t xml:space="preserve">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Mountaineer 2023 Credit Agreement</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Third amendment to the third amended and restated credit agreement entered into by Mountaineer, as borrower, providing for borrowings up to $150 million, with the option to increase to a maximum principal amount </w:t>
      </w:r>
      <w:r>
        <w:rPr>
          <w:rFonts w:eastAsia="Times New Roman"/>
          <w:color w:val="000000"/>
          <w:sz w:val="20"/>
          <w:szCs w:val="20"/>
        </w:rPr>
        <w:t>of $250 million assuming certain conditions are met, including a letter or credit subfacility of up to $20 million, scheduled to expire in November 2024, with an option to extend the maturity date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NAV - </w:t>
      </w:r>
      <w:r>
        <w:rPr>
          <w:rFonts w:eastAsia="Times New Roman"/>
          <w:color w:val="000000"/>
          <w:sz w:val="20"/>
          <w:szCs w:val="20"/>
        </w:rPr>
        <w:t>Net asset value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NOAA -</w:t>
      </w:r>
      <w:r>
        <w:rPr>
          <w:rFonts w:eastAsia="Times New Roman"/>
          <w:color w:val="000000"/>
          <w:sz w:val="20"/>
          <w:szCs w:val="20"/>
        </w:rPr>
        <w:t xml:space="preserve"> National Oceanic and Atmos</w:t>
      </w:r>
      <w:r>
        <w:rPr>
          <w:rFonts w:eastAsia="Times New Roman"/>
          <w:color w:val="000000"/>
          <w:sz w:val="20"/>
          <w:szCs w:val="20"/>
        </w:rPr>
        <w:t>pheric Administration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NOL</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Net operating loss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NPNS -</w:t>
      </w:r>
      <w:r>
        <w:rPr>
          <w:rFonts w:eastAsia="Times New Roman"/>
          <w:color w:val="000000"/>
          <w:sz w:val="20"/>
          <w:szCs w:val="20"/>
        </w:rPr>
        <w:t xml:space="preserve"> Normal purchase and normal sale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NTSB - </w:t>
      </w:r>
      <w:r>
        <w:rPr>
          <w:rFonts w:eastAsia="Times New Roman"/>
          <w:color w:val="000000"/>
          <w:sz w:val="20"/>
          <w:szCs w:val="20"/>
        </w:rPr>
        <w:t>National Transportation Safety Board</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NYDEC - </w:t>
      </w:r>
      <w:r>
        <w:rPr>
          <w:rFonts w:eastAsia="Times New Roman"/>
          <w:color w:val="000000"/>
          <w:sz w:val="20"/>
          <w:szCs w:val="20"/>
        </w:rPr>
        <w:t>New York State Department of Environmental Conservation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NYMEX -</w:t>
      </w:r>
      <w:r>
        <w:rPr>
          <w:rFonts w:eastAsia="Times New Roman"/>
          <w:color w:val="000000"/>
          <w:sz w:val="20"/>
          <w:szCs w:val="20"/>
        </w:rPr>
        <w:t xml:space="preserve"> New York Mercantile Exchange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OSHA -</w:t>
      </w:r>
      <w:r>
        <w:rPr>
          <w:rFonts w:eastAsia="Times New Roman"/>
          <w:color w:val="000000"/>
          <w:sz w:val="20"/>
          <w:szCs w:val="20"/>
        </w:rPr>
        <w:t xml:space="preserve"> Occupa</w:t>
      </w:r>
      <w:r>
        <w:rPr>
          <w:rFonts w:eastAsia="Times New Roman"/>
          <w:color w:val="000000"/>
          <w:sz w:val="20"/>
          <w:szCs w:val="20"/>
        </w:rPr>
        <w:t>tional Safety and Health Act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PADEP -</w:t>
      </w:r>
      <w:r>
        <w:rPr>
          <w:rFonts w:eastAsia="Times New Roman"/>
          <w:color w:val="000000"/>
          <w:sz w:val="20"/>
          <w:szCs w:val="20"/>
        </w:rPr>
        <w:t xml:space="preserve"> Pennsylvania Department of Environmental Protection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PAPUC -</w:t>
      </w:r>
      <w:r>
        <w:rPr>
          <w:rFonts w:eastAsia="Times New Roman"/>
          <w:color w:val="000000"/>
          <w:sz w:val="20"/>
          <w:szCs w:val="20"/>
        </w:rPr>
        <w:t xml:space="preserve"> Pennsylvania Public Utility Commission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Partnership Agreement - </w:t>
      </w:r>
      <w:r>
        <w:rPr>
          <w:rFonts w:eastAsia="Times New Roman"/>
          <w:color w:val="000000"/>
          <w:sz w:val="20"/>
          <w:szCs w:val="20"/>
        </w:rPr>
        <w:t>Fourth amended and restated agreement of Limited Partnership of AmeriGas Partners, L.P. dated as of July 27, 2009, as amended</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PBO - </w:t>
      </w:r>
      <w:r>
        <w:rPr>
          <w:rFonts w:eastAsia="Times New Roman"/>
          <w:color w:val="000000"/>
          <w:sz w:val="20"/>
          <w:szCs w:val="20"/>
        </w:rPr>
        <w:t>Projected benefit obligation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Pennant Acquisition - </w:t>
      </w:r>
      <w:r>
        <w:rPr>
          <w:rFonts w:eastAsia="Times New Roman"/>
          <w:color w:val="000000"/>
          <w:sz w:val="20"/>
          <w:szCs w:val="20"/>
        </w:rPr>
        <w:t xml:space="preserve">Energy Services’ Fiscal 2022 acquisition of the remaining 53% equity </w:t>
      </w:r>
      <w:r>
        <w:rPr>
          <w:rFonts w:eastAsia="Times New Roman"/>
          <w:color w:val="000000"/>
          <w:sz w:val="20"/>
          <w:szCs w:val="20"/>
        </w:rPr>
        <w:t>interest in Pennant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PennEnergy</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PennEnergy Resources, LLC</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PGA -</w:t>
      </w:r>
      <w:r>
        <w:rPr>
          <w:rFonts w:eastAsia="Times New Roman"/>
          <w:color w:val="000000"/>
          <w:sz w:val="20"/>
          <w:szCs w:val="20"/>
        </w:rPr>
        <w:t xml:space="preserve"> Purchased gas adjustment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PGC -</w:t>
      </w:r>
      <w:r>
        <w:rPr>
          <w:rFonts w:eastAsia="Times New Roman"/>
          <w:color w:val="000000"/>
          <w:sz w:val="20"/>
          <w:szCs w:val="20"/>
        </w:rPr>
        <w:t xml:space="preserve"> Purchased gas costs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PJM -</w:t>
      </w:r>
      <w:r>
        <w:rPr>
          <w:rFonts w:eastAsia="Times New Roman"/>
          <w:color w:val="000000"/>
          <w:sz w:val="20"/>
          <w:szCs w:val="20"/>
        </w:rPr>
        <w:t xml:space="preserve"> PJM Interconnection, LLC</w:t>
      </w:r>
    </w:p>
    <w:p w:rsidR="00000000" w:rsidRDefault="00AC31B9">
      <w:pPr>
        <w:jc w:val="center"/>
        <w:divId w:val="1544712961"/>
        <w:rPr>
          <w:rFonts w:eastAsia="Times New Roman"/>
        </w:rPr>
      </w:pPr>
      <w:r>
        <w:rPr>
          <w:rFonts w:eastAsia="Times New Roman"/>
          <w:color w:val="000000"/>
          <w:sz w:val="20"/>
          <w:szCs w:val="20"/>
        </w:rPr>
        <w:t>6</w:t>
      </w:r>
    </w:p>
    <w:p w:rsidR="00000000" w:rsidRDefault="00AC31B9">
      <w:pPr>
        <w:rPr>
          <w:rFonts w:eastAsia="Times New Roman"/>
        </w:rPr>
      </w:pPr>
      <w:r>
        <w:rPr>
          <w:rFonts w:eastAsia="Times New Roman"/>
        </w:rPr>
        <w:pict>
          <v:rect id="_x0000_i1031" style="width:0;height:1.5pt" o:hralign="center" o:hrstd="t" o:hr="t" fillcolor="#a0a0a0" stroked="f"/>
        </w:pict>
      </w:r>
    </w:p>
    <w:p w:rsidR="00000000" w:rsidRDefault="00AC31B9">
      <w:pPr>
        <w:divId w:val="11080760"/>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PRP - </w:t>
      </w:r>
      <w:r>
        <w:rPr>
          <w:rFonts w:eastAsia="Times New Roman"/>
          <w:color w:val="000000"/>
          <w:sz w:val="20"/>
          <w:szCs w:val="20"/>
        </w:rPr>
        <w:t>Potentially responsible party</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PUHCA 2005 -</w:t>
      </w:r>
      <w:r>
        <w:rPr>
          <w:rFonts w:eastAsia="Times New Roman"/>
          <w:color w:val="000000"/>
          <w:sz w:val="20"/>
          <w:szCs w:val="20"/>
        </w:rPr>
        <w:t xml:space="preserve"> Public Utility Holding Company Act of 2005</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Receivables Facility -</w:t>
      </w:r>
      <w:r>
        <w:rPr>
          <w:rFonts w:eastAsia="Times New Roman"/>
          <w:color w:val="000000"/>
          <w:sz w:val="20"/>
          <w:szCs w:val="20"/>
        </w:rPr>
        <w:t xml:space="preserve"> A receivables purchase </w:t>
      </w:r>
      <w:r>
        <w:rPr>
          <w:rFonts w:eastAsia="Times New Roman"/>
          <w:color w:val="000000"/>
          <w:sz w:val="20"/>
          <w:szCs w:val="20"/>
        </w:rPr>
        <w:t>facility of Energy Services with an issuer of receivables-backed commercial paper</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Retail core-market -</w:t>
      </w:r>
      <w:r>
        <w:rPr>
          <w:rFonts w:eastAsia="Times New Roman"/>
          <w:color w:val="000000"/>
          <w:sz w:val="20"/>
          <w:szCs w:val="20"/>
        </w:rPr>
        <w:t xml:space="preserve"> Comprises firm residential, commercial and industrial customers to whom Utilities has a statutory obligation to provide service that purchase their nat</w:t>
      </w:r>
      <w:r>
        <w:rPr>
          <w:rFonts w:eastAsia="Times New Roman"/>
          <w:color w:val="000000"/>
          <w:sz w:val="20"/>
          <w:szCs w:val="20"/>
        </w:rPr>
        <w:t>ural gas from Utilities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RNG -</w:t>
      </w:r>
      <w:r>
        <w:rPr>
          <w:rFonts w:eastAsia="Times New Roman"/>
          <w:color w:val="000000"/>
          <w:sz w:val="20"/>
          <w:szCs w:val="20"/>
        </w:rPr>
        <w:t xml:space="preserve"> Renewable natural gas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ROU</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Right-of-use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ROD - </w:t>
      </w:r>
      <w:r>
        <w:rPr>
          <w:rFonts w:eastAsia="Times New Roman"/>
          <w:color w:val="000000"/>
          <w:sz w:val="20"/>
          <w:szCs w:val="20"/>
        </w:rPr>
        <w:t>Record of Decision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SEC -</w:t>
      </w:r>
      <w:r>
        <w:rPr>
          <w:rFonts w:eastAsia="Times New Roman"/>
          <w:color w:val="000000"/>
          <w:sz w:val="20"/>
          <w:szCs w:val="20"/>
        </w:rPr>
        <w:t xml:space="preserve"> U.S. Securities and Exchange Commission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Series B preferred stock</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w:t>
      </w:r>
      <w:r>
        <w:rPr>
          <w:rFonts w:eastAsia="Times New Roman"/>
          <w:color w:val="000000"/>
          <w:sz w:val="20"/>
          <w:szCs w:val="20"/>
        </w:rPr>
        <w:t>Preferred stock of UGI titled 0.125% series B cumulative perpetual preferred stock with terms substantially identical to the Convertible Preferred Stock, except that it will not be convertible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Stonehenge</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Stonehenge Energy Resources III, LLC, a portfoli</w:t>
      </w:r>
      <w:r>
        <w:rPr>
          <w:rFonts w:eastAsia="Times New Roman"/>
          <w:color w:val="000000"/>
          <w:sz w:val="20"/>
          <w:szCs w:val="20"/>
        </w:rPr>
        <w:t>o company of Energy Spectrum Partners VIII, L.P.</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Stonehenge Acquisition -</w:t>
      </w:r>
      <w:r>
        <w:rPr>
          <w:rFonts w:eastAsia="Times New Roman"/>
          <w:color w:val="000000"/>
          <w:sz w:val="20"/>
          <w:szCs w:val="20"/>
        </w:rPr>
        <w:t xml:space="preserve"> Acquisition of Stonehenge Appalachia, LLC, which closed January 27, 2022</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Stock Unit - </w:t>
      </w:r>
      <w:r>
        <w:rPr>
          <w:rFonts w:eastAsia="Times New Roman"/>
          <w:color w:val="000000"/>
          <w:sz w:val="20"/>
          <w:szCs w:val="20"/>
        </w:rPr>
        <w:t>Unit awards that entitle the grantee to shares of UGI Common Stock or cash subject to servic</w:t>
      </w:r>
      <w:r>
        <w:rPr>
          <w:rFonts w:eastAsia="Times New Roman"/>
          <w:color w:val="000000"/>
          <w:sz w:val="20"/>
          <w:szCs w:val="20"/>
        </w:rPr>
        <w:t>e conditions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TCJA -</w:t>
      </w:r>
      <w:r>
        <w:rPr>
          <w:rFonts w:eastAsia="Times New Roman"/>
          <w:color w:val="000000"/>
          <w:sz w:val="20"/>
          <w:szCs w:val="20"/>
        </w:rPr>
        <w:t xml:space="preserve"> Tax Cuts and Jobs Act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Term SOFR - </w:t>
      </w:r>
      <w:r>
        <w:rPr>
          <w:rFonts w:eastAsia="Times New Roman"/>
          <w:color w:val="000000"/>
          <w:sz w:val="20"/>
          <w:szCs w:val="20"/>
        </w:rPr>
        <w:t>Secured Overnight Financing Rate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TSR</w:t>
      </w:r>
      <w:r>
        <w:rPr>
          <w:rFonts w:eastAsia="Times New Roman"/>
          <w:b/>
          <w:bCs/>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Total Shareholder Return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U.K. - </w:t>
      </w:r>
      <w:r>
        <w:rPr>
          <w:rFonts w:eastAsia="Times New Roman"/>
          <w:color w:val="000000"/>
          <w:sz w:val="20"/>
          <w:szCs w:val="20"/>
        </w:rPr>
        <w:t>United Kingdom</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U.S. - </w:t>
      </w:r>
      <w:r>
        <w:rPr>
          <w:rFonts w:eastAsia="Times New Roman"/>
          <w:color w:val="000000"/>
          <w:sz w:val="20"/>
          <w:szCs w:val="20"/>
        </w:rPr>
        <w:t>United States of America</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comparator group</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w:t>
      </w:r>
      <w:r>
        <w:rPr>
          <w:rFonts w:eastAsia="Times New Roman"/>
          <w:color w:val="000000"/>
          <w:sz w:val="20"/>
          <w:szCs w:val="20"/>
        </w:rPr>
        <w:t>The Russell Midcap Utility Index, excluding telecommunications companies, and beginning in Fiscal 2021, a custom UGI performance peer group</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Corporation Credit Facility Agreement</w:t>
      </w:r>
      <w:r>
        <w:rPr>
          <w:rFonts w:eastAsia="Times New Roman"/>
          <w:color w:val="000000"/>
          <w:sz w:val="20"/>
          <w:szCs w:val="20"/>
        </w:rPr>
        <w:t xml:space="preserve"> </w:t>
      </w:r>
      <w:r>
        <w:rPr>
          <w:rFonts w:eastAsia="Times New Roman"/>
          <w:b/>
          <w:bCs/>
          <w:i/>
          <w:iCs/>
          <w:color w:val="000000"/>
          <w:sz w:val="20"/>
          <w:szCs w:val="20"/>
        </w:rPr>
        <w:t xml:space="preserve">- </w:t>
      </w:r>
      <w:r>
        <w:rPr>
          <w:rFonts w:eastAsia="Times New Roman"/>
          <w:color w:val="000000"/>
          <w:sz w:val="20"/>
          <w:szCs w:val="20"/>
        </w:rPr>
        <w:t>An amended and restated unsecured senior credit facilities agreement entered into by UGI Corporation on May 4, 2021 (the “2021 UGI Corporation Senior Credit Facility”), comprising (1) a $250 million term loan facility maturing in August 2024, (2) a $300 mi</w:t>
      </w:r>
      <w:r>
        <w:rPr>
          <w:rFonts w:eastAsia="Times New Roman"/>
          <w:color w:val="000000"/>
          <w:sz w:val="20"/>
          <w:szCs w:val="20"/>
        </w:rPr>
        <w:t>llion term loan facility maturing in May 2025, (3) a $300 million delayed draw term loan facility maturing in May 2025, and (4) a $300 million revolving credit facility maturing in August 2024 (including a $10 million sublimit for letters of credit). On Ma</w:t>
      </w:r>
      <w:r>
        <w:rPr>
          <w:rFonts w:eastAsia="Times New Roman"/>
          <w:color w:val="000000"/>
          <w:sz w:val="20"/>
          <w:szCs w:val="20"/>
        </w:rPr>
        <w:t>y 12, 2023, the Company entered into the second amendment to the UGI Corporation Credit Agreement to replace the reference rate from LIBOR with Term SOFR. On September 20, 2023, the Company entered into the third amendment that, among other things, extende</w:t>
      </w:r>
      <w:r>
        <w:rPr>
          <w:rFonts w:eastAsia="Times New Roman"/>
          <w:color w:val="000000"/>
          <w:sz w:val="20"/>
          <w:szCs w:val="20"/>
        </w:rPr>
        <w:t>d the maturity date of (1) the $250 million term loan facility and (2) the $300 million revolving credit facility to May 2025.</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UGI Energy Services Credit Agreement - </w:t>
      </w:r>
      <w:r>
        <w:rPr>
          <w:rFonts w:eastAsia="Times New Roman"/>
          <w:color w:val="000000"/>
          <w:sz w:val="20"/>
          <w:szCs w:val="20"/>
        </w:rPr>
        <w:t>A five-year senior secured revolving credit agreement entered into by Energy Services on</w:t>
      </w:r>
      <w:r>
        <w:rPr>
          <w:rFonts w:eastAsia="Times New Roman"/>
          <w:color w:val="000000"/>
          <w:sz w:val="20"/>
          <w:szCs w:val="20"/>
        </w:rPr>
        <w:t xml:space="preserve"> March 6, 2020, providing for borrowings up to $260 million, including a letter of credit subfacility of up to $50 million, scheduled to expire in March 2025. On May 12, 2023, Energy Services entered into the second amendment to the UGI Energy Services Cre</w:t>
      </w:r>
      <w:r>
        <w:rPr>
          <w:rFonts w:eastAsia="Times New Roman"/>
          <w:color w:val="000000"/>
          <w:sz w:val="20"/>
          <w:szCs w:val="20"/>
        </w:rPr>
        <w:t>dit Agreement to replace the reference rate from LIBOR with Term SOFR.</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UGI International 2023 Credit Facilities Agreement - </w:t>
      </w:r>
      <w:r>
        <w:rPr>
          <w:rFonts w:eastAsia="Times New Roman"/>
          <w:color w:val="000000"/>
          <w:sz w:val="20"/>
          <w:szCs w:val="20"/>
        </w:rPr>
        <w:t>A five-year unsecured senior facilities agreement entered into in March 2023 comprising a €300 million variable-rate term loan fac</w:t>
      </w:r>
      <w:r>
        <w:rPr>
          <w:rFonts w:eastAsia="Times New Roman"/>
          <w:color w:val="000000"/>
          <w:sz w:val="20"/>
          <w:szCs w:val="20"/>
        </w:rPr>
        <w:t>ility and a €500 million multicurrency revolving credit facility scheduled to expire in March 2028.</w:t>
      </w:r>
    </w:p>
    <w:p w:rsidR="00000000" w:rsidRDefault="00AC31B9">
      <w:pPr>
        <w:jc w:val="both"/>
        <w:rPr>
          <w:rFonts w:eastAsia="Times New Roman"/>
        </w:rPr>
      </w:pPr>
    </w:p>
    <w:p w:rsidR="00000000" w:rsidRDefault="00AC31B9">
      <w:pPr>
        <w:jc w:val="center"/>
        <w:divId w:val="582690739"/>
        <w:rPr>
          <w:rFonts w:eastAsia="Times New Roman"/>
        </w:rPr>
      </w:pPr>
      <w:r>
        <w:rPr>
          <w:rFonts w:eastAsia="Times New Roman"/>
          <w:color w:val="000000"/>
          <w:sz w:val="20"/>
          <w:szCs w:val="20"/>
        </w:rPr>
        <w:t>7</w:t>
      </w:r>
    </w:p>
    <w:p w:rsidR="00000000" w:rsidRDefault="00AC31B9">
      <w:pPr>
        <w:rPr>
          <w:rFonts w:eastAsia="Times New Roman"/>
        </w:rPr>
      </w:pPr>
      <w:r>
        <w:rPr>
          <w:rFonts w:eastAsia="Times New Roman"/>
        </w:rPr>
        <w:pict>
          <v:rect id="_x0000_i1032" style="width:0;height:1.5pt" o:hralign="center" o:hrstd="t" o:hr="t" fillcolor="#a0a0a0" stroked="f"/>
        </w:pict>
      </w:r>
    </w:p>
    <w:p w:rsidR="00000000" w:rsidRDefault="00AC31B9">
      <w:pPr>
        <w:divId w:val="1985117540"/>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b/>
          <w:bCs/>
          <w:i/>
          <w:iCs/>
          <w:color w:val="000000"/>
          <w:sz w:val="20"/>
          <w:szCs w:val="20"/>
        </w:rPr>
        <w:t>UGI International 3.25% Senior Notes -</w:t>
      </w:r>
      <w:r>
        <w:rPr>
          <w:rFonts w:eastAsia="Times New Roman"/>
          <w:color w:val="000000"/>
          <w:sz w:val="20"/>
          <w:szCs w:val="20"/>
        </w:rPr>
        <w:t xml:space="preserve"> A</w:t>
      </w:r>
      <w:r>
        <w:rPr>
          <w:rFonts w:eastAsia="Times New Roman"/>
          <w:color w:val="000000"/>
          <w:sz w:val="20"/>
          <w:szCs w:val="20"/>
        </w:rPr>
        <w:t>n underwritten private placement of €350 million principal amount of senior unsecured notes originally due November 1, 2025, issued by UGI International, LLC. The UGI International 3.25% Senior Notes were repaid</w:t>
      </w:r>
      <w:r>
        <w:rPr>
          <w:rFonts w:eastAsia="Times New Roman"/>
          <w:color w:val="000000"/>
        </w:rPr>
        <w:t xml:space="preserve"> </w:t>
      </w:r>
      <w:r>
        <w:rPr>
          <w:rFonts w:eastAsia="Times New Roman"/>
          <w:color w:val="000000"/>
          <w:sz w:val="20"/>
          <w:szCs w:val="20"/>
        </w:rPr>
        <w:t>in December 2021.</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International Credit</w:t>
      </w:r>
      <w:r>
        <w:rPr>
          <w:rFonts w:eastAsia="Times New Roman"/>
          <w:b/>
          <w:bCs/>
          <w:i/>
          <w:iCs/>
          <w:color w:val="000000"/>
          <w:sz w:val="20"/>
          <w:szCs w:val="20"/>
        </w:rPr>
        <w:t xml:space="preserve"> Facilities Agreement - </w:t>
      </w:r>
      <w:r>
        <w:rPr>
          <w:rFonts w:eastAsia="Times New Roman"/>
          <w:color w:val="000000"/>
          <w:sz w:val="20"/>
          <w:szCs w:val="20"/>
        </w:rPr>
        <w:t>A five-year unsecured senior facilities agreement entered into in October 2018, by UGI International, LLC comprising a €300 million term loan facility and a €300 million revolving credit facility, scheduled to expire in October 2023</w:t>
      </w:r>
      <w:r>
        <w:rPr>
          <w:rFonts w:eastAsia="Times New Roman"/>
          <w:color w:val="000000"/>
          <w:sz w:val="20"/>
          <w:szCs w:val="20"/>
        </w:rPr>
        <w:t>, repaid in full and terminated concurrently with the execution of the UGI International 2023 Credit Facilities Agreement.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UGI Performance Units - </w:t>
      </w:r>
      <w:r>
        <w:rPr>
          <w:rFonts w:eastAsia="Times New Roman"/>
          <w:color w:val="000000"/>
          <w:sz w:val="20"/>
          <w:szCs w:val="20"/>
        </w:rPr>
        <w:t>Unit awards that entitle the grantee to shares of UGI Common Stock or cash subject to service and market pe</w:t>
      </w:r>
      <w:r>
        <w:rPr>
          <w:rFonts w:eastAsia="Times New Roman"/>
          <w:color w:val="000000"/>
          <w:sz w:val="20"/>
          <w:szCs w:val="20"/>
        </w:rPr>
        <w:t>rformance conditions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Utilities 2023 Credit Agreement</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An unsecured revolving credit agreement entered into by UGI Utilities on November 9, 2023, providing for borrowings up to $375 million, including a letter of credit subfacility of up to $50 milli</w:t>
      </w:r>
      <w:r>
        <w:rPr>
          <w:rFonts w:eastAsia="Times New Roman"/>
          <w:color w:val="000000"/>
          <w:sz w:val="20"/>
          <w:szCs w:val="20"/>
        </w:rPr>
        <w:t>on and a $38 million sublimit for swingline loans, set to mature November 2024, including an automatic extension to November 9, 2028 upon receipt of authorization from the PAPUC</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Utilities Credit Agreement</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w:t>
      </w:r>
      <w:r>
        <w:rPr>
          <w:rFonts w:eastAsia="Times New Roman"/>
          <w:color w:val="000000"/>
          <w:sz w:val="20"/>
          <w:szCs w:val="20"/>
        </w:rPr>
        <w:t xml:space="preserve">A five-year unsecured revolving credit agreement entered into by UGI Utilities on June 27, 2019, providing for borrowings up to $350 million, including a letter of credit subfacility of up to $100 million, scheduled to expire in June 2024. On December 13, </w:t>
      </w:r>
      <w:r>
        <w:rPr>
          <w:rFonts w:eastAsia="Times New Roman"/>
          <w:color w:val="000000"/>
          <w:sz w:val="20"/>
          <w:szCs w:val="20"/>
        </w:rPr>
        <w:t>2022, UGI Utilities entered into an amendment to UGI Utilities Credit Agreement, providing for borrowings up to $425 million and to replace the reference rate from LIBOR with Term SOFR, repaid in full and terminated concurrently with the execution of the U</w:t>
      </w:r>
      <w:r>
        <w:rPr>
          <w:rFonts w:eastAsia="Times New Roman"/>
          <w:color w:val="000000"/>
          <w:sz w:val="20"/>
          <w:szCs w:val="20"/>
        </w:rPr>
        <w:t>GI Utilities 2023 Credit Agreement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USD -</w:t>
      </w:r>
      <w:r>
        <w:rPr>
          <w:rFonts w:eastAsia="Times New Roman"/>
          <w:color w:val="000000"/>
          <w:sz w:val="20"/>
          <w:szCs w:val="20"/>
        </w:rPr>
        <w:t xml:space="preserve"> U.S. dollar</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U.S. Pension Plans -</w:t>
      </w:r>
      <w:r>
        <w:rPr>
          <w:rFonts w:eastAsia="Times New Roman"/>
          <w:color w:val="000000"/>
          <w:sz w:val="20"/>
          <w:szCs w:val="20"/>
        </w:rPr>
        <w:t xml:space="preserve"> Consists of (1) a defined benefit pension plan for employees hired prior to January 1, 2009 of UGI, UGI Utilities and certain of UGI’s other domestic wholly owned subsidiaries; a</w:t>
      </w:r>
      <w:r>
        <w:rPr>
          <w:rFonts w:eastAsia="Times New Roman"/>
          <w:color w:val="000000"/>
          <w:sz w:val="20"/>
          <w:szCs w:val="20"/>
        </w:rPr>
        <w:t>nd (2) a defined benefit pension plan for employees of Mountaineer hired prior to January 1, 2023.</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VEBA -</w:t>
      </w:r>
      <w:r>
        <w:rPr>
          <w:rFonts w:eastAsia="Times New Roman"/>
          <w:color w:val="000000"/>
          <w:sz w:val="20"/>
          <w:szCs w:val="20"/>
        </w:rPr>
        <w:t xml:space="preserve"> Voluntary Employees’ Beneficiary Association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WVPSC</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Public Service Commission of West Virginia</w:t>
      </w:r>
    </w:p>
    <w:p w:rsidR="00000000" w:rsidRDefault="00AC31B9">
      <w:pPr>
        <w:jc w:val="center"/>
        <w:divId w:val="1195190813"/>
        <w:rPr>
          <w:rFonts w:eastAsia="Times New Roman"/>
        </w:rPr>
      </w:pPr>
      <w:r>
        <w:rPr>
          <w:rFonts w:eastAsia="Times New Roman"/>
          <w:color w:val="000000"/>
          <w:sz w:val="20"/>
          <w:szCs w:val="20"/>
        </w:rPr>
        <w:t>8</w:t>
      </w:r>
    </w:p>
    <w:p w:rsidR="00000000" w:rsidRDefault="00AC31B9">
      <w:pPr>
        <w:rPr>
          <w:rFonts w:eastAsia="Times New Roman"/>
        </w:rPr>
      </w:pPr>
      <w:r>
        <w:rPr>
          <w:rFonts w:eastAsia="Times New Roman"/>
        </w:rPr>
        <w:pict>
          <v:rect id="_x0000_i1033" style="width:0;height:1.5pt" o:hralign="center" o:hrstd="t" o:hr="t" fillcolor="#a0a0a0" stroked="f"/>
        </w:pict>
      </w:r>
    </w:p>
    <w:p w:rsidR="00000000" w:rsidRDefault="00AC31B9">
      <w:pPr>
        <w:divId w:val="591595326"/>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b/>
          <w:bCs/>
          <w:color w:val="000000"/>
          <w:sz w:val="20"/>
          <w:szCs w:val="20"/>
        </w:rPr>
        <w:t>FORWARD-LOOKING INFORMATION</w:t>
      </w:r>
    </w:p>
    <w:p w:rsidR="00000000" w:rsidRDefault="00AC31B9">
      <w:pPr>
        <w:divId w:val="918902056"/>
        <w:rPr>
          <w:rFonts w:eastAsia="Times New Roman"/>
        </w:rPr>
      </w:pPr>
    </w:p>
    <w:p w:rsidR="00000000" w:rsidRDefault="00AC31B9">
      <w:pPr>
        <w:jc w:val="both"/>
        <w:rPr>
          <w:rFonts w:eastAsia="Times New Roman"/>
        </w:rPr>
      </w:pPr>
      <w:r>
        <w:rPr>
          <w:rFonts w:eastAsia="Times New Roman"/>
          <w:color w:val="000000"/>
          <w:sz w:val="20"/>
          <w:szCs w:val="20"/>
        </w:rPr>
        <w:t>Information contained in this Annual Report on Form 10-K contains forward-looking statements within the meaning of Section 27A of the Securities Act o</w:t>
      </w:r>
      <w:r>
        <w:rPr>
          <w:rFonts w:eastAsia="Times New Roman"/>
          <w:color w:val="000000"/>
          <w:sz w:val="20"/>
          <w:szCs w:val="20"/>
        </w:rPr>
        <w:t xml:space="preserve">f 1933, as amended, and Section 21E of the Securities Exchange Act of 1934, as amended. Such statements use forward-looking words such as “believe,” “plan,” “anticipate,” “continue,” “estimate,” “expect,” “may,” or other similar words and terms of similar </w:t>
      </w:r>
      <w:r>
        <w:rPr>
          <w:rFonts w:eastAsia="Times New Roman"/>
          <w:color w:val="000000"/>
          <w:sz w:val="20"/>
          <w:szCs w:val="20"/>
        </w:rPr>
        <w:t>meaning, although not all forward-looking statements contain such words. These statements discuss plans, strategies, events or developments that we expect or anticipate will or may occur in the future. All forward-looking statements made in this Report rel</w:t>
      </w:r>
      <w:r>
        <w:rPr>
          <w:rFonts w:eastAsia="Times New Roman"/>
          <w:color w:val="000000"/>
          <w:sz w:val="20"/>
          <w:szCs w:val="20"/>
        </w:rPr>
        <w:t>y upon the safe harbor protections provided under the Private Securities Litigation Reform Act of 1995.</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 forward-looking statement may include a statement of the assumptions or bases underlying the forward-looking statement. We believe that we have chos</w:t>
      </w:r>
      <w:r>
        <w:rPr>
          <w:rFonts w:eastAsia="Times New Roman"/>
          <w:color w:val="000000"/>
          <w:sz w:val="20"/>
          <w:szCs w:val="20"/>
        </w:rPr>
        <w:t>en these assumptions or bases in good faith and that they are reasonable. However, we caution you against relying on any forward-looking statement as these statements are subject to risks and uncertainties that may cause actual results to vary from assumed</w:t>
      </w:r>
      <w:r>
        <w:rPr>
          <w:rFonts w:eastAsia="Times New Roman"/>
          <w:color w:val="000000"/>
          <w:sz w:val="20"/>
          <w:szCs w:val="20"/>
        </w:rPr>
        <w:t xml:space="preserve"> facts or bases, and the differences between actual results and assumed facts or bases can be material, depending on the circumstances. When considering forward-looking statements, you should keep in mind our Risk Factors included in Item 1A herein and the</w:t>
      </w:r>
      <w:r>
        <w:rPr>
          <w:rFonts w:eastAsia="Times New Roman"/>
          <w:color w:val="000000"/>
          <w:sz w:val="20"/>
          <w:szCs w:val="20"/>
        </w:rPr>
        <w:t xml:space="preserve"> following important factors that could affect our future results and could cause those results to differ materially from those expressed in our forward-looking statements: (1) weather conditions, including increasingly uncertain weather patterns due to cl</w:t>
      </w:r>
      <w:r>
        <w:rPr>
          <w:rFonts w:eastAsia="Times New Roman"/>
          <w:color w:val="000000"/>
          <w:sz w:val="20"/>
          <w:szCs w:val="20"/>
        </w:rPr>
        <w:t>imate change, resulting in reduced demand, the seasonal nature of our business, and disruptions in our operations and supply chain; (2) cost volatility and availability of energy products, including propane and other LPG, electricity, and natural gas, as w</w:t>
      </w:r>
      <w:r>
        <w:rPr>
          <w:rFonts w:eastAsia="Times New Roman"/>
          <w:color w:val="000000"/>
          <w:sz w:val="20"/>
          <w:szCs w:val="20"/>
        </w:rPr>
        <w:t>ell as the availability of LPG cylinders, and the capacity to transport product to our customers; (3) changes in domestic and foreign laws and regulations, including safety, health, tax, transportation, consumer protection, data privacy, accounting, and en</w:t>
      </w:r>
      <w:r>
        <w:rPr>
          <w:rFonts w:eastAsia="Times New Roman"/>
          <w:color w:val="000000"/>
          <w:sz w:val="20"/>
          <w:szCs w:val="20"/>
        </w:rPr>
        <w:t xml:space="preserve">vironmental matters, such as regulatory responses to climate change; (4) inability to timely recover costs through utility rate proceedings; (5) the impact of pending and future legal or regulatory proceedings, inquiries or investigations; (6) competitive </w:t>
      </w:r>
      <w:r>
        <w:rPr>
          <w:rFonts w:eastAsia="Times New Roman"/>
          <w:color w:val="000000"/>
          <w:sz w:val="20"/>
          <w:szCs w:val="20"/>
        </w:rPr>
        <w:t>pressures from the same and alternative energy sources; (7) failure to acquire new customers or retain current customers thereby reducing or limiting any increase in revenues; (8) liability for environmental claims; (9) increased customer conservation meas</w:t>
      </w:r>
      <w:r>
        <w:rPr>
          <w:rFonts w:eastAsia="Times New Roman"/>
          <w:color w:val="000000"/>
          <w:sz w:val="20"/>
          <w:szCs w:val="20"/>
        </w:rPr>
        <w:t>ures due to high energy prices and improvements in energy efficiency and technology resulting in reduced demand; (10) adverse labor relations and our ability to address existing or potential workforce shortages; (11) customer, counterparty, supplier, or ve</w:t>
      </w:r>
      <w:r>
        <w:rPr>
          <w:rFonts w:eastAsia="Times New Roman"/>
          <w:color w:val="000000"/>
          <w:sz w:val="20"/>
          <w:szCs w:val="20"/>
        </w:rPr>
        <w:t>ndor defaults; (12) liability for uninsured claims and for claims in excess of insurance coverage, including those for personal injury and property damage arising from explosions, acts of war, terrorism, natural disasters, pandemics, and other catastrophic</w:t>
      </w:r>
      <w:r>
        <w:rPr>
          <w:rFonts w:eastAsia="Times New Roman"/>
          <w:color w:val="000000"/>
          <w:sz w:val="20"/>
          <w:szCs w:val="20"/>
        </w:rPr>
        <w:t xml:space="preserve"> events that may result from operating hazards and risks incidental to generating and distributing electricity and transporting, storing and distributing natural gas and LPG in all forms; (13) transmission or distribution system service interruptions; (14)</w:t>
      </w:r>
      <w:r>
        <w:rPr>
          <w:rFonts w:eastAsia="Times New Roman"/>
          <w:color w:val="000000"/>
          <w:sz w:val="20"/>
          <w:szCs w:val="20"/>
        </w:rPr>
        <w:t xml:space="preserve"> political, regulatory and economic conditions in the United States, Europe and other foreign countries, including uncertainties related to the war between Russia and Ukraine, the conflict in the Middle East, the European energy crisis, and foreign currenc</w:t>
      </w:r>
      <w:r>
        <w:rPr>
          <w:rFonts w:eastAsia="Times New Roman"/>
          <w:color w:val="000000"/>
          <w:sz w:val="20"/>
          <w:szCs w:val="20"/>
        </w:rPr>
        <w:t>y exchange rate fluctuations, particularly the euro; (15) credit and capital market conditions, including reduced access to capital markets and interest rate fluctuations; (16) changes in commodity market prices resulting in significantly higher cash colla</w:t>
      </w:r>
      <w:r>
        <w:rPr>
          <w:rFonts w:eastAsia="Times New Roman"/>
          <w:color w:val="000000"/>
          <w:sz w:val="20"/>
          <w:szCs w:val="20"/>
        </w:rPr>
        <w:t>teral requirements; (17) impacts of our indebtedness and the restrictive covenants in our debt agreements; (18) reduced distributions from subsidiaries impacting the ability to pay dividends or service debt; (19) changes in Marcellus and Utica Shale gas pr</w:t>
      </w:r>
      <w:r>
        <w:rPr>
          <w:rFonts w:eastAsia="Times New Roman"/>
          <w:color w:val="000000"/>
          <w:sz w:val="20"/>
          <w:szCs w:val="20"/>
        </w:rPr>
        <w:t>oduction; (20) the success of our strategic initiatives and investments that are intended to advance our business strategy; (21) our ability to successfully integrate acquired businesses and achieve anticipated synergies; (22) the interruption, disruption,</w:t>
      </w:r>
      <w:r>
        <w:rPr>
          <w:rFonts w:eastAsia="Times New Roman"/>
          <w:color w:val="000000"/>
          <w:sz w:val="20"/>
          <w:szCs w:val="20"/>
        </w:rPr>
        <w:t xml:space="preserve"> failure, malfunction, or breach of our information technology systems, and those of our third-party vendors or service providers, including due to cyber attack; (23) the inability to complete pending or future energy infrastructure projects; (24) our abil</w:t>
      </w:r>
      <w:r>
        <w:rPr>
          <w:rFonts w:eastAsia="Times New Roman"/>
          <w:color w:val="000000"/>
          <w:sz w:val="20"/>
          <w:szCs w:val="20"/>
        </w:rPr>
        <w:t>ity to attract, develop, retain and engage key employees; (25) uncertainties related to global pandemics; (26) the impact of a material impairment of our assets; (27) the impact of proposed or future tax legislation; (28) the impact of declines in the stoc</w:t>
      </w:r>
      <w:r>
        <w:rPr>
          <w:rFonts w:eastAsia="Times New Roman"/>
          <w:color w:val="000000"/>
          <w:sz w:val="20"/>
          <w:szCs w:val="20"/>
        </w:rPr>
        <w:t xml:space="preserve">k market or bond market, and a low interest rate environment, on our pension liability; (29) our ability to protect our intellectual property; (30) our ability to overcome supply chain issues that may result in delays or shortages in, as well as increased </w:t>
      </w:r>
      <w:r>
        <w:rPr>
          <w:rFonts w:eastAsia="Times New Roman"/>
          <w:color w:val="000000"/>
          <w:sz w:val="20"/>
          <w:szCs w:val="20"/>
        </w:rPr>
        <w:t>costs of, equipment, materials or other resources that are critical to our business operations; and (31) our ability to control operating costs and realize cost savings.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These factors are not necessarily all of the important factors that could cause actu</w:t>
      </w:r>
      <w:r>
        <w:rPr>
          <w:rFonts w:eastAsia="Times New Roman"/>
          <w:color w:val="000000"/>
          <w:sz w:val="20"/>
          <w:szCs w:val="20"/>
        </w:rPr>
        <w:t>al results to differ materially from those expressed in any of our forward-looking statements. Other unknown or unpredictable factors could also have material adverse effects on future results. Any forward-looking statement speaks only as of the date on wh</w:t>
      </w:r>
      <w:r>
        <w:rPr>
          <w:rFonts w:eastAsia="Times New Roman"/>
          <w:color w:val="000000"/>
          <w:sz w:val="20"/>
          <w:szCs w:val="20"/>
        </w:rPr>
        <w:t>ich such statement is made. We undertake no obligation (and expressly disclaim any obligation) to update publicly any forward-looking statement whether as a result of new information or future events except as required by the federal securities laws.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PAR</w:t>
      </w:r>
      <w:r>
        <w:rPr>
          <w:rFonts w:eastAsia="Times New Roman"/>
          <w:b/>
          <w:bCs/>
          <w:color w:val="000000"/>
          <w:sz w:val="20"/>
          <w:szCs w:val="20"/>
        </w:rPr>
        <w:t>T I:</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ITEMS 1. AND 2. BUSINESS AND PROPERTIES</w:t>
      </w:r>
    </w:p>
    <w:p w:rsidR="00000000" w:rsidRDefault="00AC31B9">
      <w:pPr>
        <w:jc w:val="both"/>
        <w:divId w:val="1906329961"/>
        <w:rPr>
          <w:rFonts w:eastAsia="Times New Roman"/>
        </w:rPr>
      </w:pPr>
      <w:r>
        <w:rPr>
          <w:rFonts w:eastAsia="Times New Roman"/>
          <w:b/>
          <w:bCs/>
          <w:color w:val="000000"/>
          <w:sz w:val="20"/>
          <w:szCs w:val="20"/>
        </w:rPr>
        <w:t>CORPORATE OVERVIEW</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UGI Corporation is a holding company that, through subsidiaries and affiliates, distributes, stores, transports and markets energy products and related services. In the U.S., we own and op</w:t>
      </w:r>
      <w:r>
        <w:rPr>
          <w:rFonts w:eastAsia="Times New Roman"/>
          <w:color w:val="000000"/>
          <w:sz w:val="20"/>
          <w:szCs w:val="20"/>
        </w:rPr>
        <w:t xml:space="preserve">erate (1) a retail propane marketing and distribution business, (2) natural gas and electric distribution utilities, and (3) energy marketing (including RNG), midstream infrastructure, storage, natural gas gathering and processing, natural gas production, </w:t>
      </w:r>
      <w:r>
        <w:rPr>
          <w:rFonts w:eastAsia="Times New Roman"/>
          <w:color w:val="000000"/>
          <w:sz w:val="20"/>
          <w:szCs w:val="20"/>
        </w:rPr>
        <w:t xml:space="preserve">electricity generation and energy services businesses. In Europe, </w:t>
      </w:r>
    </w:p>
    <w:p w:rsidR="00000000" w:rsidRDefault="00AC31B9">
      <w:pPr>
        <w:jc w:val="center"/>
        <w:divId w:val="1662539547"/>
        <w:rPr>
          <w:rFonts w:eastAsia="Times New Roman"/>
        </w:rPr>
      </w:pPr>
      <w:r>
        <w:rPr>
          <w:rFonts w:eastAsia="Times New Roman"/>
          <w:color w:val="000000"/>
          <w:sz w:val="20"/>
          <w:szCs w:val="20"/>
        </w:rPr>
        <w:t>9</w:t>
      </w:r>
    </w:p>
    <w:p w:rsidR="00000000" w:rsidRDefault="00AC31B9">
      <w:pPr>
        <w:rPr>
          <w:rFonts w:eastAsia="Times New Roman"/>
        </w:rPr>
      </w:pPr>
      <w:r>
        <w:rPr>
          <w:rFonts w:eastAsia="Times New Roman"/>
        </w:rPr>
        <w:pict>
          <v:rect id="_x0000_i1034" style="width:0;height:1.5pt" o:hralign="center" o:hrstd="t" o:hr="t" fillcolor="#a0a0a0" stroked="f"/>
        </w:pict>
      </w:r>
    </w:p>
    <w:p w:rsidR="00000000" w:rsidRDefault="00AC31B9">
      <w:pPr>
        <w:divId w:val="467552771"/>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we market and distribute propane and other LPG, and market other energy pr</w:t>
      </w:r>
      <w:r>
        <w:rPr>
          <w:rFonts w:eastAsia="Times New Roman"/>
          <w:color w:val="000000"/>
          <w:sz w:val="20"/>
          <w:szCs w:val="20"/>
        </w:rPr>
        <w:t xml:space="preserve">oducts and services. Our subsidiaries and affiliates operate principally in the following four business segments: </w:t>
      </w:r>
    </w:p>
    <w:p w:rsidR="00000000" w:rsidRDefault="00AC31B9">
      <w:pPr>
        <w:jc w:val="both"/>
        <w:rPr>
          <w:rFonts w:eastAsia="Times New Roman"/>
        </w:rPr>
      </w:pPr>
    </w:p>
    <w:p w:rsidR="00000000" w:rsidRDefault="00AC31B9">
      <w:pPr>
        <w:ind w:hanging="180"/>
        <w:jc w:val="both"/>
        <w:rPr>
          <w:rFonts w:eastAsia="Times New Roman"/>
        </w:rPr>
      </w:pPr>
      <w:r>
        <w:rPr>
          <w:rFonts w:eastAsia="Times New Roman"/>
          <w:color w:val="000000"/>
          <w:sz w:val="20"/>
          <w:szCs w:val="20"/>
        </w:rPr>
        <w:t xml:space="preserve">•AmeriGas Propane </w:t>
      </w:r>
    </w:p>
    <w:p w:rsidR="00000000" w:rsidRDefault="00AC31B9">
      <w:pPr>
        <w:ind w:hanging="180"/>
        <w:jc w:val="both"/>
        <w:rPr>
          <w:rFonts w:eastAsia="Times New Roman"/>
        </w:rPr>
      </w:pPr>
      <w:r>
        <w:rPr>
          <w:rFonts w:eastAsia="Times New Roman"/>
          <w:color w:val="000000"/>
          <w:sz w:val="20"/>
          <w:szCs w:val="20"/>
        </w:rPr>
        <w:t xml:space="preserve">•UGI International </w:t>
      </w:r>
    </w:p>
    <w:p w:rsidR="00000000" w:rsidRDefault="00AC31B9">
      <w:pPr>
        <w:ind w:hanging="180"/>
        <w:jc w:val="both"/>
        <w:rPr>
          <w:rFonts w:eastAsia="Times New Roman"/>
        </w:rPr>
      </w:pPr>
      <w:r>
        <w:rPr>
          <w:rFonts w:eastAsia="Times New Roman"/>
          <w:color w:val="000000"/>
          <w:sz w:val="20"/>
          <w:szCs w:val="20"/>
        </w:rPr>
        <w:t>•Midstream &amp; Marketing</w:t>
      </w:r>
    </w:p>
    <w:p w:rsidR="00000000" w:rsidRDefault="00AC31B9">
      <w:pPr>
        <w:ind w:hanging="180"/>
        <w:jc w:val="both"/>
        <w:rPr>
          <w:rFonts w:eastAsia="Times New Roman"/>
        </w:rPr>
      </w:pPr>
      <w:r>
        <w:rPr>
          <w:rFonts w:eastAsia="Times New Roman"/>
          <w:color w:val="000000"/>
          <w:sz w:val="20"/>
          <w:szCs w:val="20"/>
        </w:rPr>
        <w:t xml:space="preserve">•Utilities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AmeriGas Propane segment consists of the propane distribution business of AmeriGas Partners, an indirect wholly owned subsidiary of UGI. The Partnership conducts its domestic propane distribution business through its principal operating subsidiary, Ame</w:t>
      </w:r>
      <w:r>
        <w:rPr>
          <w:rFonts w:eastAsia="Times New Roman"/>
          <w:color w:val="000000"/>
          <w:sz w:val="20"/>
          <w:szCs w:val="20"/>
        </w:rPr>
        <w:t>riGas OLP, and is the nation’s largest retail propane distributor based on the volume of propane gallons distributed annually. The general partner of AmeriGas Partners is our wholly owned subsidiary, AmeriGas Propane, Inc.</w:t>
      </w:r>
    </w:p>
    <w:p w:rsidR="00000000" w:rsidRDefault="00AC31B9">
      <w:pPr>
        <w:divId w:val="858928861"/>
        <w:rPr>
          <w:rFonts w:eastAsia="Times New Roman"/>
        </w:rPr>
      </w:pPr>
    </w:p>
    <w:p w:rsidR="00000000" w:rsidRDefault="00AC31B9">
      <w:pPr>
        <w:jc w:val="both"/>
        <w:rPr>
          <w:rFonts w:eastAsia="Times New Roman"/>
        </w:rPr>
      </w:pPr>
      <w:r>
        <w:rPr>
          <w:rFonts w:eastAsia="Times New Roman"/>
          <w:color w:val="000000"/>
          <w:sz w:val="20"/>
          <w:szCs w:val="20"/>
        </w:rPr>
        <w:t>The UGI International segment consists of LPG distribution businesses conducted by our subsidiaries and affiliates in Austria, Belgium, the Czech Republic, Denmark, Finland, France, Hungary, Italy, Luxembourg, the Netherlands, Norway, Poland, Romania, Slov</w:t>
      </w:r>
      <w:r>
        <w:rPr>
          <w:rFonts w:eastAsia="Times New Roman"/>
          <w:color w:val="000000"/>
          <w:sz w:val="20"/>
          <w:szCs w:val="20"/>
        </w:rPr>
        <w:t>akia, Sweden, Switzerland and the United Kingdom. Based on reported market volumes for 2022, which is the most recent information available, UGI International believes that it is the largest distributor of LPG in France, Austria, Belgium, Denmark and Luxem</w:t>
      </w:r>
      <w:r>
        <w:rPr>
          <w:rFonts w:eastAsia="Times New Roman"/>
          <w:color w:val="000000"/>
          <w:sz w:val="20"/>
          <w:szCs w:val="20"/>
        </w:rPr>
        <w:t>bourg and one of the largest distributors of LPG in Norway, Poland, the Czech Republic, Slovakia, the Netherlands, Sweden and Switzerland. During Fiscal 2023, we made significant progress on our strategic decision to exit the energy marketing business at U</w:t>
      </w:r>
      <w:r>
        <w:rPr>
          <w:rFonts w:eastAsia="Times New Roman"/>
          <w:color w:val="000000"/>
          <w:sz w:val="20"/>
          <w:szCs w:val="20"/>
        </w:rPr>
        <w:t>GI International. In Fiscal 2023, we divested of our energy marketing business in the United Kingdom and Belgium. On October 1, 2023, we divested substantially all of our energy marketing business in France. We also continue to make significant progress on</w:t>
      </w:r>
      <w:r>
        <w:rPr>
          <w:rFonts w:eastAsia="Times New Roman"/>
          <w:color w:val="000000"/>
          <w:sz w:val="20"/>
          <w:szCs w:val="20"/>
        </w:rPr>
        <w:t xml:space="preserve"> the wind-down of our energy marketing business in the Netherlands. See Note 5 for additional information regarding the UGI International energy marketing businesses.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Midstream &amp; Marketing segment consists of energy-related businesses conducted by o</w:t>
      </w:r>
      <w:r>
        <w:rPr>
          <w:rFonts w:eastAsia="Times New Roman"/>
          <w:color w:val="000000"/>
          <w:sz w:val="20"/>
          <w:szCs w:val="20"/>
        </w:rPr>
        <w:t>ur indirect, wholly owned subsidiary, Energy Services. These businesses (i) conduct energy marketing, including RNG, in the Mid-Atlantic region of the United States and California, (ii) own and operate natural gas liquefaction, storage and vaporization fac</w:t>
      </w:r>
      <w:r>
        <w:rPr>
          <w:rFonts w:eastAsia="Times New Roman"/>
          <w:color w:val="000000"/>
          <w:sz w:val="20"/>
          <w:szCs w:val="20"/>
        </w:rPr>
        <w:t>ilities and propane-air mixing assets, (iii) manage natural gas pipeline and storage contracts, (iv) develop, own and operate pipelines, gathering infrastructure and gas storage facilities in the Marcellus and Utica Shale regions of Pennsylvania, eastern O</w:t>
      </w:r>
      <w:r>
        <w:rPr>
          <w:rFonts w:eastAsia="Times New Roman"/>
          <w:color w:val="000000"/>
          <w:sz w:val="20"/>
          <w:szCs w:val="20"/>
        </w:rPr>
        <w:t>hio, and the panhandle of West Virginia, (v) own electricity generation facilities, and (vi) develop, own and operate RNG production facilities. Energy Services and its subsidiaries’ storage, LNG and portions of its midstream transmission operations are su</w:t>
      </w:r>
      <w:r>
        <w:rPr>
          <w:rFonts w:eastAsia="Times New Roman"/>
          <w:color w:val="000000"/>
          <w:sz w:val="20"/>
          <w:szCs w:val="20"/>
        </w:rPr>
        <w:t xml:space="preserve">bject to regulation by the FERC. </w:t>
      </w:r>
    </w:p>
    <w:p w:rsidR="00000000" w:rsidRDefault="00AC31B9">
      <w:pPr>
        <w:divId w:val="1680082833"/>
        <w:rPr>
          <w:rFonts w:eastAsia="Times New Roman"/>
        </w:rPr>
      </w:pPr>
    </w:p>
    <w:p w:rsidR="00000000" w:rsidRDefault="00AC31B9">
      <w:pPr>
        <w:jc w:val="both"/>
        <w:rPr>
          <w:rFonts w:eastAsia="Times New Roman"/>
        </w:rPr>
      </w:pPr>
      <w:r>
        <w:rPr>
          <w:rFonts w:eastAsia="Times New Roman"/>
          <w:color w:val="000000"/>
          <w:sz w:val="20"/>
          <w:szCs w:val="20"/>
        </w:rPr>
        <w:t>The Utilities segment consists of the regulated natural gas (PA Gas Utility) and electric (Electric Utility) distribution businesses of our wholly owned subsidiary, UGI Utilities, and the regulated natural gas distributi</w:t>
      </w:r>
      <w:r>
        <w:rPr>
          <w:rFonts w:eastAsia="Times New Roman"/>
          <w:color w:val="000000"/>
          <w:sz w:val="20"/>
          <w:szCs w:val="20"/>
        </w:rPr>
        <w:t>on business of our indirect, wholly owned subsidiary, Mountaineer. PA Gas Utility serves customers in eastern and central Pennsylvania and in portions of one Maryland county, and Mountaineer serves customers in West Virginia. Electric Utility serves custom</w:t>
      </w:r>
      <w:r>
        <w:rPr>
          <w:rFonts w:eastAsia="Times New Roman"/>
          <w:color w:val="000000"/>
          <w:sz w:val="20"/>
          <w:szCs w:val="20"/>
        </w:rPr>
        <w:t>ers in portions of Luzerne and Wyoming counties in northeastern Pennsylvania. PA Gas Utility is subject to regulation by the PAPUC and FERC and, with respect to its customers in Maryland, the MDPSC. Mountaineer is subject to regulation by the WVPSC and FER</w:t>
      </w:r>
      <w:r>
        <w:rPr>
          <w:rFonts w:eastAsia="Times New Roman"/>
          <w:color w:val="000000"/>
          <w:sz w:val="20"/>
          <w:szCs w:val="20"/>
        </w:rPr>
        <w:t>C. Electric Utility is subject to regulation by the PAPUC and FERC.</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Business Strategy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Our business strategy is to grow the Company by focusing on our core competencies of distributing, storing, transporting and marketing energy products and services. W</w:t>
      </w:r>
      <w:r>
        <w:rPr>
          <w:rFonts w:eastAsia="Times New Roman"/>
          <w:color w:val="000000"/>
          <w:sz w:val="20"/>
          <w:szCs w:val="20"/>
        </w:rPr>
        <w:t>e utilize our core competencies from our existing diversified businesses and our international experience, extensive asset base and access to customers to accelerate both organic growth and growth through acquisitions in our existing businesses, as well as</w:t>
      </w:r>
      <w:r>
        <w:rPr>
          <w:rFonts w:eastAsia="Times New Roman"/>
          <w:color w:val="000000"/>
          <w:sz w:val="20"/>
          <w:szCs w:val="20"/>
        </w:rPr>
        <w:t xml:space="preserve"> in related and complementary businesses. </w:t>
      </w:r>
    </w:p>
    <w:p w:rsidR="00000000" w:rsidRDefault="00AC31B9">
      <w:pPr>
        <w:jc w:val="both"/>
        <w:rPr>
          <w:rFonts w:eastAsia="Times New Roman"/>
        </w:rPr>
      </w:pPr>
      <w:r>
        <w:rPr>
          <w:rFonts w:eastAsia="Times New Roman"/>
          <w:color w:val="000000"/>
          <w:sz w:val="20"/>
          <w:szCs w:val="20"/>
        </w:rPr>
        <w:t>In August 2023, the Company announced the commencement of a strategic review with a focus on our LPG businesses to unlock and maximize shareholder value. See Item 7. Management’s Discussion and Analysis of Financi</w:t>
      </w:r>
      <w:r>
        <w:rPr>
          <w:rFonts w:eastAsia="Times New Roman"/>
          <w:color w:val="000000"/>
          <w:sz w:val="20"/>
          <w:szCs w:val="20"/>
        </w:rPr>
        <w:t>al Condition and Results of Operations for additional information. We continue to focus on advancing our strategy of: (1) providing reliable earnings growth; (2) rebalancing our portfolio, with an emphasis on natural gas and renewable energy solutions; and</w:t>
      </w:r>
      <w:r>
        <w:rPr>
          <w:rFonts w:eastAsia="Times New Roman"/>
          <w:color w:val="000000"/>
          <w:sz w:val="20"/>
          <w:szCs w:val="20"/>
        </w:rPr>
        <w:t xml:space="preserve"> (3) investing in renewable energy solutions. The following discussion highlights some of our key accomplishments in these areas during Fiscal 2023.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Reliable Earnings Growth</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 are committed to consistently growing our earnings and plan to continue th</w:t>
      </w:r>
      <w:r>
        <w:rPr>
          <w:rFonts w:eastAsia="Times New Roman"/>
          <w:color w:val="000000"/>
          <w:sz w:val="20"/>
          <w:szCs w:val="20"/>
        </w:rPr>
        <w:t>is growth through robust investments in our regulated utilities businesses, generating significant fee-based income in our Midstream and Marketing operations, optimizing our cost structure and effectively managing our global LPG businesses,</w:t>
      </w:r>
      <w:r>
        <w:rPr>
          <w:rFonts w:eastAsia="Times New Roman"/>
          <w:color w:val="000000"/>
          <w:sz w:val="20"/>
          <w:szCs w:val="20"/>
          <w:shd w:val="clear" w:color="auto" w:fill="FFFFFF"/>
        </w:rPr>
        <w:t xml:space="preserve"> which</w:t>
      </w:r>
      <w:r>
        <w:rPr>
          <w:rFonts w:eastAsia="Times New Roman"/>
          <w:color w:val="000000"/>
          <w:sz w:val="20"/>
          <w:szCs w:val="20"/>
        </w:rPr>
        <w:t xml:space="preserve"> generate </w:t>
      </w:r>
      <w:r>
        <w:rPr>
          <w:rFonts w:eastAsia="Times New Roman"/>
          <w:color w:val="000000"/>
          <w:sz w:val="20"/>
          <w:szCs w:val="20"/>
        </w:rPr>
        <w:t xml:space="preserve">significant free cash flow. We strive to </w:t>
      </w:r>
    </w:p>
    <w:p w:rsidR="00000000" w:rsidRDefault="00AC31B9">
      <w:pPr>
        <w:jc w:val="center"/>
        <w:divId w:val="1131098273"/>
        <w:rPr>
          <w:rFonts w:eastAsia="Times New Roman"/>
        </w:rPr>
      </w:pPr>
      <w:r>
        <w:rPr>
          <w:rFonts w:eastAsia="Times New Roman"/>
          <w:color w:val="000000"/>
          <w:sz w:val="20"/>
          <w:szCs w:val="20"/>
        </w:rPr>
        <w:t>10</w:t>
      </w:r>
    </w:p>
    <w:p w:rsidR="00000000" w:rsidRDefault="00AC31B9">
      <w:pPr>
        <w:rPr>
          <w:rFonts w:eastAsia="Times New Roman"/>
        </w:rPr>
      </w:pPr>
      <w:r>
        <w:rPr>
          <w:rFonts w:eastAsia="Times New Roman"/>
        </w:rPr>
        <w:pict>
          <v:rect id="_x0000_i1035" style="width:0;height:1.5pt" o:hralign="center" o:hrstd="t" o:hr="t" fillcolor="#a0a0a0" stroked="f"/>
        </w:pict>
      </w:r>
    </w:p>
    <w:p w:rsidR="00000000" w:rsidRDefault="00AC31B9">
      <w:pPr>
        <w:divId w:val="1195384103"/>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be the preferred provider in all markets we serve and remain focused on making continuous improvem</w:t>
      </w:r>
      <w:r>
        <w:rPr>
          <w:rFonts w:eastAsia="Times New Roman"/>
          <w:color w:val="000000"/>
          <w:sz w:val="20"/>
          <w:szCs w:val="20"/>
        </w:rPr>
        <w:t>ents and focusing on growth across our businesses.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At our Utilities segment, we continue to deliver attractive earnings growth through capital investments and customer additions, while taking actions to reduce earnings volatility. In Fiscal 2023, PA Gas </w:t>
      </w:r>
      <w:r>
        <w:rPr>
          <w:rFonts w:eastAsia="Times New Roman"/>
          <w:color w:val="000000"/>
          <w:sz w:val="20"/>
          <w:szCs w:val="20"/>
        </w:rPr>
        <w:t>Utility connected more than 1,460 new commercial and industrial customers and added more than 11,100 residential heating customers. Beginning on November 1, 2022, PA Gas Utility was authorized to implement a weather normalization adjustment rider as a five</w:t>
      </w:r>
      <w:r>
        <w:rPr>
          <w:rFonts w:eastAsia="Times New Roman"/>
          <w:color w:val="000000"/>
          <w:sz w:val="20"/>
          <w:szCs w:val="20"/>
        </w:rPr>
        <w:t>-year pilot program which we expect to result in reduced earnings volatility and stabilize our customers’ distribution charges. In September 2023, our Electric Utility received PAPUC approval for an $8.5 million annual base distribution rate increase begin</w:t>
      </w:r>
      <w:r>
        <w:rPr>
          <w:rFonts w:eastAsia="Times New Roman"/>
          <w:color w:val="000000"/>
          <w:sz w:val="20"/>
          <w:szCs w:val="20"/>
        </w:rPr>
        <w:t>ning in October 2023. On October 6, 2023, Mountaineer filed a joint stipulation and agreement for settlement of the base rate case proceeding that Mountaineer had initiated in March of 2023 with the WVPSC. The settlement is subject to approval by the WVPSC</w:t>
      </w:r>
      <w:r>
        <w:rPr>
          <w:rFonts w:eastAsia="Times New Roman"/>
          <w:color w:val="000000"/>
          <w:sz w:val="20"/>
          <w:szCs w:val="20"/>
        </w:rPr>
        <w:t xml:space="preserve"> and is expected to result in a net revenue increase of approximately $13.9 million and an overall increase in total revenues of 4.16% for Mountaineer. See Note 9 to Consolidated Financial Statements for additional information. </w:t>
      </w:r>
    </w:p>
    <w:p w:rsidR="00000000" w:rsidRDefault="00AC31B9">
      <w:pPr>
        <w:jc w:val="both"/>
        <w:rPr>
          <w:rFonts w:eastAsia="Times New Roman"/>
        </w:rPr>
      </w:pPr>
      <w:r>
        <w:rPr>
          <w:rFonts w:eastAsia="Times New Roman"/>
          <w:color w:val="000000"/>
          <w:sz w:val="20"/>
          <w:szCs w:val="20"/>
        </w:rPr>
        <w:t>Our Midstream and Marketing</w:t>
      </w:r>
      <w:r>
        <w:rPr>
          <w:rFonts w:eastAsia="Times New Roman"/>
          <w:color w:val="000000"/>
          <w:sz w:val="20"/>
          <w:szCs w:val="20"/>
        </w:rPr>
        <w:t xml:space="preserve"> business continues to provide stable earnings, which is underpinned by fee-based contracts from customers. This fee-based income is derived from fixed-fee peaking, storage and gathering, and fixed rate, variable volume gathering and marketing transactions</w:t>
      </w:r>
      <w:r>
        <w:rPr>
          <w:rFonts w:eastAsia="Times New Roman"/>
          <w:color w:val="000000"/>
          <w:sz w:val="20"/>
          <w:szCs w:val="20"/>
        </w:rPr>
        <w:t>. In Fiscal 2023, over 85% of Midstream and Marketing’s total margin was fee-based. In addition, Midstream and Marketing continued expanding in the renewable energy space, which we believe will contribute to our future earnings growth. For more information</w:t>
      </w:r>
      <w:r>
        <w:rPr>
          <w:rFonts w:eastAsia="Times New Roman"/>
          <w:color w:val="000000"/>
          <w:sz w:val="20"/>
          <w:szCs w:val="20"/>
        </w:rPr>
        <w:t xml:space="preserve"> on these transactions, see “Investment in Renewable Energy” below.</w:t>
      </w:r>
    </w:p>
    <w:p w:rsidR="00000000" w:rsidRDefault="00AC31B9">
      <w:pPr>
        <w:jc w:val="both"/>
        <w:rPr>
          <w:rFonts w:eastAsia="Times New Roman"/>
        </w:rPr>
      </w:pPr>
      <w:r>
        <w:rPr>
          <w:rFonts w:eastAsia="Times New Roman"/>
          <w:color w:val="000000"/>
          <w:sz w:val="20"/>
          <w:szCs w:val="20"/>
        </w:rPr>
        <w:t>During Fiscal 2023, we made technology and other investments to promote the safety of our employees and the communities we serve. For example, we continued (i) installing cameras in our de</w:t>
      </w:r>
      <w:r>
        <w:rPr>
          <w:rFonts w:eastAsia="Times New Roman"/>
          <w:color w:val="000000"/>
          <w:sz w:val="20"/>
          <w:szCs w:val="20"/>
        </w:rPr>
        <w:t>livery and service vehicles to facilitate in-cab coaching capabilities, among other functionality, and (ii) installing fall protection towers on rail terminals that are designed to prevent employees from falling during the process of offloading propane int</w:t>
      </w:r>
      <w:r>
        <w:rPr>
          <w:rFonts w:eastAsia="Times New Roman"/>
          <w:color w:val="000000"/>
          <w:sz w:val="20"/>
          <w:szCs w:val="20"/>
        </w:rPr>
        <w:t>o bulk storage.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During Fiscal 2023, we made significant progress on our strategic decision to exit the energy marketing business at UGI International. We divested of our energy marketing businesses in the United Kingdom and Belgium during Fiscal 2023 and</w:t>
      </w:r>
      <w:r>
        <w:rPr>
          <w:rFonts w:eastAsia="Times New Roman"/>
          <w:color w:val="000000"/>
          <w:sz w:val="20"/>
          <w:szCs w:val="20"/>
        </w:rPr>
        <w:t xml:space="preserve"> divested substantially all of our energy marketing business in France on October 1, 2023. In addition, we continue to make progress on the wind-down of our energy marketing business in the Netherlands.</w:t>
      </w:r>
    </w:p>
    <w:p w:rsidR="00000000" w:rsidRDefault="00AC31B9">
      <w:pPr>
        <w:divId w:val="271938422"/>
        <w:rPr>
          <w:rFonts w:eastAsia="Times New Roman"/>
        </w:rPr>
      </w:pPr>
    </w:p>
    <w:p w:rsidR="00000000" w:rsidRDefault="00AC31B9">
      <w:pPr>
        <w:jc w:val="both"/>
        <w:rPr>
          <w:rFonts w:eastAsia="Times New Roman"/>
        </w:rPr>
      </w:pPr>
      <w:r>
        <w:rPr>
          <w:rFonts w:eastAsia="Times New Roman"/>
          <w:b/>
          <w:bCs/>
          <w:i/>
          <w:iCs/>
          <w:color w:val="000000"/>
          <w:sz w:val="20"/>
          <w:szCs w:val="20"/>
        </w:rPr>
        <w:t>Rebalancing Our Portfolio</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 are committed to reb</w:t>
      </w:r>
      <w:r>
        <w:rPr>
          <w:rFonts w:eastAsia="Times New Roman"/>
          <w:color w:val="000000"/>
          <w:sz w:val="20"/>
          <w:szCs w:val="20"/>
        </w:rPr>
        <w:t xml:space="preserve">alancing our portfolio through both organic growth and investment in natural gas and renewable energy solutions.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In Fiscal 2023, we executed our rebalancing strategy by prioritizing </w:t>
      </w:r>
      <w:r>
        <w:rPr>
          <w:rFonts w:eastAsia="Times New Roman"/>
          <w:color w:val="000000"/>
          <w:sz w:val="20"/>
          <w:szCs w:val="20"/>
        </w:rPr>
        <w:t>our capital investment in the natural gas businesses. At the Utilities, we continued to execute our infrastructure replacement and system betterment program, with record capital expenditures in Fiscal 2023 and additional expenditures expected in the coming</w:t>
      </w:r>
      <w:r>
        <w:rPr>
          <w:rFonts w:eastAsia="Times New Roman"/>
          <w:color w:val="000000"/>
          <w:sz w:val="20"/>
          <w:szCs w:val="20"/>
        </w:rPr>
        <w:t xml:space="preserve"> years. Our PA Gas Utility remains on schedule to achieve its goal of replacing the cast iron portions of its gas mains by March 2027 and the bare steel portion of its gas mains by September 2041. We believe that the replacement of aging infrastructure res</w:t>
      </w:r>
      <w:r>
        <w:rPr>
          <w:rFonts w:eastAsia="Times New Roman"/>
          <w:color w:val="000000"/>
          <w:sz w:val="20"/>
          <w:szCs w:val="20"/>
        </w:rPr>
        <w:t xml:space="preserve">ults in increased contributions to rate base growth and also reduces emissions while improving operational efficiency and distribution system integrity.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Investment in Renewable Energy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 are pursuing investments in several renewable energy areas, including RNG, bio-LPG and renewable dimethyl ether. Our natural gas businesses are exploring RNG opportunities involving both distribution and RNG feedstock infrastructure, and our LPG busines</w:t>
      </w:r>
      <w:r>
        <w:rPr>
          <w:rFonts w:eastAsia="Times New Roman"/>
          <w:color w:val="000000"/>
          <w:sz w:val="20"/>
          <w:szCs w:val="20"/>
        </w:rPr>
        <w:t>ses are developing bio-LPG sources to augment our existing bio-LPG source in Sweden. We believe that UGI is well-positioned to develop investment opportunities in these emerging markets due to our competencies in project development, project execution, gas</w:t>
      </w:r>
      <w:r>
        <w:rPr>
          <w:rFonts w:eastAsia="Times New Roman"/>
          <w:color w:val="000000"/>
          <w:sz w:val="20"/>
          <w:szCs w:val="20"/>
        </w:rPr>
        <w:t xml:space="preserve"> transportation and storage, and energy marketing.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 expect to utilize our existing natural gas and LPG distribution infrastructure to deliver RNG and bio-LPG to the customers we serve. In most cases, these renewable solutions can be delivered to our c</w:t>
      </w:r>
      <w:r>
        <w:rPr>
          <w:rFonts w:eastAsia="Times New Roman"/>
          <w:color w:val="000000"/>
          <w:sz w:val="20"/>
          <w:szCs w:val="20"/>
        </w:rPr>
        <w:t>ustomers with no additional local infrastructure, incremental investments by our customers, or community disruption related to infrastructure buildout.</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Fiscal 2023, we completed the following transactions:</w:t>
      </w:r>
    </w:p>
    <w:p w:rsidR="00000000" w:rsidRDefault="00AC31B9">
      <w:pPr>
        <w:jc w:val="both"/>
        <w:rPr>
          <w:rFonts w:eastAsia="Times New Roman"/>
        </w:rPr>
      </w:pPr>
    </w:p>
    <w:p w:rsidR="00000000" w:rsidRDefault="00AC31B9">
      <w:pPr>
        <w:ind w:hanging="360"/>
        <w:jc w:val="both"/>
        <w:rPr>
          <w:rFonts w:eastAsia="Times New Roman"/>
        </w:rPr>
      </w:pPr>
      <w:r>
        <w:rPr>
          <w:rFonts w:eastAsia="Times New Roman"/>
          <w:color w:val="000000"/>
          <w:sz w:val="20"/>
          <w:szCs w:val="20"/>
        </w:rPr>
        <w:t>•In November 2022, Energy Services announce</w:t>
      </w:r>
      <w:r>
        <w:rPr>
          <w:rFonts w:eastAsia="Times New Roman"/>
          <w:color w:val="000000"/>
          <w:sz w:val="20"/>
          <w:szCs w:val="20"/>
        </w:rPr>
        <w:t>d a project that will modify an existing anaerobic biogas facility to generate RNG. The project is expected to be completed in the second half of 2024 and, once completed, is expected to produce approximately 35 million cubic feet of RNG annually.</w:t>
      </w:r>
    </w:p>
    <w:p w:rsidR="00000000" w:rsidRDefault="00AC31B9">
      <w:pPr>
        <w:jc w:val="both"/>
        <w:rPr>
          <w:rFonts w:eastAsia="Times New Roman"/>
        </w:rPr>
      </w:pPr>
    </w:p>
    <w:p w:rsidR="00000000" w:rsidRDefault="00AC31B9">
      <w:pPr>
        <w:ind w:hanging="360"/>
        <w:jc w:val="both"/>
        <w:rPr>
          <w:rFonts w:eastAsia="Times New Roman"/>
        </w:rPr>
      </w:pPr>
      <w:r>
        <w:rPr>
          <w:rFonts w:eastAsia="Times New Roman"/>
          <w:color w:val="000000"/>
          <w:sz w:val="20"/>
          <w:szCs w:val="20"/>
        </w:rPr>
        <w:t>•In Ja</w:t>
      </w:r>
      <w:r>
        <w:rPr>
          <w:rFonts w:eastAsia="Times New Roman"/>
          <w:color w:val="000000"/>
          <w:sz w:val="20"/>
          <w:szCs w:val="20"/>
        </w:rPr>
        <w:t>nuary 2023, Energy Services announced that it entered into an agreement to invest $150 million in two RNG projects currently under development in South Dakota. One project is expected to generate approximately 300 million cubic feet of RNG annually once co</w:t>
      </w:r>
      <w:r>
        <w:rPr>
          <w:rFonts w:eastAsia="Times New Roman"/>
          <w:color w:val="000000"/>
          <w:sz w:val="20"/>
          <w:szCs w:val="20"/>
        </w:rPr>
        <w:t xml:space="preserve">mpleted in calendar year 2024 and the other project is expected to generate approximately 225 million cubic feet of RNG annually once completed in calendar year 2024. </w:t>
      </w:r>
    </w:p>
    <w:p w:rsidR="00000000" w:rsidRDefault="00AC31B9">
      <w:pPr>
        <w:jc w:val="both"/>
        <w:rPr>
          <w:rFonts w:eastAsia="Times New Roman"/>
        </w:rPr>
      </w:pPr>
    </w:p>
    <w:p w:rsidR="00000000" w:rsidRDefault="00AC31B9">
      <w:pPr>
        <w:jc w:val="center"/>
        <w:divId w:val="709305149"/>
        <w:rPr>
          <w:rFonts w:eastAsia="Times New Roman"/>
        </w:rPr>
      </w:pPr>
      <w:r>
        <w:rPr>
          <w:rFonts w:eastAsia="Times New Roman"/>
          <w:color w:val="000000"/>
          <w:sz w:val="20"/>
          <w:szCs w:val="20"/>
        </w:rPr>
        <w:t>11</w:t>
      </w:r>
    </w:p>
    <w:p w:rsidR="00000000" w:rsidRDefault="00AC31B9">
      <w:pPr>
        <w:rPr>
          <w:rFonts w:eastAsia="Times New Roman"/>
        </w:rPr>
      </w:pPr>
      <w:r>
        <w:rPr>
          <w:rFonts w:eastAsia="Times New Roman"/>
        </w:rPr>
        <w:pict>
          <v:rect id="_x0000_i1036" style="width:0;height:1.5pt" o:hralign="center" o:hrstd="t" o:hr="t" fillcolor="#a0a0a0" stroked="f"/>
        </w:pict>
      </w:r>
    </w:p>
    <w:p w:rsidR="00000000" w:rsidRDefault="00AC31B9">
      <w:pPr>
        <w:divId w:val="1530291877"/>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ind w:hanging="360"/>
        <w:jc w:val="both"/>
        <w:rPr>
          <w:rFonts w:eastAsia="Times New Roman"/>
        </w:rPr>
      </w:pPr>
      <w:r>
        <w:rPr>
          <w:rFonts w:eastAsia="Times New Roman"/>
          <w:color w:val="000000"/>
          <w:sz w:val="20"/>
          <w:szCs w:val="20"/>
        </w:rPr>
        <w:t>•In February 2023, Energy Services entered into a joint venture to develop an RNG project at the Commonwealth Environmental Systems landfill in Pennsylvania. Once complete, the project is expected to have the capacity to produ</w:t>
      </w:r>
      <w:r>
        <w:rPr>
          <w:rFonts w:eastAsia="Times New Roman"/>
          <w:color w:val="000000"/>
          <w:sz w:val="20"/>
          <w:szCs w:val="20"/>
        </w:rPr>
        <w:t>ce approximately 5,000 MMBtu per day of pipeline-quality RNG.</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These projects provide a range of benefits, including reducing our carbon footprint while also addressing increased customer demand for low carbon energy sources.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Environmental Strategy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w:t>
      </w:r>
      <w:r>
        <w:rPr>
          <w:rFonts w:eastAsia="Times New Roman"/>
          <w:color w:val="000000"/>
          <w:sz w:val="20"/>
          <w:szCs w:val="20"/>
        </w:rPr>
        <w:t xml:space="preserve"> believe that corporate sustainability is critical to our overall business success and we are committed to growing the Company in an environmentally responsible way. UGI’s environmental strategy is focused on three main areas: reducing our emissions; reduc</w:t>
      </w:r>
      <w:r>
        <w:rPr>
          <w:rFonts w:eastAsia="Times New Roman"/>
          <w:color w:val="000000"/>
          <w:sz w:val="20"/>
          <w:szCs w:val="20"/>
        </w:rPr>
        <w:t>ing our customers’ emissions affordably, reliably, and responsibly; and investing in renewable solutions. To support our strategy, we have made the following environmental commitments discussed below while also committing to continue to grow our earnings p</w:t>
      </w:r>
      <w:r>
        <w:rPr>
          <w:rFonts w:eastAsia="Times New Roman"/>
          <w:color w:val="000000"/>
          <w:sz w:val="20"/>
          <w:szCs w:val="20"/>
        </w:rPr>
        <w:t>er share and dividends.</w:t>
      </w:r>
    </w:p>
    <w:p w:rsidR="00000000" w:rsidRDefault="00AC31B9">
      <w:pPr>
        <w:jc w:val="both"/>
        <w:rPr>
          <w:rFonts w:eastAsia="Times New Roman"/>
        </w:rPr>
      </w:pPr>
    </w:p>
    <w:p w:rsidR="00000000" w:rsidRDefault="00AC31B9">
      <w:pPr>
        <w:ind w:hanging="360"/>
        <w:jc w:val="both"/>
        <w:rPr>
          <w:rFonts w:eastAsia="Times New Roman"/>
        </w:rPr>
      </w:pPr>
      <w:r>
        <w:rPr>
          <w:rFonts w:eastAsia="Times New Roman"/>
          <w:b/>
          <w:bCs/>
          <w:i/>
          <w:iCs/>
          <w:color w:val="000000"/>
          <w:sz w:val="20"/>
          <w:szCs w:val="20"/>
        </w:rPr>
        <w:t>•</w:t>
      </w:r>
      <w:r>
        <w:rPr>
          <w:rFonts w:eastAsia="Times New Roman"/>
          <w:color w:val="000000"/>
          <w:sz w:val="20"/>
          <w:szCs w:val="20"/>
        </w:rPr>
        <w:t>Scope 1 Emissions Reduction Commitment – Reduce Scope 1 GHG emissions by 55% by 2025 (using Fiscal 2020 as a baseline). Our Scope 1 emissions reduction target does not include emissions from the Mountaineer Acquisition, which clo</w:t>
      </w:r>
      <w:r>
        <w:rPr>
          <w:rFonts w:eastAsia="Times New Roman"/>
          <w:color w:val="000000"/>
          <w:sz w:val="20"/>
          <w:szCs w:val="20"/>
        </w:rPr>
        <w:t>sed in September 2021. The target also excluded the Stonehenge Acquisition</w:t>
      </w:r>
      <w:r>
        <w:rPr>
          <w:rFonts w:eastAsia="Times New Roman"/>
          <w:b/>
          <w:bCs/>
          <w:i/>
          <w:iCs/>
          <w:color w:val="000000"/>
          <w:sz w:val="20"/>
          <w:szCs w:val="20"/>
        </w:rPr>
        <w:t xml:space="preserve"> </w:t>
      </w:r>
      <w:r>
        <w:rPr>
          <w:rFonts w:eastAsia="Times New Roman"/>
          <w:color w:val="000000"/>
          <w:sz w:val="20"/>
          <w:szCs w:val="20"/>
        </w:rPr>
        <w:t xml:space="preserve">and only accounts for our ownership interest in Pennant at the time we set the target. The emissions from the Pine Run acquisition were included in the baseline 2020 number as this </w:t>
      </w:r>
      <w:r>
        <w:rPr>
          <w:rFonts w:eastAsia="Times New Roman"/>
          <w:color w:val="000000"/>
          <w:sz w:val="20"/>
          <w:szCs w:val="20"/>
        </w:rPr>
        <w:t>investment contributed to our goal. The 2020 base number also takes a five year emissions average from the Hunlock generation facility to account for year-over-year differences in run time.</w:t>
      </w:r>
    </w:p>
    <w:p w:rsidR="00000000" w:rsidRDefault="00AC31B9">
      <w:pPr>
        <w:jc w:val="both"/>
        <w:rPr>
          <w:rFonts w:eastAsia="Times New Roman"/>
        </w:rPr>
      </w:pPr>
    </w:p>
    <w:p w:rsidR="00000000" w:rsidRDefault="00AC31B9">
      <w:pPr>
        <w:ind w:hanging="360"/>
        <w:jc w:val="both"/>
        <w:rPr>
          <w:rFonts w:eastAsia="Times New Roman"/>
        </w:rPr>
      </w:pPr>
      <w:r>
        <w:rPr>
          <w:rFonts w:eastAsia="Times New Roman"/>
          <w:color w:val="000000"/>
          <w:sz w:val="20"/>
          <w:szCs w:val="20"/>
        </w:rPr>
        <w:t>•</w:t>
      </w:r>
      <w:r>
        <w:rPr>
          <w:rFonts w:eastAsia="Times New Roman"/>
          <w:color w:val="000000"/>
          <w:sz w:val="20"/>
          <w:szCs w:val="20"/>
        </w:rPr>
        <w:t>Methane Emissions Reduction Commitment – 92% reduction by 2030, and 95% reduction by 2040.</w:t>
      </w:r>
    </w:p>
    <w:p w:rsidR="00000000" w:rsidRDefault="00AC31B9">
      <w:pPr>
        <w:ind w:hanging="360"/>
        <w:jc w:val="both"/>
        <w:rPr>
          <w:rFonts w:eastAsia="Times New Roman"/>
        </w:rPr>
      </w:pPr>
    </w:p>
    <w:p w:rsidR="00000000" w:rsidRDefault="00AC31B9">
      <w:pPr>
        <w:ind w:hanging="360"/>
        <w:jc w:val="both"/>
        <w:rPr>
          <w:rFonts w:eastAsia="Times New Roman"/>
        </w:rPr>
      </w:pPr>
      <w:r>
        <w:rPr>
          <w:rFonts w:eastAsia="Times New Roman"/>
          <w:color w:val="000000"/>
          <w:sz w:val="20"/>
          <w:szCs w:val="20"/>
        </w:rPr>
        <w:t>•Pipeline Replacement and Betterment Commitment – Replace all cast iron pipelines by 2027 and all bare steel by 2041. Our pipeline replacement and betterment activ</w:t>
      </w:r>
      <w:r>
        <w:rPr>
          <w:rFonts w:eastAsia="Times New Roman"/>
          <w:color w:val="000000"/>
          <w:sz w:val="20"/>
          <w:szCs w:val="20"/>
        </w:rPr>
        <w:t>ities better enable us to achieve our emissions reductions goals.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 report our progress on the environmental goals and commitments annually in our Sustainability Reports, including our Scope 1, 2 and 3 emissions, air quality impact, and water management</w:t>
      </w:r>
      <w:r>
        <w:rPr>
          <w:rFonts w:eastAsia="Times New Roman"/>
          <w:color w:val="000000"/>
          <w:sz w:val="20"/>
          <w:szCs w:val="20"/>
        </w:rPr>
        <w:t xml:space="preserve"> efforts. Our Scope 3 emissions stem primarily from the extraction (upstream) and combustion (downstream) of the molecules we distribute, and from our supply chain. Our Sustainability Reports may be accessed on our website under “ESG - Resources - Sustaina</w:t>
      </w:r>
      <w:r>
        <w:rPr>
          <w:rFonts w:eastAsia="Times New Roman"/>
          <w:color w:val="000000"/>
          <w:sz w:val="20"/>
          <w:szCs w:val="20"/>
        </w:rPr>
        <w:t>bility Reports.” Information published in our Sustainability Reports is not incorporated by reference in this Report.</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formulating our environmental strategy, our management and Board of Directors consider certain risks and uncertainties that may mater</w:t>
      </w:r>
      <w:r>
        <w:rPr>
          <w:rFonts w:eastAsia="Times New Roman"/>
          <w:color w:val="000000"/>
          <w:sz w:val="20"/>
          <w:szCs w:val="20"/>
        </w:rPr>
        <w:t xml:space="preserve">ially impact our financial condition and results of operations. For more information on these risks and uncertainties, see “Risk Factors - The potential effects of climate change may affect our business, operations, supply chain and customers, which could </w:t>
      </w:r>
      <w:r>
        <w:rPr>
          <w:rFonts w:eastAsia="Times New Roman"/>
          <w:color w:val="000000"/>
          <w:sz w:val="20"/>
          <w:szCs w:val="20"/>
        </w:rPr>
        <w:t>adversely impact our financial condition and results of operations.”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Corporate Information</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UGI was incorporated in Pennsylvania in 1991. The Company is not subject to regulation by the PAPUC but, following completion of the Mountaineer Acquisition, is </w:t>
      </w:r>
      <w:r>
        <w:rPr>
          <w:rFonts w:eastAsia="Times New Roman"/>
          <w:color w:val="000000"/>
          <w:sz w:val="20"/>
          <w:szCs w:val="20"/>
        </w:rPr>
        <w:t>a regulated “holding company” under PUHCA 2005. PUHCA 2005 and the implementing regulations of FERC give FERC access to certain holding company books and records and impose certain accounting, record-keeping, and reporting requirements on holding companies</w:t>
      </w:r>
      <w:r>
        <w:rPr>
          <w:rFonts w:eastAsia="Times New Roman"/>
          <w:color w:val="000000"/>
          <w:sz w:val="20"/>
          <w:szCs w:val="20"/>
        </w:rPr>
        <w:t xml:space="preserve">. PUHCA 2005 also provides state utility regulatory commissions with access to holding company books and records in certain circumstances.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Our executive offices are located at 500 North Gulph Road, King of Prussia, Pennsylvania 19406, and our telephone </w:t>
      </w:r>
      <w:r>
        <w:rPr>
          <w:rFonts w:eastAsia="Times New Roman"/>
          <w:color w:val="000000"/>
          <w:sz w:val="20"/>
          <w:szCs w:val="20"/>
        </w:rPr>
        <w:t xml:space="preserve">number is (610) 337-1000. In this Report, the terms “Company” and “UGI,” as well as the terms “our,” “we,” “us,” and “its” are sometimes used as abbreviated references to UGI Corporation or, collectively, UGI Corporation and its consolidated subsidiaries. </w:t>
      </w:r>
      <w:r>
        <w:rPr>
          <w:rFonts w:eastAsia="Times New Roman"/>
          <w:color w:val="000000"/>
          <w:sz w:val="20"/>
          <w:szCs w:val="20"/>
        </w:rPr>
        <w:t>For further information on the meaning of certain terms used in this Report, see “Glossary of Terms and Abbreviations.”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Company’s corporate website can be found at www.ugicorp.com. Information on our website, including the information published in ou</w:t>
      </w:r>
      <w:r>
        <w:rPr>
          <w:rFonts w:eastAsia="Times New Roman"/>
          <w:color w:val="000000"/>
          <w:sz w:val="20"/>
          <w:szCs w:val="20"/>
        </w:rPr>
        <w:t>r Sustainability Reports, is not incorporated by reference in this Report. The Company makes available free of charge at this website (under the “Investors - Financial Reports - SEC Filings and Proxies” caption) copies of its reports filed or furnished pur</w:t>
      </w:r>
      <w:r>
        <w:rPr>
          <w:rFonts w:eastAsia="Times New Roman"/>
          <w:color w:val="000000"/>
          <w:sz w:val="20"/>
          <w:szCs w:val="20"/>
        </w:rPr>
        <w:t xml:space="preserve">suant to Section 13(a) or 15(d) of the Exchange Act, including its Annual Reports on Form 10-K, its Quarterly Reports on Form 10-Q, and its Current Reports on Form 8-K. The Company’s Principles of Corporate Governance, Code of Business Conduct and Ethics, </w:t>
      </w:r>
      <w:r>
        <w:rPr>
          <w:rFonts w:eastAsia="Times New Roman"/>
          <w:color w:val="000000"/>
          <w:sz w:val="20"/>
          <w:szCs w:val="20"/>
        </w:rPr>
        <w:t>and Supplier Code of Business Conduct and Ethics are available on the Company’s website under the caption “Company - Leadership and Governance - Governance Documents.” The charters of the Audit, Corporate Governance, Compensation and Management Development</w:t>
      </w:r>
      <w:r>
        <w:rPr>
          <w:rFonts w:eastAsia="Times New Roman"/>
          <w:color w:val="000000"/>
          <w:sz w:val="20"/>
          <w:szCs w:val="20"/>
        </w:rPr>
        <w:t>, and Safety, Environmental and Regulatory Compliance Committees of the Board of Directors are available on the Company’s website under the caption “Company - Leadership and Governance - Committees &amp; Charters.” All of these documents are also available fre</w:t>
      </w:r>
      <w:r>
        <w:rPr>
          <w:rFonts w:eastAsia="Times New Roman"/>
          <w:color w:val="000000"/>
          <w:sz w:val="20"/>
          <w:szCs w:val="20"/>
        </w:rPr>
        <w:t xml:space="preserve">e of charge by writing to Director, </w:t>
      </w:r>
    </w:p>
    <w:p w:rsidR="00000000" w:rsidRDefault="00AC31B9">
      <w:pPr>
        <w:jc w:val="center"/>
        <w:divId w:val="1162549551"/>
        <w:rPr>
          <w:rFonts w:eastAsia="Times New Roman"/>
        </w:rPr>
      </w:pPr>
      <w:r>
        <w:rPr>
          <w:rFonts w:eastAsia="Times New Roman"/>
          <w:color w:val="000000"/>
          <w:sz w:val="20"/>
          <w:szCs w:val="20"/>
        </w:rPr>
        <w:t>12</w:t>
      </w:r>
    </w:p>
    <w:p w:rsidR="00000000" w:rsidRDefault="00AC31B9">
      <w:pPr>
        <w:rPr>
          <w:rFonts w:eastAsia="Times New Roman"/>
        </w:rPr>
      </w:pPr>
      <w:r>
        <w:rPr>
          <w:rFonts w:eastAsia="Times New Roman"/>
        </w:rPr>
        <w:pict>
          <v:rect id="_x0000_i1037" style="width:0;height:1.5pt" o:hralign="center" o:hrstd="t" o:hr="t" fillcolor="#a0a0a0" stroked="f"/>
        </w:pict>
      </w:r>
    </w:p>
    <w:p w:rsidR="00000000" w:rsidRDefault="00AC31B9">
      <w:pPr>
        <w:divId w:val="1128473358"/>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Investor Relations, UGI Corporation, P.O. Box 858, Valley Forge, PA 19482.</w:t>
      </w:r>
    </w:p>
    <w:p w:rsidR="00000000" w:rsidRDefault="00AC31B9">
      <w:pPr>
        <w:jc w:val="both"/>
        <w:rPr>
          <w:rFonts w:eastAsia="Times New Roman"/>
        </w:rPr>
      </w:pPr>
    </w:p>
    <w:p w:rsidR="00000000" w:rsidRDefault="00AC31B9">
      <w:pPr>
        <w:jc w:val="center"/>
        <w:divId w:val="1191918039"/>
        <w:rPr>
          <w:rFonts w:eastAsia="Times New Roman"/>
        </w:rPr>
      </w:pPr>
      <w:r>
        <w:rPr>
          <w:rFonts w:eastAsia="Times New Roman"/>
          <w:b/>
          <w:bCs/>
          <w:color w:val="000000"/>
          <w:sz w:val="20"/>
          <w:szCs w:val="20"/>
        </w:rPr>
        <w:t>AMERIGAS PROPANE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Products, Services and Marketing</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Our domestic propane distribution business is conducted through AmeriGas Propane. AmeriGas Propane serves nearly 1.2 million </w:t>
      </w:r>
      <w:r>
        <w:rPr>
          <w:rFonts w:eastAsia="Times New Roman"/>
          <w:color w:val="000000"/>
          <w:sz w:val="20"/>
          <w:szCs w:val="20"/>
        </w:rPr>
        <w:t>customers in all 50 states from approximately 1,380 propane distribution locations. Typically, propane distribution locations are in suburban and rural areas where natural gas is not readily available. Our local offices generally consist of operations faci</w:t>
      </w:r>
      <w:r>
        <w:rPr>
          <w:rFonts w:eastAsia="Times New Roman"/>
          <w:color w:val="000000"/>
          <w:sz w:val="20"/>
          <w:szCs w:val="20"/>
        </w:rPr>
        <w:t xml:space="preserve">lities and propane storage. As part of its overall transportation and distribution infrastructure, AmeriGas Propane operates as an interstate carrier in all states throughout the continental U.S.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AmeriGas Propane sells propane primarily to residential, commercial/industrial, motor fuel, agricultural and wholesale customers. AmeriGas Propane distributed approximately 940 million gallons of propane in Fiscal 2023. Approximately 88% of AmeriGas Propan</w:t>
      </w:r>
      <w:r>
        <w:rPr>
          <w:rFonts w:eastAsia="Times New Roman"/>
          <w:color w:val="000000"/>
          <w:sz w:val="20"/>
          <w:szCs w:val="20"/>
        </w:rPr>
        <w:t>e’s Fiscal 2023 sales (based on gallons sold) was to retail accounts and approximately 12% was to wholesale accounts. Sales to residential customers in Fiscal 2023 represented approximately 30% of retail gallons sold; commercial/industrial customers 41%; m</w:t>
      </w:r>
      <w:r>
        <w:rPr>
          <w:rFonts w:eastAsia="Times New Roman"/>
          <w:color w:val="000000"/>
          <w:sz w:val="20"/>
          <w:szCs w:val="20"/>
        </w:rPr>
        <w:t>otor fuel customers 21%; and agricultural customers 3%. Transport gallons, which are large-scale deliveries to retail customers other than residential, accounted for approximately 5% of Fiscal 2023 retail gallons. With the exception of one customer represe</w:t>
      </w:r>
      <w:r>
        <w:rPr>
          <w:rFonts w:eastAsia="Times New Roman"/>
          <w:color w:val="000000"/>
          <w:sz w:val="20"/>
          <w:szCs w:val="20"/>
        </w:rPr>
        <w:t xml:space="preserve">nting 5.1% of AmeriGas Propane’s consolidated revenues, no other single customer represents more than 5% of AmeriGas Propane’s consolidated revenues.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The ACE program continued to be an important element of AmeriGas Propane’s business in Fiscal 2023. At </w:t>
      </w:r>
      <w:r>
        <w:rPr>
          <w:rFonts w:eastAsia="Times New Roman"/>
          <w:color w:val="000000"/>
          <w:sz w:val="20"/>
          <w:szCs w:val="20"/>
        </w:rPr>
        <w:t>September 30, 2023, ACE cylinders were available at over 48,000 retail locations throughout the U.S. Sales of our ACE cylinders to retailers are included in commercial/industrial sales. The ACE program enables consumers to purchase or exchange propane cyli</w:t>
      </w:r>
      <w:r>
        <w:rPr>
          <w:rFonts w:eastAsia="Times New Roman"/>
          <w:color w:val="000000"/>
          <w:sz w:val="20"/>
          <w:szCs w:val="20"/>
        </w:rPr>
        <w:t xml:space="preserve">nders at various retail locations such as home centers, gas stations, mass merchandisers and grocery and convenience stores. In addition, our Cynch propane home delivery service was available in 24 cities as of September 30, 2023. We also supply retailers </w:t>
      </w:r>
      <w:r>
        <w:rPr>
          <w:rFonts w:eastAsia="Times New Roman"/>
          <w:color w:val="000000"/>
          <w:sz w:val="20"/>
          <w:szCs w:val="20"/>
        </w:rPr>
        <w:t>with large propane tanks to enable them to replenish customers’ propane cylinders directly at the retailers’ locations.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Residential and commercial customers use propane primarily for home heating, water heating and cooking purposes. Commercial users incl</w:t>
      </w:r>
      <w:r>
        <w:rPr>
          <w:rFonts w:eastAsia="Times New Roman"/>
          <w:color w:val="000000"/>
          <w:sz w:val="20"/>
          <w:szCs w:val="20"/>
        </w:rPr>
        <w:t>ude hotels, restaurants, churches, warehouses and retail stores. Industrial customers use propane to fire furnaces, as a cutting gas and in other process applications. Other industrial customers are large-scale heating accounts and local gas utility custom</w:t>
      </w:r>
      <w:r>
        <w:rPr>
          <w:rFonts w:eastAsia="Times New Roman"/>
          <w:color w:val="000000"/>
          <w:sz w:val="20"/>
          <w:szCs w:val="20"/>
        </w:rPr>
        <w:t>ers that use propane as a supplemental fuel to meet peak load deliverability requirements. As a motor fuel, propane is burned in internal combustion engines that power school buses and other over-the-road vehicles, forklifts and stationary engines. Agricul</w:t>
      </w:r>
      <w:r>
        <w:rPr>
          <w:rFonts w:eastAsia="Times New Roman"/>
          <w:color w:val="000000"/>
          <w:sz w:val="20"/>
          <w:szCs w:val="20"/>
        </w:rPr>
        <w:t>tural uses include tobacco curing, chicken brooding, crop drying and orchard heating. In its wholesale operations, AmeriGas Propane principally sells propane to large industrial end-users and other propane distributors.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Retail deliveries of propane are u</w:t>
      </w:r>
      <w:r>
        <w:rPr>
          <w:rFonts w:eastAsia="Times New Roman"/>
          <w:color w:val="000000"/>
          <w:sz w:val="20"/>
          <w:szCs w:val="20"/>
        </w:rPr>
        <w:t xml:space="preserve">sually made to customers by means of bobtail and rack trucks. Propane is pumped from the bobtail truck, which generally holds 2,400 to 3,000 gallons of propane, into a stationary storage tank on the customer’s premises. AmeriGas Propane owns most of these </w:t>
      </w:r>
      <w:r>
        <w:rPr>
          <w:rFonts w:eastAsia="Times New Roman"/>
          <w:color w:val="000000"/>
          <w:sz w:val="20"/>
          <w:szCs w:val="20"/>
        </w:rPr>
        <w:t xml:space="preserve">storage tanks and leases them to its customers. The capacity of these tanks ranges from approximately 120 gallons to approximately 1,200 gallons. AmeriGas Propane also delivers propane in portable cylinders, including ACE and motor fuel cylinders. Some of </w:t>
      </w:r>
      <w:r>
        <w:rPr>
          <w:rFonts w:eastAsia="Times New Roman"/>
          <w:color w:val="000000"/>
          <w:sz w:val="20"/>
          <w:szCs w:val="20"/>
        </w:rPr>
        <w:t>these deliveries are made to the customer’s location where cylinders are either picked up or replenished in place.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During Fiscal 2023, we made technology and other investments to promote the safety of our employees and the communities we serve. For examp</w:t>
      </w:r>
      <w:r>
        <w:rPr>
          <w:rFonts w:eastAsia="Times New Roman"/>
          <w:color w:val="000000"/>
          <w:sz w:val="20"/>
          <w:szCs w:val="20"/>
        </w:rPr>
        <w:t>le, we continued (i) installing cameras in our delivery and service vehicles to facilitate in-cab coaching capabilities, among other functionality, and (ii) installing fall protection towers on rail terminals that are designed to prevent employees from fal</w:t>
      </w:r>
      <w:r>
        <w:rPr>
          <w:rFonts w:eastAsia="Times New Roman"/>
          <w:color w:val="000000"/>
          <w:sz w:val="20"/>
          <w:szCs w:val="20"/>
        </w:rPr>
        <w:t>ling during the process of offloading propane into bulk storage.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Propane Supply and Storage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U.S. propane market has approximately 190 domestic and international sources of supply, including the spot market. Supplies of propane from AmeriGas Propane</w:t>
      </w:r>
      <w:r>
        <w:rPr>
          <w:rFonts w:eastAsia="Times New Roman"/>
          <w:color w:val="000000"/>
          <w:sz w:val="20"/>
          <w:szCs w:val="20"/>
        </w:rPr>
        <w:t>’s sources historically have been readily available. In recent years, certain geographies experienced varying levels of reduced propane availability as a result of transportation issues within the supply chain. In response to these supply and transportatio</w:t>
      </w:r>
      <w:r>
        <w:rPr>
          <w:rFonts w:eastAsia="Times New Roman"/>
          <w:color w:val="000000"/>
          <w:sz w:val="20"/>
          <w:szCs w:val="20"/>
        </w:rPr>
        <w:t xml:space="preserve">n challenges, AmeriGas Propane utilized a combination of increased regional storage as well as rail and transport supply from different origins to offset localized supply/demand imbalances.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addition to these factors, the availability and pricing of p</w:t>
      </w:r>
      <w:r>
        <w:rPr>
          <w:rFonts w:eastAsia="Times New Roman"/>
          <w:color w:val="000000"/>
          <w:sz w:val="20"/>
          <w:szCs w:val="20"/>
        </w:rPr>
        <w:t xml:space="preserve">ropane supply has historically been dependent upon, among other things, the severity of winter weather, the price and availability of competing fuels such as natural gas and crude oil, and the </w:t>
      </w:r>
    </w:p>
    <w:p w:rsidR="00000000" w:rsidRDefault="00AC31B9">
      <w:pPr>
        <w:jc w:val="center"/>
        <w:divId w:val="149566739"/>
        <w:rPr>
          <w:rFonts w:eastAsia="Times New Roman"/>
        </w:rPr>
      </w:pPr>
      <w:r>
        <w:rPr>
          <w:rFonts w:eastAsia="Times New Roman"/>
          <w:color w:val="000000"/>
          <w:sz w:val="20"/>
          <w:szCs w:val="20"/>
        </w:rPr>
        <w:t>13</w:t>
      </w:r>
    </w:p>
    <w:p w:rsidR="00000000" w:rsidRDefault="00AC31B9">
      <w:pPr>
        <w:rPr>
          <w:rFonts w:eastAsia="Times New Roman"/>
        </w:rPr>
      </w:pPr>
      <w:r>
        <w:rPr>
          <w:rFonts w:eastAsia="Times New Roman"/>
        </w:rPr>
        <w:pict>
          <v:rect id="_x0000_i1038" style="width:0;height:1.5pt" o:hralign="center" o:hrstd="t" o:hr="t" fillcolor="#a0a0a0" stroked="f"/>
        </w:pict>
      </w:r>
    </w:p>
    <w:p w:rsidR="00000000" w:rsidRDefault="00AC31B9">
      <w:pPr>
        <w:divId w:val="70084740"/>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amount and availability of exported supply and, to a much lesser extent, imported supply. For more information on risks relating to our supply chain, see “Risk Factors - Risks Relating to Our Supply Cha</w:t>
      </w:r>
      <w:r>
        <w:rPr>
          <w:rFonts w:eastAsia="Times New Roman"/>
          <w:color w:val="000000"/>
          <w:sz w:val="20"/>
          <w:szCs w:val="20"/>
        </w:rPr>
        <w:t xml:space="preserve">in and Our Ability to Obtain Adequate Quantities of LPG.”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During Fiscal 2023, approximately 97% of AmeriGas Propane’s propane supply was purchased under supply agreements with terms of one to three years. Although no assurance can be given that supplies</w:t>
      </w:r>
      <w:r>
        <w:rPr>
          <w:rFonts w:eastAsia="Times New Roman"/>
          <w:color w:val="000000"/>
          <w:sz w:val="20"/>
          <w:szCs w:val="20"/>
        </w:rPr>
        <w:t xml:space="preserve"> of propane will be readily available in the future, management currently expects to be able to secure adequate supplies during Fiscal 2024. If supply from major sources were interrupted, however, the cost of procuring replacement supplies and transporting</w:t>
      </w:r>
      <w:r>
        <w:rPr>
          <w:rFonts w:eastAsia="Times New Roman"/>
          <w:color w:val="000000"/>
          <w:sz w:val="20"/>
          <w:szCs w:val="20"/>
        </w:rPr>
        <w:t xml:space="preserve"> those supplies from alternative locations might be materially higher and, at least on a short-term basis, margins could be adversely affected. In Fiscal 2023, AmeriGas Propane derived approximately 14% of its propane supply from Enterprise Products Operat</w:t>
      </w:r>
      <w:r>
        <w:rPr>
          <w:rFonts w:eastAsia="Times New Roman"/>
          <w:color w:val="000000"/>
          <w:sz w:val="20"/>
          <w:szCs w:val="20"/>
        </w:rPr>
        <w:t>ing LLC and approximately 11% of its propane supply from Targa Liquids Marketing and Trade LLC. No other single supplier provided more than 10% of AmeriGas Propane’s total propane supply in Fiscal 2023. In certain geographic areas, however, a single suppli</w:t>
      </w:r>
      <w:r>
        <w:rPr>
          <w:rFonts w:eastAsia="Times New Roman"/>
          <w:color w:val="000000"/>
          <w:sz w:val="20"/>
          <w:szCs w:val="20"/>
        </w:rPr>
        <w:t>er provides more than 50% of AmeriGas Propane’s requirements. Disruptions in supply in these areas could also have an adverse impact on AmeriGas Propane’s margins.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AmeriGas Propane’s supply contracts typically provide for pricing based upon (i) index for</w:t>
      </w:r>
      <w:r>
        <w:rPr>
          <w:rFonts w:eastAsia="Times New Roman"/>
          <w:color w:val="000000"/>
          <w:sz w:val="20"/>
          <w:szCs w:val="20"/>
        </w:rPr>
        <w:t>mulas using the current prices established at a major storage point such as Mont Belvieu, Texas, or Conway, Kansas, or (ii) posted prices at the time of delivery. In addition, some agreements provide maximum and minimum seasonal purchase volume guidelines.</w:t>
      </w:r>
      <w:r>
        <w:rPr>
          <w:rFonts w:eastAsia="Times New Roman"/>
          <w:color w:val="000000"/>
          <w:sz w:val="20"/>
          <w:szCs w:val="20"/>
        </w:rPr>
        <w:t xml:space="preserve"> The percentage of contract purchases, and the amount of supply contracted for at fixed prices, will vary from year to year. AmeriGas Propane uses a number of interstate pipelines, as well as railroad tank cars, delivery trucks and barges, to transport pro</w:t>
      </w:r>
      <w:r>
        <w:rPr>
          <w:rFonts w:eastAsia="Times New Roman"/>
          <w:color w:val="000000"/>
          <w:sz w:val="20"/>
          <w:szCs w:val="20"/>
        </w:rPr>
        <w:t>pane from suppliers to storage and distribution facilities. AmeriGas Propane stores propane at various storage facilities and terminals located in strategic areas across the U.S.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Because AmeriGas Propane’s profitability is sensitive to changes in wholesa</w:t>
      </w:r>
      <w:r>
        <w:rPr>
          <w:rFonts w:eastAsia="Times New Roman"/>
          <w:color w:val="000000"/>
          <w:sz w:val="20"/>
          <w:szCs w:val="20"/>
        </w:rPr>
        <w:t>le propane costs, AmeriGas Propane generally seeks to pass on increases in the cost of propane to customers. There is no assurance, however, that AmeriGas Propane will always be able to pass on product cost increases fully, or keep pace with such increases</w:t>
      </w:r>
      <w:r>
        <w:rPr>
          <w:rFonts w:eastAsia="Times New Roman"/>
          <w:color w:val="000000"/>
          <w:sz w:val="20"/>
          <w:szCs w:val="20"/>
        </w:rPr>
        <w:t>, particularly when product costs rise rapidly. Product cost increases can be triggered by periods of severe cold weather, supply interruptions, increases in the prices of base commodities, such as crude oil and natural gas, or other unforeseen events. Ame</w:t>
      </w:r>
      <w:r>
        <w:rPr>
          <w:rFonts w:eastAsia="Times New Roman"/>
          <w:color w:val="000000"/>
          <w:sz w:val="20"/>
          <w:szCs w:val="20"/>
        </w:rPr>
        <w:t xml:space="preserve">riGas Propane has supply acquisition and product cost risk management practices to reduce the effect of volatility on selling prices. These practices currently include the use of summer storage, forward purchases and derivative commodity instruments, such </w:t>
      </w:r>
      <w:r>
        <w:rPr>
          <w:rFonts w:eastAsia="Times New Roman"/>
          <w:color w:val="000000"/>
          <w:sz w:val="20"/>
          <w:szCs w:val="20"/>
        </w:rPr>
        <w:t>as propane price swaps. See “Management’s Discussion and Analysis of Financial Condition and Results of Operations - Market Risk Disclosures.”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The following graph shows the average prices of propane on the propane spot market during the last five fiscal </w:t>
      </w:r>
      <w:r>
        <w:rPr>
          <w:rFonts w:eastAsia="Times New Roman"/>
          <w:color w:val="000000"/>
          <w:sz w:val="20"/>
          <w:szCs w:val="20"/>
        </w:rPr>
        <w:t>years at Mont Belvieu, Texas, and Conway, Kansas, both major storage areas.</w:t>
      </w:r>
    </w:p>
    <w:p w:rsidR="00000000" w:rsidRDefault="00AC31B9">
      <w:pPr>
        <w:jc w:val="center"/>
        <w:divId w:val="938877951"/>
        <w:rPr>
          <w:rFonts w:eastAsia="Times New Roman"/>
        </w:rPr>
      </w:pPr>
      <w:r>
        <w:rPr>
          <w:rFonts w:eastAsia="Times New Roman"/>
          <w:b/>
          <w:bCs/>
          <w:color w:val="000000"/>
          <w:sz w:val="20"/>
          <w:szCs w:val="20"/>
        </w:rPr>
        <w:t>Average Propane Spot Market Prices</w:t>
      </w:r>
    </w:p>
    <w:p w:rsidR="00000000" w:rsidRDefault="00AC31B9">
      <w:pPr>
        <w:divId w:val="1915427105"/>
        <w:rPr>
          <w:rFonts w:eastAsia="Times New Roman"/>
        </w:rPr>
      </w:pPr>
    </w:p>
    <w:p w:rsidR="00000000" w:rsidRDefault="00AC31B9">
      <w:pPr>
        <w:jc w:val="center"/>
        <w:rPr>
          <w:rFonts w:eastAsia="Times New Roman"/>
        </w:rPr>
      </w:pPr>
      <w:r>
        <w:rPr>
          <w:rFonts w:eastAsia="Times New Roman"/>
          <w:noProof/>
        </w:rPr>
        <w:drawing>
          <wp:inline distT="0" distB="0" distL="0" distR="0">
            <wp:extent cx="3048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C31B9">
      <w:pPr>
        <w:jc w:val="both"/>
        <w:rPr>
          <w:rFonts w:eastAsia="Times New Roman"/>
        </w:rPr>
      </w:pPr>
    </w:p>
    <w:p w:rsidR="00000000" w:rsidRDefault="00AC31B9">
      <w:pPr>
        <w:jc w:val="center"/>
        <w:divId w:val="442768062"/>
        <w:rPr>
          <w:rFonts w:eastAsia="Times New Roman"/>
        </w:rPr>
      </w:pPr>
      <w:r>
        <w:rPr>
          <w:rFonts w:eastAsia="Times New Roman"/>
          <w:color w:val="000000"/>
          <w:sz w:val="20"/>
          <w:szCs w:val="20"/>
        </w:rPr>
        <w:t>14</w:t>
      </w:r>
    </w:p>
    <w:p w:rsidR="00000000" w:rsidRDefault="00AC31B9">
      <w:pPr>
        <w:rPr>
          <w:rFonts w:eastAsia="Times New Roman"/>
        </w:rPr>
      </w:pPr>
      <w:r>
        <w:rPr>
          <w:rFonts w:eastAsia="Times New Roman"/>
        </w:rPr>
        <w:pict>
          <v:rect id="_x0000_i1040" style="width:0;height:1.5pt" o:hralign="center" o:hrstd="t" o:hr="t" fillcolor="#a0a0a0" stroked="f"/>
        </w:pict>
      </w:r>
    </w:p>
    <w:p w:rsidR="00000000" w:rsidRDefault="00AC31B9">
      <w:pPr>
        <w:divId w:val="1375303255"/>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b/>
          <w:bCs/>
          <w:i/>
          <w:iCs/>
          <w:color w:val="000000"/>
          <w:sz w:val="20"/>
          <w:szCs w:val="20"/>
        </w:rPr>
        <w:t>General Industry Information</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Propane is separated from crude oil during the refining process and also extracted from natural gas or oil wellhead gas at processing plants. Propane is normally t</w:t>
      </w:r>
      <w:r>
        <w:rPr>
          <w:rFonts w:eastAsia="Times New Roman"/>
          <w:color w:val="000000"/>
          <w:sz w:val="20"/>
          <w:szCs w:val="20"/>
        </w:rPr>
        <w:t>ransported and stored in a liquid state under moderate pressure or refrigeration for economy and ease of handling in shipping and distribution. When the pressure is released or the temperature is increased, it is usable as a flammable gas. Propane is color</w:t>
      </w:r>
      <w:r>
        <w:rPr>
          <w:rFonts w:eastAsia="Times New Roman"/>
          <w:color w:val="000000"/>
          <w:sz w:val="20"/>
          <w:szCs w:val="20"/>
        </w:rPr>
        <w:t>less and odorless; an odorant is added to allow for its detection. Propane is considered a clean alternative fuel under the Clean Air Act Amendments of 1990.</w:t>
      </w:r>
    </w:p>
    <w:p w:rsidR="00000000" w:rsidRDefault="00AC31B9">
      <w:pPr>
        <w:ind w:firstLine="720"/>
        <w:jc w:val="both"/>
        <w:rPr>
          <w:rFonts w:eastAsia="Times New Roman"/>
        </w:rPr>
      </w:pPr>
    </w:p>
    <w:p w:rsidR="00000000" w:rsidRDefault="00AC31B9">
      <w:pPr>
        <w:jc w:val="both"/>
        <w:rPr>
          <w:rFonts w:eastAsia="Times New Roman"/>
        </w:rPr>
      </w:pPr>
      <w:r>
        <w:rPr>
          <w:rFonts w:eastAsia="Times New Roman"/>
          <w:b/>
          <w:bCs/>
          <w:i/>
          <w:iCs/>
          <w:color w:val="000000"/>
          <w:sz w:val="20"/>
          <w:szCs w:val="20"/>
        </w:rPr>
        <w:t>Competition</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Propane competes with other sources of energy, some of which are less costly for e</w:t>
      </w:r>
      <w:r>
        <w:rPr>
          <w:rFonts w:eastAsia="Times New Roman"/>
          <w:color w:val="000000"/>
          <w:sz w:val="20"/>
          <w:szCs w:val="20"/>
        </w:rPr>
        <w:t xml:space="preserve">quivalent energy value. Propane distributors compete for customers with suppliers of electricity, fuel oil and natural gas, principally on the basis of price, service, availability and portability. Electricity is generally more expensive than propane on a </w:t>
      </w:r>
      <w:r>
        <w:rPr>
          <w:rFonts w:eastAsia="Times New Roman"/>
          <w:color w:val="000000"/>
          <w:sz w:val="20"/>
          <w:szCs w:val="20"/>
        </w:rPr>
        <w:t>Btu equivalent basis, but the convenience and efficiency of electricity make it an attractive energy source for consumers and developers of new homes. Fuel oil, which is also a major competitor of propane, is a less environmentally attractive energy source</w:t>
      </w:r>
      <w:r>
        <w:rPr>
          <w:rFonts w:eastAsia="Times New Roman"/>
          <w:color w:val="000000"/>
          <w:sz w:val="20"/>
          <w:szCs w:val="20"/>
        </w:rPr>
        <w:t>. Furnaces and appliances that burn propane will not operate on fuel oil, and vice versa, and, therefore, a conversion from one fuel to the other requires the installation of new equipment. Propane serves as an alternative to natural gas in rural and subur</w:t>
      </w:r>
      <w:r>
        <w:rPr>
          <w:rFonts w:eastAsia="Times New Roman"/>
          <w:color w:val="000000"/>
          <w:sz w:val="20"/>
          <w:szCs w:val="20"/>
        </w:rPr>
        <w:t>ban areas where natural gas is unavailable or portability of product is required. Natural gas is generally a significantly less expensive source of energy than propane, although in areas where natural gas is available, propane is used for certain industria</w:t>
      </w:r>
      <w:r>
        <w:rPr>
          <w:rFonts w:eastAsia="Times New Roman"/>
          <w:color w:val="000000"/>
          <w:sz w:val="20"/>
          <w:szCs w:val="20"/>
        </w:rPr>
        <w:t>l and commercial applications and as a standby fuel during interruptions in natural gas service. The gradual expansion of the nation’s natural gas distribution systems has resulted in the availability of natural gas in some areas that previously depended u</w:t>
      </w:r>
      <w:r>
        <w:rPr>
          <w:rFonts w:eastAsia="Times New Roman"/>
          <w:color w:val="000000"/>
          <w:sz w:val="20"/>
          <w:szCs w:val="20"/>
        </w:rPr>
        <w:t>pon propane. However, natural gas pipelines are not present in many areas of the country where propane is sold for heating and cooking purposes.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For motor fuel customers, propane competes with gasoline, diesel fuel, electric batteries, fuel cells and, in</w:t>
      </w:r>
      <w:r>
        <w:rPr>
          <w:rFonts w:eastAsia="Times New Roman"/>
          <w:color w:val="000000"/>
          <w:sz w:val="20"/>
          <w:szCs w:val="20"/>
        </w:rPr>
        <w:t xml:space="preserve"> certain applications, LNG and compressed natural gas. Wholesale propane distribution is a highly competitive, low margin business. Propane sales to other retail distributors and large-volume, direct-shipment industrial end-users are price sensitive and fr</w:t>
      </w:r>
      <w:r>
        <w:rPr>
          <w:rFonts w:eastAsia="Times New Roman"/>
          <w:color w:val="000000"/>
          <w:sz w:val="20"/>
          <w:szCs w:val="20"/>
        </w:rPr>
        <w:t>equently involve a competitive bidding process.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Retail propane industry volumes have been flat for several years and no or modest growth in total demand is foreseen in the next several years. Therefore, AmeriGas Propane’s ability to grow within the indus</w:t>
      </w:r>
      <w:r>
        <w:rPr>
          <w:rFonts w:eastAsia="Times New Roman"/>
          <w:color w:val="000000"/>
          <w:sz w:val="20"/>
          <w:szCs w:val="20"/>
        </w:rPr>
        <w:t>try is dependent on the success of its sales and marketing programs designed to attract and retain customers, the success of business transformation initiatives, its ability to achieve internal growth, which includes the continuation of ACE, Cynch and Nati</w:t>
      </w:r>
      <w:r>
        <w:rPr>
          <w:rFonts w:eastAsia="Times New Roman"/>
          <w:color w:val="000000"/>
          <w:sz w:val="20"/>
          <w:szCs w:val="20"/>
        </w:rPr>
        <w:t>onal Accounts (through which multi-location propane users enter into a single AmeriGas Propane supply agreement rather than agreements with multiple suppliers), and its ability to acquire other retail distributors. The failure of AmeriGas Propane to retain</w:t>
      </w:r>
      <w:r>
        <w:rPr>
          <w:rFonts w:eastAsia="Times New Roman"/>
          <w:color w:val="000000"/>
          <w:sz w:val="20"/>
          <w:szCs w:val="20"/>
        </w:rPr>
        <w:t xml:space="preserve"> and grow its customer base would have an adverse effect on its long-term results.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domestic propane retail distribution business is highly competitive. AmeriGas Propane competes in this business with other large propane marketers, including other ful</w:t>
      </w:r>
      <w:r>
        <w:rPr>
          <w:rFonts w:eastAsia="Times New Roman"/>
          <w:color w:val="000000"/>
          <w:sz w:val="20"/>
          <w:szCs w:val="20"/>
        </w:rPr>
        <w:t>l-service marketers, and thousands of small independent operators. Some farm cooperatives, rural electric cooperatives and fuel oil distributors include propane distribution in their businesses and AmeriGas Propane competes with them as well. The ability t</w:t>
      </w:r>
      <w:r>
        <w:rPr>
          <w:rFonts w:eastAsia="Times New Roman"/>
          <w:color w:val="000000"/>
          <w:sz w:val="20"/>
          <w:szCs w:val="20"/>
        </w:rPr>
        <w:t>o compete effectively depends on providing high quality customer service, maintaining competitive retail prices and controlling operating expenses. AmeriGas Propane also offers customers various payment and service options, including guaranteed price progr</w:t>
      </w:r>
      <w:r>
        <w:rPr>
          <w:rFonts w:eastAsia="Times New Roman"/>
          <w:color w:val="000000"/>
          <w:sz w:val="20"/>
          <w:szCs w:val="20"/>
        </w:rPr>
        <w:t xml:space="preserve">ams, fixed price arrangements and pricing arrangements based on published propane prices at specified terminals.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Fiscal 2023, AmeriGas Propane’s retail propane sales totaled approximately 820 million gallons. Based on the most recent annual survey by</w:t>
      </w:r>
      <w:r>
        <w:rPr>
          <w:rFonts w:eastAsia="Times New Roman"/>
          <w:color w:val="000000"/>
          <w:sz w:val="20"/>
          <w:szCs w:val="20"/>
        </w:rPr>
        <w:t xml:space="preserve"> the Propane Education &amp; Research Council, 2022 domestic retail propane sales (annual sales for other than chemical uses) in the U.S. totaled approximately 9.8 billion gallons. Based on LP-GAS magazine rankings, 2022 sales volume of the ten largest propane</w:t>
      </w:r>
      <w:r>
        <w:rPr>
          <w:rFonts w:eastAsia="Times New Roman"/>
          <w:color w:val="000000"/>
          <w:sz w:val="20"/>
          <w:szCs w:val="20"/>
        </w:rPr>
        <w:t xml:space="preserve"> distribution companies (including AmeriGas Propane) represented approximately 32% of domestic retail propane sales.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Properties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As of September 30, 2023, AmeriGas Propane owned approximately 87% of its nearly 525 local offices throughout the country. T</w:t>
      </w:r>
      <w:r>
        <w:rPr>
          <w:rFonts w:eastAsia="Times New Roman"/>
          <w:color w:val="000000"/>
          <w:sz w:val="20"/>
          <w:szCs w:val="20"/>
        </w:rPr>
        <w:t>he transportation of propane requires specialized equipment. The trucks and railroad tank cars utilized for this purpose carry specialized steel tanks that maintain the propane in a liquefied state. As of September 30, 2023, the Partnership operated a tran</w:t>
      </w:r>
      <w:r>
        <w:rPr>
          <w:rFonts w:eastAsia="Times New Roman"/>
          <w:color w:val="000000"/>
          <w:sz w:val="20"/>
          <w:szCs w:val="20"/>
        </w:rPr>
        <w:t>sportation fleet with the following assets:</w:t>
      </w:r>
    </w:p>
    <w:p w:rsidR="00000000" w:rsidRDefault="00AC31B9">
      <w:pPr>
        <w:jc w:val="center"/>
        <w:divId w:val="595287394"/>
        <w:rPr>
          <w:rFonts w:eastAsia="Times New Roman"/>
        </w:rPr>
      </w:pPr>
      <w:r>
        <w:rPr>
          <w:rFonts w:eastAsia="Times New Roman"/>
          <w:color w:val="000000"/>
          <w:sz w:val="20"/>
          <w:szCs w:val="20"/>
        </w:rPr>
        <w:t>15</w:t>
      </w:r>
    </w:p>
    <w:p w:rsidR="00000000" w:rsidRDefault="00AC31B9">
      <w:pPr>
        <w:rPr>
          <w:rFonts w:eastAsia="Times New Roman"/>
        </w:rPr>
      </w:pPr>
      <w:r>
        <w:rPr>
          <w:rFonts w:eastAsia="Times New Roman"/>
        </w:rPr>
        <w:pict>
          <v:rect id="_x0000_i1041" style="width:0;height:1.5pt" o:hralign="center" o:hrstd="t" o:hr="t" fillcolor="#a0a0a0" stroked="f"/>
        </w:pict>
      </w:r>
    </w:p>
    <w:p w:rsidR="00000000" w:rsidRDefault="00AC31B9">
      <w:pPr>
        <w:divId w:val="149638172"/>
        <w:rPr>
          <w:rFonts w:eastAsia="Times New Roman"/>
        </w:rPr>
      </w:pPr>
      <w:hyperlink w:anchor="ic92dd05487854a4eaece953328045c39_7" w:history="1">
        <w:r>
          <w:rPr>
            <w:rStyle w:val="a3"/>
            <w:rFonts w:eastAsia="Times New Roman"/>
            <w:b/>
            <w:bCs/>
            <w:sz w:val="20"/>
            <w:szCs w:val="20"/>
          </w:rPr>
          <w:t>Table of Contents</w:t>
        </w:r>
      </w:hyperlink>
    </w:p>
    <w:tbl>
      <w:tblPr>
        <w:tblW w:w="4173" w:type="pct"/>
        <w:jc w:val="center"/>
        <w:tblCellMar>
          <w:top w:w="15" w:type="dxa"/>
          <w:left w:w="15" w:type="dxa"/>
          <w:bottom w:w="15" w:type="dxa"/>
          <w:right w:w="15" w:type="dxa"/>
        </w:tblCellMar>
        <w:tblLook w:val="04A0" w:firstRow="1" w:lastRow="0" w:firstColumn="1" w:lastColumn="0" w:noHBand="0" w:noVBand="1"/>
      </w:tblPr>
      <w:tblGrid>
        <w:gridCol w:w="54"/>
        <w:gridCol w:w="1305"/>
        <w:gridCol w:w="38"/>
        <w:gridCol w:w="54"/>
        <w:gridCol w:w="3515"/>
        <w:gridCol w:w="36"/>
        <w:gridCol w:w="55"/>
        <w:gridCol w:w="965"/>
        <w:gridCol w:w="36"/>
        <w:gridCol w:w="55"/>
        <w:gridCol w:w="783"/>
        <w:gridCol w:w="36"/>
      </w:tblGrid>
      <w:tr w:rsidR="00000000">
        <w:trPr>
          <w:divId w:val="1260258764"/>
          <w:jc w:val="center"/>
        </w:trPr>
        <w:tc>
          <w:tcPr>
            <w:tcW w:w="50" w:type="pct"/>
            <w:vAlign w:val="center"/>
            <w:hideMark/>
          </w:tcPr>
          <w:p w:rsidR="00000000" w:rsidRDefault="00AC31B9">
            <w:pPr>
              <w:rPr>
                <w:rFonts w:eastAsia="Times New Roman"/>
              </w:rPr>
            </w:pPr>
          </w:p>
        </w:tc>
        <w:tc>
          <w:tcPr>
            <w:tcW w:w="95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254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70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7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260258764"/>
          <w:jc w:val="center"/>
        </w:trPr>
        <w:tc>
          <w:tcPr>
            <w:tcW w:w="0" w:type="auto"/>
            <w:gridSpan w:val="6"/>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b/>
                <w:bCs/>
                <w:color w:val="000000"/>
                <w:sz w:val="20"/>
                <w:szCs w:val="20"/>
                <w:u w:val="single"/>
              </w:rPr>
              <w:t>Approximate Quantity &amp; Equipment Type</w:t>
            </w:r>
          </w:p>
        </w:tc>
        <w:tc>
          <w:tcPr>
            <w:tcW w:w="0" w:type="auto"/>
            <w:gridSpan w:val="3"/>
            <w:tcMar>
              <w:top w:w="30" w:type="dxa"/>
              <w:left w:w="20" w:type="dxa"/>
              <w:bottom w:w="30" w:type="dxa"/>
              <w:right w:w="20" w:type="dxa"/>
            </w:tcMar>
            <w:vAlign w:val="bottom"/>
            <w:hideMark/>
          </w:tcPr>
          <w:p w:rsidR="00000000" w:rsidRDefault="00AC31B9">
            <w:pPr>
              <w:spacing w:after="100"/>
              <w:jc w:val="both"/>
              <w:rPr>
                <w:rFonts w:eastAsia="Times New Roman"/>
              </w:rPr>
            </w:pPr>
            <w:r>
              <w:rPr>
                <w:rFonts w:eastAsia="Times New Roman"/>
                <w:b/>
                <w:bCs/>
                <w:color w:val="000000"/>
                <w:sz w:val="20"/>
                <w:szCs w:val="20"/>
                <w:u w:val="single"/>
              </w:rPr>
              <w:t>% Owned</w:t>
            </w:r>
          </w:p>
        </w:tc>
        <w:tc>
          <w:tcPr>
            <w:tcW w:w="0" w:type="auto"/>
            <w:gridSpan w:val="3"/>
            <w:tcMar>
              <w:top w:w="30" w:type="dxa"/>
              <w:left w:w="20" w:type="dxa"/>
              <w:bottom w:w="30" w:type="dxa"/>
              <w:right w:w="20" w:type="dxa"/>
            </w:tcMar>
            <w:vAlign w:val="bottom"/>
            <w:hideMark/>
          </w:tcPr>
          <w:p w:rsidR="00000000" w:rsidRDefault="00AC31B9">
            <w:pPr>
              <w:spacing w:after="100"/>
              <w:jc w:val="both"/>
              <w:rPr>
                <w:rFonts w:eastAsia="Times New Roman"/>
              </w:rPr>
            </w:pPr>
            <w:r>
              <w:rPr>
                <w:rFonts w:eastAsia="Times New Roman"/>
                <w:b/>
                <w:bCs/>
                <w:color w:val="000000"/>
                <w:sz w:val="20"/>
                <w:szCs w:val="20"/>
                <w:u w:val="single"/>
              </w:rPr>
              <w:t>% Leased</w:t>
            </w:r>
          </w:p>
        </w:tc>
      </w:tr>
      <w:tr w:rsidR="00000000">
        <w:trPr>
          <w:divId w:val="1260258764"/>
          <w:jc w:val="center"/>
        </w:trPr>
        <w:tc>
          <w:tcPr>
            <w:tcW w:w="0" w:type="auto"/>
            <w:gridSpan w:val="3"/>
            <w:shd w:val="clear" w:color="auto" w:fill="CCEEFF"/>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850</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both"/>
              <w:rPr>
                <w:rFonts w:eastAsia="Times New Roman"/>
              </w:rPr>
            </w:pPr>
            <w:r>
              <w:rPr>
                <w:rFonts w:eastAsia="Times New Roman"/>
                <w:color w:val="000000"/>
                <w:sz w:val="20"/>
                <w:szCs w:val="20"/>
              </w:rPr>
              <w:t>Trailers</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66%</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34%</w:t>
            </w:r>
          </w:p>
        </w:tc>
      </w:tr>
      <w:tr w:rsidR="00000000">
        <w:trPr>
          <w:divId w:val="1260258764"/>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320</w:t>
            </w:r>
          </w:p>
        </w:tc>
        <w:tc>
          <w:tcPr>
            <w:tcW w:w="0" w:type="auto"/>
            <w:gridSpan w:val="3"/>
            <w:tcMar>
              <w:top w:w="30" w:type="dxa"/>
              <w:left w:w="20" w:type="dxa"/>
              <w:bottom w:w="30" w:type="dxa"/>
              <w:right w:w="20" w:type="dxa"/>
            </w:tcMar>
            <w:vAlign w:val="bottom"/>
            <w:hideMark/>
          </w:tcPr>
          <w:p w:rsidR="00000000" w:rsidRDefault="00AC31B9">
            <w:pPr>
              <w:spacing w:after="100"/>
              <w:jc w:val="both"/>
              <w:rPr>
                <w:rFonts w:eastAsia="Times New Roman"/>
              </w:rPr>
            </w:pPr>
            <w:r>
              <w:rPr>
                <w:rFonts w:eastAsia="Times New Roman"/>
                <w:color w:val="000000"/>
                <w:sz w:val="20"/>
                <w:szCs w:val="20"/>
              </w:rPr>
              <w:t>Tractors</w:t>
            </w: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99%</w:t>
            </w:r>
          </w:p>
        </w:tc>
      </w:tr>
      <w:tr w:rsidR="00000000">
        <w:trPr>
          <w:divId w:val="126025876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650</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both"/>
              <w:rPr>
                <w:rFonts w:eastAsia="Times New Roman"/>
              </w:rPr>
            </w:pPr>
            <w:r>
              <w:rPr>
                <w:rFonts w:eastAsia="Times New Roman"/>
                <w:color w:val="000000"/>
                <w:sz w:val="20"/>
                <w:szCs w:val="20"/>
              </w:rPr>
              <w:t>Railroad tank cars</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0%</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100%</w:t>
            </w:r>
          </w:p>
        </w:tc>
      </w:tr>
      <w:tr w:rsidR="00000000">
        <w:trPr>
          <w:divId w:val="1260258764"/>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2,460</w:t>
            </w:r>
          </w:p>
        </w:tc>
        <w:tc>
          <w:tcPr>
            <w:tcW w:w="0" w:type="auto"/>
            <w:gridSpan w:val="3"/>
            <w:tcMar>
              <w:top w:w="30" w:type="dxa"/>
              <w:left w:w="20" w:type="dxa"/>
              <w:bottom w:w="30" w:type="dxa"/>
              <w:right w:w="20" w:type="dxa"/>
            </w:tcMar>
            <w:vAlign w:val="bottom"/>
            <w:hideMark/>
          </w:tcPr>
          <w:p w:rsidR="00000000" w:rsidRDefault="00AC31B9">
            <w:pPr>
              <w:spacing w:after="100"/>
              <w:jc w:val="both"/>
              <w:rPr>
                <w:rFonts w:eastAsia="Times New Roman"/>
              </w:rPr>
            </w:pPr>
            <w:r>
              <w:rPr>
                <w:rFonts w:eastAsia="Times New Roman"/>
                <w:color w:val="000000"/>
                <w:sz w:val="20"/>
                <w:szCs w:val="20"/>
              </w:rPr>
              <w:t>Bobtail trucks</w:t>
            </w: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4%</w:t>
            </w: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96%</w:t>
            </w:r>
          </w:p>
        </w:tc>
      </w:tr>
      <w:tr w:rsidR="00000000">
        <w:trPr>
          <w:divId w:val="126025876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285</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both"/>
              <w:rPr>
                <w:rFonts w:eastAsia="Times New Roman"/>
              </w:rPr>
            </w:pPr>
            <w:r>
              <w:rPr>
                <w:rFonts w:eastAsia="Times New Roman"/>
                <w:color w:val="000000"/>
                <w:sz w:val="20"/>
                <w:szCs w:val="20"/>
              </w:rPr>
              <w:t>Rack trucks</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9%</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91%</w:t>
            </w:r>
          </w:p>
        </w:tc>
      </w:tr>
      <w:tr w:rsidR="00000000">
        <w:trPr>
          <w:divId w:val="1260258764"/>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2,910</w:t>
            </w:r>
          </w:p>
        </w:tc>
        <w:tc>
          <w:tcPr>
            <w:tcW w:w="0" w:type="auto"/>
            <w:gridSpan w:val="3"/>
            <w:tcMar>
              <w:top w:w="30" w:type="dxa"/>
              <w:left w:w="20" w:type="dxa"/>
              <w:bottom w:w="30" w:type="dxa"/>
              <w:right w:w="20" w:type="dxa"/>
            </w:tcMar>
            <w:vAlign w:val="bottom"/>
            <w:hideMark/>
          </w:tcPr>
          <w:p w:rsidR="00000000" w:rsidRDefault="00AC31B9">
            <w:pPr>
              <w:spacing w:after="100"/>
              <w:jc w:val="both"/>
              <w:rPr>
                <w:rFonts w:eastAsia="Times New Roman"/>
              </w:rPr>
            </w:pPr>
            <w:r>
              <w:rPr>
                <w:rFonts w:eastAsia="Times New Roman"/>
                <w:color w:val="000000"/>
                <w:sz w:val="20"/>
                <w:szCs w:val="20"/>
              </w:rPr>
              <w:t>Service and delivery trucks</w:t>
            </w: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11%</w:t>
            </w: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89%</w:t>
            </w:r>
          </w:p>
        </w:tc>
      </w:tr>
    </w:tbl>
    <w:p w:rsidR="00000000" w:rsidRDefault="00AC31B9">
      <w:pPr>
        <w:divId w:val="2028209927"/>
        <w:rPr>
          <w:rFonts w:eastAsia="Times New Roman"/>
        </w:rPr>
      </w:pPr>
    </w:p>
    <w:p w:rsidR="00000000" w:rsidRDefault="00AC31B9">
      <w:pPr>
        <w:jc w:val="both"/>
        <w:rPr>
          <w:rFonts w:eastAsia="Times New Roman"/>
        </w:rPr>
      </w:pPr>
      <w:r>
        <w:rPr>
          <w:rFonts w:eastAsia="Times New Roman"/>
          <w:color w:val="000000"/>
          <w:sz w:val="20"/>
          <w:szCs w:val="20"/>
        </w:rPr>
        <w:t>Other assets owned at September 30, 2023 included approximately 909,000 stationary storage tanks with typical capacities of more than 120 gallons, approximately 4.7 million portable propane cylinders with typical capacities of 1 to 120 gallons, 21 terminal</w:t>
      </w:r>
      <w:r>
        <w:rPr>
          <w:rFonts w:eastAsia="Times New Roman"/>
          <w:color w:val="000000"/>
          <w:sz w:val="20"/>
          <w:szCs w:val="20"/>
        </w:rPr>
        <w:t>s and 11 transflow units.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Trade Names, Trade and Service Marks</w:t>
      </w:r>
    </w:p>
    <w:p w:rsidR="00000000" w:rsidRDefault="00AC31B9">
      <w:pPr>
        <w:jc w:val="both"/>
        <w:rPr>
          <w:rFonts w:eastAsia="Times New Roman"/>
        </w:rPr>
      </w:pPr>
      <w:r>
        <w:rPr>
          <w:rFonts w:eastAsia="Times New Roman"/>
          <w:color w:val="000000"/>
          <w:sz w:val="20"/>
          <w:szCs w:val="20"/>
        </w:rPr>
        <w:t>AmeriGas Propane markets propane and other services principally under the “AmeriGa</w:t>
      </w:r>
      <w:r>
        <w:rPr>
          <w:rFonts w:eastAsia="Times New Roman"/>
          <w:color w:val="000000"/>
          <w:sz w:val="20"/>
          <w:szCs w:val="20"/>
        </w:rPr>
        <w:t>s</w:t>
      </w:r>
      <w:r>
        <w:rPr>
          <w:rFonts w:eastAsia="Times New Roman"/>
          <w:color w:val="000000"/>
          <w:sz w:val="13"/>
          <w:szCs w:val="13"/>
        </w:rPr>
        <w:t>®</w:t>
      </w:r>
      <w:r>
        <w:rPr>
          <w:rFonts w:eastAsia="Times New Roman"/>
          <w:color w:val="000000"/>
          <w:sz w:val="20"/>
          <w:szCs w:val="20"/>
        </w:rPr>
        <w:t>,” “America’s Propane Compan</w:t>
      </w:r>
      <w:r>
        <w:rPr>
          <w:rFonts w:eastAsia="Times New Roman"/>
          <w:color w:val="000000"/>
          <w:sz w:val="20"/>
          <w:szCs w:val="20"/>
        </w:rPr>
        <w:t>y</w:t>
      </w:r>
      <w:r>
        <w:rPr>
          <w:rFonts w:eastAsia="Times New Roman"/>
          <w:color w:val="000000"/>
          <w:sz w:val="13"/>
          <w:szCs w:val="13"/>
        </w:rPr>
        <w:t>®</w:t>
      </w:r>
      <w:r>
        <w:rPr>
          <w:rFonts w:eastAsia="Times New Roman"/>
          <w:color w:val="000000"/>
          <w:sz w:val="20"/>
          <w:szCs w:val="20"/>
        </w:rPr>
        <w:t>,” and “Cync</w:t>
      </w:r>
      <w:r>
        <w:rPr>
          <w:rFonts w:eastAsia="Times New Roman"/>
          <w:color w:val="000000"/>
          <w:sz w:val="20"/>
          <w:szCs w:val="20"/>
        </w:rPr>
        <w:t>h</w:t>
      </w:r>
      <w:r>
        <w:rPr>
          <w:rFonts w:eastAsia="Times New Roman"/>
          <w:color w:val="000000"/>
          <w:sz w:val="13"/>
          <w:szCs w:val="13"/>
        </w:rPr>
        <w:t>®</w:t>
      </w:r>
      <w:r>
        <w:rPr>
          <w:rFonts w:eastAsia="Times New Roman"/>
          <w:color w:val="000000"/>
          <w:sz w:val="20"/>
          <w:szCs w:val="20"/>
        </w:rPr>
        <w:t>” trade names and related service marks. AmeriGas Propane owns,</w:t>
      </w:r>
      <w:r>
        <w:rPr>
          <w:rFonts w:eastAsia="Times New Roman"/>
          <w:color w:val="000000"/>
          <w:sz w:val="20"/>
          <w:szCs w:val="20"/>
        </w:rPr>
        <w:t xml:space="preserve"> directly or indirectly, all the right, title and interest in the “AmeriGas” name and related trade and service marks. AmeriGas Polska Sp. z.o.o. has an exclusive, royalty-free license from AmeriGas Propane to use the “AmeriGas®” name and related service m</w:t>
      </w:r>
      <w:r>
        <w:rPr>
          <w:rFonts w:eastAsia="Times New Roman"/>
          <w:color w:val="000000"/>
          <w:sz w:val="20"/>
          <w:szCs w:val="20"/>
        </w:rPr>
        <w:t xml:space="preserve">arks in Poland and Germany and with respect thereto on the Internet. The term of the license is in perpetuity.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Seasonality</w:t>
      </w:r>
    </w:p>
    <w:p w:rsidR="00000000" w:rsidRDefault="00AC31B9">
      <w:pPr>
        <w:jc w:val="both"/>
        <w:rPr>
          <w:rFonts w:eastAsia="Times New Roman"/>
        </w:rPr>
      </w:pPr>
      <w:r>
        <w:rPr>
          <w:rFonts w:eastAsia="Times New Roman"/>
          <w:color w:val="000000"/>
          <w:sz w:val="20"/>
          <w:szCs w:val="20"/>
        </w:rPr>
        <w:t>Because many customers use propane for heating purposes, AmeriGas Propane’s retail sales volume is seasonal. During Fiscal 2023, a</w:t>
      </w:r>
      <w:r>
        <w:rPr>
          <w:rFonts w:eastAsia="Times New Roman"/>
          <w:color w:val="000000"/>
          <w:sz w:val="20"/>
          <w:szCs w:val="20"/>
        </w:rPr>
        <w:t xml:space="preserve">pproximately 63% of the Partnership’s retail sales volume occurred, and substantially all of AmeriGas Propane’s operating income was earned, during the peak heating season from October through March. As a result of this seasonality, revenues are typically </w:t>
      </w:r>
      <w:r>
        <w:rPr>
          <w:rFonts w:eastAsia="Times New Roman"/>
          <w:color w:val="000000"/>
          <w:sz w:val="20"/>
          <w:szCs w:val="20"/>
        </w:rPr>
        <w:t>higher in AmeriGas Propane’s first and second fiscal quarters (October 1 through March 31). Cash receipts are generally greatest during the second and third fiscal quarters when customers pay for propane purchased during the winter heating season. For more</w:t>
      </w:r>
      <w:r>
        <w:rPr>
          <w:rFonts w:eastAsia="Times New Roman"/>
          <w:color w:val="000000"/>
          <w:sz w:val="20"/>
          <w:szCs w:val="20"/>
        </w:rPr>
        <w:t xml:space="preserve"> information on the risks associated with the seasonality of our business, see “Risk Factors - Our business is seasonal and decreases in the demand for our energy products and services because of warmer-than-normal heating season weather or unfavorable wea</w:t>
      </w:r>
      <w:r>
        <w:rPr>
          <w:rFonts w:eastAsia="Times New Roman"/>
          <w:color w:val="000000"/>
          <w:sz w:val="20"/>
          <w:szCs w:val="20"/>
        </w:rPr>
        <w:t xml:space="preserve">ther conditions may adversely affect our results of operations.” </w:t>
      </w:r>
    </w:p>
    <w:p w:rsidR="00000000" w:rsidRDefault="00AC31B9">
      <w:pPr>
        <w:ind w:firstLine="270"/>
        <w:jc w:val="both"/>
        <w:rPr>
          <w:rFonts w:eastAsia="Times New Roman"/>
        </w:rPr>
      </w:pPr>
    </w:p>
    <w:p w:rsidR="00000000" w:rsidRDefault="00AC31B9">
      <w:pPr>
        <w:jc w:val="both"/>
        <w:rPr>
          <w:rFonts w:eastAsia="Times New Roman"/>
        </w:rPr>
      </w:pPr>
      <w:r>
        <w:rPr>
          <w:rFonts w:eastAsia="Times New Roman"/>
          <w:color w:val="000000"/>
          <w:sz w:val="20"/>
          <w:szCs w:val="20"/>
        </w:rPr>
        <w:t>Sales volume for AmeriGas Propane traditionally fluctuates from year-to-year in response to variations in weather, prices, competition, customer mix and other factors, such as conservation efforts and general economic conditions. For information on nationa</w:t>
      </w:r>
      <w:r>
        <w:rPr>
          <w:rFonts w:eastAsia="Times New Roman"/>
          <w:color w:val="000000"/>
          <w:sz w:val="20"/>
          <w:szCs w:val="20"/>
        </w:rPr>
        <w:t>l weather statistics, see “Management’s Discussion and Analysis of Financial Condition and Results of Operations.”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Government Regulation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AmeriGas Propane is subject to various federal, state and local environmental, health, data privacy, safety and tr</w:t>
      </w:r>
      <w:r>
        <w:rPr>
          <w:rFonts w:eastAsia="Times New Roman"/>
          <w:color w:val="000000"/>
          <w:sz w:val="20"/>
          <w:szCs w:val="20"/>
        </w:rPr>
        <w:t xml:space="preserve">ansportation laws and regulations governing the storage, distribution and transportation of propane and the operation of bulk storage propane terminals.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u w:val="single"/>
        </w:rPr>
        <w:t>Environmental</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Generally, applicable environmental laws impose limitations on the discharge of poll</w:t>
      </w:r>
      <w:r>
        <w:rPr>
          <w:rFonts w:eastAsia="Times New Roman"/>
          <w:color w:val="000000"/>
          <w:sz w:val="20"/>
          <w:szCs w:val="20"/>
        </w:rPr>
        <w:t>utants, establish standards for the handling of solid and hazardous substances, and require the investigation and cleanup of environmental contamination. These laws include, among others, the Resource Conservation and Recovery Act, CERCLA, the Clean Air Ac</w:t>
      </w:r>
      <w:r>
        <w:rPr>
          <w:rFonts w:eastAsia="Times New Roman"/>
          <w:color w:val="000000"/>
          <w:sz w:val="20"/>
          <w:szCs w:val="20"/>
        </w:rPr>
        <w:t>t, the Clean Water Act, the Homeland Security Act of 2002, the Emergency Planning and Community Right-to-Know Act, comparable state statutes and any applicable amendments. The Partnership incurs expenses associated with compliance with its obligations unde</w:t>
      </w:r>
      <w:r>
        <w:rPr>
          <w:rFonts w:eastAsia="Times New Roman"/>
          <w:color w:val="000000"/>
          <w:sz w:val="20"/>
          <w:szCs w:val="20"/>
        </w:rPr>
        <w:t>r federal and state environmental laws and regulations, and we believe that the Partnership is in material compliance with its obligations. The Partnership maintains various permits that are necessary to operate its facilities, some of which may be materia</w:t>
      </w:r>
      <w:r>
        <w:rPr>
          <w:rFonts w:eastAsia="Times New Roman"/>
          <w:color w:val="000000"/>
          <w:sz w:val="20"/>
          <w:szCs w:val="20"/>
        </w:rPr>
        <w:t>l to its operations. AmeriGas Propane continually monitors its operations with respect to potential environmental issues, including changes in legal requirements.</w:t>
      </w:r>
    </w:p>
    <w:p w:rsidR="00000000" w:rsidRDefault="00AC31B9">
      <w:pPr>
        <w:ind w:firstLine="270"/>
        <w:jc w:val="both"/>
        <w:rPr>
          <w:rFonts w:eastAsia="Times New Roman"/>
        </w:rPr>
      </w:pPr>
    </w:p>
    <w:p w:rsidR="00000000" w:rsidRDefault="00AC31B9">
      <w:pPr>
        <w:jc w:val="both"/>
        <w:rPr>
          <w:rFonts w:eastAsia="Times New Roman"/>
        </w:rPr>
      </w:pPr>
      <w:r>
        <w:rPr>
          <w:rFonts w:eastAsia="Times New Roman"/>
          <w:color w:val="000000"/>
          <w:sz w:val="20"/>
          <w:szCs w:val="20"/>
        </w:rPr>
        <w:t xml:space="preserve">AmeriGas Propane is investigating and remediating contamination at a number of present and </w:t>
      </w:r>
      <w:r>
        <w:rPr>
          <w:rFonts w:eastAsia="Times New Roman"/>
          <w:color w:val="000000"/>
          <w:sz w:val="20"/>
          <w:szCs w:val="20"/>
        </w:rPr>
        <w:t>former operating sites in the U.S., including sites where its predecessor entities operated MGPs. CERCLA and similar state laws impose joint and several liability on certain classes of persons considered to have contributed to the release or threatened rel</w:t>
      </w:r>
      <w:r>
        <w:rPr>
          <w:rFonts w:eastAsia="Times New Roman"/>
          <w:color w:val="000000"/>
          <w:sz w:val="20"/>
          <w:szCs w:val="20"/>
        </w:rPr>
        <w:t>ease of a “hazardous substance” into the environment without regard to fault or the legality of the original conduct. Propane is not a hazardous substance within the meaning of CERCLA.</w:t>
      </w:r>
    </w:p>
    <w:p w:rsidR="00000000" w:rsidRDefault="00AC31B9">
      <w:pPr>
        <w:jc w:val="both"/>
        <w:rPr>
          <w:rFonts w:eastAsia="Times New Roman"/>
        </w:rPr>
      </w:pPr>
    </w:p>
    <w:p w:rsidR="00000000" w:rsidRDefault="00AC31B9">
      <w:pPr>
        <w:jc w:val="center"/>
        <w:divId w:val="610207767"/>
        <w:rPr>
          <w:rFonts w:eastAsia="Times New Roman"/>
        </w:rPr>
      </w:pPr>
      <w:r>
        <w:rPr>
          <w:rFonts w:eastAsia="Times New Roman"/>
          <w:color w:val="000000"/>
          <w:sz w:val="20"/>
          <w:szCs w:val="20"/>
        </w:rPr>
        <w:t>16</w:t>
      </w:r>
    </w:p>
    <w:p w:rsidR="00000000" w:rsidRDefault="00AC31B9">
      <w:pPr>
        <w:rPr>
          <w:rFonts w:eastAsia="Times New Roman"/>
        </w:rPr>
      </w:pPr>
      <w:r>
        <w:rPr>
          <w:rFonts w:eastAsia="Times New Roman"/>
        </w:rPr>
        <w:pict>
          <v:rect id="_x0000_i1042" style="width:0;height:1.5pt" o:hralign="center" o:hrstd="t" o:hr="t" fillcolor="#a0a0a0" stroked="f"/>
        </w:pict>
      </w:r>
    </w:p>
    <w:p w:rsidR="00000000" w:rsidRDefault="00AC31B9">
      <w:pPr>
        <w:divId w:val="464155104"/>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u w:val="single"/>
        </w:rPr>
        <w:t>Health and Safety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AmeriGas Propane is subject to the requirements of OSHA and comparable state laws that regulate the protection of the health and safety of our workers. These laws require the Partnership, among other things, to maintain information about materials</w:t>
      </w:r>
      <w:r>
        <w:rPr>
          <w:rFonts w:eastAsia="Times New Roman"/>
          <w:color w:val="000000"/>
        </w:rPr>
        <w:t xml:space="preserve"> </w:t>
      </w:r>
      <w:r>
        <w:rPr>
          <w:rFonts w:eastAsia="Times New Roman"/>
          <w:color w:val="000000"/>
          <w:sz w:val="20"/>
          <w:szCs w:val="20"/>
        </w:rPr>
        <w:t>utilized</w:t>
      </w:r>
      <w:r>
        <w:rPr>
          <w:rFonts w:eastAsia="Times New Roman"/>
          <w:color w:val="000000"/>
          <w:sz w:val="20"/>
          <w:szCs w:val="20"/>
        </w:rPr>
        <w:t>, stored, transported, or sold, in accordance with OSHA’s Hazard Communications Standard. Certain portions of this information must be provided to employees, federal and state and local governmental authorities, emergency responders, commercial and industr</w:t>
      </w:r>
      <w:r>
        <w:rPr>
          <w:rFonts w:eastAsia="Times New Roman"/>
          <w:color w:val="000000"/>
          <w:sz w:val="20"/>
          <w:szCs w:val="20"/>
        </w:rPr>
        <w:t xml:space="preserve">ial customers and local citizens in accordance with the Environmental Protection Agency’s Emergency Planning and Community Right-to-Know Act requirements.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All states in which AmeriGas Propane operates have adopted fire and life safety codes that regulat</w:t>
      </w:r>
      <w:r>
        <w:rPr>
          <w:rFonts w:eastAsia="Times New Roman"/>
          <w:color w:val="000000"/>
          <w:sz w:val="20"/>
          <w:szCs w:val="20"/>
        </w:rPr>
        <w:t xml:space="preserve">e the storage, distribution, and use of propane. In some states, these laws are administered by state agencies, and in others they are administered on a municipal level. AmeriGas Propane conducts training programs to help ensure that its operations comply </w:t>
      </w:r>
      <w:r>
        <w:rPr>
          <w:rFonts w:eastAsia="Times New Roman"/>
          <w:color w:val="000000"/>
          <w:sz w:val="20"/>
          <w:szCs w:val="20"/>
        </w:rPr>
        <w:t>with applicable governmental regulations. With respect to general operations, AmeriGas Propane is subject in all jurisdictions in which it operates to rules and procedures governing the safe handling of propane, including those established by National Fire</w:t>
      </w:r>
      <w:r>
        <w:rPr>
          <w:rFonts w:eastAsia="Times New Roman"/>
          <w:color w:val="000000"/>
          <w:sz w:val="20"/>
          <w:szCs w:val="20"/>
        </w:rPr>
        <w:t xml:space="preserve"> Protection Association (“NFPA”) in the Liquefied Petroleum Gas Code (NFPA 58) and National Fuel Gas Code (NFPA 54), the International Code Council’s International Fuel Gas Code and International Fire Code, as well as various state and local codes. Managem</w:t>
      </w:r>
      <w:r>
        <w:rPr>
          <w:rFonts w:eastAsia="Times New Roman"/>
          <w:color w:val="000000"/>
          <w:sz w:val="20"/>
          <w:szCs w:val="20"/>
        </w:rPr>
        <w:t>ent believes that the policies and procedures currently in effect at all of its facilities for the handling, storage, distribution and use of propane are consistent with industry standards and are in compliance, in all material respects, with applicable la</w:t>
      </w:r>
      <w:r>
        <w:rPr>
          <w:rFonts w:eastAsia="Times New Roman"/>
          <w:color w:val="000000"/>
          <w:sz w:val="20"/>
          <w:szCs w:val="20"/>
        </w:rPr>
        <w:t>ws and regulations.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With respect to the transportation of propane, AmeriGas Propane is subject to regulations promulgated under federal legislation, including the Federal Motor Carrier Safety Regulations and Pipeline Hazardous Materials Regulations which</w:t>
      </w:r>
      <w:r>
        <w:rPr>
          <w:rFonts w:eastAsia="Times New Roman"/>
          <w:color w:val="000000"/>
          <w:sz w:val="20"/>
          <w:szCs w:val="20"/>
        </w:rPr>
        <w:t xml:space="preserve"> fall under the enforcement and supervision of the DOT, Pipeline Hazardous Materials Safety Administration, Federal Railroad Administration, Federal Motor Carrier Safety Administration, and the Federal Aviation Administration. AmeriGas Propane facilities a</w:t>
      </w:r>
      <w:r>
        <w:rPr>
          <w:rFonts w:eastAsia="Times New Roman"/>
          <w:color w:val="000000"/>
          <w:sz w:val="20"/>
          <w:szCs w:val="20"/>
        </w:rPr>
        <w:t>nd containers are equally regulated by these agencies regarding security standards as well as the Cybersecurity and Infrastructure Security Agency’s Chemical Facility Anti-Terrorism Standards. AmeriGas Propane’s programs related to the transportation and s</w:t>
      </w:r>
      <w:r>
        <w:rPr>
          <w:rFonts w:eastAsia="Times New Roman"/>
          <w:color w:val="000000"/>
          <w:sz w:val="20"/>
          <w:szCs w:val="20"/>
        </w:rPr>
        <w:t xml:space="preserve">ecurity of hazardous materials are regularly inspected and meet all applicable standards and regulations.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AmeriGas Propane maintains jurisdictional pipeline systems as defined by the Transportation of Natural and Other Gas by Pipeline: Minimum Federal S</w:t>
      </w:r>
      <w:r>
        <w:rPr>
          <w:rFonts w:eastAsia="Times New Roman"/>
          <w:color w:val="000000"/>
          <w:sz w:val="20"/>
          <w:szCs w:val="20"/>
        </w:rPr>
        <w:t>afety Standards as regulated by the Pipeline Hazardous Materials Safety Administration and multiple State Public Utility Commissions under the authority and authorization of the Pipeline Hazardous Materials Safety Administration. These pipeline safety regu</w:t>
      </w:r>
      <w:r>
        <w:rPr>
          <w:rFonts w:eastAsia="Times New Roman"/>
          <w:color w:val="000000"/>
          <w:sz w:val="20"/>
          <w:szCs w:val="20"/>
        </w:rPr>
        <w:t>lations apply to, among other things, propane gas systems that supplies 10 or more residential customers or two or more commercial customers from a single source and to a propane gas system any portion of which is located in a public place. The DOT’s pipel</w:t>
      </w:r>
      <w:r>
        <w:rPr>
          <w:rFonts w:eastAsia="Times New Roman"/>
          <w:color w:val="000000"/>
          <w:sz w:val="20"/>
          <w:szCs w:val="20"/>
        </w:rPr>
        <w:t>ine safety regulations require operators of all gas systems to provide operator qualification standards and training and written instructions for employees and third-party contractors working on covered pipelines and facilities, establish written procedure</w:t>
      </w:r>
      <w:r>
        <w:rPr>
          <w:rFonts w:eastAsia="Times New Roman"/>
          <w:color w:val="000000"/>
          <w:sz w:val="20"/>
          <w:szCs w:val="20"/>
        </w:rPr>
        <w:t>s to minimize the hazards resulting from gas pipeline emergencies, and conduct and keep records of inspections and testing. Operators are subject to the Pipeline Safety Improvement Act of 2002. Management believes that the procedures currently in effect at</w:t>
      </w:r>
      <w:r>
        <w:rPr>
          <w:rFonts w:eastAsia="Times New Roman"/>
          <w:color w:val="000000"/>
          <w:sz w:val="20"/>
          <w:szCs w:val="20"/>
        </w:rPr>
        <w:t xml:space="preserve"> all of AmeriGas Propane’s facilities for the handling, storage, transportation and distribution of propane are consistent with industry standards and are in compliance, in all material respects, with applicable laws and regulations.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u w:val="single"/>
        </w:rPr>
        <w:t>Climate Change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There continues to be increased legislative and regulatory activity related to climate change and the contribution of GHG emissions, most notably carbon dioxide, to global warming. Because propane is considered a clean alternative fuel under the federal Cl</w:t>
      </w:r>
      <w:r>
        <w:rPr>
          <w:rFonts w:eastAsia="Times New Roman"/>
          <w:color w:val="000000"/>
          <w:sz w:val="20"/>
          <w:szCs w:val="20"/>
        </w:rPr>
        <w:t>ean Air Act Amendments of 1990, the Partnership believes this provides it with a competitive advantage over other sources of energy, such as fuel oil and coal. At the same time, however, increasing regulations of GHG emissions, especially in the transporta</w:t>
      </w:r>
      <w:r>
        <w:rPr>
          <w:rFonts w:eastAsia="Times New Roman"/>
          <w:color w:val="000000"/>
          <w:sz w:val="20"/>
          <w:szCs w:val="20"/>
        </w:rPr>
        <w:t>tion and building sectors, could restrict the use of fossil fuels and could impose significant additional costs on AmeriGas Propane, its suppliers, its vendors and its customers. There has been an increase in state initiatives aimed at regulating GHG emiss</w:t>
      </w:r>
      <w:r>
        <w:rPr>
          <w:rFonts w:eastAsia="Times New Roman"/>
          <w:color w:val="000000"/>
          <w:sz w:val="20"/>
          <w:szCs w:val="20"/>
        </w:rPr>
        <w:t>ions, including the California Low Carbon Fuel Standard, the Washington Cap and Invest Program and the New York Climate Leadership and Community Protection Act. Compliance with these types of regulations may increase our operating costs if we are unable to</w:t>
      </w:r>
      <w:r>
        <w:rPr>
          <w:rFonts w:eastAsia="Times New Roman"/>
          <w:color w:val="000000"/>
          <w:sz w:val="20"/>
          <w:szCs w:val="20"/>
        </w:rPr>
        <w:t xml:space="preserve"> pass on these costs to our customers.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Employees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Partnership does not directly employ any persons responsible for managing or operating the Partnership. The General Partner provides these services and is reimbursed for its direct and indirect cost</w:t>
      </w:r>
      <w:r>
        <w:rPr>
          <w:rFonts w:eastAsia="Times New Roman"/>
          <w:color w:val="000000"/>
          <w:sz w:val="20"/>
          <w:szCs w:val="20"/>
        </w:rPr>
        <w:t xml:space="preserve">s and expenses, including all compensation and benefit costs. At September 30, 2023, the General Partner had approximately 5,160 employees, including more than 100 part-time, seasonal and temporary employees, working on behalf of the Partnership. UGI also </w:t>
      </w:r>
      <w:r>
        <w:rPr>
          <w:rFonts w:eastAsia="Times New Roman"/>
          <w:color w:val="000000"/>
          <w:sz w:val="20"/>
          <w:szCs w:val="20"/>
        </w:rPr>
        <w:t>performs, and is reimbursed for, certain financial and administrative services on behalf of the Partnership and AmeriGas OLP.</w:t>
      </w:r>
    </w:p>
    <w:p w:rsidR="00000000" w:rsidRDefault="00AC31B9">
      <w:pPr>
        <w:jc w:val="both"/>
        <w:rPr>
          <w:rFonts w:eastAsia="Times New Roman"/>
        </w:rPr>
      </w:pPr>
    </w:p>
    <w:p w:rsidR="00000000" w:rsidRDefault="00AC31B9">
      <w:pPr>
        <w:jc w:val="center"/>
        <w:divId w:val="779491582"/>
        <w:rPr>
          <w:rFonts w:eastAsia="Times New Roman"/>
        </w:rPr>
      </w:pPr>
      <w:r>
        <w:rPr>
          <w:rFonts w:eastAsia="Times New Roman"/>
          <w:color w:val="000000"/>
          <w:sz w:val="20"/>
          <w:szCs w:val="20"/>
        </w:rPr>
        <w:t>17</w:t>
      </w:r>
    </w:p>
    <w:p w:rsidR="00000000" w:rsidRDefault="00AC31B9">
      <w:pPr>
        <w:rPr>
          <w:rFonts w:eastAsia="Times New Roman"/>
        </w:rPr>
      </w:pPr>
      <w:r>
        <w:rPr>
          <w:rFonts w:eastAsia="Times New Roman"/>
        </w:rPr>
        <w:pict>
          <v:rect id="_x0000_i1043" style="width:0;height:1.5pt" o:hralign="center" o:hrstd="t" o:hr="t" fillcolor="#a0a0a0" stroked="f"/>
        </w:pict>
      </w:r>
    </w:p>
    <w:p w:rsidR="00000000" w:rsidRDefault="00AC31B9">
      <w:pPr>
        <w:divId w:val="450394749"/>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center"/>
        <w:rPr>
          <w:rFonts w:eastAsia="Times New Roman"/>
        </w:rPr>
      </w:pPr>
      <w:r>
        <w:rPr>
          <w:rFonts w:eastAsia="Times New Roman"/>
          <w:b/>
          <w:bCs/>
          <w:color w:val="000000"/>
          <w:sz w:val="20"/>
          <w:szCs w:val="20"/>
        </w:rPr>
        <w:t>UGI INTERNAT</w:t>
      </w:r>
      <w:r>
        <w:rPr>
          <w:rFonts w:eastAsia="Times New Roman"/>
          <w:b/>
          <w:bCs/>
          <w:color w:val="000000"/>
          <w:sz w:val="20"/>
          <w:szCs w:val="20"/>
        </w:rPr>
        <w:t>IONAL</w:t>
      </w:r>
    </w:p>
    <w:p w:rsidR="00000000" w:rsidRDefault="00AC31B9">
      <w:pPr>
        <w:jc w:val="both"/>
        <w:rPr>
          <w:rFonts w:eastAsia="Times New Roman"/>
        </w:rPr>
      </w:pPr>
    </w:p>
    <w:p w:rsidR="00000000" w:rsidRDefault="00AC31B9">
      <w:pPr>
        <w:jc w:val="both"/>
        <w:divId w:val="1339306115"/>
        <w:rPr>
          <w:rFonts w:eastAsia="Times New Roman"/>
        </w:rPr>
      </w:pPr>
      <w:r>
        <w:rPr>
          <w:rFonts w:eastAsia="Times New Roman"/>
          <w:color w:val="000000"/>
          <w:sz w:val="20"/>
          <w:szCs w:val="20"/>
        </w:rPr>
        <w:t>UGI International, through its subsidiaries and affiliates, conducts an LPG distribution business in 17 countries throughout Europe (Austria, Belgium, the Czech Republic, Denmark, Finland, France, Hungary, Italy, Luxembourg, the Netherlands, Norway</w:t>
      </w:r>
      <w:r>
        <w:rPr>
          <w:rFonts w:eastAsia="Times New Roman"/>
          <w:color w:val="000000"/>
          <w:sz w:val="20"/>
          <w:szCs w:val="20"/>
        </w:rPr>
        <w:t>, Poland, Romania, Slovakia, Sweden, Switzerland and the United Kingdom). Based on reported market volumes for 2022, which is the most recent information available, UGI International believes that it is the largest distributor of LPG in France, Austria, Be</w:t>
      </w:r>
      <w:r>
        <w:rPr>
          <w:rFonts w:eastAsia="Times New Roman"/>
          <w:color w:val="000000"/>
          <w:sz w:val="20"/>
          <w:szCs w:val="20"/>
        </w:rPr>
        <w:t>lgium, Denmark and Luxembourg and one of the largest distributors of LPG in Norway, Poland, the Czech Republic, Slovakia, the Netherlands, Sweden and Switzerland.</w:t>
      </w:r>
    </w:p>
    <w:p w:rsidR="00000000" w:rsidRDefault="00AC31B9">
      <w:pPr>
        <w:jc w:val="both"/>
        <w:divId w:val="748386837"/>
        <w:rPr>
          <w:rFonts w:eastAsia="Times New Roman"/>
        </w:rPr>
      </w:pPr>
      <w:r>
        <w:rPr>
          <w:rFonts w:eastAsia="Times New Roman"/>
          <w:color w:val="000000"/>
          <w:sz w:val="20"/>
          <w:szCs w:val="20"/>
        </w:rPr>
        <w:t>During Fiscal 2023, we made significant progress on our strategic decision to exit the energy</w:t>
      </w:r>
      <w:r>
        <w:rPr>
          <w:rFonts w:eastAsia="Times New Roman"/>
          <w:color w:val="000000"/>
          <w:sz w:val="20"/>
          <w:szCs w:val="20"/>
        </w:rPr>
        <w:t xml:space="preserve"> marketing business at UGI International. In Fiscal 2023, we divested of our energy marketing business in the United Kingdom and Belgium. On October 1, 2023, we divested substantially all of our energy marketing business in France. We also continue to make</w:t>
      </w:r>
      <w:r>
        <w:rPr>
          <w:rFonts w:eastAsia="Times New Roman"/>
          <w:color w:val="000000"/>
          <w:sz w:val="20"/>
          <w:szCs w:val="20"/>
        </w:rPr>
        <w:t xml:space="preserve"> significant progress on the wind-down of our energy marketing business in the Netherlands.</w:t>
      </w:r>
    </w:p>
    <w:p w:rsidR="00000000" w:rsidRDefault="00AC31B9">
      <w:pPr>
        <w:divId w:val="918059895"/>
        <w:rPr>
          <w:rFonts w:eastAsia="Times New Roman"/>
        </w:rPr>
      </w:pPr>
    </w:p>
    <w:p w:rsidR="00000000" w:rsidRDefault="00AC31B9">
      <w:pPr>
        <w:jc w:val="both"/>
        <w:divId w:val="1049181535"/>
        <w:rPr>
          <w:rFonts w:eastAsia="Times New Roman"/>
        </w:rPr>
      </w:pPr>
      <w:r>
        <w:rPr>
          <w:rFonts w:eastAsia="Times New Roman"/>
          <w:b/>
          <w:bCs/>
          <w:i/>
          <w:iCs/>
          <w:color w:val="000000"/>
          <w:sz w:val="20"/>
          <w:szCs w:val="20"/>
        </w:rPr>
        <w:t>Products, Services and Marketing</w:t>
      </w:r>
      <w:r>
        <w:rPr>
          <w:rFonts w:eastAsia="Times New Roman"/>
          <w:color w:val="000000"/>
          <w:sz w:val="20"/>
          <w:szCs w:val="20"/>
        </w:rPr>
        <w:t xml:space="preserve"> </w:t>
      </w:r>
    </w:p>
    <w:p w:rsidR="00000000" w:rsidRDefault="00AC31B9">
      <w:pPr>
        <w:jc w:val="both"/>
        <w:divId w:val="90056212"/>
        <w:rPr>
          <w:rFonts w:eastAsia="Times New Roman"/>
        </w:rPr>
      </w:pPr>
      <w:r>
        <w:rPr>
          <w:rFonts w:eastAsia="Times New Roman"/>
          <w:color w:val="000000"/>
          <w:sz w:val="20"/>
          <w:szCs w:val="20"/>
          <w:u w:val="single"/>
        </w:rPr>
        <w:t>LPG Distribution Business</w:t>
      </w:r>
    </w:p>
    <w:p w:rsidR="00000000" w:rsidRDefault="00AC31B9">
      <w:pPr>
        <w:jc w:val="both"/>
        <w:divId w:val="1524444311"/>
        <w:rPr>
          <w:rFonts w:eastAsia="Times New Roman"/>
        </w:rPr>
      </w:pPr>
      <w:r>
        <w:rPr>
          <w:rFonts w:eastAsia="Times New Roman"/>
          <w:color w:val="000000"/>
          <w:sz w:val="20"/>
          <w:szCs w:val="20"/>
        </w:rPr>
        <w:t>During Fiscal 2023, UGI International sold approximately 900 million gallons of LPG throughout Europe.</w:t>
      </w:r>
      <w:r>
        <w:rPr>
          <w:rFonts w:eastAsia="Times New Roman"/>
          <w:color w:val="000000"/>
          <w:sz w:val="20"/>
          <w:szCs w:val="20"/>
        </w:rPr>
        <w:t xml:space="preserve"> UGI International operates under six distinct LPG brands, and its customer base primarily consists of residential, commercial, industrial, agricultural, wholesale and automobile fuel (“autogas”) customers that use LPG for space heating, cooking, water hea</w:t>
      </w:r>
      <w:r>
        <w:rPr>
          <w:rFonts w:eastAsia="Times New Roman"/>
          <w:color w:val="000000"/>
          <w:sz w:val="20"/>
          <w:szCs w:val="20"/>
        </w:rPr>
        <w:t>ting, motor fuel, leisure activities, crop drying, irrigation, construction, power generation, manufacturing and as an aerosol propellant. For Fiscal 2023, approximately 50% of UGI International’s LPG volume was sold to commercial and industrial customers,</w:t>
      </w:r>
      <w:r>
        <w:rPr>
          <w:rFonts w:eastAsia="Times New Roman"/>
          <w:color w:val="000000"/>
          <w:sz w:val="20"/>
          <w:szCs w:val="20"/>
        </w:rPr>
        <w:t xml:space="preserve"> 15% was sold to residential, 9% was sold to agricultural and 26% was sold to wholesale and other customers (including autogas). UGI International supplies LPG to its customers in small, medium and large bulk tanks at their locations. In addition to bulk s</w:t>
      </w:r>
      <w:r>
        <w:rPr>
          <w:rFonts w:eastAsia="Times New Roman"/>
          <w:color w:val="000000"/>
          <w:sz w:val="20"/>
          <w:szCs w:val="20"/>
        </w:rPr>
        <w:t>ales, UGI International sells LPG in cylinders through retail outlets, such as supermarkets, individually owned stores and gas stations and directly to businesses that operate LPG-powered forklifts. Sales of LPG are also made to service stations to fuel ve</w:t>
      </w:r>
      <w:r>
        <w:rPr>
          <w:rFonts w:eastAsia="Times New Roman"/>
          <w:color w:val="000000"/>
          <w:sz w:val="20"/>
          <w:szCs w:val="20"/>
        </w:rPr>
        <w:t xml:space="preserve">hicles that run on LPG. UGI International’s Fiscal 2023 LPG sales were attributed to bulk, cylinder, wholesale and autogas. For Fiscal 2023, no single customer represented more than 5% of UGI International’s revenues. </w:t>
      </w:r>
    </w:p>
    <w:p w:rsidR="00000000" w:rsidRDefault="00AC31B9">
      <w:pPr>
        <w:jc w:val="both"/>
        <w:divId w:val="538931418"/>
        <w:rPr>
          <w:rFonts w:eastAsia="Times New Roman"/>
        </w:rPr>
      </w:pPr>
      <w:r>
        <w:rPr>
          <w:rFonts w:eastAsia="Times New Roman"/>
          <w:i/>
          <w:iCs/>
          <w:color w:val="000000"/>
          <w:sz w:val="20"/>
          <w:szCs w:val="20"/>
        </w:rPr>
        <w:t>Bulk</w:t>
      </w:r>
    </w:p>
    <w:p w:rsidR="00000000" w:rsidRDefault="00AC31B9">
      <w:pPr>
        <w:jc w:val="both"/>
        <w:divId w:val="209079359"/>
        <w:rPr>
          <w:rFonts w:eastAsia="Times New Roman"/>
        </w:rPr>
      </w:pPr>
      <w:r>
        <w:rPr>
          <w:rFonts w:eastAsia="Times New Roman"/>
          <w:color w:val="000000"/>
          <w:sz w:val="20"/>
          <w:szCs w:val="20"/>
        </w:rPr>
        <w:t>Approximately 62% of UGI International’s Fiscal 2023 LPG sales (based on volumes) were attributed to bulk customers. UGI International classifies its bulk customers as small, medium or large bulk, depending upon volume consumed annually at the customer loc</w:t>
      </w:r>
      <w:r>
        <w:rPr>
          <w:rFonts w:eastAsia="Times New Roman"/>
          <w:color w:val="000000"/>
          <w:sz w:val="20"/>
          <w:szCs w:val="20"/>
        </w:rPr>
        <w:t>ations. Based on volumes consumed, small bulk customers are primarily residential and small business users, such as restaurants, that use LPG mainly for heating and cooking. Medium bulk customers consist mainly of large residential housing developments, ho</w:t>
      </w:r>
      <w:r>
        <w:rPr>
          <w:rFonts w:eastAsia="Times New Roman"/>
          <w:color w:val="000000"/>
          <w:sz w:val="20"/>
          <w:szCs w:val="20"/>
        </w:rPr>
        <w:t>spitals, hotels, municipalities, medium-sized industrial enterprises and poultry brooders. Large bulk customers include agricultural customers (including crop drying) and companies that use LPG in their industrial processes. UGI International had approxima</w:t>
      </w:r>
      <w:r>
        <w:rPr>
          <w:rFonts w:eastAsia="Times New Roman"/>
          <w:color w:val="000000"/>
          <w:sz w:val="20"/>
          <w:szCs w:val="20"/>
        </w:rPr>
        <w:t>tely 492,000 bulk LPG customers and sold 557 million gallons of bulk LPG during Fiscal 2023.</w:t>
      </w:r>
    </w:p>
    <w:p w:rsidR="00000000" w:rsidRDefault="00AC31B9">
      <w:pPr>
        <w:jc w:val="both"/>
        <w:divId w:val="688069959"/>
        <w:rPr>
          <w:rFonts w:eastAsia="Times New Roman"/>
        </w:rPr>
      </w:pPr>
      <w:r>
        <w:rPr>
          <w:rFonts w:eastAsia="Times New Roman"/>
          <w:i/>
          <w:iCs/>
          <w:color w:val="000000"/>
          <w:sz w:val="20"/>
          <w:szCs w:val="20"/>
        </w:rPr>
        <w:t>Cylinder</w:t>
      </w:r>
    </w:p>
    <w:p w:rsidR="00000000" w:rsidRDefault="00AC31B9">
      <w:pPr>
        <w:jc w:val="both"/>
        <w:divId w:val="1008018163"/>
        <w:rPr>
          <w:rFonts w:eastAsia="Times New Roman"/>
        </w:rPr>
      </w:pPr>
      <w:r>
        <w:rPr>
          <w:rFonts w:eastAsia="Times New Roman"/>
          <w:color w:val="000000"/>
          <w:sz w:val="20"/>
          <w:szCs w:val="20"/>
        </w:rPr>
        <w:t>Approximately 15% of UGI International’s Fiscal 2023 LPG sales (based on volumes) were attributed to cylinder customers. UGI International sells LPG in bo</w:t>
      </w:r>
      <w:r>
        <w:rPr>
          <w:rFonts w:eastAsia="Times New Roman"/>
          <w:color w:val="000000"/>
          <w:sz w:val="20"/>
          <w:szCs w:val="20"/>
        </w:rPr>
        <w:t>th steel and composite cylinders and typically owns the cylinders in which the LPG is sold. The principal end-users of cylinders are residential customers who use LPG for domestic applications, such as cooking and heating. Non-residential uses include fuel</w:t>
      </w:r>
      <w:r>
        <w:rPr>
          <w:rFonts w:eastAsia="Times New Roman"/>
          <w:color w:val="000000"/>
          <w:sz w:val="20"/>
          <w:szCs w:val="20"/>
        </w:rPr>
        <w:t xml:space="preserve"> for forklift trucks, road construction and welding. At September 30, 2023, UGI International had more than 20 million cylinders in circulation and sold approximately 137 million gallons of LPG in cylinders during Fiscal 2023. UGI International also delive</w:t>
      </w:r>
      <w:r>
        <w:rPr>
          <w:rFonts w:eastAsia="Times New Roman"/>
          <w:color w:val="000000"/>
          <w:sz w:val="20"/>
          <w:szCs w:val="20"/>
        </w:rPr>
        <w:t>rs LPG to wholesale and retail customers in cylinders, including through the use of vending machines.</w:t>
      </w:r>
    </w:p>
    <w:p w:rsidR="00000000" w:rsidRDefault="00AC31B9">
      <w:pPr>
        <w:jc w:val="both"/>
        <w:divId w:val="1572156711"/>
        <w:rPr>
          <w:rFonts w:eastAsia="Times New Roman"/>
        </w:rPr>
      </w:pPr>
      <w:r>
        <w:rPr>
          <w:rFonts w:eastAsia="Times New Roman"/>
          <w:i/>
          <w:iCs/>
          <w:color w:val="000000"/>
          <w:sz w:val="20"/>
          <w:szCs w:val="20"/>
        </w:rPr>
        <w:t>Wholesale, Autogas and Other Services</w:t>
      </w:r>
    </w:p>
    <w:p w:rsidR="00000000" w:rsidRDefault="00AC31B9">
      <w:pPr>
        <w:jc w:val="both"/>
        <w:divId w:val="751046933"/>
        <w:rPr>
          <w:rFonts w:eastAsia="Times New Roman"/>
        </w:rPr>
      </w:pPr>
      <w:r>
        <w:rPr>
          <w:rFonts w:eastAsia="Times New Roman"/>
          <w:color w:val="000000"/>
          <w:sz w:val="20"/>
          <w:szCs w:val="20"/>
        </w:rPr>
        <w:t>Approximately 19% of UGI International’s Fiscal 2023 LPG sales (based on volumes) were to wholesale customers (inclu</w:t>
      </w:r>
      <w:r>
        <w:rPr>
          <w:rFonts w:eastAsia="Times New Roman"/>
          <w:color w:val="000000"/>
          <w:sz w:val="20"/>
          <w:szCs w:val="20"/>
        </w:rPr>
        <w:t xml:space="preserve">ding small competitors and large industrial customers), and approximately 4% of Fiscal 2023 LPG sales (based on volumes) were to autogas customers. UGI International also provides logistics, storage and other services to third-party LPG distributors. </w:t>
      </w:r>
    </w:p>
    <w:p w:rsidR="00000000" w:rsidRDefault="00AC31B9">
      <w:pPr>
        <w:divId w:val="1505363035"/>
        <w:rPr>
          <w:rFonts w:eastAsia="Times New Roman"/>
        </w:rPr>
      </w:pPr>
    </w:p>
    <w:p w:rsidR="00000000" w:rsidRDefault="00AC31B9">
      <w:pPr>
        <w:jc w:val="both"/>
        <w:divId w:val="357661479"/>
        <w:rPr>
          <w:rFonts w:eastAsia="Times New Roman"/>
        </w:rPr>
      </w:pPr>
      <w:r>
        <w:rPr>
          <w:rFonts w:eastAsia="Times New Roman"/>
          <w:color w:val="000000"/>
          <w:sz w:val="20"/>
          <w:szCs w:val="20"/>
          <w:u w:val="single"/>
        </w:rPr>
        <w:t>En</w:t>
      </w:r>
      <w:r>
        <w:rPr>
          <w:rFonts w:eastAsia="Times New Roman"/>
          <w:color w:val="000000"/>
          <w:sz w:val="20"/>
          <w:szCs w:val="20"/>
          <w:u w:val="single"/>
        </w:rPr>
        <w:t>ergy Marketing Business</w:t>
      </w:r>
    </w:p>
    <w:p w:rsidR="00000000" w:rsidRDefault="00AC31B9">
      <w:pPr>
        <w:jc w:val="both"/>
        <w:rPr>
          <w:rFonts w:eastAsia="Times New Roman"/>
        </w:rPr>
      </w:pPr>
      <w:r>
        <w:rPr>
          <w:rFonts w:eastAsia="Times New Roman"/>
          <w:color w:val="000000"/>
          <w:sz w:val="20"/>
          <w:szCs w:val="20"/>
        </w:rPr>
        <w:t>UGI sold its energy marketing business in the United Kingdom, France and Belgium and continues to make progress on the wind-down of its energy marketing business in the Netherlands</w:t>
      </w:r>
      <w:r>
        <w:rPr>
          <w:rFonts w:eastAsia="Times New Roman"/>
          <w:color w:val="000000"/>
        </w:rPr>
        <w:t xml:space="preserve">. </w:t>
      </w:r>
      <w:r>
        <w:rPr>
          <w:rFonts w:eastAsia="Times New Roman"/>
          <w:color w:val="000000"/>
          <w:sz w:val="20"/>
          <w:szCs w:val="20"/>
        </w:rPr>
        <w:t>For further information, see “Management’s Discuss</w:t>
      </w:r>
      <w:r>
        <w:rPr>
          <w:rFonts w:eastAsia="Times New Roman"/>
          <w:color w:val="000000"/>
          <w:sz w:val="20"/>
          <w:szCs w:val="20"/>
        </w:rPr>
        <w:t>ion and Analysis of Financial Condition and Results of Operations - Executive Overview – Recent Developments.”</w:t>
      </w:r>
    </w:p>
    <w:p w:rsidR="00000000" w:rsidRDefault="00AC31B9">
      <w:pPr>
        <w:jc w:val="center"/>
        <w:divId w:val="608968653"/>
        <w:rPr>
          <w:rFonts w:eastAsia="Times New Roman"/>
        </w:rPr>
      </w:pPr>
      <w:r>
        <w:rPr>
          <w:rFonts w:eastAsia="Times New Roman"/>
          <w:color w:val="000000"/>
          <w:sz w:val="20"/>
          <w:szCs w:val="20"/>
        </w:rPr>
        <w:t>18</w:t>
      </w:r>
    </w:p>
    <w:p w:rsidR="00000000" w:rsidRDefault="00AC31B9">
      <w:pPr>
        <w:rPr>
          <w:rFonts w:eastAsia="Times New Roman"/>
        </w:rPr>
      </w:pPr>
      <w:r>
        <w:rPr>
          <w:rFonts w:eastAsia="Times New Roman"/>
        </w:rPr>
        <w:pict>
          <v:rect id="_x0000_i1044" style="width:0;height:1.5pt" o:hralign="center" o:hrstd="t" o:hr="t" fillcolor="#a0a0a0" stroked="f"/>
        </w:pict>
      </w:r>
    </w:p>
    <w:p w:rsidR="00000000" w:rsidRDefault="00AC31B9">
      <w:pPr>
        <w:divId w:val="2141802115"/>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divId w:val="642581066"/>
        <w:rPr>
          <w:rFonts w:eastAsia="Times New Roman"/>
        </w:rPr>
      </w:pPr>
    </w:p>
    <w:p w:rsidR="00000000" w:rsidRDefault="00AC31B9">
      <w:pPr>
        <w:jc w:val="both"/>
        <w:divId w:val="1493764237"/>
        <w:rPr>
          <w:rFonts w:eastAsia="Times New Roman"/>
        </w:rPr>
      </w:pPr>
      <w:r>
        <w:rPr>
          <w:rFonts w:eastAsia="Times New Roman"/>
          <w:b/>
          <w:bCs/>
          <w:i/>
          <w:iCs/>
          <w:color w:val="000000"/>
          <w:sz w:val="20"/>
          <w:szCs w:val="20"/>
        </w:rPr>
        <w:t>LPG Supply, Storage and Transportation</w:t>
      </w:r>
    </w:p>
    <w:p w:rsidR="00000000" w:rsidRDefault="00AC31B9">
      <w:pPr>
        <w:jc w:val="both"/>
        <w:divId w:val="372657758"/>
        <w:rPr>
          <w:rFonts w:eastAsia="Times New Roman"/>
        </w:rPr>
      </w:pPr>
      <w:r>
        <w:rPr>
          <w:rFonts w:eastAsia="Times New Roman"/>
          <w:color w:val="000000"/>
          <w:sz w:val="20"/>
          <w:szCs w:val="20"/>
        </w:rPr>
        <w:t>UGI International is typically party to term contracts, with approximately 45 different suppliers, incl</w:t>
      </w:r>
      <w:r>
        <w:rPr>
          <w:rFonts w:eastAsia="Times New Roman"/>
          <w:color w:val="000000"/>
          <w:sz w:val="20"/>
          <w:szCs w:val="20"/>
        </w:rPr>
        <w:t>uding producers and international oil and gas trading companies, to meet LPG supply requirements throughout Europe. LPG supply is transported via rail and sea, and by road for shorter distances. Agreements are generally one-year terms with pricing based on</w:t>
      </w:r>
      <w:r>
        <w:rPr>
          <w:rFonts w:eastAsia="Times New Roman"/>
          <w:color w:val="000000"/>
          <w:sz w:val="20"/>
          <w:szCs w:val="20"/>
        </w:rPr>
        <w:t xml:space="preserve"> internationally quoted market prices. Additionally, LPG is purchased on the European spot markets to manage supply needs. In certain geographic areas, such as the U.K. and Italy, a single supplier may provide nearly 50% or more of UGI International’s requ</w:t>
      </w:r>
      <w:r>
        <w:rPr>
          <w:rFonts w:eastAsia="Times New Roman"/>
          <w:color w:val="000000"/>
          <w:sz w:val="20"/>
          <w:szCs w:val="20"/>
        </w:rPr>
        <w:t xml:space="preserve">irements. Because UGI International’s profitability is sensitive to changes in wholesale LPG costs, UGI International generally seeks to pass on increases in the cost of LPG to its customers. There can be no assurance, however, that UGI International will </w:t>
      </w:r>
      <w:r>
        <w:rPr>
          <w:rFonts w:eastAsia="Times New Roman"/>
          <w:color w:val="000000"/>
          <w:sz w:val="20"/>
          <w:szCs w:val="20"/>
        </w:rPr>
        <w:t>always be able to pass on product cost increases fully, or keep pace with such increases, particularly when product costs rise rapidly. Product cost increases can be triggered by periods of severe cold weather, supply interruptions, increases in the prices</w:t>
      </w:r>
      <w:r>
        <w:rPr>
          <w:rFonts w:eastAsia="Times New Roman"/>
          <w:color w:val="000000"/>
          <w:sz w:val="20"/>
          <w:szCs w:val="20"/>
        </w:rPr>
        <w:t xml:space="preserve"> of base commodities such as crude oil and natural gas, or other unforeseen events. </w:t>
      </w:r>
    </w:p>
    <w:p w:rsidR="00000000" w:rsidRDefault="00AC31B9">
      <w:pPr>
        <w:jc w:val="both"/>
        <w:rPr>
          <w:rFonts w:eastAsia="Times New Roman"/>
        </w:rPr>
      </w:pPr>
      <w:r>
        <w:rPr>
          <w:rFonts w:eastAsia="Times New Roman"/>
          <w:color w:val="000000"/>
          <w:sz w:val="20"/>
          <w:szCs w:val="20"/>
        </w:rPr>
        <w:t>The significant increase in European natural gas prices have resulted in refineries substituting a portion of their natural gas refinery fuels with LPG, leading to a decre</w:t>
      </w:r>
      <w:r>
        <w:rPr>
          <w:rFonts w:eastAsia="Times New Roman"/>
          <w:color w:val="000000"/>
          <w:sz w:val="20"/>
          <w:szCs w:val="20"/>
        </w:rPr>
        <w:t xml:space="preserve">ase in some areas in the availability of LPG. In addition, gas processing plants supplying the United Kingdom and Norway markets are injecting LPG into the natural gas grid, decreasing the overall supply of LPG from the gas processing plants. </w:t>
      </w:r>
    </w:p>
    <w:p w:rsidR="00000000" w:rsidRDefault="00AC31B9">
      <w:pPr>
        <w:divId w:val="2097552686"/>
        <w:rPr>
          <w:rFonts w:eastAsia="Times New Roman"/>
        </w:rPr>
      </w:pPr>
    </w:p>
    <w:p w:rsidR="00000000" w:rsidRDefault="00AC31B9">
      <w:pPr>
        <w:jc w:val="both"/>
        <w:rPr>
          <w:rFonts w:eastAsia="Times New Roman"/>
        </w:rPr>
      </w:pPr>
      <w:r>
        <w:rPr>
          <w:rFonts w:eastAsia="Times New Roman"/>
          <w:color w:val="000000"/>
          <w:sz w:val="20"/>
          <w:szCs w:val="20"/>
        </w:rPr>
        <w:t>UGI Intern</w:t>
      </w:r>
      <w:r>
        <w:rPr>
          <w:rFonts w:eastAsia="Times New Roman"/>
          <w:color w:val="000000"/>
          <w:sz w:val="20"/>
          <w:szCs w:val="20"/>
        </w:rPr>
        <w:t>ational stores LPG at various storage facilities and terminals located across Europe and has interests in both primary storage facilities and secondary storage facilities. LPG stored in primary storage facilities is transported by rail and road to secondar</w:t>
      </w:r>
      <w:r>
        <w:rPr>
          <w:rFonts w:eastAsia="Times New Roman"/>
          <w:color w:val="000000"/>
          <w:sz w:val="20"/>
          <w:szCs w:val="20"/>
        </w:rPr>
        <w:t xml:space="preserve">y storage facilities where LPG is loaded into cylinders or trucks equipped with tanks and then is delivered to customers. UGI International also manages an extensive logistics and transportation network and has access to seaborne import facilities. </w:t>
      </w:r>
    </w:p>
    <w:p w:rsidR="00000000" w:rsidRDefault="00AC31B9">
      <w:pPr>
        <w:jc w:val="both"/>
        <w:rPr>
          <w:rFonts w:eastAsia="Times New Roman"/>
        </w:rPr>
      </w:pPr>
    </w:p>
    <w:p w:rsidR="00000000" w:rsidRDefault="00AC31B9">
      <w:pPr>
        <w:jc w:val="both"/>
        <w:divId w:val="252132877"/>
        <w:rPr>
          <w:rFonts w:eastAsia="Times New Roman"/>
        </w:rPr>
      </w:pPr>
      <w:r>
        <w:rPr>
          <w:rFonts w:eastAsia="Times New Roman"/>
          <w:color w:val="000000"/>
          <w:sz w:val="20"/>
          <w:szCs w:val="20"/>
        </w:rPr>
        <w:t xml:space="preserve">UGI </w:t>
      </w:r>
      <w:r>
        <w:rPr>
          <w:rFonts w:eastAsia="Times New Roman"/>
          <w:color w:val="000000"/>
          <w:sz w:val="20"/>
          <w:szCs w:val="20"/>
        </w:rPr>
        <w:t>International transports LPG to customers primarily through outsourced transportation providers to serve both bulk and cylinder markets. UGI International has long-term relationships with many providers of logistics and transportation services in most of i</w:t>
      </w:r>
      <w:r>
        <w:rPr>
          <w:rFonts w:eastAsia="Times New Roman"/>
          <w:color w:val="000000"/>
          <w:sz w:val="20"/>
          <w:szCs w:val="20"/>
        </w:rPr>
        <w:t xml:space="preserve">ts markets, and is not dependent on the services of any single transportation provider. </w:t>
      </w:r>
    </w:p>
    <w:p w:rsidR="00000000" w:rsidRDefault="00AC31B9">
      <w:pPr>
        <w:jc w:val="both"/>
        <w:rPr>
          <w:rFonts w:eastAsia="Times New Roman"/>
        </w:rPr>
      </w:pPr>
      <w:r>
        <w:rPr>
          <w:rFonts w:eastAsia="Times New Roman"/>
          <w:b/>
          <w:bCs/>
          <w:i/>
          <w:iCs/>
          <w:color w:val="000000"/>
          <w:sz w:val="20"/>
          <w:szCs w:val="20"/>
        </w:rPr>
        <w:t>Trade Names, Trade and Service Marks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UGI International protects its intellectual property rights through tradenames, trade and service marks and foreign intellectual</w:t>
      </w:r>
      <w:r>
        <w:rPr>
          <w:rFonts w:eastAsia="Times New Roman"/>
          <w:color w:val="000000"/>
          <w:sz w:val="20"/>
          <w:szCs w:val="20"/>
        </w:rPr>
        <w:t xml:space="preserve"> property laws. UGI International and its subsidiaries utilize a variety of tradenames, including, but not limited to, AmeriGas (Poland), Antargaz, AvantiGas, FLAGA, Kosan Gas and UniverGas, and related service marks to market its LPG products and services</w:t>
      </w:r>
      <w:r>
        <w:rPr>
          <w:rFonts w:eastAsia="Times New Roman"/>
          <w:color w:val="000000"/>
          <w:sz w:val="20"/>
          <w:szCs w:val="20"/>
        </w:rPr>
        <w:t xml:space="preserve"> and energy marketing services. UGI International and its subsidiaries currently have tradenames, trade and service marks registered in various countries. UGI International’s trademarks, tradenames and other proprietary rights are valuable assets and we be</w:t>
      </w:r>
      <w:r>
        <w:rPr>
          <w:rFonts w:eastAsia="Times New Roman"/>
          <w:color w:val="000000"/>
          <w:sz w:val="20"/>
          <w:szCs w:val="20"/>
        </w:rPr>
        <w:t>lieve that they have significant value in the marketing of our products and services.</w:t>
      </w:r>
    </w:p>
    <w:p w:rsidR="00000000" w:rsidRDefault="00AC31B9">
      <w:pPr>
        <w:divId w:val="184448148"/>
        <w:rPr>
          <w:rFonts w:eastAsia="Times New Roman"/>
        </w:rPr>
      </w:pPr>
    </w:p>
    <w:p w:rsidR="00000000" w:rsidRDefault="00AC31B9">
      <w:pPr>
        <w:jc w:val="both"/>
        <w:divId w:val="247227505"/>
        <w:rPr>
          <w:rFonts w:eastAsia="Times New Roman"/>
        </w:rPr>
      </w:pPr>
      <w:r>
        <w:rPr>
          <w:rFonts w:eastAsia="Times New Roman"/>
          <w:b/>
          <w:bCs/>
          <w:i/>
          <w:iCs/>
          <w:color w:val="000000"/>
          <w:sz w:val="20"/>
          <w:szCs w:val="20"/>
        </w:rPr>
        <w:t>Competition and Seasonality</w:t>
      </w:r>
    </w:p>
    <w:p w:rsidR="00000000" w:rsidRDefault="00AC31B9">
      <w:pPr>
        <w:jc w:val="both"/>
        <w:rPr>
          <w:rFonts w:eastAsia="Times New Roman"/>
        </w:rPr>
      </w:pPr>
      <w:r>
        <w:rPr>
          <w:rFonts w:eastAsia="Times New Roman"/>
          <w:color w:val="000000"/>
          <w:sz w:val="20"/>
          <w:szCs w:val="20"/>
        </w:rPr>
        <w:t>The LPG markets in western and northern Europe are mature, with modest declines in total demand due to competition with other fossil fuels a</w:t>
      </w:r>
      <w:r>
        <w:rPr>
          <w:rFonts w:eastAsia="Times New Roman"/>
          <w:color w:val="000000"/>
          <w:sz w:val="20"/>
          <w:szCs w:val="20"/>
        </w:rPr>
        <w:t>nd other energy sources, conservation and macroeconomic conditions. Sales volumes are affected principally by the severity of the weather and customer migration to alternative energy forms, including natural gas, electricity, heating oil and wood. High LPG</w:t>
      </w:r>
      <w:r>
        <w:rPr>
          <w:rFonts w:eastAsia="Times New Roman"/>
          <w:color w:val="000000"/>
          <w:sz w:val="20"/>
          <w:szCs w:val="20"/>
        </w:rPr>
        <w:t xml:space="preserve"> prices also may result in slower than expected growth due to customer conservation and customers seeking less expensive alternative energy sources. Conversely, high natural gas prices versus LPG prices over a period of time will result in customers seekin</w:t>
      </w:r>
      <w:r>
        <w:rPr>
          <w:rFonts w:eastAsia="Times New Roman"/>
          <w:color w:val="000000"/>
          <w:sz w:val="20"/>
          <w:szCs w:val="20"/>
        </w:rPr>
        <w:t>g to migrate to LPG.</w:t>
      </w:r>
      <w:r>
        <w:rPr>
          <w:rFonts w:eastAsia="Times New Roman"/>
          <w:color w:val="FF0000"/>
        </w:rPr>
        <w:t xml:space="preserve"> </w:t>
      </w:r>
      <w:r>
        <w:rPr>
          <w:rFonts w:eastAsia="Times New Roman"/>
          <w:color w:val="000000"/>
          <w:sz w:val="20"/>
          <w:szCs w:val="20"/>
        </w:rPr>
        <w:t xml:space="preserve">In addition, government policies and incentives that favor alternative energy sources, such as heat pumps as well as wind and solar sources, can result in customers migrating to energy sources other than LPG. In addition to price, UGI </w:t>
      </w:r>
      <w:r>
        <w:rPr>
          <w:rFonts w:eastAsia="Times New Roman"/>
          <w:color w:val="000000"/>
          <w:sz w:val="20"/>
          <w:szCs w:val="20"/>
        </w:rPr>
        <w:t>International competes for customers in its various markets based on contract terms. UGI International competes locally as well as regionally in many of its service territories. Additionally, particularly in France, although UGI International supplies cert</w:t>
      </w:r>
      <w:r>
        <w:rPr>
          <w:rFonts w:eastAsia="Times New Roman"/>
          <w:color w:val="000000"/>
          <w:sz w:val="20"/>
          <w:szCs w:val="20"/>
        </w:rPr>
        <w:t>ain supermarket chains, it also competes with some of these supermarket chains that affiliate with LPG distributors to offer their own brands of cylinders. UGI International seeks to increase demand for its LPG cylinders through marketing and product innov</w:t>
      </w:r>
      <w:r>
        <w:rPr>
          <w:rFonts w:eastAsia="Times New Roman"/>
          <w:color w:val="000000"/>
          <w:sz w:val="20"/>
          <w:szCs w:val="20"/>
        </w:rPr>
        <w:t xml:space="preserve">ations, such as the use of automatic vending machines. </w:t>
      </w:r>
    </w:p>
    <w:p w:rsidR="00000000" w:rsidRDefault="00AC31B9">
      <w:pPr>
        <w:jc w:val="both"/>
        <w:rPr>
          <w:rFonts w:eastAsia="Times New Roman"/>
        </w:rPr>
      </w:pPr>
    </w:p>
    <w:p w:rsidR="00000000" w:rsidRDefault="00AC31B9">
      <w:pPr>
        <w:jc w:val="both"/>
        <w:divId w:val="1724595615"/>
        <w:rPr>
          <w:rFonts w:eastAsia="Times New Roman"/>
        </w:rPr>
      </w:pPr>
      <w:r>
        <w:rPr>
          <w:rFonts w:eastAsia="Times New Roman"/>
          <w:color w:val="000000"/>
          <w:sz w:val="20"/>
          <w:szCs w:val="20"/>
        </w:rPr>
        <w:t>Because many of UGI International’s customers use LPG for heating, sales volumes are affected principally by the severity of the temperatures during the heating season months and traditionally fluct</w:t>
      </w:r>
      <w:r>
        <w:rPr>
          <w:rFonts w:eastAsia="Times New Roman"/>
          <w:color w:val="000000"/>
          <w:sz w:val="20"/>
          <w:szCs w:val="20"/>
        </w:rPr>
        <w:t>uates from year-to-year in response to variations in weather, prices and other factors, such as conservation efforts and the economic environment. During Fiscal 2023, approximately 60% of UGI International’s retail sales volumes occurred during the peak he</w:t>
      </w:r>
      <w:r>
        <w:rPr>
          <w:rFonts w:eastAsia="Times New Roman"/>
          <w:color w:val="000000"/>
          <w:sz w:val="20"/>
          <w:szCs w:val="20"/>
        </w:rPr>
        <w:t>ating season from October through March. As a result of this seasonality, revenues are typically higher in UGI International’s first and second fiscal quarters (October 1 through March 31). For historical information on weather statistics for UGI Internati</w:t>
      </w:r>
      <w:r>
        <w:rPr>
          <w:rFonts w:eastAsia="Times New Roman"/>
          <w:color w:val="000000"/>
          <w:sz w:val="20"/>
          <w:szCs w:val="20"/>
        </w:rPr>
        <w:t>onal, see ‘‘Management’s Discussion and Analysis of Financial Condition and Results of Operations”.</w:t>
      </w:r>
    </w:p>
    <w:p w:rsidR="00000000" w:rsidRDefault="00AC31B9">
      <w:pPr>
        <w:jc w:val="center"/>
        <w:divId w:val="599991724"/>
        <w:rPr>
          <w:rFonts w:eastAsia="Times New Roman"/>
        </w:rPr>
      </w:pPr>
      <w:r>
        <w:rPr>
          <w:rFonts w:eastAsia="Times New Roman"/>
          <w:color w:val="000000"/>
          <w:sz w:val="20"/>
          <w:szCs w:val="20"/>
        </w:rPr>
        <w:t>19</w:t>
      </w:r>
    </w:p>
    <w:p w:rsidR="00000000" w:rsidRDefault="00AC31B9">
      <w:pPr>
        <w:rPr>
          <w:rFonts w:eastAsia="Times New Roman"/>
        </w:rPr>
      </w:pPr>
      <w:r>
        <w:rPr>
          <w:rFonts w:eastAsia="Times New Roman"/>
        </w:rPr>
        <w:pict>
          <v:rect id="_x0000_i1045" style="width:0;height:1.5pt" o:hralign="center" o:hrstd="t" o:hr="t" fillcolor="#a0a0a0" stroked="f"/>
        </w:pict>
      </w:r>
    </w:p>
    <w:p w:rsidR="00000000" w:rsidRDefault="00AC31B9">
      <w:pPr>
        <w:divId w:val="1736195066"/>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divId w:val="1386442969"/>
        <w:rPr>
          <w:rFonts w:eastAsia="Times New Roman"/>
        </w:rPr>
      </w:pPr>
      <w:r>
        <w:rPr>
          <w:rFonts w:eastAsia="Times New Roman"/>
          <w:b/>
          <w:bCs/>
          <w:i/>
          <w:iCs/>
          <w:color w:val="000000"/>
          <w:sz w:val="20"/>
          <w:szCs w:val="20"/>
        </w:rPr>
        <w:t>Government Regulation</w:t>
      </w:r>
      <w:r>
        <w:rPr>
          <w:rFonts w:eastAsia="Times New Roman"/>
          <w:color w:val="000000"/>
          <w:sz w:val="20"/>
          <w:szCs w:val="20"/>
        </w:rPr>
        <w:t xml:space="preserve"> </w:t>
      </w:r>
    </w:p>
    <w:p w:rsidR="00000000" w:rsidRDefault="00AC31B9">
      <w:pPr>
        <w:jc w:val="both"/>
        <w:divId w:val="1315600743"/>
        <w:rPr>
          <w:rFonts w:eastAsia="Times New Roman"/>
        </w:rPr>
      </w:pPr>
      <w:r>
        <w:rPr>
          <w:rFonts w:eastAsia="Times New Roman"/>
          <w:color w:val="000000"/>
          <w:sz w:val="20"/>
          <w:szCs w:val="20"/>
        </w:rPr>
        <w:t>UGI International’s business is subject to various laws and regulations at the country and local levels, as well as at th</w:t>
      </w:r>
      <w:r>
        <w:rPr>
          <w:rFonts w:eastAsia="Times New Roman"/>
          <w:color w:val="000000"/>
          <w:sz w:val="20"/>
          <w:szCs w:val="20"/>
        </w:rPr>
        <w:t>e EU level, with respect to matters such as protection of the environment, the storage, transportation and handling of hazardous materials and flammable substances (including the Seveso II Directive), regulations specific to bulk tanks, cylinders and piped</w:t>
      </w:r>
      <w:r>
        <w:rPr>
          <w:rFonts w:eastAsia="Times New Roman"/>
          <w:color w:val="000000"/>
          <w:sz w:val="20"/>
          <w:szCs w:val="20"/>
        </w:rPr>
        <w:t xml:space="preserve"> networks, competition, pricing, regulation of contract terms, anti-corruption (including the U.S. Foreign Corrupt Practices Act, Sapin II and the U.K. Bribery Act), data privacy and protection, and the safety of persons and property.</w:t>
      </w:r>
    </w:p>
    <w:p w:rsidR="00000000" w:rsidRDefault="00AC31B9">
      <w:pPr>
        <w:jc w:val="both"/>
        <w:divId w:val="77797030"/>
        <w:rPr>
          <w:rFonts w:eastAsia="Times New Roman"/>
        </w:rPr>
      </w:pPr>
      <w:r>
        <w:rPr>
          <w:rFonts w:eastAsia="Times New Roman"/>
          <w:color w:val="000000"/>
          <w:sz w:val="20"/>
          <w:szCs w:val="20"/>
          <w:u w:val="single"/>
        </w:rPr>
        <w:t xml:space="preserve">Environmental </w:t>
      </w:r>
    </w:p>
    <w:p w:rsidR="00000000" w:rsidRDefault="00AC31B9">
      <w:pPr>
        <w:jc w:val="both"/>
        <w:divId w:val="1591349256"/>
        <w:rPr>
          <w:rFonts w:eastAsia="Times New Roman"/>
        </w:rPr>
      </w:pPr>
      <w:r>
        <w:rPr>
          <w:rFonts w:eastAsia="Times New Roman"/>
          <w:color w:val="000000"/>
          <w:sz w:val="20"/>
          <w:szCs w:val="20"/>
        </w:rPr>
        <w:t>Enviro</w:t>
      </w:r>
      <w:r>
        <w:rPr>
          <w:rFonts w:eastAsia="Times New Roman"/>
          <w:color w:val="000000"/>
          <w:sz w:val="20"/>
          <w:szCs w:val="20"/>
        </w:rPr>
        <w:t>nmental laws and regulations may require expenditures over a long timeframe to control environmental effects. Estimates of liabilities for environmental response costs are difficult to determine with precision because of the various factors that can affect</w:t>
      </w:r>
      <w:r>
        <w:rPr>
          <w:rFonts w:eastAsia="Times New Roman"/>
          <w:color w:val="000000"/>
          <w:sz w:val="20"/>
          <w:szCs w:val="20"/>
        </w:rPr>
        <w:t xml:space="preserve"> their ultimate level. These factors include, but are not limited to, the following: (i) the complexity of the site; (ii) changes in environmental laws and regulations; (iii) the number of regulatory agencies or other parties involved; (iv) new technology </w:t>
      </w:r>
      <w:r>
        <w:rPr>
          <w:rFonts w:eastAsia="Times New Roman"/>
          <w:color w:val="000000"/>
          <w:sz w:val="20"/>
          <w:szCs w:val="20"/>
        </w:rPr>
        <w:t>that renders previous technology obsolete or experience with existing technology that proves ineffective; (v) the level of remediation required; and (vi) variation between the estimated and actual period of time required to respond to an environmentally-co</w:t>
      </w:r>
      <w:r>
        <w:rPr>
          <w:rFonts w:eastAsia="Times New Roman"/>
          <w:color w:val="000000"/>
          <w:sz w:val="20"/>
          <w:szCs w:val="20"/>
        </w:rPr>
        <w:t>ntaminated site.</w:t>
      </w:r>
    </w:p>
    <w:p w:rsidR="00000000" w:rsidRDefault="00AC31B9">
      <w:pPr>
        <w:jc w:val="both"/>
        <w:rPr>
          <w:rFonts w:eastAsia="Times New Roman"/>
        </w:rPr>
      </w:pPr>
      <w:r>
        <w:rPr>
          <w:rFonts w:eastAsia="Times New Roman"/>
          <w:color w:val="000000"/>
          <w:sz w:val="20"/>
          <w:szCs w:val="20"/>
          <w:u w:val="single"/>
        </w:rPr>
        <w:t>EU Carbon Neutral Target</w:t>
      </w:r>
    </w:p>
    <w:p w:rsidR="00000000" w:rsidRDefault="00AC31B9">
      <w:pPr>
        <w:divId w:val="506485045"/>
        <w:rPr>
          <w:rFonts w:eastAsia="Times New Roman"/>
        </w:rPr>
      </w:pPr>
    </w:p>
    <w:p w:rsidR="00000000" w:rsidRDefault="00AC31B9">
      <w:pPr>
        <w:jc w:val="both"/>
        <w:rPr>
          <w:rFonts w:eastAsia="Times New Roman"/>
        </w:rPr>
      </w:pPr>
      <w:r>
        <w:rPr>
          <w:rFonts w:eastAsia="Times New Roman"/>
          <w:color w:val="000000"/>
          <w:sz w:val="20"/>
          <w:szCs w:val="20"/>
        </w:rPr>
        <w:t>In December 2019, EU leaders endorsed the objective of achieving a climate-neutral EU by 2050, with net-zero GHG emissions, and in July 2021, the European Commission adopted the European Climate Law to write this</w:t>
      </w:r>
      <w:r>
        <w:rPr>
          <w:rFonts w:eastAsia="Times New Roman"/>
          <w:color w:val="000000"/>
          <w:sz w:val="20"/>
          <w:szCs w:val="20"/>
        </w:rPr>
        <w:t xml:space="preserve"> target into the law. The European Climate Law also includes a 2030 GHG reduction target of at least 55% below 1990 levels as an intermediate target. These targets are legally binding and based on an impact assessment conducted by the Commission.</w:t>
      </w:r>
    </w:p>
    <w:p w:rsidR="00000000" w:rsidRDefault="00AC31B9">
      <w:pPr>
        <w:divId w:val="1575899055"/>
        <w:rPr>
          <w:rFonts w:eastAsia="Times New Roman"/>
        </w:rPr>
      </w:pPr>
    </w:p>
    <w:p w:rsidR="00000000" w:rsidRDefault="00AC31B9">
      <w:pPr>
        <w:jc w:val="both"/>
        <w:divId w:val="491917218"/>
        <w:rPr>
          <w:rFonts w:eastAsia="Times New Roman"/>
        </w:rPr>
      </w:pPr>
      <w:r>
        <w:rPr>
          <w:rFonts w:eastAsia="Times New Roman"/>
          <w:color w:val="000000"/>
          <w:sz w:val="20"/>
          <w:szCs w:val="20"/>
          <w:u w:val="single"/>
        </w:rPr>
        <w:t>Data Privacy</w:t>
      </w:r>
      <w:r>
        <w:rPr>
          <w:rFonts w:eastAsia="Times New Roman"/>
          <w:color w:val="000000"/>
          <w:sz w:val="20"/>
          <w:szCs w:val="20"/>
        </w:rPr>
        <w:t xml:space="preserve"> </w:t>
      </w:r>
    </w:p>
    <w:p w:rsidR="00000000" w:rsidRDefault="00AC31B9">
      <w:pPr>
        <w:jc w:val="both"/>
        <w:divId w:val="967200067"/>
        <w:rPr>
          <w:rFonts w:eastAsia="Times New Roman"/>
        </w:rPr>
      </w:pPr>
      <w:r>
        <w:rPr>
          <w:rFonts w:eastAsia="Times New Roman"/>
          <w:color w:val="000000"/>
          <w:sz w:val="20"/>
          <w:szCs w:val="20"/>
        </w:rPr>
        <w:t>The EU adopted the GDPR, which became effective in May 2018. The GDPR expanded the EU data protection laws to all companies processing data of EU residents. It primarily focuses on unifying and strengthening the regulations dealing with the c</w:t>
      </w:r>
      <w:r>
        <w:rPr>
          <w:rFonts w:eastAsia="Times New Roman"/>
          <w:color w:val="000000"/>
          <w:sz w:val="20"/>
          <w:szCs w:val="20"/>
        </w:rPr>
        <w:t>ollection, processing, use and security of personal and sensitive data.</w:t>
      </w:r>
    </w:p>
    <w:p w:rsidR="00000000" w:rsidRDefault="00AC31B9">
      <w:pPr>
        <w:jc w:val="both"/>
        <w:divId w:val="321087301"/>
        <w:rPr>
          <w:rFonts w:eastAsia="Times New Roman"/>
        </w:rPr>
      </w:pPr>
      <w:r>
        <w:rPr>
          <w:rFonts w:eastAsia="Times New Roman"/>
          <w:b/>
          <w:bCs/>
          <w:i/>
          <w:iCs/>
          <w:color w:val="000000"/>
          <w:sz w:val="20"/>
          <w:szCs w:val="20"/>
        </w:rPr>
        <w:t>Properties</w:t>
      </w:r>
      <w:r>
        <w:rPr>
          <w:rFonts w:eastAsia="Times New Roman"/>
          <w:color w:val="000000"/>
          <w:sz w:val="20"/>
          <w:szCs w:val="20"/>
        </w:rPr>
        <w:t xml:space="preserve"> </w:t>
      </w:r>
    </w:p>
    <w:p w:rsidR="00000000" w:rsidRDefault="00AC31B9">
      <w:pPr>
        <w:jc w:val="both"/>
        <w:divId w:val="1786188775"/>
        <w:rPr>
          <w:rFonts w:eastAsia="Times New Roman"/>
        </w:rPr>
      </w:pPr>
      <w:r>
        <w:rPr>
          <w:rFonts w:eastAsia="Times New Roman"/>
          <w:color w:val="000000"/>
          <w:sz w:val="20"/>
          <w:szCs w:val="20"/>
        </w:rPr>
        <w:t>In addition to regional headquarter locations and sales offices throughout its service territory, UGI International has interests in ten primary storage facilities and more</w:t>
      </w:r>
      <w:r>
        <w:rPr>
          <w:rFonts w:eastAsia="Times New Roman"/>
          <w:color w:val="000000"/>
          <w:sz w:val="20"/>
          <w:szCs w:val="20"/>
        </w:rPr>
        <w:t xml:space="preserve"> than 80 secondary storage facilities.</w:t>
      </w:r>
    </w:p>
    <w:p w:rsidR="00000000" w:rsidRDefault="00AC31B9">
      <w:pPr>
        <w:jc w:val="both"/>
        <w:divId w:val="535851252"/>
        <w:rPr>
          <w:rFonts w:eastAsia="Times New Roman"/>
        </w:rPr>
      </w:pPr>
      <w:r>
        <w:rPr>
          <w:rFonts w:eastAsia="Times New Roman"/>
          <w:b/>
          <w:bCs/>
          <w:i/>
          <w:iCs/>
          <w:color w:val="000000"/>
          <w:sz w:val="20"/>
          <w:szCs w:val="20"/>
        </w:rPr>
        <w:t>Employees</w:t>
      </w:r>
    </w:p>
    <w:p w:rsidR="00000000" w:rsidRDefault="00AC31B9">
      <w:pPr>
        <w:jc w:val="both"/>
        <w:rPr>
          <w:rFonts w:eastAsia="Times New Roman"/>
        </w:rPr>
      </w:pPr>
      <w:r>
        <w:rPr>
          <w:rFonts w:eastAsia="Times New Roman"/>
          <w:color w:val="000000"/>
          <w:sz w:val="20"/>
          <w:szCs w:val="20"/>
        </w:rPr>
        <w:t>At September 30, 2023, UGI International had approximately 2,500 employees.</w:t>
      </w:r>
    </w:p>
    <w:p w:rsidR="00000000" w:rsidRDefault="00AC31B9">
      <w:pPr>
        <w:jc w:val="both"/>
        <w:rPr>
          <w:rFonts w:eastAsia="Times New Roman"/>
        </w:rPr>
      </w:pPr>
    </w:p>
    <w:p w:rsidR="00000000" w:rsidRDefault="00AC31B9">
      <w:pPr>
        <w:ind w:firstLine="495"/>
        <w:jc w:val="both"/>
        <w:rPr>
          <w:rFonts w:eastAsia="Times New Roman"/>
        </w:rPr>
      </w:pPr>
    </w:p>
    <w:p w:rsidR="00000000" w:rsidRDefault="00AC31B9">
      <w:pPr>
        <w:jc w:val="center"/>
        <w:rPr>
          <w:rFonts w:eastAsia="Times New Roman"/>
        </w:rPr>
      </w:pPr>
      <w:r>
        <w:rPr>
          <w:rFonts w:eastAsia="Times New Roman"/>
          <w:b/>
          <w:bCs/>
          <w:color w:val="000000"/>
          <w:sz w:val="20"/>
          <w:szCs w:val="20"/>
        </w:rPr>
        <w:t>MIDSTREAM &amp; MARKETING</w:t>
      </w:r>
    </w:p>
    <w:p w:rsidR="00000000" w:rsidRDefault="00AC31B9">
      <w:pPr>
        <w:jc w:val="center"/>
        <w:rPr>
          <w:rFonts w:eastAsia="Times New Roman"/>
        </w:rPr>
      </w:pPr>
    </w:p>
    <w:p w:rsidR="00000000" w:rsidRDefault="00AC31B9">
      <w:pPr>
        <w:jc w:val="both"/>
        <w:rPr>
          <w:rFonts w:eastAsia="Times New Roman"/>
        </w:rPr>
      </w:pPr>
      <w:r>
        <w:rPr>
          <w:rFonts w:eastAsia="Times New Roman"/>
          <w:b/>
          <w:bCs/>
          <w:i/>
          <w:iCs/>
          <w:color w:val="000000"/>
          <w:sz w:val="20"/>
          <w:szCs w:val="20"/>
        </w:rPr>
        <w:t>Retail Energy Marketing</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Our retail energy marketing business is conducted through Energy Services and</w:t>
      </w:r>
      <w:r>
        <w:rPr>
          <w:rFonts w:eastAsia="Times New Roman"/>
          <w:color w:val="000000"/>
          <w:sz w:val="20"/>
          <w:szCs w:val="20"/>
        </w:rPr>
        <w:t xml:space="preserve"> its subsidiaries, and sells natural gas, RNG, liquid fuels and electricity to nearly 11,500 residential, commercial, and industrial customers at approximately 41,000 locations. In Fiscal 2023, we (i) served customers in all or portions of Pennsylvania, Ne</w:t>
      </w:r>
      <w:r>
        <w:rPr>
          <w:rFonts w:eastAsia="Times New Roman"/>
          <w:color w:val="000000"/>
          <w:sz w:val="20"/>
          <w:szCs w:val="20"/>
        </w:rPr>
        <w:t>w Jersey, Delaware, New York, Ohio, Maryland, Virginia, North Carolina, South Carolina, Massachusetts, New Hampshire, Rhode Island, California, and the District of Columbia, (ii) distributed natural gas through the use of the distribution systems of 47 loc</w:t>
      </w:r>
      <w:r>
        <w:rPr>
          <w:rFonts w:eastAsia="Times New Roman"/>
          <w:color w:val="000000"/>
          <w:sz w:val="20"/>
          <w:szCs w:val="20"/>
        </w:rPr>
        <w:t xml:space="preserve">al gas utilities, and (iii) supplied power to customers through the use of the transmission and distribution lines of 20 utility systems.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Historically, a majority of Energy Services’ commodity sales have been made under fixed-price agreements, which typ</w:t>
      </w:r>
      <w:r>
        <w:rPr>
          <w:rFonts w:eastAsia="Times New Roman"/>
          <w:color w:val="000000"/>
          <w:sz w:val="20"/>
          <w:szCs w:val="20"/>
        </w:rPr>
        <w:t>ically contain a take-or-pay arrangement that permits customers to purchase a fixed amount of product for a fixed price during a specified period, and requires payment even if the customer does not take delivery of the product. However, a growing number of</w:t>
      </w:r>
      <w:r>
        <w:rPr>
          <w:rFonts w:eastAsia="Times New Roman"/>
          <w:color w:val="000000"/>
          <w:sz w:val="20"/>
          <w:szCs w:val="20"/>
        </w:rPr>
        <w:t xml:space="preserve"> Energy Services’ commodity sales are currently being made under requirements contracts, under which Energy Services is typically an exclusive supplier and will supply as much product at a fixed price as the customer requires. Energy Services manages suppl</w:t>
      </w:r>
      <w:r>
        <w:rPr>
          <w:rFonts w:eastAsia="Times New Roman"/>
          <w:color w:val="000000"/>
          <w:sz w:val="20"/>
          <w:szCs w:val="20"/>
        </w:rPr>
        <w:t>y cost volatility related to these agreements by (i) entering into fixed-price supply arrangements with a diverse group of suppliers, (ii) holding its own interstate pipeline transportation and storage contracts to efficiently utilize gas supplies, (iii) e</w:t>
      </w:r>
      <w:r>
        <w:rPr>
          <w:rFonts w:eastAsia="Times New Roman"/>
          <w:color w:val="000000"/>
          <w:sz w:val="20"/>
          <w:szCs w:val="20"/>
        </w:rPr>
        <w:t>ntering into exchange-traded futures contracts on NYMEX and ICE, (iv) entering into over-the-counter derivative arrangements with major international banks and major suppliers, (v) utilizing supply assets that it owns or manages, and (vi) utilizing financi</w:t>
      </w:r>
      <w:r>
        <w:rPr>
          <w:rFonts w:eastAsia="Times New Roman"/>
          <w:color w:val="000000"/>
          <w:sz w:val="20"/>
          <w:szCs w:val="20"/>
        </w:rPr>
        <w:t xml:space="preserve">al transmission rights to hedge price risk against certain transmission costs. Energy Services also bears the risk </w:t>
      </w:r>
    </w:p>
    <w:p w:rsidR="00000000" w:rsidRDefault="00AC31B9">
      <w:pPr>
        <w:jc w:val="center"/>
        <w:divId w:val="1891529527"/>
        <w:rPr>
          <w:rFonts w:eastAsia="Times New Roman"/>
        </w:rPr>
      </w:pPr>
      <w:r>
        <w:rPr>
          <w:rFonts w:eastAsia="Times New Roman"/>
          <w:color w:val="000000"/>
          <w:sz w:val="20"/>
          <w:szCs w:val="20"/>
        </w:rPr>
        <w:t>20</w:t>
      </w:r>
    </w:p>
    <w:p w:rsidR="00000000" w:rsidRDefault="00AC31B9">
      <w:pPr>
        <w:rPr>
          <w:rFonts w:eastAsia="Times New Roman"/>
        </w:rPr>
      </w:pPr>
      <w:r>
        <w:rPr>
          <w:rFonts w:eastAsia="Times New Roman"/>
        </w:rPr>
        <w:pict>
          <v:rect id="_x0000_i1046" style="width:0;height:1.5pt" o:hralign="center" o:hrstd="t" o:hr="t" fillcolor="#a0a0a0" stroked="f"/>
        </w:pict>
      </w:r>
    </w:p>
    <w:p w:rsidR="00000000" w:rsidRDefault="00AC31B9">
      <w:pPr>
        <w:divId w:val="443890307"/>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for balancing and delivering natural gas and power to its customers under various gas pipeline and utility company tariffs. See “Management’s Discussion and Analysis of Financial Condition and Results of Operations - Market Risk Disclosures.”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Midstream A</w:t>
      </w:r>
      <w:r>
        <w:rPr>
          <w:rFonts w:eastAsia="Times New Roman"/>
          <w:b/>
          <w:bCs/>
          <w:i/>
          <w:iCs/>
          <w:color w:val="000000"/>
          <w:sz w:val="20"/>
          <w:szCs w:val="20"/>
        </w:rPr>
        <w:t>ssets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u w:val="single"/>
        </w:rPr>
        <w:t>LNG</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Our midstream assets, which are owned by Energy Services and its subsidiaries, comprise a natural gas liquefaction, storage and vaporization facility in Temple, Pennsylvania, a natural gas liquefaction and storage facility in Mehoopany, Penns</w:t>
      </w:r>
      <w:r>
        <w:rPr>
          <w:rFonts w:eastAsia="Times New Roman"/>
          <w:color w:val="000000"/>
          <w:sz w:val="20"/>
          <w:szCs w:val="20"/>
        </w:rPr>
        <w:t xml:space="preserve">ylvania, liquefied natural gas vaporization and storage facilities in Steelton and Bethlehem, Pennsylvania, and three small mobile facilities located in Reading, Mount Carmel and Stroudsburg, Pennsylvania.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addition, Energy Services sells LNG to customers for use by trucks, drilling rigs, other motor vehicles and facilities located off the natural gas grid. In Fiscal 2023, Energy Services sold LNG to Mountaineer under a WVPSC-approved contract. Further, in</w:t>
      </w:r>
      <w:r>
        <w:rPr>
          <w:rFonts w:eastAsia="Times New Roman"/>
          <w:color w:val="000000"/>
          <w:sz w:val="20"/>
          <w:szCs w:val="20"/>
        </w:rPr>
        <w:t xml:space="preserve"> Fiscal 2023, our Midstream &amp; Marketing segment also managed natural gas pipeline and storage contracts for utility company customers, including UGI Utilities.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u w:val="single"/>
        </w:rPr>
        <w:t>Natural Gas and Propane Storage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Energy Services and its subsidiaries own propane storage and</w:t>
      </w:r>
      <w:r>
        <w:rPr>
          <w:rFonts w:eastAsia="Times New Roman"/>
          <w:color w:val="000000"/>
          <w:sz w:val="20"/>
          <w:szCs w:val="20"/>
        </w:rPr>
        <w:t xml:space="preserve"> propane-air mixing stations in Bethlehem, Reading, Hunlock Creek and White Deer, Pennsylvania. Energy Services and its subsidiaries also operate propane storage, rail transshipment terminals and propane-air mixing stations in Steelton and Williamsport, Pe</w:t>
      </w:r>
      <w:r>
        <w:rPr>
          <w:rFonts w:eastAsia="Times New Roman"/>
          <w:color w:val="000000"/>
          <w:sz w:val="20"/>
          <w:szCs w:val="20"/>
        </w:rPr>
        <w:t xml:space="preserve">nnsylvania. These assets are used in Midstream &amp; Marketing’s energy peaking business that provides supplemental energy, primarily LNG and propane-air mixtures, to gas utilities at times of high demand (generally during periods of coldest winter weather).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 wholly owned subsidiary of Energy Services owns and operates underground natural gas storage and related high pressure pipeline facilities, which have FERC approval to sell storage services at market-based rates. The storage facilities are located in t</w:t>
      </w:r>
      <w:r>
        <w:rPr>
          <w:rFonts w:eastAsia="Times New Roman"/>
          <w:color w:val="000000"/>
          <w:sz w:val="20"/>
          <w:szCs w:val="20"/>
        </w:rPr>
        <w:t xml:space="preserve">he Marcellus Shale region of north-central Pennsylvania and have a total storage capacity of 15 million dekatherms and a maximum daily withdrawal quantity of 224,000 dekatherms. In Fiscal 2023, Energy Services leased approximately 82% of the firm capacity </w:t>
      </w:r>
      <w:r>
        <w:rPr>
          <w:rFonts w:eastAsia="Times New Roman"/>
          <w:color w:val="000000"/>
          <w:sz w:val="20"/>
          <w:szCs w:val="20"/>
        </w:rPr>
        <w:t xml:space="preserve">at its underground natural gas facilities to third parties.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u w:val="single"/>
        </w:rPr>
        <w:t>Gathering Systems and Pipelines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Energy Services operates the Auburn gathering system in the Marcellus Shale region of northeastern Pennsylvania with a total pipeline system capacity of 635,00</w:t>
      </w:r>
      <w:r>
        <w:rPr>
          <w:rFonts w:eastAsia="Times New Roman"/>
          <w:color w:val="000000"/>
          <w:sz w:val="20"/>
          <w:szCs w:val="20"/>
        </w:rPr>
        <w:t>0 dekatherms per day. The gathering system delivers into both the Tennessee Gas and Transcontinental Gas pipelines and receives gas from Tennessee Gas Pipeline as part of a capacity lease with UGI Utilities. Energy Services also operates a 6.5-mile pipelin</w:t>
      </w:r>
      <w:r>
        <w:rPr>
          <w:rFonts w:eastAsia="Times New Roman"/>
          <w:color w:val="000000"/>
          <w:sz w:val="20"/>
          <w:szCs w:val="20"/>
        </w:rPr>
        <w:t xml:space="preserve">e, known as the Union Dale pipeline, that gathers gas in Susquehanna County and has a capacity of 100,000 dekatherms per day. In addition, Energy Services owns and operates approximately 90 miles of natural gas gathering lines, dehydration and compression </w:t>
      </w:r>
      <w:r>
        <w:rPr>
          <w:rFonts w:eastAsia="Times New Roman"/>
          <w:color w:val="000000"/>
          <w:sz w:val="20"/>
          <w:szCs w:val="20"/>
        </w:rPr>
        <w:t xml:space="preserve">facilities, known as Texas Creek, Marshlands, and Ponderosa, located in Bradford, Tioga, Lycoming, Potter and Clinton Counties, Pennsylvania. The combined capacity of these three systems is more than 250,000 dekatherms per day.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Energy Services and its s</w:t>
      </w:r>
      <w:r>
        <w:rPr>
          <w:rFonts w:eastAsia="Times New Roman"/>
          <w:color w:val="000000"/>
          <w:sz w:val="20"/>
          <w:szCs w:val="20"/>
        </w:rPr>
        <w:t>ubsidiaries also own and operate a 35-mile, 20-inch pipeline, known as the Sunbury pipeline, with related facilities located in Snyder, Union, Northumberland, Montour, and Lycoming Counties, Pennsylvania, which has a design capacity of 200,000 dekatherms p</w:t>
      </w:r>
      <w:r>
        <w:rPr>
          <w:rFonts w:eastAsia="Times New Roman"/>
          <w:color w:val="000000"/>
          <w:sz w:val="20"/>
          <w:szCs w:val="20"/>
        </w:rPr>
        <w:t xml:space="preserve">er day. In addition, Energy Services owns and operates the Mt. Bethel pipeline, which runs 12.5 miles in Northampton County, Pennsylvania and is designed to provide 72,000 dekatherms per day.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Energy Services’ subsidiary, UGI Appalachia, consists of six </w:t>
      </w:r>
      <w:r>
        <w:rPr>
          <w:rFonts w:eastAsia="Times New Roman"/>
          <w:color w:val="000000"/>
          <w:sz w:val="20"/>
          <w:szCs w:val="20"/>
        </w:rPr>
        <w:t xml:space="preserve">natural gas gathering systems with approximately 305 miles of natural gas gathering pipelines and gas compressors and one processing plant in southwestern Pennsylvania, eastern Ohio, and the panhandle of West Virginia. In Fiscal 2022, Energy Services also </w:t>
      </w:r>
      <w:r>
        <w:rPr>
          <w:rFonts w:eastAsia="Times New Roman"/>
          <w:color w:val="000000"/>
          <w:sz w:val="20"/>
          <w:szCs w:val="20"/>
        </w:rPr>
        <w:t xml:space="preserve">acquired the remaining ownership interest in Pennant, a natural gas gathering system located in northeast Ohio and western Pennsylvania, and now has 100% ownership interest in Pennant. The UGI Appalachia assets provide natural gas gathering and processing </w:t>
      </w:r>
      <w:r>
        <w:rPr>
          <w:rFonts w:eastAsia="Times New Roman"/>
          <w:color w:val="000000"/>
          <w:sz w:val="20"/>
          <w:szCs w:val="20"/>
        </w:rPr>
        <w:t>services in the Appalachian Basin with gathering capacity of approximately 2,808,000 dekatherms per day and processing capacity of approximately 240,000 dekatherms per day.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Fiscal 2021, a subsidiary of Energy Services entered into a joint venture with</w:t>
      </w:r>
      <w:r>
        <w:rPr>
          <w:rFonts w:eastAsia="Times New Roman"/>
          <w:color w:val="000000"/>
          <w:sz w:val="20"/>
          <w:szCs w:val="20"/>
        </w:rPr>
        <w:t xml:space="preserve"> Stonehenge to acquire Pine Run Midstream, LLC. Energy Services owns approximately 49% of the Pine Run Midstream joint venture with Stonehenge, and Stonehenge operates the system. The system is currently comprised of approximately 46 miles of pipeline, 40,</w:t>
      </w:r>
      <w:r>
        <w:rPr>
          <w:rFonts w:eastAsia="Times New Roman"/>
          <w:color w:val="000000"/>
          <w:sz w:val="20"/>
          <w:szCs w:val="20"/>
        </w:rPr>
        <w:t xml:space="preserve">830 HP of installed compression and dedicated production of 54,000 gross acres. The system is attached to another gathering system owned by Energy Services. </w:t>
      </w:r>
    </w:p>
    <w:p w:rsidR="00000000" w:rsidRDefault="00AC31B9">
      <w:pPr>
        <w:jc w:val="center"/>
        <w:divId w:val="893858559"/>
        <w:rPr>
          <w:rFonts w:eastAsia="Times New Roman"/>
        </w:rPr>
      </w:pPr>
      <w:r>
        <w:rPr>
          <w:rFonts w:eastAsia="Times New Roman"/>
          <w:color w:val="000000"/>
          <w:sz w:val="20"/>
          <w:szCs w:val="20"/>
        </w:rPr>
        <w:t>21</w:t>
      </w:r>
    </w:p>
    <w:p w:rsidR="00000000" w:rsidRDefault="00AC31B9">
      <w:pPr>
        <w:rPr>
          <w:rFonts w:eastAsia="Times New Roman"/>
        </w:rPr>
      </w:pPr>
      <w:r>
        <w:rPr>
          <w:rFonts w:eastAsia="Times New Roman"/>
        </w:rPr>
        <w:pict>
          <v:rect id="_x0000_i1047" style="width:0;height:1.5pt" o:hralign="center" o:hrstd="t" o:hr="t" fillcolor="#a0a0a0" stroked="f"/>
        </w:pict>
      </w:r>
    </w:p>
    <w:p w:rsidR="00000000" w:rsidRDefault="00AC31B9">
      <w:pPr>
        <w:divId w:val="1130634872"/>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January 2022, Energy Services acquired Stonehenge Appalachia, LLC from Stonehenge Energy Holdings, LLC and subsequently renamed the system UGI Moraine East. The system consists of approximately 48 miles of pipeline and associated com</w:t>
      </w:r>
      <w:r>
        <w:rPr>
          <w:rFonts w:eastAsia="Times New Roman"/>
          <w:color w:val="000000"/>
          <w:sz w:val="20"/>
          <w:szCs w:val="20"/>
        </w:rPr>
        <w:t>pression assets.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Electric Generation Assets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Midstream &amp; Marketing holds electric generation facilities conducted by Energy Services’ wholly owned subsidiary, UGID. UGID owns and operates the Hunlock Creek Energy Center located near Wilkes-Barre, Pennsy</w:t>
      </w:r>
      <w:r>
        <w:rPr>
          <w:rFonts w:eastAsia="Times New Roman"/>
          <w:color w:val="000000"/>
          <w:sz w:val="20"/>
          <w:szCs w:val="20"/>
        </w:rPr>
        <w:t xml:space="preserve">lvania, a 174-megawatt natural gas-fueled electricity generating station. Additionally, UGID owns and operates 13.5 megawatts of solar-powered generation capacity in Pennsylvania, Maryland and New Jersey.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Renewable Natural Gas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GHI, a wholly owned subsidiary of Energy Services, purchases gas produced from landfills and biodigesters and resells the gas to fleet operators in California. Environmental credits are generated through this process, which are then sold to various third p</w:t>
      </w:r>
      <w:r>
        <w:rPr>
          <w:rFonts w:eastAsia="Times New Roman"/>
          <w:color w:val="000000"/>
          <w:sz w:val="20"/>
          <w:szCs w:val="20"/>
        </w:rPr>
        <w:t>arties for an additional revenue stream. See “Business Strategy – Investment in Renewable Energy” in this Item 1. and 2. Business and Properties for information on transactions Energy Services completed to further UGI’s foundation for growth within the ren</w:t>
      </w:r>
      <w:r>
        <w:rPr>
          <w:rFonts w:eastAsia="Times New Roman"/>
          <w:color w:val="000000"/>
          <w:sz w:val="20"/>
          <w:szCs w:val="20"/>
        </w:rPr>
        <w:t>ewable energy space.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Competition</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Our Midstream &amp; Marketing segment competes with other midstream operators to sell gathering, compression, storage and pipeline transportation services. Our Midstream &amp; Marketing segment competes in both the regulated an</w:t>
      </w:r>
      <w:r>
        <w:rPr>
          <w:rFonts w:eastAsia="Times New Roman"/>
          <w:color w:val="000000"/>
          <w:sz w:val="20"/>
          <w:szCs w:val="20"/>
        </w:rPr>
        <w:t>d non-regulated environment against interstate and intrastate pipelines that gather, compress, process, transport and market natural gas. Our Midstream &amp; Marketing segment sells midstream services primarily to producers, marketers and utilities on the basi</w:t>
      </w:r>
      <w:r>
        <w:rPr>
          <w:rFonts w:eastAsia="Times New Roman"/>
          <w:color w:val="000000"/>
          <w:sz w:val="20"/>
          <w:szCs w:val="20"/>
        </w:rPr>
        <w:t>s of price, customer service, flexibility, reliability and operational experience. The competition in the midstream segment is significant and has grown recently in the northeast U.S. as more competitors seek opportunities offered by the development of the</w:t>
      </w:r>
      <w:r>
        <w:rPr>
          <w:rFonts w:eastAsia="Times New Roman"/>
          <w:color w:val="000000"/>
          <w:sz w:val="20"/>
          <w:szCs w:val="20"/>
        </w:rPr>
        <w:t xml:space="preserve"> Marcellus and Utica Shales. </w:t>
      </w:r>
    </w:p>
    <w:p w:rsidR="00000000" w:rsidRDefault="00AC31B9">
      <w:pPr>
        <w:ind w:firstLine="720"/>
        <w:jc w:val="both"/>
        <w:rPr>
          <w:rFonts w:eastAsia="Times New Roman"/>
        </w:rPr>
      </w:pPr>
    </w:p>
    <w:p w:rsidR="00000000" w:rsidRDefault="00AC31B9">
      <w:pPr>
        <w:jc w:val="both"/>
        <w:rPr>
          <w:rFonts w:eastAsia="Times New Roman"/>
        </w:rPr>
      </w:pPr>
      <w:r>
        <w:rPr>
          <w:rFonts w:eastAsia="Times New Roman"/>
          <w:color w:val="000000"/>
          <w:sz w:val="20"/>
          <w:szCs w:val="20"/>
        </w:rPr>
        <w:t>Our Midstream &amp; Marketing segment also competes with other marketers, consultants and local utilities to sell natural gas, liquid fuels, electric power and related services to customers in its service area principally on the</w:t>
      </w:r>
      <w:r>
        <w:rPr>
          <w:rFonts w:eastAsia="Times New Roman"/>
          <w:color w:val="000000"/>
          <w:sz w:val="20"/>
          <w:szCs w:val="20"/>
        </w:rPr>
        <w:t xml:space="preserve"> basis of price, customer service and reliability. Midstream &amp; Marketing’s midstream asset business has faced an increase in competition in recent years with the consolidation of companies that have resulted in large, national competitors that can offer a </w:t>
      </w:r>
      <w:r>
        <w:rPr>
          <w:rFonts w:eastAsia="Times New Roman"/>
          <w:color w:val="000000"/>
          <w:sz w:val="20"/>
          <w:szCs w:val="20"/>
        </w:rPr>
        <w:t xml:space="preserve">suite of services across all customer segments.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Our electricity generation assets compete with other generation stations on the interface of PJM, a regional transmission organization that coordinates the movement of wholesale electricity in certain stat</w:t>
      </w:r>
      <w:r>
        <w:rPr>
          <w:rFonts w:eastAsia="Times New Roman"/>
          <w:color w:val="000000"/>
          <w:sz w:val="20"/>
          <w:szCs w:val="20"/>
        </w:rPr>
        <w:t xml:space="preserve">es, including the states in which we operate, and bases sales on bid pricing.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Through our wholly owned subsidiary, GHI, Energy Services has the capability to source and deliver RNG to customers throughout the U.S. GHI currently delivers RNG to transport</w:t>
      </w:r>
      <w:r>
        <w:rPr>
          <w:rFonts w:eastAsia="Times New Roman"/>
          <w:color w:val="000000"/>
          <w:sz w:val="20"/>
          <w:szCs w:val="20"/>
        </w:rPr>
        <w:t>ation fleets for utilization in their compressed natural gas and LNG fueled vehicles, resulting in the creation and monetization of California Low Carbon Fuel Standard credits and Renewable Fuel Standard Renewable Identification Number credits. GHI compete</w:t>
      </w:r>
      <w:r>
        <w:rPr>
          <w:rFonts w:eastAsia="Times New Roman"/>
          <w:color w:val="000000"/>
          <w:sz w:val="20"/>
          <w:szCs w:val="20"/>
        </w:rPr>
        <w:t>s with other RNG marketers and brokers on the basis of price, customer service and reliability. Further, our Midstream &amp; Marketing segment competes with other RNG project developers, which has recently become a more competitive environment. We compete to a</w:t>
      </w:r>
      <w:r>
        <w:rPr>
          <w:rFonts w:eastAsia="Times New Roman"/>
          <w:color w:val="000000"/>
          <w:sz w:val="20"/>
          <w:szCs w:val="20"/>
        </w:rPr>
        <w:t>cquire the projects from the feedstock generators, which are typically farmers (for manure digesters) and landfill operators, including through offerings of joint venture ownership interests, feedstock payments and royalties. In addition, there has been si</w:t>
      </w:r>
      <w:r>
        <w:rPr>
          <w:rFonts w:eastAsia="Times New Roman"/>
          <w:color w:val="000000"/>
          <w:sz w:val="20"/>
          <w:szCs w:val="20"/>
        </w:rPr>
        <w:t xml:space="preserve">gnificant consolidation over the past year with both agricultural and landfill RNG project owners/developers. </w:t>
      </w:r>
    </w:p>
    <w:p w:rsidR="00000000" w:rsidRDefault="00AC31B9">
      <w:pPr>
        <w:ind w:firstLine="720"/>
        <w:jc w:val="both"/>
        <w:rPr>
          <w:rFonts w:eastAsia="Times New Roman"/>
        </w:rPr>
      </w:pPr>
    </w:p>
    <w:p w:rsidR="00000000" w:rsidRDefault="00AC31B9">
      <w:pPr>
        <w:jc w:val="both"/>
        <w:rPr>
          <w:rFonts w:eastAsia="Times New Roman"/>
        </w:rPr>
      </w:pPr>
      <w:r>
        <w:rPr>
          <w:rFonts w:eastAsia="Times New Roman"/>
          <w:b/>
          <w:bCs/>
          <w:i/>
          <w:iCs/>
          <w:color w:val="000000"/>
          <w:sz w:val="20"/>
          <w:szCs w:val="20"/>
        </w:rPr>
        <w:t>Government Regulation</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FERC has jurisdiction over the rates and terms and conditions of service of wholesale sales of electric capacity and en</w:t>
      </w:r>
      <w:r>
        <w:rPr>
          <w:rFonts w:eastAsia="Times New Roman"/>
          <w:color w:val="000000"/>
          <w:sz w:val="20"/>
          <w:szCs w:val="20"/>
        </w:rPr>
        <w:t>ergy, as well as the sales for resale of natural gas and related storage and transportation services.  Energy Services has a tariff on file with FERC, pursuant to which it may make power sales to wholesale customers at market-based rates, to the extent tha</w:t>
      </w:r>
      <w:r>
        <w:rPr>
          <w:rFonts w:eastAsia="Times New Roman"/>
          <w:color w:val="000000"/>
          <w:sz w:val="20"/>
          <w:szCs w:val="20"/>
        </w:rPr>
        <w:t>t Energy Services purchases power in excess of its retail customer needs.  Two subsidiaries of Energy Services, UGI LNG, Inc. and UGI Storage Company, currently operate natural gas storage facilities under FERC certificate approvals and offer services to w</w:t>
      </w:r>
      <w:r>
        <w:rPr>
          <w:rFonts w:eastAsia="Times New Roman"/>
          <w:color w:val="000000"/>
          <w:sz w:val="20"/>
          <w:szCs w:val="20"/>
        </w:rPr>
        <w:t xml:space="preserve">holesale customers at FERC-approved market-based rates. Two other Energy Services subsidiaries operate natural gas pipelines that are subject to FERC regulation. UGI Mt. Bethel Pipeline Company, LLC operates a 12.5-mile, 12-inch pipeline </w:t>
      </w:r>
    </w:p>
    <w:p w:rsidR="00000000" w:rsidRDefault="00AC31B9">
      <w:pPr>
        <w:jc w:val="center"/>
        <w:divId w:val="1556315618"/>
        <w:rPr>
          <w:rFonts w:eastAsia="Times New Roman"/>
        </w:rPr>
      </w:pPr>
      <w:r>
        <w:rPr>
          <w:rFonts w:eastAsia="Times New Roman"/>
          <w:color w:val="000000"/>
          <w:sz w:val="20"/>
          <w:szCs w:val="20"/>
        </w:rPr>
        <w:t>22</w:t>
      </w:r>
    </w:p>
    <w:p w:rsidR="00000000" w:rsidRDefault="00AC31B9">
      <w:pPr>
        <w:rPr>
          <w:rFonts w:eastAsia="Times New Roman"/>
        </w:rPr>
      </w:pPr>
      <w:r>
        <w:rPr>
          <w:rFonts w:eastAsia="Times New Roman"/>
        </w:rPr>
        <w:pict>
          <v:rect id="_x0000_i1048" style="width:0;height:1.5pt" o:hralign="center" o:hrstd="t" o:hr="t" fillcolor="#a0a0a0" stroked="f"/>
        </w:pict>
      </w:r>
    </w:p>
    <w:p w:rsidR="00000000" w:rsidRDefault="00AC31B9">
      <w:pPr>
        <w:divId w:val="819543888"/>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located in Northampton County, Pennsylvania, and UGI Sunbury, LLC operates the Sunbury Pipeline, a 35-mile, 20-inch diameter pipeline located in</w:t>
      </w:r>
      <w:r>
        <w:rPr>
          <w:rFonts w:eastAsia="Times New Roman"/>
          <w:color w:val="000000"/>
          <w:sz w:val="20"/>
          <w:szCs w:val="20"/>
        </w:rPr>
        <w:t xml:space="preserve"> central Pennsylvania. Both pipelines offer open-access transportation services at cost-based rates approved by FERC. Energy Services and its subsidiaries undertake various activities to maintain compliance with the FERC Standards of Conduct with respect t</w:t>
      </w:r>
      <w:r>
        <w:rPr>
          <w:rFonts w:eastAsia="Times New Roman"/>
          <w:color w:val="000000"/>
          <w:sz w:val="20"/>
          <w:szCs w:val="20"/>
        </w:rPr>
        <w:t xml:space="preserve">o pipeline operations. Energy Services is also subject to FERC reporting requirements, market manipulation rules and other FERC enforcement and regulatory powers with respect to its wholesale commodity business.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Midstream &amp; Marketing’s midstream assets </w:t>
      </w:r>
      <w:r>
        <w:rPr>
          <w:rFonts w:eastAsia="Times New Roman"/>
          <w:color w:val="000000"/>
          <w:sz w:val="20"/>
          <w:szCs w:val="20"/>
        </w:rPr>
        <w:t>include natural gas gathering pipelines and compression and processing in northeastern Pennsylvania, southwestern Pennsylvania, eastern Ohio and the panhandle of West Virginia that are regulated under federal pipeline safety laws and subject to operational</w:t>
      </w:r>
      <w:r>
        <w:rPr>
          <w:rFonts w:eastAsia="Times New Roman"/>
          <w:color w:val="000000"/>
          <w:sz w:val="20"/>
          <w:szCs w:val="20"/>
        </w:rPr>
        <w:t xml:space="preserve"> oversight by both the Pipeline and Hazardous Materials Safety Administration and the state public utility commissions for the states in which the specific pipelines are located.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Certain of our Midstream &amp; Marketing and RNG businesses are subject to var</w:t>
      </w:r>
      <w:r>
        <w:rPr>
          <w:rFonts w:eastAsia="Times New Roman"/>
          <w:color w:val="000000"/>
          <w:sz w:val="20"/>
          <w:szCs w:val="20"/>
        </w:rPr>
        <w:t>ious federal, state and local environmental, safety and transportation laws and regulations governing the storage, distribution and transportation of propane and the operation of bulk storage LPG terminals. These laws include, among others, the Resource Co</w:t>
      </w:r>
      <w:r>
        <w:rPr>
          <w:rFonts w:eastAsia="Times New Roman"/>
          <w:color w:val="000000"/>
          <w:sz w:val="20"/>
          <w:szCs w:val="20"/>
        </w:rPr>
        <w:t>nservation and Recovery Act, CERCLA, the Clean Air Act, OSHA, the Homeland Security Act of 2002, the Emergency Planning and Community Right-to-Know Act, the Clean Water Act and comparable state statutes. CERCLA imposes joint and several liability on certai</w:t>
      </w:r>
      <w:r>
        <w:rPr>
          <w:rFonts w:eastAsia="Times New Roman"/>
          <w:color w:val="000000"/>
          <w:sz w:val="20"/>
          <w:szCs w:val="20"/>
        </w:rPr>
        <w:t>n classes of persons considered to have contributed to the release or threatened release of a “hazardous substance” into the environment without regard to fault or the legality of the original conduct. With respect to the operation of natural gas gathering</w:t>
      </w:r>
      <w:r>
        <w:rPr>
          <w:rFonts w:eastAsia="Times New Roman"/>
          <w:color w:val="000000"/>
          <w:sz w:val="20"/>
          <w:szCs w:val="20"/>
        </w:rPr>
        <w:t xml:space="preserve"> and transportation pipelines, Energy Services also is required to comply with the provisions of the Pipeline Safety Improvement Act of 2002 and the regulations of the DOT.</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Our Midstream &amp; Marketing’s electricity generation assets own electric generation</w:t>
      </w:r>
      <w:r>
        <w:rPr>
          <w:rFonts w:eastAsia="Times New Roman"/>
          <w:color w:val="000000"/>
          <w:sz w:val="20"/>
          <w:szCs w:val="20"/>
        </w:rPr>
        <w:t xml:space="preserve"> facilities that are within the control area of PJM and are dispatched in accordance with a FERC-approved open access tariff and associated agreements administered by PJM. UGID is the entity designated for dispatching and financially settling all company o</w:t>
      </w:r>
      <w:r>
        <w:rPr>
          <w:rFonts w:eastAsia="Times New Roman"/>
          <w:color w:val="000000"/>
          <w:sz w:val="20"/>
          <w:szCs w:val="20"/>
        </w:rPr>
        <w:t>wned generation and receives certain revenues collected by PJM, determined under an approved rate schedule.  Like Energy Services, UGID has a tariff on file with FERC pursuant to which it may make power sales to wholesale customers at market-based rates, a</w:t>
      </w:r>
      <w:r>
        <w:rPr>
          <w:rFonts w:eastAsia="Times New Roman"/>
          <w:color w:val="000000"/>
          <w:sz w:val="20"/>
          <w:szCs w:val="20"/>
        </w:rPr>
        <w:t xml:space="preserve">nd FERC has approved UGID’s market-based rate authority through 2023, with approval pending through 2026. UGID is also subject to FERC reporting requirements, market manipulation rules and other FERC enforcement and regulatory powers.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Employees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At September 30, 2023, Midstream &amp; Marketing had approximately 380 employees.</w:t>
      </w:r>
    </w:p>
    <w:p w:rsidR="00000000" w:rsidRDefault="00AC31B9">
      <w:pPr>
        <w:jc w:val="both"/>
        <w:rPr>
          <w:rFonts w:eastAsia="Times New Roman"/>
        </w:rPr>
      </w:pPr>
    </w:p>
    <w:p w:rsidR="00000000" w:rsidRDefault="00AC31B9">
      <w:pPr>
        <w:jc w:val="center"/>
        <w:rPr>
          <w:rFonts w:eastAsia="Times New Roman"/>
        </w:rPr>
      </w:pPr>
      <w:r>
        <w:rPr>
          <w:rFonts w:eastAsia="Times New Roman"/>
          <w:b/>
          <w:bCs/>
          <w:color w:val="000000"/>
          <w:sz w:val="20"/>
          <w:szCs w:val="20"/>
        </w:rPr>
        <w:t>UTILITIES</w:t>
      </w:r>
    </w:p>
    <w:p w:rsidR="00000000" w:rsidRDefault="00AC31B9">
      <w:pPr>
        <w:divId w:val="2011716195"/>
        <w:rPr>
          <w:rFonts w:eastAsia="Times New Roman"/>
        </w:rPr>
      </w:pPr>
    </w:p>
    <w:p w:rsidR="00000000" w:rsidRDefault="00AC31B9">
      <w:pPr>
        <w:jc w:val="both"/>
        <w:rPr>
          <w:rFonts w:eastAsia="Times New Roman"/>
        </w:rPr>
      </w:pPr>
      <w:r>
        <w:rPr>
          <w:rFonts w:eastAsia="Times New Roman"/>
          <w:b/>
          <w:bCs/>
          <w:i/>
          <w:iCs/>
          <w:color w:val="000000"/>
          <w:sz w:val="20"/>
          <w:szCs w:val="20"/>
        </w:rPr>
        <w:t>PA GAS UTILITY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PA Gas Utility consists of the regulated natural gas distribution business of our subsidiary, UGI Utilities. PA Gas Utility serves customers in eas</w:t>
      </w:r>
      <w:r>
        <w:rPr>
          <w:rFonts w:eastAsia="Times New Roman"/>
          <w:color w:val="000000"/>
          <w:sz w:val="20"/>
          <w:szCs w:val="20"/>
        </w:rPr>
        <w:t>tern and central Pennsylvania and in portions of one Maryland county, and therefore is regulated by the PAPUC and, with respect to its customers in Maryland, the MDPSC.</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Service Area; Revenue Analysis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PA Gas Utility provides natural gas distribution ser</w:t>
      </w:r>
      <w:r>
        <w:rPr>
          <w:rFonts w:eastAsia="Times New Roman"/>
          <w:color w:val="000000"/>
          <w:sz w:val="20"/>
          <w:szCs w:val="20"/>
        </w:rPr>
        <w:t xml:space="preserve">vices to approximately 684,000 customers in certificated portions of 46 eastern and central Pennsylvania counties through its distribution system. Contemporary materials, such as plastic or coated steel, comprise approximately 93% of PA Gas Utility’s more </w:t>
      </w:r>
      <w:r>
        <w:rPr>
          <w:rFonts w:eastAsia="Times New Roman"/>
          <w:color w:val="000000"/>
          <w:sz w:val="20"/>
          <w:szCs w:val="20"/>
        </w:rPr>
        <w:t>than 12,600 miles of gas mains, with bare steel pipe comprising approximately 6% and cast iron pipe comprising approximately 1% of PA Gas Utility’s gas mains. In accordance with PA Gas Utility’s agreement with the PAPUC, PA Gas Utility will replace the cas</w:t>
      </w:r>
      <w:r>
        <w:rPr>
          <w:rFonts w:eastAsia="Times New Roman"/>
          <w:color w:val="000000"/>
          <w:sz w:val="20"/>
          <w:szCs w:val="20"/>
        </w:rPr>
        <w:t>t iron portion of its gas mains by March 2027 and the bare steel portion of its gas mains by September 2041. Located in PA Gas Utility’s service area are major production centers for basic industries such as specialty metals, aluminum, glass, paper product</w:t>
      </w:r>
      <w:r>
        <w:rPr>
          <w:rFonts w:eastAsia="Times New Roman"/>
          <w:color w:val="000000"/>
          <w:sz w:val="20"/>
          <w:szCs w:val="20"/>
        </w:rPr>
        <w:t xml:space="preserve"> manufacturing and several power generation facilities. PA Gas Utility also distributes natural gas to more than 550 customers in portions of one Maryland county.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System throughput (the total volume of gas sold to or transported for customers within PA </w:t>
      </w:r>
      <w:r>
        <w:rPr>
          <w:rFonts w:eastAsia="Times New Roman"/>
          <w:color w:val="000000"/>
          <w:sz w:val="20"/>
          <w:szCs w:val="20"/>
        </w:rPr>
        <w:t>Gas Utility’s distribution system) for Fiscal 2023 was approximately 324 Bcf. System sales of gas accounted for approximately 18% of system throughput, while gas transported for residential, commercial and industrial customers who bought their gas from oth</w:t>
      </w:r>
      <w:r>
        <w:rPr>
          <w:rFonts w:eastAsia="Times New Roman"/>
          <w:color w:val="000000"/>
          <w:sz w:val="20"/>
          <w:szCs w:val="20"/>
        </w:rPr>
        <w:t>ers accounted for approximately 82% of system throughput.</w:t>
      </w:r>
    </w:p>
    <w:p w:rsidR="00000000" w:rsidRDefault="00AC31B9">
      <w:pPr>
        <w:jc w:val="both"/>
        <w:rPr>
          <w:rFonts w:eastAsia="Times New Roman"/>
        </w:rPr>
      </w:pPr>
    </w:p>
    <w:p w:rsidR="00000000" w:rsidRDefault="00AC31B9">
      <w:pPr>
        <w:jc w:val="center"/>
        <w:divId w:val="938761564"/>
        <w:rPr>
          <w:rFonts w:eastAsia="Times New Roman"/>
        </w:rPr>
      </w:pPr>
      <w:r>
        <w:rPr>
          <w:rFonts w:eastAsia="Times New Roman"/>
          <w:color w:val="000000"/>
          <w:sz w:val="20"/>
          <w:szCs w:val="20"/>
        </w:rPr>
        <w:t>23</w:t>
      </w:r>
    </w:p>
    <w:p w:rsidR="00000000" w:rsidRDefault="00AC31B9">
      <w:pPr>
        <w:rPr>
          <w:rFonts w:eastAsia="Times New Roman"/>
        </w:rPr>
      </w:pPr>
      <w:r>
        <w:rPr>
          <w:rFonts w:eastAsia="Times New Roman"/>
        </w:rPr>
        <w:pict>
          <v:rect id="_x0000_i1049" style="width:0;height:1.5pt" o:hralign="center" o:hrstd="t" o:hr="t" fillcolor="#a0a0a0" stroked="f"/>
        </w:pict>
      </w:r>
    </w:p>
    <w:p w:rsidR="00000000" w:rsidRDefault="00AC31B9">
      <w:pPr>
        <w:divId w:val="1024331883"/>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b/>
          <w:bCs/>
          <w:i/>
          <w:iCs/>
          <w:color w:val="000000"/>
          <w:sz w:val="20"/>
          <w:szCs w:val="20"/>
        </w:rPr>
        <w:t>Sources of Supply and Pipeline Capacity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PA Gas Utility is permitted to recover</w:t>
      </w:r>
      <w:r>
        <w:rPr>
          <w:rFonts w:eastAsia="Times New Roman"/>
          <w:color w:val="000000"/>
          <w:sz w:val="20"/>
          <w:szCs w:val="20"/>
        </w:rPr>
        <w:t xml:space="preserve"> all prudently incurred costs of natural gas it sells to its customers. See “Management’s Discussion and Analysis of Financial Condition and Results of Operations - Market Risk Disclosures” and Note 9 to Consolidated Financial Statements. PA Gas Utility me</w:t>
      </w:r>
      <w:r>
        <w:rPr>
          <w:rFonts w:eastAsia="Times New Roman"/>
          <w:color w:val="000000"/>
          <w:sz w:val="20"/>
          <w:szCs w:val="20"/>
        </w:rPr>
        <w:t>ets its service requirements by utilizing a diverse mix of natural gas purchase contracts with marketers and producers, along with storage and transportation service contracts. These arrangements enable PA Gas Utility to purchase gas from Marcellus, Gulf C</w:t>
      </w:r>
      <w:r>
        <w:rPr>
          <w:rFonts w:eastAsia="Times New Roman"/>
          <w:color w:val="000000"/>
          <w:sz w:val="20"/>
          <w:szCs w:val="20"/>
        </w:rPr>
        <w:t>oast, Mid-Continent, and Appalachian sources. For its transportation and storage functions, PA Gas Utility has long-term agreements with a number of pipeline companies, including Texas Eastern Transmission, LP, Columbia Gas Transmission, LLC, Transcontinen</w:t>
      </w:r>
      <w:r>
        <w:rPr>
          <w:rFonts w:eastAsia="Times New Roman"/>
          <w:color w:val="000000"/>
          <w:sz w:val="20"/>
          <w:szCs w:val="20"/>
        </w:rPr>
        <w:t xml:space="preserve">tal Gas Pipeline Company, LLC, Eastern Gas Transmission and Storage, Inc., Tennessee Gas Pipeline Company, L.L.C., and Energy Services and its subsidiaries (including UGI Storage Company and UGI Sunbury, LLC).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Gas Supply Contracts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During Fiscal 2023, </w:t>
      </w:r>
      <w:r>
        <w:rPr>
          <w:rFonts w:eastAsia="Times New Roman"/>
          <w:color w:val="000000"/>
          <w:sz w:val="20"/>
          <w:szCs w:val="20"/>
        </w:rPr>
        <w:t>PA Gas Utility purchased approximately 78 Bcf of natural gas for sale to retail core-market customers (principally comprised of firm residential, commercial and industrial customers that purchase their gas from PA Gas Utility) and off-system sales customer</w:t>
      </w:r>
      <w:r>
        <w:rPr>
          <w:rFonts w:eastAsia="Times New Roman"/>
          <w:color w:val="000000"/>
          <w:sz w:val="20"/>
          <w:szCs w:val="20"/>
        </w:rPr>
        <w:t>s. Approximately 96% of the volumes purchased were supplied under agreements with ten suppliers, with the remaining volumes supplied primarily by 30 producers and marketers. Gas supply contracts for PA Gas Utility vary in length by counterparty and type of</w:t>
      </w:r>
      <w:r>
        <w:rPr>
          <w:rFonts w:eastAsia="Times New Roman"/>
          <w:color w:val="000000"/>
          <w:sz w:val="20"/>
          <w:szCs w:val="20"/>
        </w:rPr>
        <w:t xml:space="preserve"> supply. Typically, pipeline and storage contracts range from one to five years in length. PA Gas Utility also has long-term contracts with suppliers for natural gas peaking supply during the months of November through March.</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Seasonality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Because many of its customers use natural gas for heating purposes, PA Gas Utility’s sales are seasonal. For Fiscal 2023, approximately 59% of PA Gas Utility’s sales volume was supplied, and approximately 90% of PA Gas Utility’s operating income was earned</w:t>
      </w:r>
      <w:r>
        <w:rPr>
          <w:rFonts w:eastAsia="Times New Roman"/>
          <w:color w:val="000000"/>
          <w:sz w:val="20"/>
          <w:szCs w:val="20"/>
        </w:rPr>
        <w:t xml:space="preserve">, during the peak heating season from October through March.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Competition</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Natural gas is a fuel that competes with electricity and oil and, to a lesser extent, with propane and coal. Competition among these fuels is primarily a function of their compar</w:t>
      </w:r>
      <w:r>
        <w:rPr>
          <w:rFonts w:eastAsia="Times New Roman"/>
          <w:color w:val="000000"/>
          <w:sz w:val="20"/>
          <w:szCs w:val="20"/>
        </w:rPr>
        <w:t>ative price and the relative cost and efficiency of the equipment. Natural gas generally benefits from a competitive price advantage over oil, electricity and propane. Fuel oil dealers compete for customers in all categories, including industrial customers</w:t>
      </w:r>
      <w:r>
        <w:rPr>
          <w:rFonts w:eastAsia="Times New Roman"/>
          <w:color w:val="000000"/>
          <w:sz w:val="20"/>
          <w:szCs w:val="20"/>
        </w:rPr>
        <w:t>. PA Gas Utility responds to this competition with marketing and sales efforts designed to retain, expand and grow its customer base.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In substantially all of its service territories, PA Gas Utility is the only regulated gas distribution utility having the right, granted by the PAPUC or by law, to provide gas distribution services. All of PA Gas Utility’s customers, including core-market </w:t>
      </w:r>
      <w:r>
        <w:rPr>
          <w:rFonts w:eastAsia="Times New Roman"/>
          <w:color w:val="000000"/>
          <w:sz w:val="20"/>
          <w:szCs w:val="20"/>
        </w:rPr>
        <w:t>customers, have the right to purchase gas supplies from entities other than natural gas distribution utility companies.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 number of PA Gas Utility’s commercial and industrial customers have the ability to switch to an alternate fuel at any time and, ther</w:t>
      </w:r>
      <w:r>
        <w:rPr>
          <w:rFonts w:eastAsia="Times New Roman"/>
          <w:color w:val="000000"/>
          <w:sz w:val="20"/>
          <w:szCs w:val="20"/>
        </w:rPr>
        <w:t>efore, are served on an interruptible basis under rates that are competitively priced with respect to the alternate fuel. Margin from these customers, therefore, is affected by the difference or “spread” between the customers’ delivered cost of gas and the</w:t>
      </w:r>
      <w:r>
        <w:rPr>
          <w:rFonts w:eastAsia="Times New Roman"/>
          <w:color w:val="000000"/>
          <w:sz w:val="20"/>
          <w:szCs w:val="20"/>
        </w:rPr>
        <w:t xml:space="preserve"> customers’ delivered cost of the alternate fuel, the frequency and duration of interruptions, and alternative firm service options. See “Utilities Regulation - State Utility Regulation - PA Gas Utility.”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Approximately 74% of PA Gas Utility’s annual thro</w:t>
      </w:r>
      <w:r>
        <w:rPr>
          <w:rFonts w:eastAsia="Times New Roman"/>
          <w:color w:val="000000"/>
          <w:sz w:val="20"/>
          <w:szCs w:val="20"/>
        </w:rPr>
        <w:t>ughput volume for commercial and industrial customers includes customers at locations that afford them the opportunity of seeking transportation service directly from interstate pipelines, thereby bypassing PA Gas Utility. During Fiscal 2023, PA Gas Utilit</w:t>
      </w:r>
      <w:r>
        <w:rPr>
          <w:rFonts w:eastAsia="Times New Roman"/>
          <w:color w:val="000000"/>
          <w:sz w:val="20"/>
          <w:szCs w:val="20"/>
        </w:rPr>
        <w:t>y had 17 such customers, 15 of which have transportation contracts extending beyond Fiscal 2024. The majority of these customers are served under transportation contracts having three to 20-year terms and all are among the largest customers for PA Gas Util</w:t>
      </w:r>
      <w:r>
        <w:rPr>
          <w:rFonts w:eastAsia="Times New Roman"/>
          <w:color w:val="000000"/>
          <w:sz w:val="20"/>
          <w:szCs w:val="20"/>
        </w:rPr>
        <w:t>ity in terms of annual volumes. No single customer represents, or is anticipated to represent, more than five percent of PA Gas Utility’s total revenues.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Outlook for Gas Service and Supply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PA Gas Utility anticipates having adequate pipeline capacity, p</w:t>
      </w:r>
      <w:r>
        <w:rPr>
          <w:rFonts w:eastAsia="Times New Roman"/>
          <w:color w:val="000000"/>
          <w:sz w:val="20"/>
          <w:szCs w:val="20"/>
        </w:rPr>
        <w:t>eaking services and other sources of supply available to it to meet the full requirements of all firm customers on its system through Fiscal 2024. Supply mix is diversified, market priced and delivered pursuant to a number of long-term and short-term prima</w:t>
      </w:r>
      <w:r>
        <w:rPr>
          <w:rFonts w:eastAsia="Times New Roman"/>
          <w:color w:val="000000"/>
          <w:sz w:val="20"/>
          <w:szCs w:val="20"/>
        </w:rPr>
        <w:t xml:space="preserve">ry firm transportation and storage arrangements, including transportation contracts held by some of PA Gas Utility’s larger customers and natural gas suppliers serving </w:t>
      </w:r>
    </w:p>
    <w:p w:rsidR="00000000" w:rsidRDefault="00AC31B9">
      <w:pPr>
        <w:jc w:val="center"/>
        <w:divId w:val="928655379"/>
        <w:rPr>
          <w:rFonts w:eastAsia="Times New Roman"/>
        </w:rPr>
      </w:pPr>
      <w:r>
        <w:rPr>
          <w:rFonts w:eastAsia="Times New Roman"/>
          <w:color w:val="000000"/>
          <w:sz w:val="20"/>
          <w:szCs w:val="20"/>
        </w:rPr>
        <w:t>24</w:t>
      </w:r>
    </w:p>
    <w:p w:rsidR="00000000" w:rsidRDefault="00AC31B9">
      <w:pPr>
        <w:rPr>
          <w:rFonts w:eastAsia="Times New Roman"/>
        </w:rPr>
      </w:pPr>
      <w:r>
        <w:rPr>
          <w:rFonts w:eastAsia="Times New Roman"/>
        </w:rPr>
        <w:pict>
          <v:rect id="_x0000_i1050" style="width:0;height:1.5pt" o:hralign="center" o:hrstd="t" o:hr="t" fillcolor="#a0a0a0" stroked="f"/>
        </w:pict>
      </w:r>
    </w:p>
    <w:p w:rsidR="00000000" w:rsidRDefault="00AC31B9">
      <w:pPr>
        <w:divId w:val="340203300"/>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customers on PA Gas Utility’s distribution system.</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During Fiscal 2023, PA Gas Utility supplied transportation service to 11 electric generation facilities and 29 major co-generation facilities. PA Gas Utility continues to seek</w:t>
      </w:r>
      <w:r>
        <w:rPr>
          <w:rFonts w:eastAsia="Times New Roman"/>
          <w:color w:val="000000"/>
          <w:sz w:val="20"/>
          <w:szCs w:val="20"/>
        </w:rPr>
        <w:t xml:space="preserve"> new residential, commercial and industrial customers for both firm and interruptible service. In Fiscal 2023, PA Gas Utility connected more than 1,460 new commercial and industrial customers. In the residential market sector, PA Gas Utility added more tha</w:t>
      </w:r>
      <w:r>
        <w:rPr>
          <w:rFonts w:eastAsia="Times New Roman"/>
          <w:color w:val="000000"/>
          <w:sz w:val="20"/>
          <w:szCs w:val="20"/>
        </w:rPr>
        <w:t>n 11,100 residential heating customers during Fiscal 2023. Approximately 56% of these customers converted to natural gas heating from other energy sources, mainly oil and electricity. New home construction and existing non-heating gas customers who added g</w:t>
      </w:r>
      <w:r>
        <w:rPr>
          <w:rFonts w:eastAsia="Times New Roman"/>
          <w:color w:val="000000"/>
          <w:sz w:val="20"/>
          <w:szCs w:val="20"/>
        </w:rPr>
        <w:t>as heating systems to replace other energy sources primarily accounted for the other residential heating connections in Fiscal 2023.</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PA Gas Utility continues to monitor and participate, where appropriate, in rulemaking and individual rate and tariff proc</w:t>
      </w:r>
      <w:r>
        <w:rPr>
          <w:rFonts w:eastAsia="Times New Roman"/>
          <w:color w:val="000000"/>
          <w:sz w:val="20"/>
          <w:szCs w:val="20"/>
        </w:rPr>
        <w:t>eedings before FERC affecting the rates and the terms and conditions under which PA Gas Utility transports and stores natural gas using interstate natural gas pipelines. Among these proceedings are those arising out of certain FERC orders and/or pipeline f</w:t>
      </w:r>
      <w:r>
        <w:rPr>
          <w:rFonts w:eastAsia="Times New Roman"/>
          <w:color w:val="000000"/>
          <w:sz w:val="20"/>
          <w:szCs w:val="20"/>
        </w:rPr>
        <w:t>ilings that relate to (i) the pricing of pipeline services in a competitive energy marketplace, (ii) the flexibility of the terms and conditions of pipeline service tariffs and contracts, and (iii) pipelines’ requests to increase their base rates, or chang</w:t>
      </w:r>
      <w:r>
        <w:rPr>
          <w:rFonts w:eastAsia="Times New Roman"/>
          <w:color w:val="000000"/>
          <w:sz w:val="20"/>
          <w:szCs w:val="20"/>
        </w:rPr>
        <w:t>e the terms and conditions of their storage and transportation services.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PA Gas Utility’s objective in negotiations with providers of gas supply resources, and in proceedings before regulatory agencies, is to ensure availability of supply, transportation</w:t>
      </w:r>
      <w:r>
        <w:rPr>
          <w:rFonts w:eastAsia="Times New Roman"/>
          <w:color w:val="000000"/>
          <w:sz w:val="20"/>
          <w:szCs w:val="20"/>
        </w:rPr>
        <w:t xml:space="preserve"> and storage alternatives to serve market requirements at the lowest cost possible, taking into account the need for safety, security and reliability of supply. Consistent with that objective, PA Gas Utility negotiates certain terms of firm transportation </w:t>
      </w:r>
      <w:r>
        <w:rPr>
          <w:rFonts w:eastAsia="Times New Roman"/>
          <w:color w:val="000000"/>
          <w:sz w:val="20"/>
          <w:szCs w:val="20"/>
        </w:rPr>
        <w:t>capacity on all pipelines serving it, arranges for appropriate storage and peak-shaving resources, negotiates with producers for competitively priced gas purchases and participates in regulatory proceedings related to transportation rights and costs of ser</w:t>
      </w:r>
      <w:r>
        <w:rPr>
          <w:rFonts w:eastAsia="Times New Roman"/>
          <w:color w:val="000000"/>
          <w:sz w:val="20"/>
          <w:szCs w:val="20"/>
        </w:rPr>
        <w:t>vice.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At September 30, 2023, PA Gas Utility had approximately 1,600 employees.</w:t>
      </w:r>
    </w:p>
    <w:p w:rsidR="00000000" w:rsidRDefault="00AC31B9">
      <w:pPr>
        <w:divId w:val="1222523635"/>
        <w:rPr>
          <w:rFonts w:eastAsia="Times New Roman"/>
        </w:rPr>
      </w:pPr>
    </w:p>
    <w:p w:rsidR="00000000" w:rsidRDefault="00AC31B9">
      <w:pPr>
        <w:jc w:val="both"/>
        <w:rPr>
          <w:rFonts w:eastAsia="Times New Roman"/>
        </w:rPr>
      </w:pPr>
      <w:r>
        <w:rPr>
          <w:rFonts w:eastAsia="Times New Roman"/>
          <w:b/>
          <w:bCs/>
          <w:i/>
          <w:iCs/>
          <w:color w:val="000000"/>
          <w:sz w:val="20"/>
          <w:szCs w:val="20"/>
        </w:rPr>
        <w:t>MOUNTAINEER</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September 2021, we completed the Mountaineer Acquisition, whereby Mountaineer Gas Company became an indirect, wholly owned subsidiary of UGI. Mountaineer provides a regulated natural gas distribution business to over 211,000 customers in 50 of West Virg</w:t>
      </w:r>
      <w:r>
        <w:rPr>
          <w:rFonts w:eastAsia="Times New Roman"/>
          <w:color w:val="000000"/>
          <w:sz w:val="20"/>
          <w:szCs w:val="20"/>
        </w:rPr>
        <w:t>inia’s 55 counties. Mountaineer’s system is comprised of approximately 6,200 miles of distribution, transmission and gathering pipelines. Contemporary materials, such as plastic or coated steel, comprise approximately 76% of Mountaineer’s gas mains, with b</w:t>
      </w:r>
      <w:r>
        <w:rPr>
          <w:rFonts w:eastAsia="Times New Roman"/>
          <w:color w:val="000000"/>
          <w:sz w:val="20"/>
          <w:szCs w:val="20"/>
        </w:rPr>
        <w:t xml:space="preserve">are steel pipe comprising the remaining 24%.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As of September 30, 2023, Mountaineer’s customer base was approximately 90% residential, and 10% commercial and industrial customers, with throughput volumes consisting of approximately 25% residential, 33% c</w:t>
      </w:r>
      <w:r>
        <w:rPr>
          <w:rFonts w:eastAsia="Times New Roman"/>
          <w:color w:val="000000"/>
          <w:sz w:val="20"/>
          <w:szCs w:val="20"/>
        </w:rPr>
        <w:t>ommercial and 42% industrial and other. Because many of its customers use gas for heating purposes, Mountaineer’s sales are seasonal. For Fiscal 2023, approximately 60% of Mountaineer’s sales volume (including transport volumes) was supplied, and 142% of M</w:t>
      </w:r>
      <w:r>
        <w:rPr>
          <w:rFonts w:eastAsia="Times New Roman"/>
          <w:color w:val="000000"/>
          <w:sz w:val="20"/>
          <w:szCs w:val="20"/>
        </w:rPr>
        <w:t xml:space="preserve">ountaineer’s operating income was earned, during the peak heating season from October through March. No single customer represents, or is anticipated to represent, more than five percent of Mountaineer’s total revenues.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System throughput (the total volu</w:t>
      </w:r>
      <w:r>
        <w:rPr>
          <w:rFonts w:eastAsia="Times New Roman"/>
          <w:color w:val="000000"/>
          <w:sz w:val="20"/>
          <w:szCs w:val="20"/>
        </w:rPr>
        <w:t>me of gas sold to or transported for customers within Mountaineer’s distribution system) for Fiscal 2023 was approximately 51 Bcf. Retail core-market sales of gas accounted for approximately 39% of system throughput, while gas transported for commercial an</w:t>
      </w:r>
      <w:r>
        <w:rPr>
          <w:rFonts w:eastAsia="Times New Roman"/>
          <w:color w:val="000000"/>
          <w:sz w:val="20"/>
          <w:szCs w:val="20"/>
        </w:rPr>
        <w:t>d industrial customers who bought their gas from others accounted for approximately 61% of system throughput. Mountaineer anticipates having adequate pipeline capacity, peaking services and other sources of supply available to it to meet the full requireme</w:t>
      </w:r>
      <w:r>
        <w:rPr>
          <w:rFonts w:eastAsia="Times New Roman"/>
          <w:color w:val="000000"/>
          <w:sz w:val="20"/>
          <w:szCs w:val="20"/>
        </w:rPr>
        <w:t xml:space="preserve">nts of all firm customers on its system through Fiscal 2024.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Approximately 53% of Mountaineer’s annual throughput volume for commercial and industrial customers represents customers who are served under interruptible rates and are also in a location nea</w:t>
      </w:r>
      <w:r>
        <w:rPr>
          <w:rFonts w:eastAsia="Times New Roman"/>
          <w:color w:val="000000"/>
          <w:sz w:val="20"/>
          <w:szCs w:val="20"/>
        </w:rPr>
        <w:t>r an interstate pipeline. As of September 30, 2023, Mountaineer had 19 such customers, one of which has a transportation contract extending beyond September 30, 2024. The majority of these customers, including 10 of Mountaineer’s largest customers in terms</w:t>
      </w:r>
      <w:r>
        <w:rPr>
          <w:rFonts w:eastAsia="Times New Roman"/>
          <w:color w:val="000000"/>
          <w:sz w:val="20"/>
          <w:szCs w:val="20"/>
        </w:rPr>
        <w:t xml:space="preserve"> of annual volumes, are served under evergreen transportation contracts having a 30- to 180-day termination notice.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Mountaineer meets its service requirements by utilizing a diverse mix of natural gas purchase contracts with marketers and producers, alon</w:t>
      </w:r>
      <w:r>
        <w:rPr>
          <w:rFonts w:eastAsia="Times New Roman"/>
          <w:color w:val="000000"/>
          <w:sz w:val="20"/>
          <w:szCs w:val="20"/>
        </w:rPr>
        <w:t>g with storage and transportation service contracts. During Fiscal 2023, Mountaineer purchased approximately 20 Bcf of natural gas for sale to retail core-market customers (principally comprised of firm- residential, commercial and industrial customers tha</w:t>
      </w:r>
      <w:r>
        <w:rPr>
          <w:rFonts w:eastAsia="Times New Roman"/>
          <w:color w:val="000000"/>
          <w:sz w:val="20"/>
          <w:szCs w:val="20"/>
        </w:rPr>
        <w:t>t purchase their gas from Mountaineer). Approximately 81% of the volume purchased was supplied under agreements with 10 suppliers, with the remaining volumes supplied by various producers and marketers. Gas supply contracts for Mountaineer are generally ev</w:t>
      </w:r>
      <w:r>
        <w:rPr>
          <w:rFonts w:eastAsia="Times New Roman"/>
          <w:color w:val="000000"/>
          <w:sz w:val="20"/>
          <w:szCs w:val="20"/>
        </w:rPr>
        <w:t xml:space="preserve">ergreen agreements with a 30-day termination notice. </w:t>
      </w:r>
    </w:p>
    <w:p w:rsidR="00000000" w:rsidRDefault="00AC31B9">
      <w:pPr>
        <w:jc w:val="center"/>
        <w:divId w:val="555052355"/>
        <w:rPr>
          <w:rFonts w:eastAsia="Times New Roman"/>
        </w:rPr>
      </w:pPr>
      <w:r>
        <w:rPr>
          <w:rFonts w:eastAsia="Times New Roman"/>
          <w:color w:val="000000"/>
          <w:sz w:val="20"/>
          <w:szCs w:val="20"/>
        </w:rPr>
        <w:t>25</w:t>
      </w:r>
    </w:p>
    <w:p w:rsidR="00000000" w:rsidRDefault="00AC31B9">
      <w:pPr>
        <w:rPr>
          <w:rFonts w:eastAsia="Times New Roman"/>
        </w:rPr>
      </w:pPr>
      <w:r>
        <w:rPr>
          <w:rFonts w:eastAsia="Times New Roman"/>
        </w:rPr>
        <w:pict>
          <v:rect id="_x0000_i1051" style="width:0;height:1.5pt" o:hralign="center" o:hrstd="t" o:hr="t" fillcolor="#a0a0a0" stroked="f"/>
        </w:pict>
      </w:r>
    </w:p>
    <w:p w:rsidR="00000000" w:rsidRDefault="00AC31B9">
      <w:pPr>
        <w:divId w:val="355041170"/>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At September 30, 2023, Mountaineer had approximately 480 employees.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ELECTRIC UTILI</w:t>
      </w:r>
      <w:r>
        <w:rPr>
          <w:rFonts w:eastAsia="Times New Roman"/>
          <w:b/>
          <w:bCs/>
          <w:i/>
          <w:iCs/>
          <w:color w:val="000000"/>
          <w:sz w:val="20"/>
          <w:szCs w:val="20"/>
        </w:rPr>
        <w:t>TY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Electric Utility supplies electric service to approximately 62,700 customers in portions of Luzerne and Wyoming counties in northeastern Pennsylvania through a system consisting of over 2,600 miles of transmission and distribution lines and 14 substat</w:t>
      </w:r>
      <w:r>
        <w:rPr>
          <w:rFonts w:eastAsia="Times New Roman"/>
          <w:color w:val="000000"/>
          <w:sz w:val="20"/>
          <w:szCs w:val="20"/>
        </w:rPr>
        <w:t>ions. For Fiscal 2023, approximately 57% of sales volume came from residential customers, 32% from commercial customers and 11% from industrial and other customers. During Fiscal 2023, 12 retail electric generation suppliers provided energy for customers r</w:t>
      </w:r>
      <w:r>
        <w:rPr>
          <w:rFonts w:eastAsia="Times New Roman"/>
          <w:color w:val="000000"/>
          <w:sz w:val="20"/>
          <w:szCs w:val="20"/>
        </w:rPr>
        <w:t xml:space="preserve">epresenting approximately 23% of Electric Utility’s sales volume.  At September 30, 2023, UGI Utilities’ electric utility operations had approximately 80 employees.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UTILITIES REGULATION</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 xml:space="preserve">State Utility Regulation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PA Gas Utility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PA Gas Utility is subject to regulation by the PAPUC as to rates, terms and conditions of service, accounting matters, issuance of securities, contracts and other arrangements with affiliated entities, gas safety and various other matters. Rates that PA Ga</w:t>
      </w:r>
      <w:r>
        <w:rPr>
          <w:rFonts w:eastAsia="Times New Roman"/>
          <w:color w:val="000000"/>
          <w:sz w:val="20"/>
          <w:szCs w:val="20"/>
        </w:rPr>
        <w:t>s Utility may charge for gas service come in two forms: (i) rates designed to recover PGCs; and (ii) rates designed to recover costs other than PGCs. Rates designed to recover PGCs are reviewed in PGC proceedings. Rates designed to recover costs other than</w:t>
      </w:r>
      <w:r>
        <w:rPr>
          <w:rFonts w:eastAsia="Times New Roman"/>
          <w:color w:val="000000"/>
          <w:sz w:val="20"/>
          <w:szCs w:val="20"/>
        </w:rPr>
        <w:t xml:space="preserve"> PGCs are primarily established in general base rate proceedings.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Act 11 of 2012 authorized the PAPUC to permit electric and gas distribution companies, between base rate cases and subject to certain conditions, to recover reasonable and prudent costs i</w:t>
      </w:r>
      <w:r>
        <w:rPr>
          <w:rFonts w:eastAsia="Times New Roman"/>
          <w:color w:val="000000"/>
          <w:sz w:val="20"/>
          <w:szCs w:val="20"/>
        </w:rPr>
        <w:t>ncurred to repair, improve or replace eligible property through a DSIC assessed to customers. Among other requirements, DSICs are subject to quarterly reconciliation of over-/under- collection and are capped at five percent of total customer charges absent</w:t>
      </w:r>
      <w:r>
        <w:rPr>
          <w:rFonts w:eastAsia="Times New Roman"/>
          <w:color w:val="000000"/>
          <w:sz w:val="20"/>
          <w:szCs w:val="20"/>
        </w:rPr>
        <w:t xml:space="preserve"> a PAPUC-granted exception. In addition, Act 11 requires affected utilities to obtain approval of LTIIPs from the PAPUC. Act 11 also authorized electric and gas distribution companies to utilize a fully projected future test year when establishing rates in</w:t>
      </w:r>
      <w:r>
        <w:rPr>
          <w:rFonts w:eastAsia="Times New Roman"/>
          <w:color w:val="000000"/>
          <w:sz w:val="20"/>
          <w:szCs w:val="20"/>
        </w:rPr>
        <w:t xml:space="preserve"> base rate cases before the PAPUC.</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On August 21, 2019, PA Gas Utility filed a consolidated LTIIP designed for the 2020-2024 calendar years, during which PA Gas Utility projects spending is $1.265 billion on DSIC-eligible property. PA Gas Utility’s filing</w:t>
      </w:r>
      <w:r>
        <w:rPr>
          <w:rFonts w:eastAsia="Times New Roman"/>
          <w:color w:val="000000"/>
          <w:sz w:val="20"/>
          <w:szCs w:val="20"/>
        </w:rPr>
        <w:t xml:space="preserve"> was approved by the PAPUC in an order entered December 19, 2019.</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On September 15, 2022, the PAPUC issued a final order approving a settlement of a base rate proceeding by PA Gas Utility that permitted PA Gas Utility to implement a $49 million annual bas</w:t>
      </w:r>
      <w:r>
        <w:rPr>
          <w:rFonts w:eastAsia="Times New Roman"/>
          <w:color w:val="000000"/>
          <w:sz w:val="20"/>
          <w:szCs w:val="20"/>
        </w:rPr>
        <w:t>e distribution rate increase through a phased approach, with $38 million beginning October 29, 2022 and an additional $11 million beginning October 1, 2023. In accordance with the terms of the final order, PA Gas Utility will not be permitted to file a rat</w:t>
      </w:r>
      <w:r>
        <w:rPr>
          <w:rFonts w:eastAsia="Times New Roman"/>
          <w:color w:val="000000"/>
          <w:sz w:val="20"/>
          <w:szCs w:val="20"/>
        </w:rPr>
        <w:t>e case prior to January 1, 2024. Also in accordance with the terms of the final order, PA Gas Utility implemented a weather normalization adjustment rider as a five-year pilot program beginning on November 1, 2022. Under this rider, customer billings for d</w:t>
      </w:r>
      <w:r>
        <w:rPr>
          <w:rFonts w:eastAsia="Times New Roman"/>
          <w:color w:val="000000"/>
          <w:sz w:val="20"/>
          <w:szCs w:val="20"/>
        </w:rPr>
        <w:t>istribution services are adjusted monthly to reflect normal weather conditions where weather deviates more than three percent from normal. Additionally, under the terms of the final order, PA Gas Utility is authorized to implement a DSIC once its total pro</w:t>
      </w:r>
      <w:r>
        <w:rPr>
          <w:rFonts w:eastAsia="Times New Roman"/>
          <w:color w:val="000000"/>
          <w:sz w:val="20"/>
          <w:szCs w:val="20"/>
        </w:rPr>
        <w:t>perty, plant and equipment less accumulated depreciation reached $3.368 billion. This threshold was achieved in September 2022 and PA Gas Utility implemented a new DSIC effective January 1, 2023.</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addition to base distribution rates and various surchar</w:t>
      </w:r>
      <w:r>
        <w:rPr>
          <w:rFonts w:eastAsia="Times New Roman"/>
          <w:color w:val="000000"/>
          <w:sz w:val="20"/>
          <w:szCs w:val="20"/>
        </w:rPr>
        <w:t>ges designed to recover specified types of costs, PA Gas Utility’s tariff also includes a uniform PGC rate applicable to firm retail rate schedules for customers who do not obtain natural gas supply service from an alternative supplier. The PGC rate permit</w:t>
      </w:r>
      <w:r>
        <w:rPr>
          <w:rFonts w:eastAsia="Times New Roman"/>
          <w:color w:val="000000"/>
          <w:sz w:val="20"/>
          <w:szCs w:val="20"/>
        </w:rPr>
        <w:t>s recovery of all prudently incurred costs of natural gas that PA Gas Utility sells to its retail customers. PGC rates are reviewed and approved annually by the PAPUC. PA Gas Utility may request quarterly or, under certain conditions, monthly adjustments t</w:t>
      </w:r>
      <w:r>
        <w:rPr>
          <w:rFonts w:eastAsia="Times New Roman"/>
          <w:color w:val="000000"/>
          <w:sz w:val="20"/>
          <w:szCs w:val="20"/>
        </w:rPr>
        <w:t xml:space="preserve">o reflect the actual cost of gas. Quarterly adjustments become effective on one day’s notice to the PAPUC and are subject to review during the next annual PGC filing. Each proposed annual PGC rate is required to be filed with the PAPUC six months prior to </w:t>
      </w:r>
      <w:r>
        <w:rPr>
          <w:rFonts w:eastAsia="Times New Roman"/>
          <w:color w:val="000000"/>
          <w:sz w:val="20"/>
          <w:szCs w:val="20"/>
        </w:rPr>
        <w:t>its effective date. During this period, the PAPUC investigates and may hold hearings to determine whether the proposed rate reflects a least-cost fuel procurement policy consistent with the obligation to provide safe, adequate and reliable service. After c</w:t>
      </w:r>
      <w:r>
        <w:rPr>
          <w:rFonts w:eastAsia="Times New Roman"/>
          <w:color w:val="000000"/>
          <w:sz w:val="20"/>
          <w:szCs w:val="20"/>
        </w:rPr>
        <w:t>ompletion of these hearings, the PAPUC issues an order permitting the collection of gas costs at levels that meet such standard. The PGC mechanism also provides for an annual reconciliation and for the payment or collection of interest on over and under co</w:t>
      </w:r>
      <w:r>
        <w:rPr>
          <w:rFonts w:eastAsia="Times New Roman"/>
          <w:color w:val="000000"/>
          <w:sz w:val="20"/>
          <w:szCs w:val="20"/>
        </w:rPr>
        <w:t xml:space="preserve">llections. </w:t>
      </w:r>
    </w:p>
    <w:p w:rsidR="00000000" w:rsidRDefault="00AC31B9">
      <w:pPr>
        <w:jc w:val="both"/>
        <w:rPr>
          <w:rFonts w:eastAsia="Times New Roman"/>
        </w:rPr>
      </w:pPr>
    </w:p>
    <w:p w:rsidR="00000000" w:rsidRDefault="00AC31B9">
      <w:pPr>
        <w:jc w:val="center"/>
        <w:divId w:val="166755642"/>
        <w:rPr>
          <w:rFonts w:eastAsia="Times New Roman"/>
        </w:rPr>
      </w:pPr>
      <w:r>
        <w:rPr>
          <w:rFonts w:eastAsia="Times New Roman"/>
          <w:color w:val="000000"/>
          <w:sz w:val="20"/>
          <w:szCs w:val="20"/>
        </w:rPr>
        <w:t>26</w:t>
      </w:r>
    </w:p>
    <w:p w:rsidR="00000000" w:rsidRDefault="00AC31B9">
      <w:pPr>
        <w:rPr>
          <w:rFonts w:eastAsia="Times New Roman"/>
        </w:rPr>
      </w:pPr>
      <w:r>
        <w:rPr>
          <w:rFonts w:eastAsia="Times New Roman"/>
        </w:rPr>
        <w:pict>
          <v:rect id="_x0000_i1052" style="width:0;height:1.5pt" o:hralign="center" o:hrstd="t" o:hr="t" fillcolor="#a0a0a0" stroked="f"/>
        </w:pict>
      </w:r>
    </w:p>
    <w:p w:rsidR="00000000" w:rsidRDefault="00AC31B9">
      <w:pPr>
        <w:divId w:val="2004893014"/>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PA Gas Utility’s gas service tariff also contains a state tax surcharge clause. The surcharge is recomputed whenever any of th</w:t>
      </w:r>
      <w:r>
        <w:rPr>
          <w:rFonts w:eastAsia="Times New Roman"/>
          <w:color w:val="000000"/>
          <w:sz w:val="20"/>
          <w:szCs w:val="20"/>
        </w:rPr>
        <w:t>e tax rates included in their calculation are changed. These clauses protect PA Gas Utility from the effects of increases in certain of the Pennsylvania taxes to which it is subject.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Mountaineer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Mountaineer is subject to regulation of rates and other </w:t>
      </w:r>
      <w:r>
        <w:rPr>
          <w:rFonts w:eastAsia="Times New Roman"/>
          <w:color w:val="000000"/>
          <w:sz w:val="20"/>
          <w:szCs w:val="20"/>
        </w:rPr>
        <w:t>aspects of its business by the WVPSC. When necessary, Mountaineer seeks general base rate increases to recover increased operating costs and a fair return on rate base investments. Base rates are determined by the cost-of-service by rate class, and the rat</w:t>
      </w:r>
      <w:r>
        <w:rPr>
          <w:rFonts w:eastAsia="Times New Roman"/>
          <w:color w:val="000000"/>
          <w:sz w:val="20"/>
          <w:szCs w:val="20"/>
        </w:rPr>
        <w:t xml:space="preserve">e design methodology allocates the majority of operating costs through volumetric charges.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Mountaineer makes routine filings with the WVPSC to reflect changes in the costs of purchased gas. These purchased gas costs are subject to rate recovery through </w:t>
      </w:r>
      <w:r>
        <w:rPr>
          <w:rFonts w:eastAsia="Times New Roman"/>
          <w:color w:val="000000"/>
          <w:sz w:val="20"/>
          <w:szCs w:val="20"/>
        </w:rPr>
        <w:t>a mechanism that provides dollar-for-dollar recovery of prudently incurred costs. Costs in excess of revenues that are expected to be recovered in future rates are deferred as regulatory assets; conversely, revenues in excess of costs are deferred as a reg</w:t>
      </w:r>
      <w:r>
        <w:rPr>
          <w:rFonts w:eastAsia="Times New Roman"/>
          <w:color w:val="000000"/>
          <w:sz w:val="20"/>
          <w:szCs w:val="20"/>
        </w:rPr>
        <w:t>ulatory liability. The PGA filings generally cover a prospective 12-month period. The WVPSC entered a procedural order on September 9, 2022, directing all gas utilities and other parties to file proposals to reduce or levelize the impact of high natural ga</w:t>
      </w:r>
      <w:r>
        <w:rPr>
          <w:rFonts w:eastAsia="Times New Roman"/>
          <w:color w:val="000000"/>
          <w:sz w:val="20"/>
          <w:szCs w:val="20"/>
        </w:rPr>
        <w:t>s costs on utilities’ customers in the near term. Further, WVPSC issued orders issued on November 28, 2022 and December 1, 2022 that established interim purchased gas rates. In addition, for Mountaineer’s residential customers only, the WVPSC created a new</w:t>
      </w:r>
      <w:r>
        <w:rPr>
          <w:rFonts w:eastAsia="Times New Roman"/>
          <w:color w:val="000000"/>
          <w:sz w:val="20"/>
          <w:szCs w:val="20"/>
        </w:rPr>
        <w:t xml:space="preserve"> monthly fixed charge of $11.08 to levelize the collection of the pipeline demand charges. The WVPSC issued a final order and a further final order on April 12, 2023 and April 14, 2023, respectively, which established final purchased gas rates, keeping in </w:t>
      </w:r>
      <w:r>
        <w:rPr>
          <w:rFonts w:eastAsia="Times New Roman"/>
          <w:color w:val="000000"/>
          <w:sz w:val="20"/>
          <w:szCs w:val="20"/>
        </w:rPr>
        <w:t>place the residential pipeline demand charge of $11.08 and permitted partial recovery of interest on the unrecovered balance that was deferred. In July 2023, Mountaineer filed a PGA case, and on October 5, 2023, an interim rate order was issued that establ</w:t>
      </w:r>
      <w:r>
        <w:rPr>
          <w:rFonts w:eastAsia="Times New Roman"/>
          <w:color w:val="000000"/>
          <w:sz w:val="20"/>
          <w:szCs w:val="20"/>
        </w:rPr>
        <w:t>ished new reduced interim rates effective November 1, 2023. All parties were directed to file further information in their final substantive recommendations regarding whether to continue the residential pipeline demand charge or return to volumetric rate r</w:t>
      </w:r>
      <w:r>
        <w:rPr>
          <w:rFonts w:eastAsia="Times New Roman"/>
          <w:color w:val="000000"/>
          <w:sz w:val="20"/>
          <w:szCs w:val="20"/>
        </w:rPr>
        <w:t>ecovery. The final PGA rate order is not expected until the first quarter of 2024.</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As permitted by West Virginia law, the WVPSC has also approved a standalone cost recovery rider to recover specified costs and a return on infrastructure projects between </w:t>
      </w:r>
      <w:r>
        <w:rPr>
          <w:rFonts w:eastAsia="Times New Roman"/>
          <w:color w:val="000000"/>
          <w:sz w:val="20"/>
          <w:szCs w:val="20"/>
        </w:rPr>
        <w:t>general base rate cases in accordance with its IREP. Mountaineer makes an annual IREP filing, which is subject to an over/under-recovery mechanism similar to purchased gas costs. In December 2022, the WVPSC issued a final order approving a settlement in Mo</w:t>
      </w:r>
      <w:r>
        <w:rPr>
          <w:rFonts w:eastAsia="Times New Roman"/>
          <w:color w:val="000000"/>
          <w:sz w:val="20"/>
          <w:szCs w:val="20"/>
        </w:rPr>
        <w:t xml:space="preserve">untaineer’s 2023 IREP filing, resulting in an increase of $5.4 million effective January 1, 2023. In July 2023, Mountaineer submitted its annual IREP filing to the WVPSC requesting a revenue increase of $6.5 million effective January 1, 2024, based on the </w:t>
      </w:r>
      <w:r>
        <w:rPr>
          <w:rFonts w:eastAsia="Times New Roman"/>
          <w:color w:val="000000"/>
          <w:sz w:val="20"/>
          <w:szCs w:val="20"/>
        </w:rPr>
        <w:t xml:space="preserve">forecasted 2024 calendar year IREP-eligible capital investments of $67.0 million and recovery of eligible costs. An order from the WVPSC is expected in December 2023.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Mountaineer filed a base rate proceeding on March 6, 2023. By statute, the WVPSC suspe</w:t>
      </w:r>
      <w:r>
        <w:rPr>
          <w:rFonts w:eastAsia="Times New Roman"/>
          <w:color w:val="000000"/>
          <w:sz w:val="20"/>
          <w:szCs w:val="20"/>
        </w:rPr>
        <w:t xml:space="preserve">nded the rate increase until December 31, 2023. On October 6, 2023, Mountaineer filed a joint stipulation and agreement for settlement of the base rate case, which included a net revenue increase of approximately $13.9 million, which is expected to result </w:t>
      </w:r>
      <w:r>
        <w:rPr>
          <w:rFonts w:eastAsia="Times New Roman"/>
          <w:color w:val="000000"/>
          <w:sz w:val="20"/>
          <w:szCs w:val="20"/>
        </w:rPr>
        <w:t>in an overall increase in total revenues of 4.16%. An order from the Commission is expected in December and new rates will take effect on January 1, 2024</w:t>
      </w:r>
      <w:r>
        <w:rPr>
          <w:rFonts w:eastAsia="Times New Roman"/>
          <w:color w:val="000000"/>
        </w:rPr>
        <w: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Electric Utility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Electric Utility is permitted to recover prudently incurred electricity costs, i</w:t>
      </w:r>
      <w:r>
        <w:rPr>
          <w:rFonts w:eastAsia="Times New Roman"/>
          <w:color w:val="000000"/>
          <w:sz w:val="20"/>
          <w:szCs w:val="20"/>
        </w:rPr>
        <w:t>ncluding costs to obtain supply to meet its customers’ energy requirements, pursuant to a supply plan filed with and approved by the PAPUC. Electric Utility distributes electricity that it purchases from wholesale markets and electricity that customers pur</w:t>
      </w:r>
      <w:r>
        <w:rPr>
          <w:rFonts w:eastAsia="Times New Roman"/>
          <w:color w:val="000000"/>
          <w:sz w:val="20"/>
          <w:szCs w:val="20"/>
        </w:rPr>
        <w:t xml:space="preserve">chase from other suppliers. </w:t>
      </w:r>
    </w:p>
    <w:p w:rsidR="00000000" w:rsidRDefault="00AC31B9">
      <w:pPr>
        <w:divId w:val="390269537"/>
        <w:rPr>
          <w:rFonts w:eastAsia="Times New Roman"/>
        </w:rPr>
      </w:pPr>
    </w:p>
    <w:p w:rsidR="00000000" w:rsidRDefault="00AC31B9">
      <w:pPr>
        <w:jc w:val="both"/>
        <w:rPr>
          <w:rFonts w:eastAsia="Times New Roman"/>
        </w:rPr>
      </w:pPr>
      <w:r>
        <w:rPr>
          <w:rFonts w:eastAsia="Times New Roman"/>
          <w:color w:val="000000"/>
          <w:sz w:val="20"/>
          <w:szCs w:val="20"/>
        </w:rPr>
        <w:t>On January 27, 2023, Electric Utility filed for a base rate increase with the PAPUC. On July 14, 2023, Electric Utility filed a joint petition for settlement of the rate case, which included a revenue increase of approximately $8.5 million. In an order dat</w:t>
      </w:r>
      <w:r>
        <w:rPr>
          <w:rFonts w:eastAsia="Times New Roman"/>
          <w:color w:val="000000"/>
          <w:sz w:val="20"/>
          <w:szCs w:val="20"/>
        </w:rPr>
        <w:t>ed September 21, 2023, the PAPUC approved the settlement and authorized the increased rate to become effective October 1, 2023.</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Electric Utility’s tariff includes rates, applicable to so-called “default service” customers who do not obtain electric gener</w:t>
      </w:r>
      <w:r>
        <w:rPr>
          <w:rFonts w:eastAsia="Times New Roman"/>
          <w:color w:val="000000"/>
          <w:sz w:val="20"/>
          <w:szCs w:val="20"/>
        </w:rPr>
        <w:t>ation service from an alternative supplier, incurred pursuant to a PAPUC-approved supply plan. These default service rates are reconcilable, may be adjusted quarterly, and are designed to permit Electric Utility to recover the full costs of providing defau</w:t>
      </w:r>
      <w:r>
        <w:rPr>
          <w:rFonts w:eastAsia="Times New Roman"/>
          <w:color w:val="000000"/>
          <w:sz w:val="20"/>
          <w:szCs w:val="20"/>
        </w:rPr>
        <w:t>lt service in a full and timely manner. Electric Utility’s default service rates include recovery of costs associated with compliance with the AEPS Act, which requires Electric Utility to directly or indirectly acquire certain percentages of its supplies f</w:t>
      </w:r>
      <w:r>
        <w:rPr>
          <w:rFonts w:eastAsia="Times New Roman"/>
          <w:color w:val="000000"/>
          <w:sz w:val="20"/>
          <w:szCs w:val="20"/>
        </w:rPr>
        <w:t xml:space="preserve">rom designated alternative energy sources. In an order dated January 14, 2021, the PAPUC authorized Electric Utility to implement its current Default Service plan for the period June 1, 2021 through May 31, 2025, subject to possible, prospectively applied </w:t>
      </w:r>
    </w:p>
    <w:p w:rsidR="00000000" w:rsidRDefault="00AC31B9">
      <w:pPr>
        <w:jc w:val="center"/>
        <w:divId w:val="658268465"/>
        <w:rPr>
          <w:rFonts w:eastAsia="Times New Roman"/>
        </w:rPr>
      </w:pPr>
      <w:r>
        <w:rPr>
          <w:rFonts w:eastAsia="Times New Roman"/>
          <w:color w:val="000000"/>
          <w:sz w:val="20"/>
          <w:szCs w:val="20"/>
        </w:rPr>
        <w:t>27</w:t>
      </w:r>
    </w:p>
    <w:p w:rsidR="00000000" w:rsidRDefault="00AC31B9">
      <w:pPr>
        <w:rPr>
          <w:rFonts w:eastAsia="Times New Roman"/>
        </w:rPr>
      </w:pPr>
      <w:r>
        <w:rPr>
          <w:rFonts w:eastAsia="Times New Roman"/>
        </w:rPr>
        <w:pict>
          <v:rect id="_x0000_i1053" style="width:0;height:1.5pt" o:hralign="center" o:hrstd="t" o:hr="t" fillcolor="#a0a0a0" stroked="f"/>
        </w:pict>
      </w:r>
    </w:p>
    <w:p w:rsidR="00000000" w:rsidRDefault="00AC31B9">
      <w:pPr>
        <w:divId w:val="252904388"/>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interim modifications that parties to that proceeding may propose in accordance with a settlement filed in that proceeding on October 23, 20</w:t>
      </w:r>
      <w:r>
        <w:rPr>
          <w:rFonts w:eastAsia="Times New Roman"/>
          <w:color w:val="000000"/>
          <w:sz w:val="20"/>
          <w:szCs w:val="20"/>
        </w:rPr>
        <w:t xml:space="preserve">20.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Electric Utility’s tariff also includes a DSIC surcharge mechanism that was authorized by the PAPUC in 2019. Electric Utility’</w:t>
      </w:r>
      <w:r>
        <w:rPr>
          <w:rFonts w:eastAsia="Times New Roman"/>
          <w:color w:val="000000"/>
          <w:sz w:val="20"/>
          <w:szCs w:val="20"/>
        </w:rPr>
        <w:t>s first LTIIP, approved in 2017, provided the basis for its current DSIC charges through September 30, 2022. That authority was extended by order of the PAPUC issued August 25, 2022, in which Electric Utility’s second LTIIP filing was approved, authorizing</w:t>
      </w:r>
      <w:r>
        <w:rPr>
          <w:rFonts w:eastAsia="Times New Roman"/>
          <w:color w:val="000000"/>
          <w:sz w:val="20"/>
          <w:szCs w:val="20"/>
        </w:rPr>
        <w:t xml:space="preserve"> the expenditure of $50.6 million of DSIC-eligible plant over the five-year period ending September 30, 2027</w:t>
      </w:r>
      <w:r>
        <w:rPr>
          <w:rFonts w:eastAsia="Times New Roman"/>
          <w:color w:val="000000"/>
        </w:rPr>
        <w:t xml:space="preserve">.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With the implementation of new base rates on October 1, 2023 pursuant to the PAPUC’s September 21, 2023 order in the 2023 Electric Utility base</w:t>
      </w:r>
      <w:r>
        <w:rPr>
          <w:rFonts w:eastAsia="Times New Roman"/>
          <w:color w:val="000000"/>
          <w:sz w:val="20"/>
          <w:szCs w:val="20"/>
        </w:rPr>
        <w:t xml:space="preserve"> rate case, Electric Utility’s DSIC-eligible plant associated revenue requirement was rolled into Electric Utility’s base rates. The final order issued by the PAPUC approved the settlement of the base rate proceeding and authorized Electric Utility to impl</w:t>
      </w:r>
      <w:r>
        <w:rPr>
          <w:rFonts w:eastAsia="Times New Roman"/>
          <w:color w:val="000000"/>
          <w:sz w:val="20"/>
          <w:szCs w:val="20"/>
        </w:rPr>
        <w:t xml:space="preserve">ement a new DSIC surcharge once Electric Utility’s total gross plant balance exceeds $275 million. </w:t>
      </w:r>
    </w:p>
    <w:p w:rsidR="00000000" w:rsidRDefault="00AC31B9">
      <w:pPr>
        <w:jc w:val="both"/>
        <w:rPr>
          <w:rFonts w:eastAsia="Times New Roman"/>
        </w:rPr>
      </w:pPr>
      <w:r>
        <w:rPr>
          <w:rFonts w:eastAsia="Times New Roman"/>
          <w:b/>
          <w:bCs/>
          <w:color w:val="000000"/>
          <w:sz w:val="20"/>
          <w:szCs w:val="20"/>
          <w:u w:val="single"/>
        </w:rPr>
        <w:t>Utility Franchises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PA Gas Utility and Electric Utility hold certificates of public convenience issued by the PAPUC and certain “grandfather rights” predat</w:t>
      </w:r>
      <w:r>
        <w:rPr>
          <w:rFonts w:eastAsia="Times New Roman"/>
          <w:color w:val="000000"/>
          <w:sz w:val="20"/>
          <w:szCs w:val="20"/>
        </w:rPr>
        <w:t>ing the adoption of the Pennsylvania Public Utility Code and its predecessor statutes, which authorize it to carry on its business in the territories in which it renders gas service. Under applicable Pennsylvania law, PA Gas Utility and Electric Utility al</w:t>
      </w:r>
      <w:r>
        <w:rPr>
          <w:rFonts w:eastAsia="Times New Roman"/>
          <w:color w:val="000000"/>
          <w:sz w:val="20"/>
          <w:szCs w:val="20"/>
        </w:rPr>
        <w:t>so have certain rights of eminent domain as well as the right to maintain their facilities in public streets and highways in their respective territories.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Similarly, Mountaineer holds certificates of public convenience issued by the WVPSC, which authoriz</w:t>
      </w:r>
      <w:r>
        <w:rPr>
          <w:rFonts w:eastAsia="Times New Roman"/>
          <w:color w:val="000000"/>
          <w:sz w:val="20"/>
          <w:szCs w:val="20"/>
        </w:rPr>
        <w:t>e it to carry on its business in substantially all of the territories in which it now renders gas service. Under applicable West Virginia law, Mountaineer also has certain rights of eminent domain as well as the right to maintain its facilities in public s</w:t>
      </w:r>
      <w:r>
        <w:rPr>
          <w:rFonts w:eastAsia="Times New Roman"/>
          <w:color w:val="000000"/>
          <w:sz w:val="20"/>
          <w:szCs w:val="20"/>
        </w:rPr>
        <w:t>treets and highways in its territories.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Federal Energy Regulation</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With the acquisition of Mountaineer on September 1, 2021, UGI and its subsidiaries became subject to FERC regulation under PUHCA 2005 pertaining to record-keeping and affiliate service p</w:t>
      </w:r>
      <w:r>
        <w:rPr>
          <w:rFonts w:eastAsia="Times New Roman"/>
          <w:color w:val="000000"/>
          <w:sz w:val="20"/>
          <w:szCs w:val="20"/>
        </w:rPr>
        <w:t>ricing requirements. UGI provided notice of its non-exempt status on September 17, 2021.</w:t>
      </w:r>
      <w:r>
        <w:rPr>
          <w:rFonts w:eastAsia="Times New Roman"/>
          <w:b/>
          <w:bCs/>
          <w:color w:val="000000"/>
          <w:sz w:val="20"/>
          <w:szCs w:val="20"/>
        </w:rPr>
        <w:t xml:space="preserve">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Utilities is subject to Section 4A of the Natural Gas Act, which prohibits the use or employment of any manipulative or deceptive devices or contrivances in connect</w:t>
      </w:r>
      <w:r>
        <w:rPr>
          <w:rFonts w:eastAsia="Times New Roman"/>
          <w:color w:val="000000"/>
          <w:sz w:val="20"/>
          <w:szCs w:val="20"/>
        </w:rPr>
        <w:t xml:space="preserve">ion with the purchase or sale of natural gas or natural gas transportation subject to the jurisdiction of FERC, and FERC regulations that are designed to promote the transparency, efficiency, and integrity of gas markets.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Similarly, UGI Utilities is als</w:t>
      </w:r>
      <w:r>
        <w:rPr>
          <w:rFonts w:eastAsia="Times New Roman"/>
          <w:color w:val="000000"/>
          <w:sz w:val="20"/>
          <w:szCs w:val="20"/>
        </w:rPr>
        <w:t>o subject to Section 222 of the Federal Power Act, which prohibits the use or employment of any manipulative or deceptive devices or contrivances in connection with the purchase or sale of electric energy or transmission service subject to the jurisdiction</w:t>
      </w:r>
      <w:r>
        <w:rPr>
          <w:rFonts w:eastAsia="Times New Roman"/>
          <w:color w:val="000000"/>
          <w:sz w:val="20"/>
          <w:szCs w:val="20"/>
        </w:rPr>
        <w:t xml:space="preserve"> of FERC, and FERC regulations that are designed to promote the transparency, efficiency, and integrity of electric markets.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FERC has jurisdiction over the rates and terms and conditions of service of electric transmission facilities used for wholesale </w:t>
      </w:r>
      <w:r>
        <w:rPr>
          <w:rFonts w:eastAsia="Times New Roman"/>
          <w:color w:val="000000"/>
          <w:sz w:val="20"/>
          <w:szCs w:val="20"/>
        </w:rPr>
        <w:t>or retail choice transactions. Electric Utility owns electric transmission facilities that are within the control area of PJM and are dispatched in accordance with a FERC-approved open access tariff and associated agreements administered by PJM. PJM is a r</w:t>
      </w:r>
      <w:r>
        <w:rPr>
          <w:rFonts w:eastAsia="Times New Roman"/>
          <w:color w:val="000000"/>
          <w:sz w:val="20"/>
          <w:szCs w:val="20"/>
        </w:rPr>
        <w:t xml:space="preserve">egional transmission organization that regulates and coordinates generation, supply and the wholesale delivery of electricity. Electric Utility receives certain revenues collected by PJM, determined under a formulary rate schedule that is adjusted in June </w:t>
      </w:r>
      <w:r>
        <w:rPr>
          <w:rFonts w:eastAsia="Times New Roman"/>
          <w:color w:val="000000"/>
          <w:sz w:val="20"/>
          <w:szCs w:val="20"/>
        </w:rPr>
        <w:t>of each year to reflect annual changes in Electric Utility’s electric transmission revenue requirements, when its transmission facilities are used by third parties. FERC has jurisdiction over the rates and terms and conditions of service of wholesale sales</w:t>
      </w:r>
      <w:r>
        <w:rPr>
          <w:rFonts w:eastAsia="Times New Roman"/>
          <w:color w:val="000000"/>
          <w:sz w:val="20"/>
          <w:szCs w:val="20"/>
        </w:rPr>
        <w:t xml:space="preserve"> of electric capacity and energy. Electric Utility has a tariff on file with FERC pursuant to which it may make power sales to wholesale customers at market-based rates.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Under provisions of EPACT 2005, Electric Utility is subject to certain electric reliability standards established by FERC and administered by an ERO. Electric Utility anticipates that substantially all the costs of complying with the ERO standards will be </w:t>
      </w:r>
      <w:r>
        <w:rPr>
          <w:rFonts w:eastAsia="Times New Roman"/>
          <w:color w:val="000000"/>
          <w:sz w:val="20"/>
          <w:szCs w:val="20"/>
        </w:rPr>
        <w:t xml:space="preserve">recoverable through its PJM formulary electric transmission rate schedule. </w:t>
      </w:r>
    </w:p>
    <w:p w:rsidR="00000000" w:rsidRDefault="00AC31B9">
      <w:pPr>
        <w:jc w:val="both"/>
        <w:rPr>
          <w:rFonts w:eastAsia="Times New Roman"/>
        </w:rPr>
      </w:pPr>
    </w:p>
    <w:p w:rsidR="00000000" w:rsidRDefault="00AC31B9">
      <w:pPr>
        <w:jc w:val="center"/>
        <w:divId w:val="881288104"/>
        <w:rPr>
          <w:rFonts w:eastAsia="Times New Roman"/>
        </w:rPr>
      </w:pPr>
      <w:r>
        <w:rPr>
          <w:rFonts w:eastAsia="Times New Roman"/>
          <w:color w:val="000000"/>
          <w:sz w:val="20"/>
          <w:szCs w:val="20"/>
        </w:rPr>
        <w:t>28</w:t>
      </w:r>
    </w:p>
    <w:p w:rsidR="00000000" w:rsidRDefault="00AC31B9">
      <w:pPr>
        <w:rPr>
          <w:rFonts w:eastAsia="Times New Roman"/>
        </w:rPr>
      </w:pPr>
      <w:r>
        <w:rPr>
          <w:rFonts w:eastAsia="Times New Roman"/>
        </w:rPr>
        <w:pict>
          <v:rect id="_x0000_i1054" style="width:0;height:1.5pt" o:hralign="center" o:hrstd="t" o:hr="t" fillcolor="#a0a0a0" stroked="f"/>
        </w:pict>
      </w:r>
    </w:p>
    <w:p w:rsidR="00000000" w:rsidRDefault="00AC31B9">
      <w:pPr>
        <w:divId w:val="1584292767"/>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EPACT 2005 also granted FERC authority to impose substantial c</w:t>
      </w:r>
      <w:r>
        <w:rPr>
          <w:rFonts w:eastAsia="Times New Roman"/>
          <w:color w:val="000000"/>
          <w:sz w:val="20"/>
          <w:szCs w:val="20"/>
        </w:rPr>
        <w:t>ivil penalties for the violation of any regulations, orders or provisions under the Federal Power Act and Natural Gas Act and clarified FERC’s authority over certain utility or holding company mergers or acquisitions of electric utilities or electric trans</w:t>
      </w:r>
      <w:r>
        <w:rPr>
          <w:rFonts w:eastAsia="Times New Roman"/>
          <w:color w:val="000000"/>
          <w:sz w:val="20"/>
          <w:szCs w:val="20"/>
        </w:rPr>
        <w:t>mitting utility property valued at $10 million or more.</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Other Government Regulation</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addition to state and federal regulation discussed above, Utilities is subject to various federal, state and local laws governing environmental matters, occupational</w:t>
      </w:r>
      <w:r>
        <w:rPr>
          <w:rFonts w:eastAsia="Times New Roman"/>
          <w:color w:val="000000"/>
          <w:sz w:val="20"/>
          <w:szCs w:val="20"/>
        </w:rPr>
        <w:t xml:space="preserve"> health and safety, pipeline safety and other matters. Each is subject to the requirements of the Resource Conservation and Recovery Act, CERCLA and comparable state statutes with respect to the release of hazardous substances. See Note 16 to Consolidated </w:t>
      </w:r>
      <w:r>
        <w:rPr>
          <w:rFonts w:eastAsia="Times New Roman"/>
          <w:color w:val="000000"/>
          <w:sz w:val="20"/>
          <w:szCs w:val="20"/>
        </w:rPr>
        <w:t xml:space="preserve">Financial Statements. </w:t>
      </w:r>
    </w:p>
    <w:p w:rsidR="00000000" w:rsidRDefault="00AC31B9">
      <w:pPr>
        <w:jc w:val="both"/>
        <w:rPr>
          <w:rFonts w:eastAsia="Times New Roman"/>
        </w:rPr>
      </w:pPr>
    </w:p>
    <w:p w:rsidR="00000000" w:rsidRDefault="00AC31B9">
      <w:pPr>
        <w:jc w:val="center"/>
        <w:rPr>
          <w:rFonts w:eastAsia="Times New Roman"/>
        </w:rPr>
      </w:pPr>
      <w:r>
        <w:rPr>
          <w:rFonts w:eastAsia="Times New Roman"/>
          <w:b/>
          <w:bCs/>
          <w:color w:val="000000"/>
          <w:sz w:val="20"/>
          <w:szCs w:val="20"/>
        </w:rPr>
        <w:t>BUSINESS SEGMENT INFORMATION</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table stating the amounts of revenues, operating income and identifiable assets attributable to each of UGI’s reportable business segments, and to information regarding the geographic areas in whi</w:t>
      </w:r>
      <w:r>
        <w:rPr>
          <w:rFonts w:eastAsia="Times New Roman"/>
          <w:color w:val="000000"/>
          <w:sz w:val="20"/>
          <w:szCs w:val="20"/>
        </w:rPr>
        <w:t>ch we operate, for Fiscal 2023, Fiscal 2022 and Fiscal 2021 appears in Note 22 to Consolidated Financial Statements included in Item 15 of this Report and is incorporated herein by reference.</w:t>
      </w:r>
    </w:p>
    <w:p w:rsidR="00000000" w:rsidRDefault="00AC31B9">
      <w:pPr>
        <w:ind w:firstLine="495"/>
        <w:jc w:val="both"/>
        <w:rPr>
          <w:rFonts w:eastAsia="Times New Roman"/>
        </w:rPr>
      </w:pPr>
    </w:p>
    <w:p w:rsidR="00000000" w:rsidRDefault="00AC31B9">
      <w:pPr>
        <w:jc w:val="center"/>
        <w:rPr>
          <w:rFonts w:eastAsia="Times New Roman"/>
        </w:rPr>
      </w:pPr>
    </w:p>
    <w:p w:rsidR="00000000" w:rsidRDefault="00AC31B9">
      <w:pPr>
        <w:jc w:val="center"/>
        <w:rPr>
          <w:rFonts w:eastAsia="Times New Roman"/>
        </w:rPr>
      </w:pPr>
      <w:r>
        <w:rPr>
          <w:rFonts w:eastAsia="Times New Roman"/>
          <w:b/>
          <w:bCs/>
          <w:color w:val="000000"/>
          <w:sz w:val="20"/>
          <w:szCs w:val="20"/>
        </w:rPr>
        <w:t>EMPLOYEES</w:t>
      </w:r>
    </w:p>
    <w:p w:rsidR="00000000" w:rsidRDefault="00AC31B9">
      <w:pPr>
        <w:jc w:val="both"/>
        <w:rPr>
          <w:rFonts w:eastAsia="Times New Roman"/>
        </w:rPr>
      </w:pPr>
    </w:p>
    <w:p w:rsidR="00000000" w:rsidRDefault="00AC31B9">
      <w:pPr>
        <w:divId w:val="1028675521"/>
        <w:rPr>
          <w:rFonts w:eastAsia="Times New Roman"/>
        </w:rPr>
      </w:pPr>
      <w:r>
        <w:rPr>
          <w:rFonts w:eastAsia="Times New Roman"/>
          <w:color w:val="000000"/>
          <w:sz w:val="20"/>
          <w:szCs w:val="20"/>
        </w:rPr>
        <w:t xml:space="preserve">At September 30, 2023, UGI and its subsidiaries </w:t>
      </w:r>
      <w:r>
        <w:rPr>
          <w:rFonts w:eastAsia="Times New Roman"/>
          <w:color w:val="000000"/>
          <w:sz w:val="20"/>
          <w:szCs w:val="20"/>
        </w:rPr>
        <w:t>had approximately 10,500 employees.</w:t>
      </w:r>
    </w:p>
    <w:p w:rsidR="00000000" w:rsidRDefault="00AC31B9">
      <w:pPr>
        <w:divId w:val="630213175"/>
        <w:rPr>
          <w:rFonts w:eastAsia="Times New Roman"/>
        </w:rPr>
      </w:pPr>
    </w:p>
    <w:p w:rsidR="00000000" w:rsidRDefault="00AC31B9">
      <w:pPr>
        <w:jc w:val="center"/>
        <w:divId w:val="1144158417"/>
        <w:rPr>
          <w:rFonts w:eastAsia="Times New Roman"/>
        </w:rPr>
      </w:pPr>
      <w:r>
        <w:rPr>
          <w:rFonts w:eastAsia="Times New Roman"/>
          <w:color w:val="000000"/>
          <w:sz w:val="20"/>
          <w:szCs w:val="20"/>
        </w:rPr>
        <w:t>29</w:t>
      </w:r>
    </w:p>
    <w:p w:rsidR="00000000" w:rsidRDefault="00AC31B9">
      <w:pPr>
        <w:rPr>
          <w:rFonts w:eastAsia="Times New Roman"/>
        </w:rPr>
      </w:pPr>
      <w:r>
        <w:rPr>
          <w:rFonts w:eastAsia="Times New Roman"/>
        </w:rPr>
        <w:pict>
          <v:rect id="_x0000_i1055" style="width:0;height:1.5pt" o:hralign="center" o:hrstd="t" o:hr="t" fillcolor="#a0a0a0" stroked="f"/>
        </w:pict>
      </w:r>
    </w:p>
    <w:p w:rsidR="00000000" w:rsidRDefault="00AC31B9">
      <w:pPr>
        <w:divId w:val="1097675440"/>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center"/>
        <w:rPr>
          <w:rFonts w:eastAsia="Times New Roman"/>
        </w:rPr>
      </w:pPr>
      <w:r>
        <w:rPr>
          <w:rFonts w:eastAsia="Times New Roman"/>
          <w:b/>
          <w:bCs/>
          <w:color w:val="000000"/>
          <w:sz w:val="20"/>
          <w:szCs w:val="20"/>
        </w:rPr>
        <w:t>HUMAN CAPITAL MANAGEMENT</w:t>
      </w:r>
    </w:p>
    <w:p w:rsidR="00000000" w:rsidRDefault="00AC31B9">
      <w:pPr>
        <w:jc w:val="center"/>
        <w:rPr>
          <w:rFonts w:eastAsia="Times New Roman"/>
        </w:rPr>
      </w:pPr>
    </w:p>
    <w:p w:rsidR="00000000" w:rsidRDefault="00AC31B9">
      <w:pPr>
        <w:jc w:val="both"/>
        <w:rPr>
          <w:rFonts w:eastAsia="Times New Roman"/>
        </w:rPr>
      </w:pPr>
      <w:r>
        <w:rPr>
          <w:rFonts w:eastAsia="Times New Roman"/>
          <w:color w:val="000000"/>
          <w:sz w:val="20"/>
          <w:szCs w:val="20"/>
        </w:rPr>
        <w:t>We are commi</w:t>
      </w:r>
      <w:r>
        <w:rPr>
          <w:rFonts w:eastAsia="Times New Roman"/>
          <w:color w:val="000000"/>
          <w:sz w:val="20"/>
          <w:szCs w:val="20"/>
        </w:rPr>
        <w:t>tted to the attraction, development, retention and safety of our employees. The following is an overview of some of our key human capital initiatives that are designed to ensure the overall well-being of our employees and other stakeholders as well as to p</w:t>
      </w:r>
      <w:r>
        <w:rPr>
          <w:rFonts w:eastAsia="Times New Roman"/>
          <w:color w:val="000000"/>
          <w:sz w:val="20"/>
          <w:szCs w:val="20"/>
        </w:rPr>
        <w:t xml:space="preserve">romote workforce diversity.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UGI publishes annual sustainability reports, which are available free of charge on its corporate website under “ESG - Resources - Sustainability Reports.” </w:t>
      </w:r>
      <w:r>
        <w:rPr>
          <w:rFonts w:eastAsia="Times New Roman"/>
          <w:color w:val="000000"/>
          <w:sz w:val="20"/>
          <w:szCs w:val="20"/>
        </w:rPr>
        <w:t>Information included in these sustainability reports is not intended to be incorporated into this Report.</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Workplace Safety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 are committed to maintaining an effective safety culture and stressing the importance of our employees’ role in identifying, m</w:t>
      </w:r>
      <w:r>
        <w:rPr>
          <w:rFonts w:eastAsia="Times New Roman"/>
          <w:color w:val="000000"/>
          <w:sz w:val="20"/>
          <w:szCs w:val="20"/>
        </w:rPr>
        <w:t>itigating and reporting safety risks. We believe that the achievement of superior safety performance is both an important short- and long-term strategic initiative in managing our operations. In this regard, our policies and operational practices promote a</w:t>
      </w:r>
      <w:r>
        <w:rPr>
          <w:rFonts w:eastAsia="Times New Roman"/>
          <w:color w:val="000000"/>
          <w:sz w:val="20"/>
          <w:szCs w:val="20"/>
        </w:rPr>
        <w:t xml:space="preserve"> culture where all levels of employees are responsible for safety. Safety is generally included as a component of the annual bonus calculation for executives and non-executives, reinforcing our commitment to safety across our organization. For more details</w:t>
      </w:r>
      <w:r>
        <w:rPr>
          <w:rFonts w:eastAsia="Times New Roman"/>
          <w:color w:val="000000"/>
          <w:sz w:val="20"/>
          <w:szCs w:val="20"/>
        </w:rPr>
        <w:t xml:space="preserve"> as to how we integrate safety performance into our core business activities, please refer to our Health, Safety, Security and the Environment (“HSSE”) Policy, which is available on our website under “Company - Company Policies - HSSE Policy.”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UGI’s Boar</w:t>
      </w:r>
      <w:r>
        <w:rPr>
          <w:rFonts w:eastAsia="Times New Roman"/>
          <w:color w:val="000000"/>
          <w:sz w:val="20"/>
          <w:szCs w:val="20"/>
        </w:rPr>
        <w:t>d of Directors oversees safety efforts primarily through its Safety, Environmental, and Regulatory Compliance (“SERC”) Committee, which is responsible for the governance and oversight of health and safety matters at the Company, including compliance with a</w:t>
      </w:r>
      <w:r>
        <w:rPr>
          <w:rFonts w:eastAsia="Times New Roman"/>
          <w:color w:val="000000"/>
          <w:sz w:val="20"/>
          <w:szCs w:val="20"/>
        </w:rPr>
        <w:t>pplicable laws and regulations. The SERC Committee oversees the Company’s practices and policies focused on protecting the health and safety of our employees, contractors, customers, the communities we serve, and the environment. Additionally, our senior m</w:t>
      </w:r>
      <w:r>
        <w:rPr>
          <w:rFonts w:eastAsia="Times New Roman"/>
          <w:color w:val="000000"/>
          <w:sz w:val="20"/>
          <w:szCs w:val="20"/>
        </w:rPr>
        <w:t>anagement team is actively engaged in our safety programs and conducts regular reviews of safety performance metrics. These metrics are presented quarterly to the SERC Committee for review and consideration. In addition, each of our business units has a sa</w:t>
      </w:r>
      <w:r>
        <w:rPr>
          <w:rFonts w:eastAsia="Times New Roman"/>
          <w:color w:val="000000"/>
          <w:sz w:val="20"/>
          <w:szCs w:val="20"/>
        </w:rPr>
        <w:t>fety team that is responsible for overseeing the safety of our operations, reinforcing our values, and enhancing our safety culture within such business units. As part of our commitment to continuously improve our safety performance, UGI has implemented ro</w:t>
      </w:r>
      <w:r>
        <w:rPr>
          <w:rFonts w:eastAsia="Times New Roman"/>
          <w:color w:val="000000"/>
          <w:sz w:val="20"/>
          <w:szCs w:val="20"/>
        </w:rPr>
        <w:t>bust training programs that enable field employees to safely execute their job responsibilities. Our safety programs are required to comply with both OSHA and industry-specific regulations.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Diversity Strategy</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Diversity as Part of Our Company Culture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 believe that, by fostering an environment that exemplifies our core value of respect, we gain, as a Company, unique perspectives, backgrounds and varying experiences to ensure our continued long-term success. Belonging, inclusion, diversity and equity a</w:t>
      </w:r>
      <w:r>
        <w:rPr>
          <w:rFonts w:eastAsia="Times New Roman"/>
          <w:color w:val="000000"/>
          <w:sz w:val="20"/>
          <w:szCs w:val="20"/>
        </w:rPr>
        <w:t xml:space="preserve">re essential to our success, and we respect and value all employees.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alignment with our efforts to promote diversity and inclusion, our Belonging, Inclusion, Diversity and Equity (“BIDE”) Initiative provides the organizational blueprint for achieving</w:t>
      </w:r>
      <w:r>
        <w:rPr>
          <w:rFonts w:eastAsia="Times New Roman"/>
          <w:color w:val="000000"/>
          <w:sz w:val="20"/>
          <w:szCs w:val="20"/>
        </w:rPr>
        <w:t xml:space="preserve"> greater diversity and promoting respect for uniqueness of individuals and cultures and inclusion of the varied perspectives they provide. We believe the BIDE Initiative helps align our core values (safety, integrity, respect, sustainability, reliability, </w:t>
      </w:r>
      <w:r>
        <w:rPr>
          <w:rFonts w:eastAsia="Times New Roman"/>
          <w:color w:val="000000"/>
          <w:sz w:val="20"/>
          <w:szCs w:val="20"/>
        </w:rPr>
        <w:t>and excellence) with our leadership’s actions and our employees’ work environment. The BIDE Initiative embodies and promotes internal policies with respect to setting expectations relating to our work environment, including our Code of Business Conduct and</w:t>
      </w:r>
      <w:r>
        <w:rPr>
          <w:rFonts w:eastAsia="Times New Roman"/>
          <w:color w:val="000000"/>
          <w:sz w:val="20"/>
          <w:szCs w:val="20"/>
        </w:rPr>
        <w:t xml:space="preserve"> Ethics and our Anti-Harassment/Anti-Discrimination, and Human Rights policies. As part of the BIDE Initiative, we have partnerships with numerous organizations that support underrepresented populations.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UGI also supports diverse segments of our workfor</w:t>
      </w:r>
      <w:r>
        <w:rPr>
          <w:rFonts w:eastAsia="Times New Roman"/>
          <w:color w:val="000000"/>
          <w:sz w:val="20"/>
          <w:szCs w:val="20"/>
        </w:rPr>
        <w:t>ce through employee resource groups. Employee resource groups are a key component of the BIDE Initiative. These groups are open to all employees and allow them to learn from a cultural perspective and support their colleagues through allyship. UGI’s employ</w:t>
      </w:r>
      <w:r>
        <w:rPr>
          <w:rFonts w:eastAsia="Times New Roman"/>
          <w:color w:val="000000"/>
          <w:sz w:val="20"/>
          <w:szCs w:val="20"/>
        </w:rPr>
        <w:t xml:space="preserve">ee resource groups include the Black Organizational Leadership and Development (“BOLD”) resource group, the Women’s Impact Network (“WIN”), and the Veteran Employee Team (“VET”). </w:t>
      </w:r>
    </w:p>
    <w:p w:rsidR="00000000" w:rsidRDefault="00AC31B9">
      <w:pPr>
        <w:jc w:val="both"/>
        <w:rPr>
          <w:rFonts w:eastAsia="Times New Roman"/>
        </w:rPr>
      </w:pPr>
    </w:p>
    <w:p w:rsidR="00000000" w:rsidRDefault="00AC31B9">
      <w:pPr>
        <w:ind w:hanging="360"/>
        <w:jc w:val="both"/>
        <w:rPr>
          <w:rFonts w:eastAsia="Times New Roman"/>
        </w:rPr>
      </w:pPr>
      <w:r>
        <w:rPr>
          <w:rFonts w:eastAsia="Times New Roman"/>
          <w:color w:val="000000"/>
          <w:sz w:val="20"/>
          <w:szCs w:val="20"/>
        </w:rPr>
        <w:t>•BOLD is focused on inclusion, equity, education, and empowerment for blac</w:t>
      </w:r>
      <w:r>
        <w:rPr>
          <w:rFonts w:eastAsia="Times New Roman"/>
          <w:color w:val="000000"/>
          <w:sz w:val="20"/>
          <w:szCs w:val="20"/>
        </w:rPr>
        <w:t>k employees and their allies, and assists leadership with communication, talent recruitment, retention and development opportunities. BOLD focuses on professional development by creating mentoring opportunities, increasing exposure through networking and c</w:t>
      </w:r>
      <w:r>
        <w:rPr>
          <w:rFonts w:eastAsia="Times New Roman"/>
          <w:color w:val="000000"/>
          <w:sz w:val="20"/>
          <w:szCs w:val="20"/>
        </w:rPr>
        <w:t xml:space="preserve">areer development events, broadening outreach to and recruitment of talent and sponsoring activities such as lectures </w:t>
      </w:r>
    </w:p>
    <w:p w:rsidR="00000000" w:rsidRDefault="00AC31B9">
      <w:pPr>
        <w:jc w:val="center"/>
        <w:divId w:val="1627471946"/>
        <w:rPr>
          <w:rFonts w:eastAsia="Times New Roman"/>
        </w:rPr>
      </w:pPr>
      <w:r>
        <w:rPr>
          <w:rFonts w:eastAsia="Times New Roman"/>
          <w:color w:val="000000"/>
          <w:sz w:val="20"/>
          <w:szCs w:val="20"/>
        </w:rPr>
        <w:t>30</w:t>
      </w:r>
    </w:p>
    <w:p w:rsidR="00000000" w:rsidRDefault="00AC31B9">
      <w:pPr>
        <w:rPr>
          <w:rFonts w:eastAsia="Times New Roman"/>
        </w:rPr>
      </w:pPr>
      <w:r>
        <w:rPr>
          <w:rFonts w:eastAsia="Times New Roman"/>
        </w:rPr>
        <w:pict>
          <v:rect id="_x0000_i1056" style="width:0;height:1.5pt" o:hralign="center" o:hrstd="t" o:hr="t" fillcolor="#a0a0a0" stroked="f"/>
        </w:pict>
      </w:r>
    </w:p>
    <w:p w:rsidR="00000000" w:rsidRDefault="00AC31B9">
      <w:pPr>
        <w:divId w:val="1334988700"/>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featuring distinguishe</w:t>
      </w:r>
      <w:r>
        <w:rPr>
          <w:rFonts w:eastAsia="Times New Roman"/>
          <w:color w:val="000000"/>
          <w:sz w:val="20"/>
          <w:szCs w:val="20"/>
        </w:rPr>
        <w:t xml:space="preserve">d speakers. The group aims to support and promote UGI’s BIDE Initiative by providing cultural insight from employee, customer and community partner perspectives. </w:t>
      </w:r>
    </w:p>
    <w:p w:rsidR="00000000" w:rsidRDefault="00AC31B9">
      <w:pPr>
        <w:jc w:val="both"/>
        <w:rPr>
          <w:rFonts w:eastAsia="Times New Roman"/>
        </w:rPr>
      </w:pPr>
    </w:p>
    <w:p w:rsidR="00000000" w:rsidRDefault="00AC31B9">
      <w:pPr>
        <w:ind w:hanging="360"/>
        <w:jc w:val="both"/>
        <w:rPr>
          <w:rFonts w:eastAsia="Times New Roman"/>
        </w:rPr>
      </w:pPr>
      <w:r>
        <w:rPr>
          <w:rFonts w:eastAsia="Times New Roman"/>
          <w:color w:val="000000"/>
          <w:sz w:val="20"/>
          <w:szCs w:val="20"/>
        </w:rPr>
        <w:t>•WIN is an organization that aims to foster an environment for women and their allies to be</w:t>
      </w:r>
      <w:r>
        <w:rPr>
          <w:rFonts w:eastAsia="Times New Roman"/>
          <w:color w:val="000000"/>
          <w:sz w:val="20"/>
          <w:szCs w:val="20"/>
        </w:rPr>
        <w:t xml:space="preserve"> recruited, retained, developed and advanced as leaders throughout UGI. Membership in WIN offers exposure to various professional development opportunities, including speaker series events, group engagement activities, virtual group discussions, and partne</w:t>
      </w:r>
      <w:r>
        <w:rPr>
          <w:rFonts w:eastAsia="Times New Roman"/>
          <w:color w:val="000000"/>
          <w:sz w:val="20"/>
          <w:szCs w:val="20"/>
        </w:rPr>
        <w:t xml:space="preserve">rships with local organizations. </w:t>
      </w:r>
    </w:p>
    <w:p w:rsidR="00000000" w:rsidRDefault="00AC31B9">
      <w:pPr>
        <w:jc w:val="both"/>
        <w:rPr>
          <w:rFonts w:eastAsia="Times New Roman"/>
        </w:rPr>
      </w:pPr>
    </w:p>
    <w:p w:rsidR="00000000" w:rsidRDefault="00AC31B9">
      <w:pPr>
        <w:ind w:hanging="360"/>
        <w:jc w:val="both"/>
        <w:rPr>
          <w:rFonts w:eastAsia="Times New Roman"/>
        </w:rPr>
      </w:pPr>
      <w:r>
        <w:rPr>
          <w:rFonts w:eastAsia="Times New Roman"/>
          <w:color w:val="000000"/>
          <w:sz w:val="20"/>
          <w:szCs w:val="20"/>
        </w:rPr>
        <w:t xml:space="preserve">•VET focuses on recruiting and retaining veterans, as well as creating growth for and goodwill towards military veterans. VET members include Active Duty, Reserve, and National Guard veterans of the Army, Navy, Marines, </w:t>
      </w:r>
      <w:r>
        <w:rPr>
          <w:rFonts w:eastAsia="Times New Roman"/>
          <w:color w:val="000000"/>
          <w:sz w:val="20"/>
          <w:szCs w:val="20"/>
        </w:rPr>
        <w:t xml:space="preserve">Coast Guard, and Air Force, their families, and partners committed to supporting military veteran employees.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Diversity in Our Leadership</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 believe that diversity in our Board of Directors is critical for effective governance. In assessing the Board of Directors’ composition, the Board of Directors and its Corporate Governance Committee ensure that our Board of Directors and its standing co</w:t>
      </w:r>
      <w:r>
        <w:rPr>
          <w:rFonts w:eastAsia="Times New Roman"/>
          <w:color w:val="000000"/>
          <w:sz w:val="20"/>
          <w:szCs w:val="20"/>
        </w:rPr>
        <w:t>mmittees have the appropriate qualifications, skills, experience and characteristics, including diversity of perspectives, to support our business. In assessing director candidates, the Board of Directors and Corporate Governance Committee consider a numbe</w:t>
      </w:r>
      <w:r>
        <w:rPr>
          <w:rFonts w:eastAsia="Times New Roman"/>
          <w:color w:val="000000"/>
          <w:sz w:val="20"/>
          <w:szCs w:val="20"/>
        </w:rPr>
        <w:t>r of qualifications, including independence, knowledge, judgment, character, leadership skills, education, experience, financial literacy, standing in the community and diversity of backgrounds and views, including, but not limited to, gender, race, ethnic</w:t>
      </w:r>
      <w:r>
        <w:rPr>
          <w:rFonts w:eastAsia="Times New Roman"/>
          <w:color w:val="000000"/>
          <w:sz w:val="20"/>
          <w:szCs w:val="20"/>
        </w:rPr>
        <w:t>ity and national origin. The Board of Directors and Corporate Governance Committee look to complement the Board of Directors’ existing strengths, recognizing that diversity is a critical element to enhancing Board effectiveness. Our Board of Directors is c</w:t>
      </w:r>
      <w:r>
        <w:rPr>
          <w:rFonts w:eastAsia="Times New Roman"/>
          <w:color w:val="000000"/>
          <w:sz w:val="20"/>
          <w:szCs w:val="20"/>
        </w:rPr>
        <w:t xml:space="preserve">urrently comprised of 10 directors, of which three are female, two are racially diverse and one identifies as LGBTQ+.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Similarly, we believe diversity of management is crucial to position our business for continued success. UGI ensures that diverse candi</w:t>
      </w:r>
      <w:r>
        <w:rPr>
          <w:rFonts w:eastAsia="Times New Roman"/>
          <w:color w:val="000000"/>
          <w:sz w:val="20"/>
          <w:szCs w:val="20"/>
        </w:rPr>
        <w:t xml:space="preserve">dates are considered for all leadership positions and is committed to considering all qualified applicants in our hiring process.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As part of our continued commitment to enhancing opportunities for diversity in our workforce, in Fiscal 2023 all executive</w:t>
      </w:r>
      <w:r>
        <w:rPr>
          <w:rFonts w:eastAsia="Times New Roman"/>
          <w:color w:val="000000"/>
          <w:sz w:val="20"/>
          <w:szCs w:val="20"/>
        </w:rPr>
        <w:t>s had a diversity and inclusion component in their annual bonus plan. The executive team was evaluated on the effectiveness of the Company’s development and implementation of a multi-dimensional strategy to deepen and improve the Company’s commitment to di</w:t>
      </w:r>
      <w:r>
        <w:rPr>
          <w:rFonts w:eastAsia="Times New Roman"/>
          <w:color w:val="000000"/>
          <w:sz w:val="20"/>
          <w:szCs w:val="20"/>
        </w:rPr>
        <w:t>versity and inclusion, supporting the Company’s BIDE Initiative and establishing a roadmap to achieve excellence in diversity and inclusion and branding UGI as an employer of choice for diverse candidates.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Diversity in Our Workforce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UGI strives for div</w:t>
      </w:r>
      <w:r>
        <w:rPr>
          <w:rFonts w:eastAsia="Times New Roman"/>
          <w:color w:val="000000"/>
          <w:sz w:val="20"/>
          <w:szCs w:val="20"/>
        </w:rPr>
        <w:t>erse representation at all levels of our business. We annually publish our workforce demographics (which reflects our EEO-1 reporting data) in our sustainability reports. We believe that by publicly disclosing our workforce demographics, we increase transp</w:t>
      </w:r>
      <w:r>
        <w:rPr>
          <w:rFonts w:eastAsia="Times New Roman"/>
          <w:color w:val="000000"/>
          <w:sz w:val="20"/>
          <w:szCs w:val="20"/>
        </w:rPr>
        <w:t xml:space="preserve">arency in the composition of our workforce as well as facilitate accountability in ensuring that diverse candidates are actively considered for roles throughout the organization.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Diversity as Part of Our Employee Development</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UGI has a global partnership with the Human Library Organization (the “Human Library”), a global not-for-profit learning platform that hosts personal conversations designed to challenge stigma and stereotypes and create a safe space for dialogue where topi</w:t>
      </w:r>
      <w:r>
        <w:rPr>
          <w:rFonts w:eastAsia="Times New Roman"/>
          <w:color w:val="000000"/>
          <w:sz w:val="20"/>
          <w:szCs w:val="20"/>
        </w:rPr>
        <w:t>cs are discussed openly between “human books” and their readers. The Human Library is a thought leader when it comes to diversity and inclusion in the workplace, partnering with companies that are committed to incorporating social understanding and cultura</w:t>
      </w:r>
      <w:r>
        <w:rPr>
          <w:rFonts w:eastAsia="Times New Roman"/>
          <w:color w:val="000000"/>
          <w:sz w:val="20"/>
          <w:szCs w:val="20"/>
        </w:rPr>
        <w:t>l awareness as part of their business model in relation to their workforce, partnerships, clients and customers.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shd w:val="clear" w:color="auto" w:fill="FFFFFF"/>
        </w:rPr>
        <w:t xml:space="preserve">UGI has committed to a sponsorship role with the </w:t>
      </w:r>
      <w:r>
        <w:rPr>
          <w:rFonts w:eastAsia="Times New Roman"/>
          <w:color w:val="000000"/>
          <w:sz w:val="20"/>
          <w:szCs w:val="20"/>
        </w:rPr>
        <w:t>Human Library</w:t>
      </w:r>
      <w:r>
        <w:rPr>
          <w:rFonts w:eastAsia="Times New Roman"/>
          <w:color w:val="000000"/>
          <w:sz w:val="20"/>
          <w:szCs w:val="20"/>
          <w:shd w:val="clear" w:color="auto" w:fill="FFFFFF"/>
        </w:rPr>
        <w:t xml:space="preserve"> for the creation of a digital learning platform that will expand the reach of </w:t>
      </w:r>
      <w:r>
        <w:rPr>
          <w:rFonts w:eastAsia="Times New Roman"/>
          <w:color w:val="000000"/>
          <w:sz w:val="20"/>
          <w:szCs w:val="20"/>
          <w:shd w:val="clear" w:color="auto" w:fill="FFFFFF"/>
        </w:rPr>
        <w:t xml:space="preserve">the Human Library’s diversity experiences across the globe. UGI began working with the </w:t>
      </w:r>
      <w:r>
        <w:rPr>
          <w:rFonts w:eastAsia="Times New Roman"/>
          <w:color w:val="000000"/>
          <w:sz w:val="20"/>
          <w:szCs w:val="20"/>
        </w:rPr>
        <w:t>Human Library</w:t>
      </w:r>
      <w:r>
        <w:rPr>
          <w:rFonts w:eastAsia="Times New Roman"/>
          <w:color w:val="000000"/>
          <w:sz w:val="20"/>
          <w:szCs w:val="20"/>
          <w:shd w:val="clear" w:color="auto" w:fill="FFFFFF"/>
        </w:rPr>
        <w:t xml:space="preserve"> in Fiscal 2020 to provide diversity and inclusion education for its leadership development, supervisor training and new hire onboarding programs. Many of o</w:t>
      </w:r>
      <w:r>
        <w:rPr>
          <w:rFonts w:eastAsia="Times New Roman"/>
          <w:color w:val="000000"/>
          <w:sz w:val="20"/>
          <w:szCs w:val="20"/>
          <w:shd w:val="clear" w:color="auto" w:fill="FFFFFF"/>
        </w:rPr>
        <w:t xml:space="preserve">ur employees participated in the </w:t>
      </w:r>
      <w:r>
        <w:rPr>
          <w:rFonts w:eastAsia="Times New Roman"/>
          <w:color w:val="000000"/>
          <w:sz w:val="20"/>
          <w:szCs w:val="20"/>
        </w:rPr>
        <w:t>Human Library</w:t>
      </w:r>
      <w:r>
        <w:rPr>
          <w:rFonts w:eastAsia="Times New Roman"/>
          <w:color w:val="000000"/>
          <w:sz w:val="20"/>
          <w:szCs w:val="20"/>
          <w:shd w:val="clear" w:color="auto" w:fill="FFFFFF"/>
        </w:rPr>
        <w:t xml:space="preserve"> “reader sessions” over the past few years.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Talent Development and Support</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Maintaining a robust pipeline of talent is crucial to UGI’s ongoing success and is a key aspect of succession planning efforts acro</w:t>
      </w:r>
      <w:r>
        <w:rPr>
          <w:rFonts w:eastAsia="Times New Roman"/>
          <w:color w:val="000000"/>
          <w:sz w:val="20"/>
          <w:szCs w:val="20"/>
        </w:rPr>
        <w:t xml:space="preserve">ss the organization. Our leadership and human resources teams are responsible for attracting and retaining quality talent by supporting management in fostering an environment where employees feel supported and encouraged in their professional and personal </w:t>
      </w:r>
      <w:r>
        <w:rPr>
          <w:rFonts w:eastAsia="Times New Roman"/>
          <w:color w:val="000000"/>
          <w:sz w:val="20"/>
          <w:szCs w:val="20"/>
        </w:rPr>
        <w:t xml:space="preserve">development. Competition for attracting and retaining talent has increased in recent years. UGI understands this </w:t>
      </w:r>
    </w:p>
    <w:p w:rsidR="00000000" w:rsidRDefault="00AC31B9">
      <w:pPr>
        <w:jc w:val="center"/>
        <w:divId w:val="1470854799"/>
        <w:rPr>
          <w:rFonts w:eastAsia="Times New Roman"/>
        </w:rPr>
      </w:pPr>
      <w:r>
        <w:rPr>
          <w:rFonts w:eastAsia="Times New Roman"/>
          <w:color w:val="000000"/>
          <w:sz w:val="20"/>
          <w:szCs w:val="20"/>
        </w:rPr>
        <w:t>31</w:t>
      </w:r>
    </w:p>
    <w:p w:rsidR="00000000" w:rsidRDefault="00AC31B9">
      <w:pPr>
        <w:rPr>
          <w:rFonts w:eastAsia="Times New Roman"/>
        </w:rPr>
      </w:pPr>
      <w:r>
        <w:rPr>
          <w:rFonts w:eastAsia="Times New Roman"/>
        </w:rPr>
        <w:pict>
          <v:rect id="_x0000_i1057" style="width:0;height:1.5pt" o:hralign="center" o:hrstd="t" o:hr="t" fillcolor="#a0a0a0" stroked="f"/>
        </w:pict>
      </w:r>
    </w:p>
    <w:p w:rsidR="00000000" w:rsidRDefault="00AC31B9">
      <w:pPr>
        <w:divId w:val="293101212"/>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challenge and the importan</w:t>
      </w:r>
      <w:r>
        <w:rPr>
          <w:rFonts w:eastAsia="Times New Roman"/>
          <w:color w:val="000000"/>
          <w:sz w:val="20"/>
          <w:szCs w:val="20"/>
        </w:rPr>
        <w:t>ce of maintaining competitive compensation and benefits as well as providing appropriate training that enables growth, developmental opportunities and multiple career paths within our Company. We commit to investing in our employees through training and de</w:t>
      </w:r>
      <w:r>
        <w:rPr>
          <w:rFonts w:eastAsia="Times New Roman"/>
          <w:color w:val="000000"/>
          <w:sz w:val="20"/>
          <w:szCs w:val="20"/>
        </w:rPr>
        <w:t>velopment programs, including mentorship, manager trainings, and leadership development programs, as well as through tuition reimbursement to promote continued professional growth. For example, UGI Global Leadership Summit is an enterprise leadership devel</w:t>
      </w:r>
      <w:r>
        <w:rPr>
          <w:rFonts w:eastAsia="Times New Roman"/>
          <w:color w:val="000000"/>
          <w:sz w:val="20"/>
          <w:szCs w:val="20"/>
        </w:rPr>
        <w:t>opment program for high potential leaders identified for future executive roles. Rooted in research of what skills executives need most, our potential leaders learn and practice skills such as learning agility, strategic thinking, adaptability intelligence</w:t>
      </w:r>
      <w:r>
        <w:rPr>
          <w:rFonts w:eastAsia="Times New Roman"/>
          <w:color w:val="000000"/>
          <w:sz w:val="20"/>
          <w:szCs w:val="20"/>
        </w:rPr>
        <w:t>, advanced emotional intelligence and leadership presence. In addition, potential leaders engage directly with business unit leaders and executives, gaining a broader sense of UGI and the stakeholders it serves. In addition, in Fiscal 2023, UGI launched Li</w:t>
      </w:r>
      <w:r>
        <w:rPr>
          <w:rFonts w:eastAsia="Times New Roman"/>
          <w:color w:val="000000"/>
          <w:sz w:val="20"/>
          <w:szCs w:val="20"/>
        </w:rPr>
        <w:t>fecycle Leadership, which is an enterprise wide leadership development initiative providing development to all levels of leaders, including three programs: (1) People Leaders Program, for managers at all levels of the company, (2) Experienced Managers Prog</w:t>
      </w:r>
      <w:r>
        <w:rPr>
          <w:rFonts w:eastAsia="Times New Roman"/>
          <w:color w:val="000000"/>
          <w:sz w:val="20"/>
          <w:szCs w:val="20"/>
        </w:rPr>
        <w:t>ram, for managers with three or more years of experience, and (3) Managers of Managers Program, for managers who manage two or more teams. Through our Lifecycle Leadership initiatives, our leaders complete a variety of assessments and practice strategic an</w:t>
      </w:r>
      <w:r>
        <w:rPr>
          <w:rFonts w:eastAsia="Times New Roman"/>
          <w:color w:val="000000"/>
          <w:sz w:val="20"/>
          <w:szCs w:val="20"/>
        </w:rPr>
        <w:t>d tactical skills such as effective communication, time management, delegation, employee development, conflict resolution, budgeting and finance, and unconscious bias, among other skills needed for success as a leader.</w:t>
      </w:r>
    </w:p>
    <w:p w:rsidR="00000000" w:rsidRDefault="00AC31B9">
      <w:pPr>
        <w:jc w:val="both"/>
        <w:rPr>
          <w:rFonts w:eastAsia="Times New Roman"/>
        </w:rPr>
      </w:pPr>
    </w:p>
    <w:p w:rsidR="00000000" w:rsidRDefault="00AC31B9">
      <w:pPr>
        <w:jc w:val="both"/>
        <w:rPr>
          <w:rFonts w:eastAsia="Times New Roman"/>
        </w:rPr>
      </w:pPr>
    </w:p>
    <w:p w:rsidR="00000000" w:rsidRDefault="00AC31B9">
      <w:pPr>
        <w:divId w:val="2014644323"/>
        <w:rPr>
          <w:rFonts w:eastAsia="Times New Roman"/>
        </w:rPr>
      </w:pPr>
    </w:p>
    <w:p w:rsidR="00000000" w:rsidRDefault="00AC31B9">
      <w:pPr>
        <w:jc w:val="center"/>
        <w:divId w:val="1470897373"/>
        <w:rPr>
          <w:rFonts w:eastAsia="Times New Roman"/>
        </w:rPr>
      </w:pPr>
      <w:r>
        <w:rPr>
          <w:rFonts w:eastAsia="Times New Roman"/>
          <w:color w:val="000000"/>
          <w:sz w:val="20"/>
          <w:szCs w:val="20"/>
        </w:rPr>
        <w:t>32</w:t>
      </w:r>
    </w:p>
    <w:p w:rsidR="00000000" w:rsidRDefault="00AC31B9">
      <w:pPr>
        <w:rPr>
          <w:rFonts w:eastAsia="Times New Roman"/>
        </w:rPr>
      </w:pPr>
      <w:r>
        <w:rPr>
          <w:rFonts w:eastAsia="Times New Roman"/>
        </w:rPr>
        <w:pict>
          <v:rect id="_x0000_i1058" style="width:0;height:1.5pt" o:hralign="center" o:hrstd="t" o:hr="t" fillcolor="#a0a0a0" stroked="f"/>
        </w:pict>
      </w:r>
    </w:p>
    <w:p w:rsidR="00000000" w:rsidRDefault="00AC31B9">
      <w:pPr>
        <w:divId w:val="217910005"/>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p>
    <w:p w:rsidR="00000000" w:rsidRDefault="00AC31B9">
      <w:pPr>
        <w:jc w:val="both"/>
        <w:divId w:val="377974407"/>
        <w:rPr>
          <w:rFonts w:eastAsia="Times New Roman"/>
        </w:rPr>
      </w:pPr>
      <w:r>
        <w:rPr>
          <w:rFonts w:eastAsia="Times New Roman"/>
          <w:b/>
          <w:bCs/>
          <w:color w:val="000000"/>
          <w:sz w:val="20"/>
          <w:szCs w:val="20"/>
        </w:rPr>
        <w:t xml:space="preserve">ITEM 1A. RISK FACTORS </w:t>
      </w:r>
    </w:p>
    <w:p w:rsidR="00000000" w:rsidRDefault="00AC31B9">
      <w:pPr>
        <w:ind w:firstLine="720"/>
        <w:jc w:val="both"/>
        <w:rPr>
          <w:rFonts w:eastAsia="Times New Roman"/>
        </w:rPr>
      </w:pPr>
    </w:p>
    <w:p w:rsidR="00000000" w:rsidRDefault="00AC31B9">
      <w:pPr>
        <w:jc w:val="both"/>
        <w:rPr>
          <w:rFonts w:eastAsia="Times New Roman"/>
        </w:rPr>
      </w:pPr>
      <w:r>
        <w:rPr>
          <w:rFonts w:eastAsia="Times New Roman"/>
          <w:color w:val="000000"/>
          <w:sz w:val="20"/>
          <w:szCs w:val="20"/>
        </w:rPr>
        <w:t>There are many factors that may affect our business, financial condition and results of operations, many of which are</w:t>
      </w:r>
      <w:r>
        <w:rPr>
          <w:rFonts w:eastAsia="Times New Roman"/>
          <w:color w:val="000000"/>
          <w:sz w:val="20"/>
          <w:szCs w:val="20"/>
        </w:rPr>
        <w:t xml:space="preserve"> not within our control, including the following risks relating to: (1) the demand for our products and services and our ability to grow our customer base; (2) our business operations, including internal and external factors that may impact our operational</w:t>
      </w:r>
      <w:r>
        <w:rPr>
          <w:rFonts w:eastAsia="Times New Roman"/>
          <w:color w:val="000000"/>
          <w:sz w:val="20"/>
          <w:szCs w:val="20"/>
        </w:rPr>
        <w:t xml:space="preserve"> continuity; (3) our international operations; (4) our supply chain and our ability to obtain and transport adequate quantities of LPG; (5) government regulation and oversight; and (6) general factors that may impact our business and our shareholders. Inve</w:t>
      </w:r>
      <w:r>
        <w:rPr>
          <w:rFonts w:eastAsia="Times New Roman"/>
          <w:color w:val="000000"/>
          <w:sz w:val="20"/>
          <w:szCs w:val="20"/>
        </w:rPr>
        <w:t>stors should carefully consider, together with the other information contained in this Report, the risks and uncertainties described below. Additional risks and uncertainties not currently known to us, or that we currently deem to be immaterial, also may m</w:t>
      </w:r>
      <w:r>
        <w:rPr>
          <w:rFonts w:eastAsia="Times New Roman"/>
          <w:color w:val="000000"/>
          <w:sz w:val="20"/>
          <w:szCs w:val="20"/>
        </w:rPr>
        <w:t>aterially affect our business, financial condition and results of operations. No priority or significance is intended by, nor should be attached to, the order in which the risk factors appear.</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Risks Relating to the Demand for Our Products and Services an</w:t>
      </w:r>
      <w:r>
        <w:rPr>
          <w:rFonts w:eastAsia="Times New Roman"/>
          <w:b/>
          <w:bCs/>
          <w:color w:val="000000"/>
          <w:sz w:val="20"/>
          <w:szCs w:val="20"/>
          <w:u w:val="single"/>
        </w:rPr>
        <w:t>d Our Ability to Grow Our Customer Base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Our business is seasonal and decreases in the demand for our energy products and services because of</w:t>
      </w:r>
      <w:r>
        <w:rPr>
          <w:rFonts w:eastAsia="Times New Roman"/>
          <w:color w:val="000000"/>
          <w:sz w:val="20"/>
          <w:szCs w:val="20"/>
        </w:rPr>
        <w:t xml:space="preserve"> </w:t>
      </w:r>
      <w:r>
        <w:rPr>
          <w:rFonts w:eastAsia="Times New Roman"/>
          <w:b/>
          <w:bCs/>
          <w:i/>
          <w:iCs/>
          <w:color w:val="000000"/>
          <w:sz w:val="20"/>
          <w:szCs w:val="20"/>
        </w:rPr>
        <w:t>warmer-than-normal heating season weather or unfavorable weather conditions may adversely affect our results</w:t>
      </w:r>
      <w:r>
        <w:rPr>
          <w:rFonts w:eastAsia="Times New Roman"/>
          <w:color w:val="000000"/>
          <w:sz w:val="20"/>
          <w:szCs w:val="20"/>
        </w:rPr>
        <w:t xml:space="preserve"> </w:t>
      </w:r>
      <w:r>
        <w:rPr>
          <w:rFonts w:eastAsia="Times New Roman"/>
          <w:b/>
          <w:bCs/>
          <w:i/>
          <w:iCs/>
          <w:color w:val="000000"/>
          <w:sz w:val="20"/>
          <w:szCs w:val="20"/>
        </w:rPr>
        <w:t xml:space="preserve">of operations. </w:t>
      </w:r>
      <w:r>
        <w:rPr>
          <w:rFonts w:eastAsia="Times New Roman"/>
          <w:color w:val="000000"/>
          <w:sz w:val="20"/>
          <w:szCs w:val="20"/>
        </w:rPr>
        <w:t xml:space="preserve">Because many of our customers rely on our energy products and services to heat their homes and businesses our results of operations </w:t>
      </w:r>
      <w:r>
        <w:rPr>
          <w:rFonts w:eastAsia="Times New Roman"/>
          <w:color w:val="000000"/>
          <w:sz w:val="20"/>
          <w:szCs w:val="20"/>
        </w:rPr>
        <w:t xml:space="preserve">are adversely affected by warmer-than-normal heating season weather. Weather conditions have a significant impact on the demand for our energy products and services for both heating and agricultural purposes. Accordingly, the volume of our energy products </w:t>
      </w:r>
      <w:r>
        <w:rPr>
          <w:rFonts w:eastAsia="Times New Roman"/>
          <w:color w:val="000000"/>
          <w:sz w:val="20"/>
          <w:szCs w:val="20"/>
        </w:rPr>
        <w:t>sold is at its highest during the peak heating season of October through March and is directly affected by the severity of the winter weather. For example, historically, approximately 60% to 70% of AmeriGas Propane’s annual retail propane volume, 60% of UG</w:t>
      </w:r>
      <w:r>
        <w:rPr>
          <w:rFonts w:eastAsia="Times New Roman"/>
          <w:color w:val="000000"/>
          <w:sz w:val="20"/>
          <w:szCs w:val="20"/>
        </w:rPr>
        <w:t>I International’s annual retail LPG volume, 55% to 65% of Energy Services’ retail natural gas volume and 60% of PA Gas Utility’s natural gas throughput (the total volume of gas sold to or transported for customers within our distribution system) has typica</w:t>
      </w:r>
      <w:r>
        <w:rPr>
          <w:rFonts w:eastAsia="Times New Roman"/>
          <w:color w:val="000000"/>
          <w:sz w:val="20"/>
          <w:szCs w:val="20"/>
        </w:rPr>
        <w:t>lly been sold during these months. There can be no assurance that normal winter weather in our market areas will occur in the future.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addition, our agricultural customers use LPG for purposes other than heating, including for crop drying, and unfavora</w:t>
      </w:r>
      <w:r>
        <w:rPr>
          <w:rFonts w:eastAsia="Times New Roman"/>
          <w:color w:val="000000"/>
          <w:sz w:val="20"/>
          <w:szCs w:val="20"/>
        </w:rPr>
        <w:t>ble weather conditions, such as lack of precipitation, may impact the demand for LPG. Moreover, harsh weather conditions may at times impede the transportation and delivery of LPG or restrict our ability to obtain LPG from suppliers. Spikes in demand cause</w:t>
      </w:r>
      <w:r>
        <w:rPr>
          <w:rFonts w:eastAsia="Times New Roman"/>
          <w:color w:val="000000"/>
          <w:sz w:val="20"/>
          <w:szCs w:val="20"/>
        </w:rPr>
        <w:t>d by weather or other factors can stress the supply chain and limit our ability to obtain additional quantities of LPG. Changes in LPG supply costs are normally passed through to customers, but time lags (between when we purchase the LPG and when the custo</w:t>
      </w:r>
      <w:r>
        <w:rPr>
          <w:rFonts w:eastAsia="Times New Roman"/>
          <w:color w:val="000000"/>
          <w:sz w:val="20"/>
          <w:szCs w:val="20"/>
        </w:rPr>
        <w:t xml:space="preserve">mer purchases the LPG) may result in significant gross margin fluctuations that could adversely affect our results of operations.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The potential effects of climate change may affect our business, operations, supply chain and customers, which could advers</w:t>
      </w:r>
      <w:r>
        <w:rPr>
          <w:rFonts w:eastAsia="Times New Roman"/>
          <w:b/>
          <w:bCs/>
          <w:i/>
          <w:iCs/>
          <w:color w:val="000000"/>
          <w:sz w:val="20"/>
          <w:szCs w:val="20"/>
        </w:rPr>
        <w:t xml:space="preserve">ely impact our financial condition and results of operations. </w:t>
      </w:r>
      <w:r>
        <w:rPr>
          <w:rFonts w:eastAsia="Times New Roman"/>
          <w:color w:val="000000"/>
          <w:sz w:val="20"/>
          <w:szCs w:val="20"/>
        </w:rPr>
        <w:t>Shifts and fluctuations in weather patterns and other environmental conditions, including temperature and precipitation levels, may affect consumer demand for our energy products and services. I</w:t>
      </w:r>
      <w:r>
        <w:rPr>
          <w:rFonts w:eastAsia="Times New Roman"/>
          <w:color w:val="000000"/>
          <w:sz w:val="20"/>
          <w:szCs w:val="20"/>
        </w:rPr>
        <w:t>n addition, the potential physical effects of climate change, such as increased frequency and severity of storms, floods, fires and other climatic events, could disrupt our operations and supply chain, and cause us to incur significant costs in preparing f</w:t>
      </w:r>
      <w:r>
        <w:rPr>
          <w:rFonts w:eastAsia="Times New Roman"/>
          <w:color w:val="000000"/>
          <w:sz w:val="20"/>
          <w:szCs w:val="20"/>
        </w:rPr>
        <w:t>or or responding to these effects. These or other meteorological changes could lead to increased operating costs, capital expenses or supply costs. Our commercial and residential customers may also experience the potential physical impacts of climate chang</w:t>
      </w:r>
      <w:r>
        <w:rPr>
          <w:rFonts w:eastAsia="Times New Roman"/>
          <w:color w:val="000000"/>
          <w:sz w:val="20"/>
          <w:szCs w:val="20"/>
        </w:rPr>
        <w:t>e and may incur significant costs in preparing for or responding to these efforts, including increasing the mix and resiliency of their energy solutions and supply, which may adversely impact their ability to pay for our products and services or decrease d</w:t>
      </w:r>
      <w:r>
        <w:rPr>
          <w:rFonts w:eastAsia="Times New Roman"/>
          <w:color w:val="000000"/>
          <w:sz w:val="20"/>
          <w:szCs w:val="20"/>
        </w:rPr>
        <w:t xml:space="preserve">emand for our products and services. The impact of any one or all of the foregoing factors may adversely affect our financial condition and results of operations.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addition to the direct physical impact that climate change may have on our business, fi</w:t>
      </w:r>
      <w:r>
        <w:rPr>
          <w:rFonts w:eastAsia="Times New Roman"/>
          <w:color w:val="000000"/>
          <w:sz w:val="20"/>
          <w:szCs w:val="20"/>
        </w:rPr>
        <w:t>nancial condition and results of operations, we may also be adversely impacted by other environmental factors, including: (i) technological advances designed to promote energy efficiency and limit environmental impact; (ii) increased competition from alter</w:t>
      </w:r>
      <w:r>
        <w:rPr>
          <w:rFonts w:eastAsia="Times New Roman"/>
          <w:color w:val="000000"/>
          <w:sz w:val="20"/>
          <w:szCs w:val="20"/>
        </w:rPr>
        <w:t>native energy sources; (iii) regulatory responses aimed at decreasing GHG emissions; and (iv) litigation or regulatory actions that address the environmental impact of our energy products and services. For more information on these risks, please refer to t</w:t>
      </w:r>
      <w:r>
        <w:rPr>
          <w:rFonts w:eastAsia="Times New Roman"/>
          <w:color w:val="000000"/>
          <w:sz w:val="20"/>
          <w:szCs w:val="20"/>
        </w:rPr>
        <w:t xml:space="preserve">he following risk factors included elsewhere in this section: </w:t>
      </w:r>
    </w:p>
    <w:p w:rsidR="00000000" w:rsidRDefault="00AC31B9">
      <w:pPr>
        <w:jc w:val="both"/>
        <w:rPr>
          <w:rFonts w:eastAsia="Times New Roman"/>
        </w:rPr>
      </w:pPr>
    </w:p>
    <w:p w:rsidR="00000000" w:rsidRDefault="00AC31B9">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“Energy efficiency and technology advances, as well as price induced customer conservation, may result in reduced demand for our energy products and services”; </w:t>
      </w:r>
    </w:p>
    <w:p w:rsidR="00000000" w:rsidRDefault="00AC31B9">
      <w:pPr>
        <w:ind w:hanging="360"/>
        <w:jc w:val="both"/>
        <w:rPr>
          <w:rFonts w:eastAsia="Times New Roman"/>
        </w:rPr>
      </w:pPr>
      <w:r>
        <w:rPr>
          <w:rFonts w:eastAsia="Times New Roman"/>
          <w:color w:val="000000"/>
          <w:sz w:val="20"/>
          <w:szCs w:val="20"/>
        </w:rPr>
        <w:t>•</w:t>
      </w:r>
      <w:r>
        <w:rPr>
          <w:rFonts w:eastAsia="Times New Roman"/>
          <w:i/>
          <w:iCs/>
          <w:color w:val="000000"/>
          <w:sz w:val="20"/>
          <w:szCs w:val="20"/>
        </w:rPr>
        <w:t>“Our operations may be adver</w:t>
      </w:r>
      <w:r>
        <w:rPr>
          <w:rFonts w:eastAsia="Times New Roman"/>
          <w:i/>
          <w:iCs/>
          <w:color w:val="000000"/>
          <w:sz w:val="20"/>
          <w:szCs w:val="20"/>
        </w:rPr>
        <w:t xml:space="preserve">sely affected by competition from other energy sources”; </w:t>
      </w:r>
    </w:p>
    <w:p w:rsidR="00000000" w:rsidRDefault="00AC31B9">
      <w:pPr>
        <w:jc w:val="center"/>
        <w:divId w:val="1398476630"/>
        <w:rPr>
          <w:rFonts w:eastAsia="Times New Roman"/>
        </w:rPr>
      </w:pPr>
      <w:r>
        <w:rPr>
          <w:rFonts w:eastAsia="Times New Roman"/>
          <w:color w:val="000000"/>
          <w:sz w:val="20"/>
          <w:szCs w:val="20"/>
        </w:rPr>
        <w:t>33</w:t>
      </w:r>
    </w:p>
    <w:p w:rsidR="00000000" w:rsidRDefault="00AC31B9">
      <w:pPr>
        <w:rPr>
          <w:rFonts w:eastAsia="Times New Roman"/>
        </w:rPr>
      </w:pPr>
      <w:r>
        <w:rPr>
          <w:rFonts w:eastAsia="Times New Roman"/>
        </w:rPr>
        <w:pict>
          <v:rect id="_x0000_i1059" style="width:0;height:1.5pt" o:hralign="center" o:hrstd="t" o:hr="t" fillcolor="#a0a0a0" stroked="f"/>
        </w:pict>
      </w:r>
    </w:p>
    <w:p w:rsidR="00000000" w:rsidRDefault="00AC31B9">
      <w:pPr>
        <w:divId w:val="402879231"/>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ind w:hanging="360"/>
        <w:jc w:val="both"/>
        <w:rPr>
          <w:rFonts w:eastAsia="Times New Roman"/>
        </w:rPr>
      </w:pPr>
      <w:r>
        <w:rPr>
          <w:rFonts w:eastAsia="Times New Roman"/>
          <w:color w:val="000000"/>
          <w:sz w:val="20"/>
          <w:szCs w:val="20"/>
        </w:rPr>
        <w:t>•</w:t>
      </w:r>
      <w:r>
        <w:rPr>
          <w:rFonts w:eastAsia="Times New Roman"/>
          <w:i/>
          <w:iCs/>
          <w:color w:val="000000"/>
          <w:sz w:val="20"/>
          <w:szCs w:val="20"/>
        </w:rPr>
        <w:t>“Our need to comply with, and respond to, industry-wide changes resulting from, c</w:t>
      </w:r>
      <w:r>
        <w:rPr>
          <w:rFonts w:eastAsia="Times New Roman"/>
          <w:i/>
          <w:iCs/>
          <w:color w:val="000000"/>
          <w:sz w:val="20"/>
          <w:szCs w:val="20"/>
        </w:rPr>
        <w:t>omprehensive, complex, and sometimes unpredictable governmental regulations, including regulatory initiatives aimed at increasing competition within our industry, may increase our costs and limit our revenue growth, which may adversely affect our operating</w:t>
      </w:r>
      <w:r>
        <w:rPr>
          <w:rFonts w:eastAsia="Times New Roman"/>
          <w:i/>
          <w:iCs/>
          <w:color w:val="000000"/>
          <w:sz w:val="20"/>
          <w:szCs w:val="20"/>
        </w:rPr>
        <w:t xml:space="preserve"> results”; </w:t>
      </w:r>
    </w:p>
    <w:p w:rsidR="00000000" w:rsidRDefault="00AC31B9">
      <w:pPr>
        <w:ind w:hanging="360"/>
        <w:jc w:val="both"/>
        <w:rPr>
          <w:rFonts w:eastAsia="Times New Roman"/>
        </w:rPr>
      </w:pPr>
      <w:r>
        <w:rPr>
          <w:rFonts w:eastAsia="Times New Roman"/>
          <w:color w:val="000000"/>
          <w:sz w:val="20"/>
          <w:szCs w:val="20"/>
        </w:rPr>
        <w:t>•</w:t>
      </w:r>
      <w:r>
        <w:rPr>
          <w:rFonts w:eastAsia="Times New Roman"/>
          <w:i/>
          <w:iCs/>
          <w:color w:val="000000"/>
          <w:sz w:val="20"/>
          <w:szCs w:val="20"/>
        </w:rPr>
        <w:t>“</w:t>
      </w:r>
      <w:r>
        <w:rPr>
          <w:rFonts w:eastAsia="Times New Roman"/>
          <w:i/>
          <w:iCs/>
          <w:color w:val="000000"/>
          <w:sz w:val="20"/>
          <w:szCs w:val="20"/>
        </w:rPr>
        <w:t xml:space="preserve">Our operations, financial results and cash flows may be adversely affected by existing and future global climate change laws and regulations, including with respect to GHG emission restrictions, as well as market responses thereto”; </w:t>
      </w:r>
      <w:r>
        <w:rPr>
          <w:rFonts w:eastAsia="Times New Roman"/>
          <w:color w:val="000000"/>
          <w:sz w:val="20"/>
          <w:szCs w:val="20"/>
        </w:rPr>
        <w:t xml:space="preserve">and </w:t>
      </w:r>
    </w:p>
    <w:p w:rsidR="00000000" w:rsidRDefault="00AC31B9">
      <w:pPr>
        <w:ind w:hanging="360"/>
        <w:jc w:val="both"/>
        <w:rPr>
          <w:rFonts w:eastAsia="Times New Roman"/>
        </w:rPr>
      </w:pPr>
      <w:r>
        <w:rPr>
          <w:rFonts w:eastAsia="Times New Roman"/>
          <w:color w:val="000000"/>
          <w:sz w:val="20"/>
          <w:szCs w:val="20"/>
        </w:rPr>
        <w:t>•</w:t>
      </w:r>
      <w:r>
        <w:rPr>
          <w:rFonts w:eastAsia="Times New Roman"/>
          <w:i/>
          <w:iCs/>
          <w:color w:val="000000"/>
          <w:sz w:val="20"/>
          <w:szCs w:val="20"/>
        </w:rPr>
        <w:t>“We are subject t</w:t>
      </w:r>
      <w:r>
        <w:rPr>
          <w:rFonts w:eastAsia="Times New Roman"/>
          <w:i/>
          <w:iCs/>
          <w:color w:val="000000"/>
          <w:sz w:val="20"/>
          <w:szCs w:val="20"/>
        </w:rPr>
        <w:t>o operating and litigation risks that may not be covered by insurance”.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Our potential to increase revenues may be affected by the decline in retail volumes of LPG and our ability to retain and grow our customer base. </w:t>
      </w:r>
      <w:r>
        <w:rPr>
          <w:rFonts w:eastAsia="Times New Roman"/>
          <w:color w:val="000000"/>
          <w:sz w:val="20"/>
          <w:szCs w:val="20"/>
        </w:rPr>
        <w:t xml:space="preserve">The retail LPG distribution industry </w:t>
      </w:r>
      <w:r>
        <w:rPr>
          <w:rFonts w:eastAsia="Times New Roman"/>
          <w:color w:val="000000"/>
          <w:sz w:val="20"/>
          <w:szCs w:val="20"/>
        </w:rPr>
        <w:t>in the U.S. and many of the European countries in which we operate is mature and has experienced either no or modest growth (or decline) the past few years, and we do not expect significant changes to total demand in the near future. Accordingly, we expect</w:t>
      </w:r>
      <w:r>
        <w:rPr>
          <w:rFonts w:eastAsia="Times New Roman"/>
          <w:color w:val="000000"/>
          <w:sz w:val="20"/>
          <w:szCs w:val="20"/>
        </w:rPr>
        <w:t xml:space="preserve"> that year-to-year industry volumes will be principally affected by weather patterns. Therefore, our ability to grow within the LPG industry is dependent on our ability to acquire other retail distributors and to achieve internal growth, which includes the</w:t>
      </w:r>
      <w:r>
        <w:rPr>
          <w:rFonts w:eastAsia="Times New Roman"/>
          <w:color w:val="000000"/>
          <w:sz w:val="20"/>
          <w:szCs w:val="20"/>
        </w:rPr>
        <w:t xml:space="preserve"> continuation of the ACE, Cynch and National Accounts programs in the U.S. and expansion in Europe, as well as the success of our sales and marketing programs designed to attract and retain customers. Any failure to retain and grow our customer base and su</w:t>
      </w:r>
      <w:r>
        <w:rPr>
          <w:rFonts w:eastAsia="Times New Roman"/>
          <w:color w:val="000000"/>
          <w:sz w:val="20"/>
          <w:szCs w:val="20"/>
        </w:rPr>
        <w:t xml:space="preserve">ccessfully acquire other distributors would have an adverse impact on our results.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Our ability to successfully execute on strategic initiatives and achieve our long-term goals may be adversely affected if we are not successful in identifying and complet</w:t>
      </w:r>
      <w:r>
        <w:rPr>
          <w:rFonts w:eastAsia="Times New Roman"/>
          <w:b/>
          <w:bCs/>
          <w:i/>
          <w:iCs/>
          <w:color w:val="000000"/>
          <w:sz w:val="20"/>
          <w:szCs w:val="20"/>
        </w:rPr>
        <w:t>ing strategic transactions and investments, or if we are unable to realize the anticipated benefits from such strategic transactions and investments</w:t>
      </w:r>
      <w:r>
        <w:rPr>
          <w:rFonts w:eastAsia="Times New Roman"/>
          <w:color w:val="000000"/>
          <w:sz w:val="20"/>
          <w:szCs w:val="20"/>
        </w:rPr>
        <w:t>. As part of our business strategy, we have pursued, and may continue to pursue, acquisitions, joint venture</w:t>
      </w:r>
      <w:r>
        <w:rPr>
          <w:rFonts w:eastAsia="Times New Roman"/>
          <w:color w:val="000000"/>
          <w:sz w:val="20"/>
          <w:szCs w:val="20"/>
        </w:rPr>
        <w:t>s, partnerships, divestitures, dispositions, and other strategic transactions and relationships with third parties. We have grown the Company through investments in the U.S. and in international markets, and have expanded our presence in the renewable ener</w:t>
      </w:r>
      <w:r>
        <w:rPr>
          <w:rFonts w:eastAsia="Times New Roman"/>
          <w:color w:val="000000"/>
          <w:sz w:val="20"/>
          <w:szCs w:val="20"/>
        </w:rPr>
        <w:t>gy industry. We may choose to finance any future investments with debt, equity, cash or a combination of the three. We can give no assurances that we will find attractive investment opportunities in the future (including renewable energy opportunities), th</w:t>
      </w:r>
      <w:r>
        <w:rPr>
          <w:rFonts w:eastAsia="Times New Roman"/>
          <w:color w:val="000000"/>
          <w:sz w:val="20"/>
          <w:szCs w:val="20"/>
        </w:rPr>
        <w:t>at we will be able to complete and finance these transactions on economically acceptable terms, that any investments and related transactions will not be dilutive to earnings or that any additional debt incurred to finance such investment will not affect o</w:t>
      </w:r>
      <w:r>
        <w:rPr>
          <w:rFonts w:eastAsia="Times New Roman"/>
          <w:color w:val="000000"/>
          <w:sz w:val="20"/>
          <w:szCs w:val="20"/>
        </w:rPr>
        <w:t>ur ability to pay dividends. Moreover, certain investments and acquisitions in the U.S. and Europe may require merger control filings with the Federal Trade Commission and the European Commission, as applicable, and commitments (such as agreements not to c</w:t>
      </w:r>
      <w:r>
        <w:rPr>
          <w:rFonts w:eastAsia="Times New Roman"/>
          <w:color w:val="000000"/>
          <w:sz w:val="20"/>
          <w:szCs w:val="20"/>
        </w:rPr>
        <w:t xml:space="preserve">ompete for certain businesses) or divestments of assets may be required to obtain clearance. Such commitments or divestments may adversely influence the overall economics and risk profile of the contemplated transaction.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To the extent we are successful </w:t>
      </w:r>
      <w:r>
        <w:rPr>
          <w:rFonts w:eastAsia="Times New Roman"/>
          <w:color w:val="000000"/>
          <w:sz w:val="20"/>
          <w:szCs w:val="20"/>
        </w:rPr>
        <w:t>in executing these transactions, such transactions involve a number of risks. These risks include, but are not limited to, the assumption of material liabilities, including environmental liabilities, the diversion of management’s attention from the managem</w:t>
      </w:r>
      <w:r>
        <w:rPr>
          <w:rFonts w:eastAsia="Times New Roman"/>
          <w:color w:val="000000"/>
          <w:sz w:val="20"/>
          <w:szCs w:val="20"/>
        </w:rPr>
        <w:t>ent of daily operations to the integration of acquired operations, difficulties in the assimilation and retention of employees and difficulties in the assimilation of different cultures and practices and internal controls, challenges with consolidating the</w:t>
      </w:r>
      <w:r>
        <w:rPr>
          <w:rFonts w:eastAsia="Times New Roman"/>
          <w:color w:val="000000"/>
          <w:sz w:val="20"/>
          <w:szCs w:val="20"/>
        </w:rPr>
        <w:t xml:space="preserve"> operations of acquired companies into our own, as well as in the assimilation of broad and geographically dispersed personnel and operations. We also may experience integration difficulties, including in implementing new systems and processes and with int</w:t>
      </w:r>
      <w:r>
        <w:rPr>
          <w:rFonts w:eastAsia="Times New Roman"/>
          <w:color w:val="000000"/>
          <w:sz w:val="20"/>
          <w:szCs w:val="20"/>
        </w:rPr>
        <w:t>egrating systems and processes of companies with complex operations, which can result in inconsistencies in standards, controls, procedures and policies and may increase the risk that our internal controls are found to be ineffective. Future investments co</w:t>
      </w:r>
      <w:r>
        <w:rPr>
          <w:rFonts w:eastAsia="Times New Roman"/>
          <w:color w:val="000000"/>
          <w:sz w:val="20"/>
          <w:szCs w:val="20"/>
        </w:rPr>
        <w:t>uld also result in, among other things, the failure to identify material issues during due diligence, the risk of overpaying for assets, unanticipated capital expenditures, the failure to maintain effective internal control over financial reporting, record</w:t>
      </w:r>
      <w:r>
        <w:rPr>
          <w:rFonts w:eastAsia="Times New Roman"/>
          <w:color w:val="000000"/>
          <w:sz w:val="20"/>
          <w:szCs w:val="20"/>
        </w:rPr>
        <w:t>ing goodwill and other intangible assets at values that ultimately may be subject to impairment charges and fluctuations in quarterly results. There can also be no assurance that our past and future investments, including our recent investments in renewabl</w:t>
      </w:r>
      <w:r>
        <w:rPr>
          <w:rFonts w:eastAsia="Times New Roman"/>
          <w:color w:val="000000"/>
          <w:sz w:val="20"/>
          <w:szCs w:val="20"/>
        </w:rPr>
        <w:t xml:space="preserve">e energy, will deliver the strategic, financial, operational and environmental benefits that we anticipate, nor can we be certain that strategic investments will remain available in the future.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Similarly, any divestitures or dispositions of assets have </w:t>
      </w:r>
      <w:r>
        <w:rPr>
          <w:rFonts w:eastAsia="Times New Roman"/>
          <w:color w:val="000000"/>
          <w:sz w:val="20"/>
          <w:szCs w:val="20"/>
        </w:rPr>
        <w:t>inherent risks, including the inability to find potential buyers upon favorable terms, expenses associated with a divestiture, the possibility that any anticipated sale will be delayed or will not occur, the potential impact on our cash flows and results o</w:t>
      </w:r>
      <w:r>
        <w:rPr>
          <w:rFonts w:eastAsia="Times New Roman"/>
          <w:color w:val="000000"/>
          <w:sz w:val="20"/>
          <w:szCs w:val="20"/>
        </w:rPr>
        <w:t>f operations, the potential delay or failure to realize the perceived strategic or financial benefits of the divestment or disposition, difficulties in the separation of operations, services, information technology, products and personnel, potential loss o</w:t>
      </w:r>
      <w:r>
        <w:rPr>
          <w:rFonts w:eastAsia="Times New Roman"/>
          <w:color w:val="000000"/>
          <w:sz w:val="20"/>
          <w:szCs w:val="20"/>
        </w:rPr>
        <w:t>f customers or employees, exposure to unanticipated liabilities, unexpected costs associated with such separation, diversion of management’s attention from other business concerns and potential post-closing claims for alleged breaches of related agreements</w:t>
      </w:r>
      <w:r>
        <w:rPr>
          <w:rFonts w:eastAsia="Times New Roman"/>
          <w:color w:val="000000"/>
          <w:sz w:val="20"/>
          <w:szCs w:val="20"/>
        </w:rPr>
        <w:t>, indemnification or other disputes. Further, any cost saving measures, restructurings and divestitures may result in workforce reduction and consolidation of our facilities. As a result of these actions, we may experience a loss of continuity, loss of acc</w:t>
      </w:r>
      <w:r>
        <w:rPr>
          <w:rFonts w:eastAsia="Times New Roman"/>
          <w:color w:val="000000"/>
          <w:sz w:val="20"/>
          <w:szCs w:val="20"/>
        </w:rPr>
        <w:t xml:space="preserve">umulated knowledge, disruptions to our operations and inefficiency during transitional periods. These actions could also impact employee retention. In addition, we cannot be sure that these actions will be as successful in reducing our overall expenses as </w:t>
      </w:r>
      <w:r>
        <w:rPr>
          <w:rFonts w:eastAsia="Times New Roman"/>
          <w:color w:val="000000"/>
          <w:sz w:val="20"/>
          <w:szCs w:val="20"/>
        </w:rPr>
        <w:t>we expect or that we do not forego future business opportunities as a result of these actions.</w:t>
      </w:r>
    </w:p>
    <w:p w:rsidR="00000000" w:rsidRDefault="00AC31B9">
      <w:pPr>
        <w:jc w:val="both"/>
        <w:rPr>
          <w:rFonts w:eastAsia="Times New Roman"/>
        </w:rPr>
      </w:pPr>
    </w:p>
    <w:p w:rsidR="00000000" w:rsidRDefault="00AC31B9">
      <w:pPr>
        <w:jc w:val="center"/>
        <w:divId w:val="2008555318"/>
        <w:rPr>
          <w:rFonts w:eastAsia="Times New Roman"/>
        </w:rPr>
      </w:pPr>
      <w:r>
        <w:rPr>
          <w:rFonts w:eastAsia="Times New Roman"/>
          <w:color w:val="000000"/>
          <w:sz w:val="20"/>
          <w:szCs w:val="20"/>
        </w:rPr>
        <w:t>34</w:t>
      </w:r>
    </w:p>
    <w:p w:rsidR="00000000" w:rsidRDefault="00AC31B9">
      <w:pPr>
        <w:rPr>
          <w:rFonts w:eastAsia="Times New Roman"/>
        </w:rPr>
      </w:pPr>
      <w:r>
        <w:rPr>
          <w:rFonts w:eastAsia="Times New Roman"/>
        </w:rPr>
        <w:pict>
          <v:rect id="_x0000_i1060" style="width:0;height:1.5pt" o:hralign="center" o:hrstd="t" o:hr="t" fillcolor="#a0a0a0" stroked="f"/>
        </w:pict>
      </w:r>
    </w:p>
    <w:p w:rsidR="00000000" w:rsidRDefault="00AC31B9">
      <w:pPr>
        <w:divId w:val="475537298"/>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The failure to successfully identify, complete, implement and manage business combinations, acquisitions, divestitures and investments intended to advance our business strategy could have an adverse impact on our business, cash flows, financial condition a</w:t>
      </w:r>
      <w:r>
        <w:rPr>
          <w:rFonts w:eastAsia="Times New Roman"/>
          <w:color w:val="000000"/>
          <w:sz w:val="20"/>
          <w:szCs w:val="20"/>
        </w:rPr>
        <w:t>nd results of operations.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Further, our long-term goal to grow our earnings per share is driven by disciplined investments and is impacted by, among other things, our ability to increase investments in our regulated utilities businesses and generate signi</w:t>
      </w:r>
      <w:r>
        <w:rPr>
          <w:rFonts w:eastAsia="Times New Roman"/>
          <w:color w:val="000000"/>
          <w:sz w:val="20"/>
          <w:szCs w:val="20"/>
        </w:rPr>
        <w:t>ficant fee-based income in our Midstream and Marketing operations. Other factors, assumptions and beliefs of management and our Board regarding external factors, including the global economy and regulatory developments, on which our long-term goals were ba</w:t>
      </w:r>
      <w:r>
        <w:rPr>
          <w:rFonts w:eastAsia="Times New Roman"/>
          <w:color w:val="000000"/>
          <w:sz w:val="20"/>
          <w:szCs w:val="20"/>
        </w:rPr>
        <w:t>sed may also prove to differ materially from actual future results. Accordingly, we may not achieve our stated long-term goals, or our stated long-term goals may be negatively revised, as a result of less than expected progress toward achieving these goals</w:t>
      </w:r>
      <w:r>
        <w:rPr>
          <w:rFonts w:eastAsia="Times New Roman"/>
          <w:color w:val="000000"/>
          <w:sz w:val="20"/>
          <w:szCs w:val="20"/>
        </w:rPr>
        <w: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Energy efficiency and technology advances, as well as price induced customer</w:t>
      </w:r>
      <w:r>
        <w:rPr>
          <w:rFonts w:eastAsia="Times New Roman"/>
          <w:color w:val="000000"/>
          <w:sz w:val="20"/>
          <w:szCs w:val="20"/>
        </w:rPr>
        <w:t xml:space="preserve"> </w:t>
      </w:r>
      <w:r>
        <w:rPr>
          <w:rFonts w:eastAsia="Times New Roman"/>
          <w:b/>
          <w:bCs/>
          <w:i/>
          <w:iCs/>
          <w:color w:val="000000"/>
          <w:sz w:val="20"/>
          <w:szCs w:val="20"/>
        </w:rPr>
        <w:t>conservation, may result in reduced demand for our energy products and</w:t>
      </w:r>
      <w:r>
        <w:rPr>
          <w:rFonts w:eastAsia="Times New Roman"/>
          <w:color w:val="000000"/>
          <w:sz w:val="20"/>
          <w:szCs w:val="20"/>
        </w:rPr>
        <w:t xml:space="preserve"> </w:t>
      </w:r>
      <w:r>
        <w:rPr>
          <w:rFonts w:eastAsia="Times New Roman"/>
          <w:b/>
          <w:bCs/>
          <w:i/>
          <w:iCs/>
          <w:color w:val="000000"/>
          <w:sz w:val="20"/>
          <w:szCs w:val="20"/>
        </w:rPr>
        <w:t xml:space="preserve">services. </w:t>
      </w:r>
      <w:r>
        <w:rPr>
          <w:rFonts w:eastAsia="Times New Roman"/>
          <w:color w:val="000000"/>
          <w:sz w:val="20"/>
          <w:szCs w:val="20"/>
        </w:rPr>
        <w:t>The trend toward increased energy efficiency and technological advances, including installatio</w:t>
      </w:r>
      <w:r>
        <w:rPr>
          <w:rFonts w:eastAsia="Times New Roman"/>
          <w:color w:val="000000"/>
          <w:sz w:val="20"/>
          <w:szCs w:val="20"/>
        </w:rPr>
        <w:t>n of improved insulation and the development of more efficient boilers and increased consumer preference for alternative heating equipment installations, such as electric heat pumps, alongside concerted conservation measures, which have been exacerbated pa</w:t>
      </w:r>
      <w:r>
        <w:rPr>
          <w:rFonts w:eastAsia="Times New Roman"/>
          <w:color w:val="000000"/>
          <w:sz w:val="20"/>
          <w:szCs w:val="20"/>
        </w:rPr>
        <w:t>rticularly in Europe by the evolving energy crisis, may reduce the demand for our energy products. Prices for LPG and natural gas are subject to volatile fluctuations as a result of changes in supply and demand as well as other market conditions and extern</w:t>
      </w:r>
      <w:r>
        <w:rPr>
          <w:rFonts w:eastAsia="Times New Roman"/>
          <w:color w:val="000000"/>
          <w:sz w:val="20"/>
          <w:szCs w:val="20"/>
        </w:rPr>
        <w:t>al factors. During periods of high energy commodity costs, our prices generally increase, which may lead to customer conservation and attrition. A reduction in demand could lower our revenues and, therefore, lower our net income and adversely affect our ca</w:t>
      </w:r>
      <w:r>
        <w:rPr>
          <w:rFonts w:eastAsia="Times New Roman"/>
          <w:color w:val="000000"/>
          <w:sz w:val="20"/>
          <w:szCs w:val="20"/>
        </w:rPr>
        <w:t>sh flows. In addition, federal, European and/or local regulators may offer energy conservation incentives or otherwise enact laws and regulations that may require mandatory conservation measures, which would reduce the demand for our energy products. In Eu</w:t>
      </w:r>
      <w:r>
        <w:rPr>
          <w:rFonts w:eastAsia="Times New Roman"/>
          <w:color w:val="000000"/>
          <w:sz w:val="20"/>
          <w:szCs w:val="20"/>
        </w:rPr>
        <w:t>rope, measures are underway to decarbonize the electric generation grid, as well as residential and commercial heating, in order to achieve EU climate change objectives, including a net zero goal by 2050. For example, in 2018 the EU revised the Energy Perf</w:t>
      </w:r>
      <w:r>
        <w:rPr>
          <w:rFonts w:eastAsia="Times New Roman"/>
          <w:color w:val="000000"/>
          <w:sz w:val="20"/>
          <w:szCs w:val="20"/>
        </w:rPr>
        <w:t>ormance of Buildings Directive (the “EPBD”) with the goal to create a clear path towards a low and zero-emission and decarbonized building stock in the EU by 2050.  Updates to the EPBD continue to make their way through EU legislative approvals, which will</w:t>
      </w:r>
      <w:r>
        <w:rPr>
          <w:rFonts w:eastAsia="Times New Roman"/>
          <w:color w:val="000000"/>
          <w:sz w:val="20"/>
          <w:szCs w:val="20"/>
        </w:rPr>
        <w:t xml:space="preserve"> establish stronger targets for management of new and existing building construction and integral heating systems that focus on low or zero carbon outcomes. For example, certain EU countries have adopted legislation mandating the replacement of existing fo</w:t>
      </w:r>
      <w:r>
        <w:rPr>
          <w:rFonts w:eastAsia="Times New Roman"/>
          <w:color w:val="000000"/>
          <w:sz w:val="20"/>
          <w:szCs w:val="20"/>
        </w:rPr>
        <w:t>ssil-fuel based heating systems with lower carbon solutions and requiring newly installed heating systems to operate with renewable energy sources. Over time, these various measures will impact fossil fuel consumption in Europe and the demand for our energ</w:t>
      </w:r>
      <w:r>
        <w:rPr>
          <w:rFonts w:eastAsia="Times New Roman"/>
          <w:color w:val="000000"/>
          <w:sz w:val="20"/>
          <w:szCs w:val="20"/>
        </w:rPr>
        <w:t>y products. We cannot predict the materiality of the effect of future conservation measures or the effect that any technological advances in heating, conservation, energy generation or other devices might have on our operations.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Our operations may be adv</w:t>
      </w:r>
      <w:r>
        <w:rPr>
          <w:rFonts w:eastAsia="Times New Roman"/>
          <w:b/>
          <w:bCs/>
          <w:i/>
          <w:iCs/>
          <w:color w:val="000000"/>
          <w:sz w:val="20"/>
          <w:szCs w:val="20"/>
        </w:rPr>
        <w:t>ersely affected by competition from other energy</w:t>
      </w:r>
      <w:r>
        <w:rPr>
          <w:rFonts w:eastAsia="Times New Roman"/>
          <w:color w:val="000000"/>
          <w:sz w:val="20"/>
          <w:szCs w:val="20"/>
        </w:rPr>
        <w:t xml:space="preserve"> </w:t>
      </w:r>
      <w:r>
        <w:rPr>
          <w:rFonts w:eastAsia="Times New Roman"/>
          <w:b/>
          <w:bCs/>
          <w:i/>
          <w:iCs/>
          <w:color w:val="000000"/>
          <w:sz w:val="20"/>
          <w:szCs w:val="20"/>
        </w:rPr>
        <w:t xml:space="preserve">sources. </w:t>
      </w:r>
      <w:r>
        <w:rPr>
          <w:rFonts w:eastAsia="Times New Roman"/>
          <w:color w:val="000000"/>
          <w:sz w:val="20"/>
          <w:szCs w:val="20"/>
        </w:rPr>
        <w:t>Our energy products and services face competition from other energy sources, some of which are less costly for equivalent energy value. In addition, we cannot predict the effect that the development</w:t>
      </w:r>
      <w:r>
        <w:rPr>
          <w:rFonts w:eastAsia="Times New Roman"/>
          <w:color w:val="000000"/>
          <w:sz w:val="20"/>
          <w:szCs w:val="20"/>
        </w:rPr>
        <w:t xml:space="preserve"> of alternative energy sources might have on our operations.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Our LPG distribution businesses compete for customers against suppliers of electricity, fuel oil and natural gas. Electricity is a major competitor of LPG but is generally more expensive than L</w:t>
      </w:r>
      <w:r>
        <w:rPr>
          <w:rFonts w:eastAsia="Times New Roman"/>
          <w:color w:val="000000"/>
          <w:sz w:val="20"/>
          <w:szCs w:val="20"/>
        </w:rPr>
        <w:t xml:space="preserve">PG on a Btu equivalent basis for space heating, water heating and cooking. However, in Europe and elsewhere, climate change policies favoring electricity from renewable energy sources or the use of electric-powered equipment, such as heat pumps in heating </w:t>
      </w:r>
      <w:r>
        <w:rPr>
          <w:rFonts w:eastAsia="Times New Roman"/>
          <w:color w:val="000000"/>
          <w:sz w:val="20"/>
          <w:szCs w:val="20"/>
        </w:rPr>
        <w:t xml:space="preserve">applications, may cause changes in current relative price relationships. Moreover, notwithstanding cost or regulatory mandates or incentives, the convenience and efficiency of electricity make it an attractive energy source for consumers and developers of </w:t>
      </w:r>
      <w:r>
        <w:rPr>
          <w:rFonts w:eastAsia="Times New Roman"/>
          <w:color w:val="000000"/>
          <w:sz w:val="20"/>
          <w:szCs w:val="20"/>
        </w:rPr>
        <w:t>new homes. Fuel oil, which is a major competitor to propane, is a less environmentally attractive energy source. Furnaces and appliances that burn LPG must be upgraded to run on fuel oil and vice versa, and, therefore, a conversion from one fuel to the oth</w:t>
      </w:r>
      <w:r>
        <w:rPr>
          <w:rFonts w:eastAsia="Times New Roman"/>
          <w:color w:val="000000"/>
          <w:sz w:val="20"/>
          <w:szCs w:val="20"/>
        </w:rPr>
        <w:t xml:space="preserve">er requires the installation of new equipment. Our customers generally have an incentive to switch to fuel oil only if fuel oil becomes significantly less expensive than LPG, and in multiple countries, the risk of conversion to fuel oil is diminishing due </w:t>
      </w:r>
      <w:r>
        <w:rPr>
          <w:rFonts w:eastAsia="Times New Roman"/>
          <w:color w:val="000000"/>
          <w:sz w:val="20"/>
          <w:szCs w:val="20"/>
        </w:rPr>
        <w:t>to regulations that prevent or disfavor the installation and/or use of fuel oil boilers or fuel oil for heating applications. The gradual expansion of natural gas distribution systems in our service areas may continue to result in the availability of natur</w:t>
      </w:r>
      <w:r>
        <w:rPr>
          <w:rFonts w:eastAsia="Times New Roman"/>
          <w:color w:val="000000"/>
          <w:sz w:val="20"/>
          <w:szCs w:val="20"/>
        </w:rPr>
        <w:t xml:space="preserve">al gas in some areas that previously depended upon LPG resulting in lower demand for LPG. </w:t>
      </w:r>
    </w:p>
    <w:p w:rsidR="00000000" w:rsidRDefault="00AC31B9">
      <w:pPr>
        <w:ind w:firstLine="270"/>
        <w:jc w:val="both"/>
        <w:rPr>
          <w:rFonts w:eastAsia="Times New Roman"/>
        </w:rPr>
      </w:pPr>
    </w:p>
    <w:p w:rsidR="00000000" w:rsidRDefault="00AC31B9">
      <w:pPr>
        <w:jc w:val="both"/>
        <w:rPr>
          <w:rFonts w:eastAsia="Times New Roman"/>
        </w:rPr>
      </w:pPr>
      <w:r>
        <w:rPr>
          <w:rFonts w:eastAsia="Times New Roman"/>
          <w:color w:val="000000"/>
          <w:sz w:val="20"/>
          <w:szCs w:val="20"/>
        </w:rPr>
        <w:t>Our natural gas businesses in the U.S. compete primarily with electricity and fuel oil, and, to a lesser extent, with LPG and coal. Competition among these fuels i</w:t>
      </w:r>
      <w:r>
        <w:rPr>
          <w:rFonts w:eastAsia="Times New Roman"/>
          <w:color w:val="000000"/>
          <w:sz w:val="20"/>
          <w:szCs w:val="20"/>
        </w:rPr>
        <w:t>s primarily a function of their comparative price and the relative cost and efficiency of fuel utilization equipment. There can be no assurance that our natural gas revenues will not be adversely affected by this competition.</w:t>
      </w:r>
    </w:p>
    <w:p w:rsidR="00000000" w:rsidRDefault="00AC31B9">
      <w:pPr>
        <w:jc w:val="both"/>
        <w:rPr>
          <w:rFonts w:eastAsia="Times New Roman"/>
        </w:rPr>
      </w:pPr>
    </w:p>
    <w:p w:rsidR="00000000" w:rsidRDefault="00AC31B9">
      <w:pPr>
        <w:jc w:val="center"/>
        <w:divId w:val="1176647542"/>
        <w:rPr>
          <w:rFonts w:eastAsia="Times New Roman"/>
        </w:rPr>
      </w:pPr>
      <w:r>
        <w:rPr>
          <w:rFonts w:eastAsia="Times New Roman"/>
          <w:color w:val="000000"/>
          <w:sz w:val="20"/>
          <w:szCs w:val="20"/>
        </w:rPr>
        <w:t>35</w:t>
      </w:r>
    </w:p>
    <w:p w:rsidR="00000000" w:rsidRDefault="00AC31B9">
      <w:pPr>
        <w:rPr>
          <w:rFonts w:eastAsia="Times New Roman"/>
        </w:rPr>
      </w:pPr>
      <w:r>
        <w:rPr>
          <w:rFonts w:eastAsia="Times New Roman"/>
        </w:rPr>
        <w:pict>
          <v:rect id="_x0000_i1061" style="width:0;height:1.5pt" o:hralign="center" o:hrstd="t" o:hr="t" fillcolor="#a0a0a0" stroked="f"/>
        </w:pict>
      </w:r>
    </w:p>
    <w:p w:rsidR="00000000" w:rsidRDefault="00AC31B9">
      <w:pPr>
        <w:divId w:val="325715661"/>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b/>
          <w:bCs/>
          <w:i/>
          <w:iCs/>
          <w:color w:val="000000"/>
          <w:sz w:val="20"/>
          <w:szCs w:val="20"/>
        </w:rPr>
        <w:t xml:space="preserve">The expansion, construction and development of our energy infrastructure assets subjects us to risks. </w:t>
      </w:r>
      <w:r>
        <w:rPr>
          <w:rFonts w:eastAsia="Times New Roman"/>
          <w:color w:val="000000"/>
          <w:sz w:val="20"/>
          <w:szCs w:val="20"/>
        </w:rPr>
        <w:t>We seek to grow our business through the e</w:t>
      </w:r>
      <w:r>
        <w:rPr>
          <w:rFonts w:eastAsia="Times New Roman"/>
          <w:color w:val="000000"/>
          <w:sz w:val="20"/>
          <w:szCs w:val="20"/>
        </w:rPr>
        <w:t xml:space="preserve">xpansion, construction and development of our energy infrastructure, including new pipelines, gathering systems, facilities and other assets. These projects are subject to state and federal regulatory oversight and require certain property rights, such as </w:t>
      </w:r>
      <w:r>
        <w:rPr>
          <w:rFonts w:eastAsia="Times New Roman"/>
          <w:color w:val="000000"/>
          <w:sz w:val="20"/>
          <w:szCs w:val="20"/>
        </w:rPr>
        <w:t xml:space="preserve">easements and rights-of-way from public and private owners, as well as regulatory approvals, including environmental and other permits and licenses. There is no assurance that we or our project partners, as applicable, will be able to obtain the necessary </w:t>
      </w:r>
      <w:r>
        <w:rPr>
          <w:rFonts w:eastAsia="Times New Roman"/>
          <w:color w:val="000000"/>
          <w:sz w:val="20"/>
          <w:szCs w:val="20"/>
        </w:rPr>
        <w:t>property rights, permits and licenses in a timely and cost-efficient manner, or at all, which may result in a delay or failure to complete a project. We may face opposition to the expansion, construction or development of new or existing pipelines, gatheri</w:t>
      </w:r>
      <w:r>
        <w:rPr>
          <w:rFonts w:eastAsia="Times New Roman"/>
          <w:color w:val="000000"/>
          <w:sz w:val="20"/>
          <w:szCs w:val="20"/>
        </w:rPr>
        <w:t>ng systems, facilities or other assets from environmental groups, landowners, local groups and other advocates. This opposition could take many forms, including organized protests, attempts to block or sabotage our operations, intervention in regulatory or</w:t>
      </w:r>
      <w:r>
        <w:rPr>
          <w:rFonts w:eastAsia="Times New Roman"/>
          <w:color w:val="000000"/>
          <w:sz w:val="20"/>
          <w:szCs w:val="20"/>
        </w:rPr>
        <w:t xml:space="preserve"> administrative proceedings involving our assets, or lawsuits or other actions designed to prevent, disrupt, or delay the development or operation of our assets and business. Failure to complete any pending or future infrastructure project may have a mater</w:t>
      </w:r>
      <w:r>
        <w:rPr>
          <w:rFonts w:eastAsia="Times New Roman"/>
          <w:color w:val="000000"/>
          <w:sz w:val="20"/>
          <w:szCs w:val="20"/>
        </w:rPr>
        <w:t>ially adverse impact on our financial condition and results of operations.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Even if we are able to successfully complete any pending or future infrastructure project, our revenues may not increase immediately upon the expenditure of funds on a particular </w:t>
      </w:r>
      <w:r>
        <w:rPr>
          <w:rFonts w:eastAsia="Times New Roman"/>
          <w:color w:val="000000"/>
          <w:sz w:val="20"/>
          <w:szCs w:val="20"/>
        </w:rPr>
        <w:t xml:space="preserve">project or as anticipated during the lifespan of the project. As a result, there is the risk that new and expanded energy infrastructure may not achieve our expected investment returns, which could have a material adverse effect on our business, financial </w:t>
      </w:r>
      <w:r>
        <w:rPr>
          <w:rFonts w:eastAsia="Times New Roman"/>
          <w:color w:val="000000"/>
          <w:sz w:val="20"/>
          <w:szCs w:val="20"/>
        </w:rPr>
        <w:t>condition and results of operations.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Risks Relating to Our Business Operations, Including Internal and External Factors that May Impact Our Operational Continuity</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Our review of potential strategic alternatives may not result in the approval or completi</w:t>
      </w:r>
      <w:r>
        <w:rPr>
          <w:rFonts w:eastAsia="Times New Roman"/>
          <w:b/>
          <w:bCs/>
          <w:i/>
          <w:iCs/>
          <w:color w:val="000000"/>
          <w:sz w:val="20"/>
          <w:szCs w:val="20"/>
        </w:rPr>
        <w:t>on of any specific transaction or outcome, and the process of reviewing strategic alternatives or the outcome could adversely affect our business, financial condition, operations and stock price.</w:t>
      </w:r>
      <w:r>
        <w:rPr>
          <w:rFonts w:eastAsia="Times New Roman"/>
          <w:color w:val="000000"/>
          <w:sz w:val="20"/>
          <w:szCs w:val="20"/>
        </w:rPr>
        <w:t xml:space="preserve"> In August 2023, we announced that our Board of Directors ini</w:t>
      </w:r>
      <w:r>
        <w:rPr>
          <w:rFonts w:eastAsia="Times New Roman"/>
          <w:color w:val="000000"/>
          <w:sz w:val="20"/>
          <w:szCs w:val="20"/>
        </w:rPr>
        <w:t>tiated a process to evaluate potential strategic alternatives, including cost optimization initiatives, with the intent to unlock and maximize shareholder value. Our Board has not yet established a timeline for completion of the strategic review process, a</w:t>
      </w:r>
      <w:r>
        <w:rPr>
          <w:rFonts w:eastAsia="Times New Roman"/>
          <w:color w:val="000000"/>
          <w:sz w:val="20"/>
          <w:szCs w:val="20"/>
        </w:rPr>
        <w:t xml:space="preserve">nd there is no assurance that the process will result in the approval or completion of any specific transaction or outcome. We are actively working with financial and legal advisors in connection with our review of potential strategic alternatives.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Any </w:t>
      </w:r>
      <w:r>
        <w:rPr>
          <w:rFonts w:eastAsia="Times New Roman"/>
          <w:color w:val="000000"/>
          <w:sz w:val="20"/>
          <w:szCs w:val="20"/>
        </w:rPr>
        <w:t xml:space="preserve">potential transaction or other strategic alternative would be dependent on a number of factors that may be beyond our control, including, among other things, market conditions, industry trends, regulatory approvals, and the availability of financing for a </w:t>
      </w:r>
      <w:r>
        <w:rPr>
          <w:rFonts w:eastAsia="Times New Roman"/>
          <w:color w:val="000000"/>
          <w:sz w:val="20"/>
          <w:szCs w:val="20"/>
        </w:rPr>
        <w:t>potential transaction on reasonable terms. The process of reviewing potential strategic alternatives, including optimization of our cost structure, is time consuming, may divert the attention of our Board and management from core business operations, and m</w:t>
      </w:r>
      <w:r>
        <w:rPr>
          <w:rFonts w:eastAsia="Times New Roman"/>
          <w:color w:val="000000"/>
          <w:sz w:val="20"/>
          <w:szCs w:val="20"/>
        </w:rPr>
        <w:t>ay be distracting and disruptive to our business operations and long-term planning, which may cause concern to our current or potential customers, employees, investors, strategic partners and other stakeholders, and may have a material impact on our busine</w:t>
      </w:r>
      <w:r>
        <w:rPr>
          <w:rFonts w:eastAsia="Times New Roman"/>
          <w:color w:val="000000"/>
          <w:sz w:val="20"/>
          <w:szCs w:val="20"/>
        </w:rPr>
        <w:t>ss and operating results or our internal controls and procedures, or result in increased volatility in our share price. We may incur substantial expenses associated with identifying, evaluating and negotiating potential strategic alternatives. There can be</w:t>
      </w:r>
      <w:r>
        <w:rPr>
          <w:rFonts w:eastAsia="Times New Roman"/>
          <w:color w:val="000000"/>
          <w:sz w:val="20"/>
          <w:szCs w:val="20"/>
        </w:rPr>
        <w:t xml:space="preserve"> no assurance that any potential transaction or other strategic alternative, if consummated, will provide greater value to our shareholders than that reflected in the current price of our common stock. Additionally, the outcome of the strategic review may </w:t>
      </w:r>
      <w:r>
        <w:rPr>
          <w:rFonts w:eastAsia="Times New Roman"/>
          <w:color w:val="000000"/>
          <w:sz w:val="20"/>
          <w:szCs w:val="20"/>
        </w:rPr>
        <w:t>adversely impact our business, cash flows, operations, financial condition and stock price. Until the review process is concluded or developments on the progress of the strategic review are disclosed, perceived uncertainties related to our future may resul</w:t>
      </w:r>
      <w:r>
        <w:rPr>
          <w:rFonts w:eastAsia="Times New Roman"/>
          <w:color w:val="000000"/>
          <w:sz w:val="20"/>
          <w:szCs w:val="20"/>
        </w:rPr>
        <w:t>t in the loss of potential business opportunities, volatility in the market price of our common stock, and difficulty attracting and retaining qualified employees and business partners. Similarly, activist investors may engage in proxy solicitations or adv</w:t>
      </w:r>
      <w:r>
        <w:rPr>
          <w:rFonts w:eastAsia="Times New Roman"/>
          <w:color w:val="000000"/>
          <w:sz w:val="20"/>
          <w:szCs w:val="20"/>
        </w:rPr>
        <w:t xml:space="preserve">ance shareholder proposals, or otherwise attempt to affect changes and assert influence on our Board of Directors and management, which could negatively impact our business and operations and cause a distraction to our Board, management and employees.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O</w:t>
      </w:r>
      <w:r>
        <w:rPr>
          <w:rFonts w:eastAsia="Times New Roman"/>
          <w:b/>
          <w:bCs/>
          <w:i/>
          <w:iCs/>
          <w:color w:val="000000"/>
          <w:sz w:val="20"/>
          <w:szCs w:val="20"/>
        </w:rPr>
        <w:t xml:space="preserve">ur information technology systems and those of our third-party vendors have been the target of cybersecurity attacks in the past. If we are unable to protect our information technology systems against future service interruption, misappropriation of data, </w:t>
      </w:r>
      <w:r>
        <w:rPr>
          <w:rFonts w:eastAsia="Times New Roman"/>
          <w:b/>
          <w:bCs/>
          <w:i/>
          <w:iCs/>
          <w:color w:val="000000"/>
          <w:sz w:val="20"/>
          <w:szCs w:val="20"/>
        </w:rPr>
        <w:t>or breaches of security resulting from cybersecurity attacks or other events, or if we encounter other unforeseen difficulties in the design, implementation or operation of our information technology systems, or if our third-party vendors or service provid</w:t>
      </w:r>
      <w:r>
        <w:rPr>
          <w:rFonts w:eastAsia="Times New Roman"/>
          <w:b/>
          <w:bCs/>
          <w:i/>
          <w:iCs/>
          <w:color w:val="000000"/>
          <w:sz w:val="20"/>
          <w:szCs w:val="20"/>
        </w:rPr>
        <w:t xml:space="preserve">ers experience compromises to their information technology systems, our operations could be disrupted, our business and reputation may suffer, and our internal controls could be adversely affected. </w:t>
      </w:r>
      <w:r>
        <w:rPr>
          <w:rFonts w:eastAsia="Times New Roman"/>
          <w:color w:val="000000"/>
          <w:sz w:val="20"/>
          <w:szCs w:val="20"/>
        </w:rPr>
        <w:t>In the ordinary course of business, we rely on information</w:t>
      </w:r>
      <w:r>
        <w:rPr>
          <w:rFonts w:eastAsia="Times New Roman"/>
          <w:color w:val="000000"/>
          <w:sz w:val="20"/>
          <w:szCs w:val="20"/>
        </w:rPr>
        <w:t xml:space="preserve"> technology systems, including the Internet and third-party hosted services, to support a variety of business processes and activities and to store sensitive data, including (i) intellectual property, (ii) our proprietary business information and that of o</w:t>
      </w:r>
      <w:r>
        <w:rPr>
          <w:rFonts w:eastAsia="Times New Roman"/>
          <w:color w:val="000000"/>
          <w:sz w:val="20"/>
          <w:szCs w:val="20"/>
        </w:rPr>
        <w:t>ur suppliers and business partners, (iii) personally identifiable information of our customers and employees, and (iv) data with respect to invoicing and the collection of payments, accounting, procurement, and supply chain activities. In addition, we rely</w:t>
      </w:r>
      <w:r>
        <w:rPr>
          <w:rFonts w:eastAsia="Times New Roman"/>
          <w:color w:val="000000"/>
          <w:sz w:val="20"/>
          <w:szCs w:val="20"/>
        </w:rPr>
        <w:t xml:space="preserve"> on our information technology systems to process financial information and results of operations for internal reporting purposes and to comply with financial reporting, legal, and tax requirements. </w:t>
      </w:r>
    </w:p>
    <w:p w:rsidR="00000000" w:rsidRDefault="00AC31B9">
      <w:pPr>
        <w:jc w:val="both"/>
        <w:rPr>
          <w:rFonts w:eastAsia="Times New Roman"/>
        </w:rPr>
      </w:pPr>
    </w:p>
    <w:p w:rsidR="00000000" w:rsidRDefault="00AC31B9">
      <w:pPr>
        <w:jc w:val="center"/>
        <w:divId w:val="1760910536"/>
        <w:rPr>
          <w:rFonts w:eastAsia="Times New Roman"/>
        </w:rPr>
      </w:pPr>
      <w:r>
        <w:rPr>
          <w:rFonts w:eastAsia="Times New Roman"/>
          <w:color w:val="000000"/>
          <w:sz w:val="20"/>
          <w:szCs w:val="20"/>
        </w:rPr>
        <w:t>36</w:t>
      </w:r>
    </w:p>
    <w:p w:rsidR="00000000" w:rsidRDefault="00AC31B9">
      <w:pPr>
        <w:rPr>
          <w:rFonts w:eastAsia="Times New Roman"/>
        </w:rPr>
      </w:pPr>
      <w:r>
        <w:rPr>
          <w:rFonts w:eastAsia="Times New Roman"/>
        </w:rPr>
        <w:pict>
          <v:rect id="_x0000_i1062" style="width:0;height:1.5pt" o:hralign="center" o:hrstd="t" o:hr="t" fillcolor="#a0a0a0" stroked="f"/>
        </w:pict>
      </w:r>
    </w:p>
    <w:p w:rsidR="00000000" w:rsidRDefault="00AC31B9">
      <w:pPr>
        <w:divId w:val="284625369"/>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shd w:val="clear" w:color="auto" w:fill="FFFFFF"/>
        </w:rPr>
        <w:t>Cybersecurity incidents have recently increased in both frequency and magnitude and have involved malicious software and attempts to gain unauthorized access to data and systems, including ransomware attacks where a target’s access to its information syste</w:t>
      </w:r>
      <w:r>
        <w:rPr>
          <w:rFonts w:eastAsia="Times New Roman"/>
          <w:color w:val="000000"/>
          <w:sz w:val="20"/>
          <w:szCs w:val="20"/>
          <w:shd w:val="clear" w:color="auto" w:fill="FFFFFF"/>
        </w:rPr>
        <w:t>ms is blocked until a ransom has been paid.</w:t>
      </w:r>
      <w:r>
        <w:rPr>
          <w:rFonts w:eastAsia="Times New Roman"/>
          <w:color w:val="000000"/>
          <w:sz w:val="20"/>
          <w:szCs w:val="20"/>
        </w:rPr>
        <w:t xml:space="preserve"> </w:t>
      </w:r>
      <w:r>
        <w:rPr>
          <w:rFonts w:eastAsia="Times New Roman"/>
          <w:color w:val="000000"/>
          <w:sz w:val="20"/>
          <w:szCs w:val="20"/>
          <w:shd w:val="clear" w:color="auto" w:fill="FFFFFF"/>
        </w:rPr>
        <w:t>The White House and various regulators, including the SEC, have accordingly increased their focus on companies’ cybersecurity vulnerabilities and risks.</w:t>
      </w:r>
      <w:r>
        <w:rPr>
          <w:rFonts w:eastAsia="Times New Roman"/>
          <w:color w:val="000000"/>
          <w:sz w:val="20"/>
          <w:szCs w:val="20"/>
        </w:rPr>
        <w:t xml:space="preserve"> </w:t>
      </w:r>
      <w:r>
        <w:rPr>
          <w:rFonts w:eastAsia="Times New Roman"/>
          <w:color w:val="000000"/>
          <w:sz w:val="20"/>
          <w:szCs w:val="20"/>
          <w:shd w:val="clear" w:color="auto" w:fill="FFFFFF"/>
        </w:rPr>
        <w:t>Despite our security measures, our technologies, systems, a</w:t>
      </w:r>
      <w:r>
        <w:rPr>
          <w:rFonts w:eastAsia="Times New Roman"/>
          <w:color w:val="000000"/>
          <w:sz w:val="20"/>
          <w:szCs w:val="20"/>
          <w:shd w:val="clear" w:color="auto" w:fill="FFFFFF"/>
        </w:rPr>
        <w:t>nd networks have been and may continue to be the target of cybersecurity attacks or information security breaches that could result in the unauthorized release, misuse, loss or destruction of proprietary and other information, or other disruption of our bu</w:t>
      </w:r>
      <w:r>
        <w:rPr>
          <w:rFonts w:eastAsia="Times New Roman"/>
          <w:color w:val="000000"/>
          <w:sz w:val="20"/>
          <w:szCs w:val="20"/>
          <w:shd w:val="clear" w:color="auto" w:fill="FFFFFF"/>
        </w:rPr>
        <w:t>siness operations.</w:t>
      </w:r>
      <w:r>
        <w:rPr>
          <w:rFonts w:eastAsia="Times New Roman"/>
          <w:color w:val="000000"/>
          <w:sz w:val="20"/>
          <w:szCs w:val="20"/>
        </w:rPr>
        <w:t xml:space="preserve"> </w:t>
      </w:r>
      <w:r>
        <w:rPr>
          <w:rFonts w:eastAsia="Times New Roman"/>
          <w:color w:val="000000"/>
          <w:sz w:val="20"/>
          <w:szCs w:val="20"/>
          <w:shd w:val="clear" w:color="auto" w:fill="FFFFFF"/>
        </w:rPr>
        <w:t>Due to increasingly sophisticated threat actors, we may be unable to detect, identify or prevent attacks, and even if detected, we may be unable to adequately stop, investigate or remediate our systems given the tools and techniques bein</w:t>
      </w:r>
      <w:r>
        <w:rPr>
          <w:rFonts w:eastAsia="Times New Roman"/>
          <w:color w:val="000000"/>
          <w:sz w:val="20"/>
          <w:szCs w:val="20"/>
          <w:shd w:val="clear" w:color="auto" w:fill="FFFFFF"/>
        </w:rPr>
        <w:t>g used by threat actors to circumvent controls and to remove or obfuscate forensic evidence.</w:t>
      </w:r>
      <w:r>
        <w:rPr>
          <w:rFonts w:eastAsia="Times New Roman"/>
          <w:color w:val="000000"/>
          <w:sz w:val="20"/>
          <w:szCs w:val="20"/>
        </w:rPr>
        <w:t xml:space="preserve"> </w:t>
      </w:r>
      <w:r>
        <w:rPr>
          <w:rFonts w:eastAsia="Times New Roman"/>
          <w:color w:val="000000"/>
          <w:sz w:val="20"/>
          <w:szCs w:val="20"/>
          <w:shd w:val="clear" w:color="auto" w:fill="FFFFFF"/>
        </w:rPr>
        <w:t>Attacks and incidents may also occur due to malfeasance by employees or contractors, as well as human error as in the case of social engineering and phishing campa</w:t>
      </w:r>
      <w:r>
        <w:rPr>
          <w:rFonts w:eastAsia="Times New Roman"/>
          <w:color w:val="000000"/>
          <w:sz w:val="20"/>
          <w:szCs w:val="20"/>
          <w:shd w:val="clear" w:color="auto" w:fill="FFFFFF"/>
        </w:rPr>
        <w:t>igns.</w:t>
      </w:r>
      <w:r>
        <w:rPr>
          <w:rFonts w:eastAsia="Times New Roman"/>
          <w:color w:val="000000"/>
          <w:sz w:val="20"/>
          <w:szCs w:val="20"/>
        </w:rPr>
        <w:t xml:space="preserve"> A number of our employees currently work remotely full-time or on a hybrid basis; as a result, our cybersecurity program may be less effective and information technology security may be less robust for those employees. Similarly, our third-party vend</w:t>
      </w:r>
      <w:r>
        <w:rPr>
          <w:rFonts w:eastAsia="Times New Roman"/>
          <w:color w:val="000000"/>
          <w:sz w:val="20"/>
          <w:szCs w:val="20"/>
        </w:rPr>
        <w:t>ors or service providers have been impacted by cybersecurity attacks and incidents and are subject to many, if not all, of the same risks and disruptions as described above. A loss of our information technology systems, or temporary interruptions in the op</w:t>
      </w:r>
      <w:r>
        <w:rPr>
          <w:rFonts w:eastAsia="Times New Roman"/>
          <w:color w:val="000000"/>
          <w:sz w:val="20"/>
          <w:szCs w:val="20"/>
        </w:rPr>
        <w:t>eration of our information technology systems, or those of our third-party vendors or service providers, or any other misappropriation of data, or breaches of security could lead to investigations and fines or penalties, litigation, increased costs for com</w:t>
      </w:r>
      <w:r>
        <w:rPr>
          <w:rFonts w:eastAsia="Times New Roman"/>
          <w:color w:val="000000"/>
          <w:sz w:val="20"/>
          <w:szCs w:val="20"/>
        </w:rPr>
        <w:t xml:space="preserve">pliance and for remediation or rebuilding of our systems, and could have a material adverse effect on our business, financial condition, results of operations, and reputation. In addition, an attack could provide an intruder with the ability to control or </w:t>
      </w:r>
      <w:r>
        <w:rPr>
          <w:rFonts w:eastAsia="Times New Roman"/>
          <w:color w:val="000000"/>
          <w:sz w:val="20"/>
          <w:szCs w:val="20"/>
        </w:rPr>
        <w:t>alter our pipeline operations. Such an act could result in critical pipeline failures.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efficient execution of our businesses is dependent upon the proper design, implementation and functioning of its current and future internal systems, such as the i</w:t>
      </w:r>
      <w:r>
        <w:rPr>
          <w:rFonts w:eastAsia="Times New Roman"/>
          <w:color w:val="000000"/>
          <w:sz w:val="20"/>
          <w:szCs w:val="20"/>
        </w:rPr>
        <w:t>nformation technology systems that support our underlying business processes. Any significant failure or malfunction of such information technology systems may result in disruptions of our operations. In addition, the effectiveness of our internal controls</w:t>
      </w:r>
      <w:r>
        <w:rPr>
          <w:rFonts w:eastAsia="Times New Roman"/>
          <w:color w:val="000000"/>
          <w:sz w:val="20"/>
          <w:szCs w:val="20"/>
        </w:rPr>
        <w:t xml:space="preserve"> could be adversely affected if we encounter unforeseen problems with respect to the operation of our information technology systems.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Moreover, as cybersecurity incidents increase in frequency and magnitude, we may be unable to obtain cybersecurity insu</w:t>
      </w:r>
      <w:r>
        <w:rPr>
          <w:rFonts w:eastAsia="Times New Roman"/>
          <w:color w:val="000000"/>
          <w:sz w:val="20"/>
          <w:szCs w:val="20"/>
        </w:rPr>
        <w:t>rance in amounts and on terms we view as adequate for our operations, including the agreement to certain indemnification provisions by our insurance providers.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Our utility transmission and distribution systems, our non-utility midstream assets, and the a</w:t>
      </w:r>
      <w:r>
        <w:rPr>
          <w:rFonts w:eastAsia="Times New Roman"/>
          <w:b/>
          <w:bCs/>
          <w:i/>
          <w:iCs/>
          <w:color w:val="000000"/>
          <w:sz w:val="20"/>
          <w:szCs w:val="20"/>
        </w:rPr>
        <w:t xml:space="preserve">ssets of upstream interstate pipelines and other midstream providers may not operate as planned, which may increase our expenses or decrease our revenues and, thus, have an adverse impact on our financial results. </w:t>
      </w:r>
      <w:r>
        <w:rPr>
          <w:rFonts w:eastAsia="Times New Roman"/>
          <w:color w:val="000000"/>
          <w:sz w:val="20"/>
          <w:szCs w:val="20"/>
        </w:rPr>
        <w:t>Our ability to manage operational risk wit</w:t>
      </w:r>
      <w:r>
        <w:rPr>
          <w:rFonts w:eastAsia="Times New Roman"/>
          <w:color w:val="000000"/>
          <w:sz w:val="20"/>
          <w:szCs w:val="20"/>
        </w:rPr>
        <w:t>h respect to utility distribution and transmission and non-utility midstream assets, and the availability of natural gas delivered by interstate natural gas pipelines and midstream gathering assets is critical to our financial results.  We obtain our suppl</w:t>
      </w:r>
      <w:r>
        <w:rPr>
          <w:rFonts w:eastAsia="Times New Roman"/>
          <w:color w:val="000000"/>
          <w:sz w:val="20"/>
          <w:szCs w:val="20"/>
        </w:rPr>
        <w:t xml:space="preserve">y from local Marcellus and Utica Shale sources, as well as other trading points in the U.S.  If we experience physical capacity constraints on one or more of the interstate or intrastate natural gas pipelines that supply our businesses, we may not be able </w:t>
      </w:r>
      <w:r>
        <w:rPr>
          <w:rFonts w:eastAsia="Times New Roman"/>
          <w:color w:val="000000"/>
          <w:sz w:val="20"/>
          <w:szCs w:val="20"/>
        </w:rPr>
        <w:t>to supply our customers, which could have an adverse impact on our financial results.  Our businesses also face several risks, including the breakdown or failure of, or damage to, equipment or processes (especially due to severe weather or natural disaster</w:t>
      </w:r>
      <w:r>
        <w:rPr>
          <w:rFonts w:eastAsia="Times New Roman"/>
          <w:color w:val="000000"/>
          <w:sz w:val="20"/>
          <w:szCs w:val="20"/>
        </w:rPr>
        <w:t>s), accidents and other factors, including as a result of overpressurization of or damage to natural gas pipelines.  Operation of our transmission and distribution systems or our midstream assets below our expectations may result in lost revenues or increa</w:t>
      </w:r>
      <w:r>
        <w:rPr>
          <w:rFonts w:eastAsia="Times New Roman"/>
          <w:color w:val="000000"/>
          <w:sz w:val="20"/>
          <w:szCs w:val="20"/>
        </w:rPr>
        <w:t>sed expenses, including higher maintenance costs, civil litigation and the risk of regulatory penalties.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Risks Relating to Our International Operations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Our international operations could be subject to increased risks, which may</w:t>
      </w:r>
      <w:r>
        <w:rPr>
          <w:rFonts w:eastAsia="Times New Roman"/>
          <w:color w:val="000000"/>
          <w:sz w:val="20"/>
          <w:szCs w:val="20"/>
        </w:rPr>
        <w:t xml:space="preserve"> </w:t>
      </w:r>
      <w:r>
        <w:rPr>
          <w:rFonts w:eastAsia="Times New Roman"/>
          <w:b/>
          <w:bCs/>
          <w:i/>
          <w:iCs/>
          <w:color w:val="000000"/>
          <w:sz w:val="20"/>
          <w:szCs w:val="20"/>
        </w:rPr>
        <w:t xml:space="preserve">negatively affect our business results. </w:t>
      </w:r>
      <w:r>
        <w:rPr>
          <w:rFonts w:eastAsia="Times New Roman"/>
          <w:color w:val="000000"/>
          <w:sz w:val="20"/>
          <w:szCs w:val="20"/>
        </w:rPr>
        <w:t>We operate LPG distribution and energy marketing businesses in Europe through our subsidiaries. As a result, we face risks in conducting bus</w:t>
      </w:r>
      <w:r>
        <w:rPr>
          <w:rFonts w:eastAsia="Times New Roman"/>
          <w:color w:val="000000"/>
          <w:sz w:val="20"/>
          <w:szCs w:val="20"/>
        </w:rPr>
        <w:t>iness abroad that we do not face domestically. Certain aspects inherent in transacting business internationally could negatively impact our operating results, including:</w:t>
      </w:r>
    </w:p>
    <w:p w:rsidR="00000000" w:rsidRDefault="00AC31B9">
      <w:pPr>
        <w:ind w:hanging="180"/>
        <w:jc w:val="both"/>
        <w:rPr>
          <w:rFonts w:eastAsia="Times New Roman"/>
        </w:rPr>
      </w:pPr>
    </w:p>
    <w:p w:rsidR="00000000" w:rsidRDefault="00AC31B9">
      <w:pPr>
        <w:ind w:hanging="180"/>
        <w:jc w:val="both"/>
        <w:rPr>
          <w:rFonts w:eastAsia="Times New Roman"/>
        </w:rPr>
      </w:pPr>
      <w:r>
        <w:rPr>
          <w:rFonts w:eastAsia="Times New Roman"/>
          <w:color w:val="000000"/>
          <w:sz w:val="20"/>
          <w:szCs w:val="20"/>
        </w:rPr>
        <w:t>•costs and difficulties in staffing and managing international operations;</w:t>
      </w:r>
    </w:p>
    <w:p w:rsidR="00000000" w:rsidRDefault="00AC31B9">
      <w:pPr>
        <w:ind w:hanging="180"/>
        <w:jc w:val="both"/>
        <w:rPr>
          <w:rFonts w:eastAsia="Times New Roman"/>
        </w:rPr>
      </w:pPr>
      <w:r>
        <w:rPr>
          <w:rFonts w:eastAsia="Times New Roman"/>
          <w:color w:val="000000"/>
          <w:sz w:val="20"/>
          <w:szCs w:val="20"/>
        </w:rPr>
        <w:t>•disagree</w:t>
      </w:r>
      <w:r>
        <w:rPr>
          <w:rFonts w:eastAsia="Times New Roman"/>
          <w:color w:val="000000"/>
          <w:sz w:val="20"/>
          <w:szCs w:val="20"/>
        </w:rPr>
        <w:t>ments and disputes with our employees represented by a works council or union;</w:t>
      </w:r>
    </w:p>
    <w:p w:rsidR="00000000" w:rsidRDefault="00AC31B9">
      <w:pPr>
        <w:ind w:hanging="180"/>
        <w:jc w:val="both"/>
        <w:rPr>
          <w:rFonts w:eastAsia="Times New Roman"/>
        </w:rPr>
      </w:pPr>
      <w:r>
        <w:rPr>
          <w:rFonts w:eastAsia="Times New Roman"/>
          <w:color w:val="000000"/>
          <w:sz w:val="20"/>
          <w:szCs w:val="20"/>
        </w:rPr>
        <w:t>•strikes and work stoppages by the employees of the Company or our suppliers and vendors;</w:t>
      </w:r>
    </w:p>
    <w:p w:rsidR="00000000" w:rsidRDefault="00AC31B9">
      <w:pPr>
        <w:ind w:hanging="180"/>
        <w:jc w:val="both"/>
        <w:rPr>
          <w:rFonts w:eastAsia="Times New Roman"/>
        </w:rPr>
      </w:pPr>
      <w:r>
        <w:rPr>
          <w:rFonts w:eastAsia="Times New Roman"/>
          <w:color w:val="000000"/>
          <w:sz w:val="20"/>
          <w:szCs w:val="20"/>
        </w:rPr>
        <w:t>•fluctuations in currency exchange rates, particularly the euro, which can affect deman</w:t>
      </w:r>
      <w:r>
        <w:rPr>
          <w:rFonts w:eastAsia="Times New Roman"/>
          <w:color w:val="000000"/>
          <w:sz w:val="20"/>
          <w:szCs w:val="20"/>
        </w:rPr>
        <w:t>d for our products, increase our costs and adversely affect our profitability and reported results;</w:t>
      </w:r>
    </w:p>
    <w:p w:rsidR="00000000" w:rsidRDefault="00AC31B9">
      <w:pPr>
        <w:ind w:hanging="180"/>
        <w:divId w:val="1182167884"/>
        <w:rPr>
          <w:rFonts w:eastAsia="Times New Roman"/>
        </w:rPr>
      </w:pPr>
      <w:r>
        <w:rPr>
          <w:rFonts w:eastAsia="Times New Roman"/>
          <w:color w:val="000000"/>
          <w:sz w:val="20"/>
          <w:szCs w:val="20"/>
        </w:rPr>
        <w:t>•new or revised regulatory requirements, including European competition and carbon emission reduction laws, that may adversely affect the terms of contracts</w:t>
      </w:r>
      <w:r>
        <w:rPr>
          <w:rFonts w:eastAsia="Times New Roman"/>
          <w:color w:val="000000"/>
          <w:sz w:val="20"/>
          <w:szCs w:val="20"/>
        </w:rPr>
        <w:t xml:space="preserve"> with customers, including with respect to exclusive supply rights and usage restrictions, and stricter regulations applicable to the storage and handling of LPG;</w:t>
      </w:r>
    </w:p>
    <w:p w:rsidR="00000000" w:rsidRDefault="00AC31B9">
      <w:pPr>
        <w:ind w:hanging="180"/>
        <w:jc w:val="both"/>
        <w:rPr>
          <w:rFonts w:eastAsia="Times New Roman"/>
        </w:rPr>
      </w:pPr>
      <w:r>
        <w:rPr>
          <w:rFonts w:eastAsia="Times New Roman"/>
          <w:color w:val="000000"/>
          <w:sz w:val="20"/>
          <w:szCs w:val="20"/>
        </w:rPr>
        <w:t xml:space="preserve">•new and inconsistently enforced industry regulatory requirements, which can have an adverse </w:t>
      </w:r>
      <w:r>
        <w:rPr>
          <w:rFonts w:eastAsia="Times New Roman"/>
          <w:color w:val="000000"/>
          <w:sz w:val="20"/>
          <w:szCs w:val="20"/>
        </w:rPr>
        <w:t xml:space="preserve">effect on our </w:t>
      </w:r>
    </w:p>
    <w:p w:rsidR="00000000" w:rsidRDefault="00AC31B9">
      <w:pPr>
        <w:jc w:val="center"/>
        <w:divId w:val="1336616226"/>
        <w:rPr>
          <w:rFonts w:eastAsia="Times New Roman"/>
        </w:rPr>
      </w:pPr>
      <w:r>
        <w:rPr>
          <w:rFonts w:eastAsia="Times New Roman"/>
          <w:color w:val="000000"/>
          <w:sz w:val="20"/>
          <w:szCs w:val="20"/>
        </w:rPr>
        <w:t>37</w:t>
      </w:r>
    </w:p>
    <w:p w:rsidR="00000000" w:rsidRDefault="00AC31B9">
      <w:pPr>
        <w:rPr>
          <w:rFonts w:eastAsia="Times New Roman"/>
        </w:rPr>
      </w:pPr>
      <w:r>
        <w:rPr>
          <w:rFonts w:eastAsia="Times New Roman"/>
        </w:rPr>
        <w:pict>
          <v:rect id="_x0000_i1063" style="width:0;height:1.5pt" o:hralign="center" o:hrstd="t" o:hr="t" fillcolor="#a0a0a0" stroked="f"/>
        </w:pict>
      </w:r>
    </w:p>
    <w:p w:rsidR="00000000" w:rsidRDefault="00AC31B9">
      <w:pPr>
        <w:divId w:val="617641570"/>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competitive position;</w:t>
      </w:r>
    </w:p>
    <w:p w:rsidR="00000000" w:rsidRDefault="00AC31B9">
      <w:pPr>
        <w:ind w:hanging="180"/>
        <w:jc w:val="both"/>
        <w:rPr>
          <w:rFonts w:eastAsia="Times New Roman"/>
        </w:rPr>
      </w:pPr>
      <w:r>
        <w:rPr>
          <w:rFonts w:eastAsia="Times New Roman"/>
          <w:color w:val="000000"/>
          <w:sz w:val="20"/>
          <w:szCs w:val="20"/>
        </w:rPr>
        <w:t>•tariffs and other trade barriers;</w:t>
      </w:r>
    </w:p>
    <w:p w:rsidR="00000000" w:rsidRDefault="00AC31B9">
      <w:pPr>
        <w:ind w:hanging="180"/>
        <w:jc w:val="both"/>
        <w:rPr>
          <w:rFonts w:eastAsia="Times New Roman"/>
        </w:rPr>
      </w:pPr>
      <w:r>
        <w:rPr>
          <w:rFonts w:eastAsia="Times New Roman"/>
          <w:color w:val="000000"/>
          <w:sz w:val="20"/>
          <w:szCs w:val="20"/>
        </w:rPr>
        <w:t>•difficulties in enforcing contractual rights;</w:t>
      </w:r>
    </w:p>
    <w:p w:rsidR="00000000" w:rsidRDefault="00AC31B9">
      <w:pPr>
        <w:ind w:hanging="180"/>
        <w:divId w:val="584149158"/>
        <w:rPr>
          <w:rFonts w:eastAsia="Times New Roman"/>
        </w:rPr>
      </w:pPr>
      <w:r>
        <w:rPr>
          <w:rFonts w:eastAsia="Times New Roman"/>
          <w:color w:val="000000"/>
          <w:sz w:val="20"/>
          <w:szCs w:val="20"/>
        </w:rPr>
        <w:t>•</w:t>
      </w:r>
      <w:r>
        <w:rPr>
          <w:rFonts w:eastAsia="Times New Roman"/>
          <w:color w:val="000000"/>
          <w:sz w:val="20"/>
          <w:szCs w:val="20"/>
        </w:rPr>
        <w:t>local political and economic conditions as well as geopolitical conditions that could cause instability and adversely impact the global economy or specific markets, such as the war between Russia and Ukraine; and</w:t>
      </w:r>
    </w:p>
    <w:p w:rsidR="00000000" w:rsidRDefault="00AC31B9">
      <w:pPr>
        <w:ind w:hanging="180"/>
        <w:jc w:val="both"/>
        <w:rPr>
          <w:rFonts w:eastAsia="Times New Roman"/>
        </w:rPr>
      </w:pPr>
      <w:r>
        <w:rPr>
          <w:rFonts w:eastAsia="Times New Roman"/>
          <w:color w:val="000000"/>
          <w:sz w:val="20"/>
          <w:szCs w:val="20"/>
        </w:rPr>
        <w:t>•potential violations of federal regulatory</w:t>
      </w:r>
      <w:r>
        <w:rPr>
          <w:rFonts w:eastAsia="Times New Roman"/>
          <w:color w:val="000000"/>
          <w:sz w:val="20"/>
          <w:szCs w:val="20"/>
        </w:rPr>
        <w:t xml:space="preserve"> requirements, including anti-bribery, anti-corruption, and anti-money laundering law, economic sanctions, the Foreign Corrupt Practices Act of 1977, as amended, and EU regulatory requirements, including the GDPR and Sapin II.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particular, certain leg</w:t>
      </w:r>
      <w:r>
        <w:rPr>
          <w:rFonts w:eastAsia="Times New Roman"/>
          <w:color w:val="000000"/>
          <w:sz w:val="20"/>
          <w:szCs w:val="20"/>
        </w:rPr>
        <w:t>al and regulatory risks are associated with international business operations. We are subject to various anti-corruption, economic sanctions and trade compliance laws, rules and regulations. For example, the U.S. government imposes restrictions and prohibi</w:t>
      </w:r>
      <w:r>
        <w:rPr>
          <w:rFonts w:eastAsia="Times New Roman"/>
          <w:color w:val="000000"/>
          <w:sz w:val="20"/>
          <w:szCs w:val="20"/>
        </w:rPr>
        <w:t>tions on transactions in certain foreign countries, including restrictions directed at oil and gas activities in Russia. U.S. laws also prohibit the improper offer, payment, promise to pay, or authorization of the payment of money or anything of value to a</w:t>
      </w:r>
      <w:r>
        <w:rPr>
          <w:rFonts w:eastAsia="Times New Roman"/>
          <w:color w:val="000000"/>
          <w:sz w:val="20"/>
          <w:szCs w:val="20"/>
        </w:rPr>
        <w:t>ny foreign official or political party, or to any person, knowing that all or a portion of it will be used to influence a foreign official in his or her official duties or to secure an improper advantage. Ensuring compliance with all relevant laws, rules a</w:t>
      </w:r>
      <w:r>
        <w:rPr>
          <w:rFonts w:eastAsia="Times New Roman"/>
          <w:color w:val="000000"/>
          <w:sz w:val="20"/>
          <w:szCs w:val="20"/>
        </w:rPr>
        <w:t>nd regulations is a complex task. Violation of one or more of these laws, rules or regulations could lead to loss of import or export privileges, civil or criminal penalties for us or our employees, or potential reputational harm, which could have a materi</w:t>
      </w:r>
      <w:r>
        <w:rPr>
          <w:rFonts w:eastAsia="Times New Roman"/>
          <w:color w:val="000000"/>
          <w:sz w:val="20"/>
          <w:szCs w:val="20"/>
        </w:rPr>
        <w:t xml:space="preserve">al adverse impact on earnings, cash flows and financial condition.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The European energy crisis may create LPG commodity supply challenges and could negatively impact our business results. </w:t>
      </w:r>
      <w:r>
        <w:rPr>
          <w:rFonts w:eastAsia="Times New Roman"/>
          <w:color w:val="000000"/>
          <w:sz w:val="20"/>
          <w:szCs w:val="20"/>
        </w:rPr>
        <w:t>The geopolitical situation in Europe during 2022 led to a sharp de</w:t>
      </w:r>
      <w:r>
        <w:rPr>
          <w:rFonts w:eastAsia="Times New Roman"/>
          <w:color w:val="000000"/>
          <w:sz w:val="20"/>
          <w:szCs w:val="20"/>
        </w:rPr>
        <w:t xml:space="preserve">crease in natural gas imports from Russia to Europe. This decrease resulted in a significant increase in natural gas prices in Europe. Although the natural gas prices have declined from the unprecedented highs of 2022, in response to the significant price </w:t>
      </w:r>
      <w:r>
        <w:rPr>
          <w:rFonts w:eastAsia="Times New Roman"/>
          <w:color w:val="000000"/>
          <w:sz w:val="20"/>
          <w:szCs w:val="20"/>
        </w:rPr>
        <w:t>increases experienced, refineries still see an incentive to, and are substituting a portion of their natural gas refinery fuels with, LPG leading to a decrease in the availability of inland LPG as well as higher LPG costs. In addition, gas processing plant</w:t>
      </w:r>
      <w:r>
        <w:rPr>
          <w:rFonts w:eastAsia="Times New Roman"/>
          <w:color w:val="000000"/>
          <w:sz w:val="20"/>
          <w:szCs w:val="20"/>
        </w:rPr>
        <w:t>s supplying the United Kingdom and Norway markets are injecting LPG into the natural gas grid, decreasing the overall supply of LPG from the gas processing plants. In this context, LPG supply patterns are substantially changing with increased reliance on s</w:t>
      </w:r>
      <w:r>
        <w:rPr>
          <w:rFonts w:eastAsia="Times New Roman"/>
          <w:color w:val="000000"/>
          <w:sz w:val="20"/>
          <w:szCs w:val="20"/>
        </w:rPr>
        <w:t xml:space="preserve">ea-imports and land logistics.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 anticipate that the European energy crisis and the corresponding response by refineries and gas processing plants will continue in Fiscal 2024, leading to continued commodity supply challenges in some markets, higher co</w:t>
      </w:r>
      <w:r>
        <w:rPr>
          <w:rFonts w:eastAsia="Times New Roman"/>
          <w:color w:val="000000"/>
          <w:sz w:val="20"/>
          <w:szCs w:val="20"/>
        </w:rPr>
        <w:t>mmodity costs that may not be able to be absorbed by our customers, particularly in the Nordic countries and our Eastern European markets, and lower consumption by our customers, among other impacts, which could have a material adverse impact on our earnin</w:t>
      </w:r>
      <w:r>
        <w:rPr>
          <w:rFonts w:eastAsia="Times New Roman"/>
          <w:color w:val="000000"/>
          <w:sz w:val="20"/>
          <w:szCs w:val="20"/>
        </w:rPr>
        <w:t>gs, cash flows and overall financial condition.</w:t>
      </w:r>
    </w:p>
    <w:p w:rsidR="00000000" w:rsidRDefault="00AC31B9">
      <w:pPr>
        <w:divId w:val="1135565896"/>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Economic and geopolitical instability, including as a result of acts of war, have had, and could continue to have, an adverse effect on our operating results, financial condition, and cash flows. </w:t>
      </w:r>
      <w:r>
        <w:rPr>
          <w:rFonts w:eastAsia="Times New Roman"/>
          <w:color w:val="000000"/>
          <w:sz w:val="20"/>
          <w:szCs w:val="20"/>
        </w:rPr>
        <w:t>In late Fe</w:t>
      </w:r>
      <w:r>
        <w:rPr>
          <w:rFonts w:eastAsia="Times New Roman"/>
          <w:color w:val="000000"/>
          <w:sz w:val="20"/>
          <w:szCs w:val="20"/>
        </w:rPr>
        <w:t>bruary 2022, Russian military forces launched significant military action against Ukraine, which has continued through the date of this Report. We do not have operations in Russia or Ukraine. Nevertheless, the outbreak of war between Russia and Ukraine and</w:t>
      </w:r>
      <w:r>
        <w:rPr>
          <w:rFonts w:eastAsia="Times New Roman"/>
          <w:color w:val="000000"/>
          <w:sz w:val="20"/>
          <w:szCs w:val="20"/>
        </w:rPr>
        <w:t xml:space="preserve"> the resulting sanctions by U.S. and European governments, together with any additional future sanctions by them, could have a larger impact that expands into other geographies where we do business, including our supply chain, business partners and custome</w:t>
      </w:r>
      <w:r>
        <w:rPr>
          <w:rFonts w:eastAsia="Times New Roman"/>
          <w:color w:val="000000"/>
          <w:sz w:val="20"/>
          <w:szCs w:val="20"/>
        </w:rPr>
        <w:t>rs in those markets, which could result in lost sales, supply shortages, commodity price fluctuations, increased costs, transportation logistics challenges, customer credit and liquidity issues, and lost efficiencies. The acceleration of a global energy cr</w:t>
      </w:r>
      <w:r>
        <w:rPr>
          <w:rFonts w:eastAsia="Times New Roman"/>
          <w:color w:val="000000"/>
          <w:sz w:val="20"/>
          <w:szCs w:val="20"/>
        </w:rPr>
        <w:t>isis, including as a result of restrictions on Russia’s energy exports, could similarly impact the geographies where we do business. In addition, the U.S. and Europe have commenced certain trade actions as a result of the war between Russia and Ukraine. Wh</w:t>
      </w:r>
      <w:r>
        <w:rPr>
          <w:rFonts w:eastAsia="Times New Roman"/>
          <w:color w:val="000000"/>
          <w:sz w:val="20"/>
          <w:szCs w:val="20"/>
        </w:rPr>
        <w:t>ile significant uncertainty exists with respect to this matter, the war between Russia and Ukraine and its broader impacts, including any increased trade barriers or restrictions on global trade imposed by the U.S. or Europe, or further trade measures take</w:t>
      </w:r>
      <w:r>
        <w:rPr>
          <w:rFonts w:eastAsia="Times New Roman"/>
          <w:color w:val="000000"/>
          <w:sz w:val="20"/>
          <w:szCs w:val="20"/>
        </w:rPr>
        <w:t>n by Russia or other countries in response, could have a material impact on our operating results, financial condition and cash flows.</w:t>
      </w:r>
    </w:p>
    <w:p w:rsidR="00000000" w:rsidRDefault="00AC31B9">
      <w:pPr>
        <w:divId w:val="1243417755"/>
        <w:rPr>
          <w:rFonts w:eastAsia="Times New Roman"/>
        </w:rPr>
      </w:pPr>
    </w:p>
    <w:p w:rsidR="00000000" w:rsidRDefault="00AC31B9">
      <w:pPr>
        <w:jc w:val="both"/>
        <w:rPr>
          <w:rFonts w:eastAsia="Times New Roman"/>
        </w:rPr>
      </w:pPr>
      <w:r>
        <w:rPr>
          <w:rFonts w:eastAsia="Times New Roman"/>
          <w:b/>
          <w:bCs/>
          <w:i/>
          <w:iCs/>
          <w:color w:val="000000"/>
          <w:sz w:val="20"/>
          <w:szCs w:val="20"/>
        </w:rPr>
        <w:t>Our energy marketing business in Europe may continue to be disrupted by extreme prices and volatility in the natural ga</w:t>
      </w:r>
      <w:r>
        <w:rPr>
          <w:rFonts w:eastAsia="Times New Roman"/>
          <w:b/>
          <w:bCs/>
          <w:i/>
          <w:iCs/>
          <w:color w:val="000000"/>
          <w:sz w:val="20"/>
          <w:szCs w:val="20"/>
        </w:rPr>
        <w:t>s and power markets in Europe, which have resulted in, and may continue to result in, a material negative impact on our financial results.</w:t>
      </w:r>
      <w:r>
        <w:rPr>
          <w:rFonts w:eastAsia="Times New Roman"/>
          <w:color w:val="000000"/>
          <w:sz w:val="20"/>
          <w:szCs w:val="20"/>
        </w:rPr>
        <w:t xml:space="preserve"> Our natural gas and power marketing businesses have traditionally relied upon relative pricing and periods of market </w:t>
      </w:r>
      <w:r>
        <w:rPr>
          <w:rFonts w:eastAsia="Times New Roman"/>
          <w:color w:val="000000"/>
          <w:sz w:val="20"/>
          <w:szCs w:val="20"/>
        </w:rPr>
        <w:t>stability. Since the end of 2021, the European energy markets have been in an unprecedented state of volatility. The war between Russia and Ukraine and the resulting substantial reduction of natural gas imports from Russia to Europe have led to significant</w:t>
      </w:r>
      <w:r>
        <w:rPr>
          <w:rFonts w:eastAsia="Times New Roman"/>
          <w:color w:val="000000"/>
          <w:sz w:val="20"/>
          <w:szCs w:val="20"/>
        </w:rPr>
        <w:t xml:space="preserve"> uncertainty in supply, including price volatility of both wholesale gas and power, and have created new risks that we have experienced and expect to continue to experience within our European energy marketing business. These risks include: (i) the ability</w:t>
      </w:r>
      <w:r>
        <w:rPr>
          <w:rFonts w:eastAsia="Times New Roman"/>
          <w:color w:val="000000"/>
          <w:sz w:val="20"/>
          <w:szCs w:val="20"/>
        </w:rPr>
        <w:t xml:space="preserve"> to economically support the traditional fixed price and full requirement contracts of customers due to the significant increased cost to adjust for shifting volumes due to excess or shortage of consumption expectations; (ii) the ability to service typical</w:t>
      </w:r>
      <w:r>
        <w:rPr>
          <w:rFonts w:eastAsia="Times New Roman"/>
          <w:color w:val="000000"/>
          <w:sz w:val="20"/>
          <w:szCs w:val="20"/>
        </w:rPr>
        <w:t xml:space="preserve"> portfolio needs with standard trading activities due to the limitations on purchasing cost effective services in the market; (iii) the ability to pass increased and volume deviation costs, including balancing costs, onto customers due, among other </w:t>
      </w:r>
    </w:p>
    <w:p w:rsidR="00000000" w:rsidRDefault="00AC31B9">
      <w:pPr>
        <w:jc w:val="center"/>
        <w:divId w:val="615718994"/>
        <w:rPr>
          <w:rFonts w:eastAsia="Times New Roman"/>
        </w:rPr>
      </w:pPr>
      <w:r>
        <w:rPr>
          <w:rFonts w:eastAsia="Times New Roman"/>
          <w:color w:val="000000"/>
          <w:sz w:val="20"/>
          <w:szCs w:val="20"/>
        </w:rPr>
        <w:t>38</w:t>
      </w:r>
    </w:p>
    <w:p w:rsidR="00000000" w:rsidRDefault="00AC31B9">
      <w:pPr>
        <w:rPr>
          <w:rFonts w:eastAsia="Times New Roman"/>
        </w:rPr>
      </w:pPr>
      <w:r>
        <w:rPr>
          <w:rFonts w:eastAsia="Times New Roman"/>
        </w:rPr>
        <w:pict>
          <v:rect id="_x0000_i1064" style="width:0;height:1.5pt" o:hralign="center" o:hrstd="t" o:hr="t" fillcolor="#a0a0a0" stroked="f"/>
        </w:pict>
      </w:r>
    </w:p>
    <w:p w:rsidR="00000000" w:rsidRDefault="00AC31B9">
      <w:pPr>
        <w:divId w:val="485785161"/>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 xml:space="preserve">things, to timing, regulatory and contractual constraints, (iv) the ability to maintain sourcing services to customers due to the margining and </w:t>
      </w:r>
      <w:r>
        <w:rPr>
          <w:rFonts w:eastAsia="Times New Roman"/>
          <w:color w:val="000000"/>
          <w:sz w:val="20"/>
          <w:szCs w:val="20"/>
        </w:rPr>
        <w:t>liquidity constraints as well as maximum trading limits implemented by both clearing banks and wholesale counterparties on energy suppliers, and (v) the ability to economically support fixed and variable price products while offering competitive services i</w:t>
      </w:r>
      <w:r>
        <w:rPr>
          <w:rFonts w:eastAsia="Times New Roman"/>
          <w:color w:val="000000"/>
          <w:sz w:val="20"/>
          <w:szCs w:val="20"/>
        </w:rPr>
        <w:t>n the market. As a result, UGI considered all scenarios with respect to the future of its energy marketing business in Europe and decided to exit this market. UGI sold its energy marketing businesses in the United Kingdom, France and Belgium and UGI contin</w:t>
      </w:r>
      <w:r>
        <w:rPr>
          <w:rFonts w:eastAsia="Times New Roman"/>
          <w:color w:val="000000"/>
          <w:sz w:val="20"/>
          <w:szCs w:val="20"/>
        </w:rPr>
        <w:t>ues to make progress on the wind-down of its energy marketing business in the Netherlands. The risks identified with respect to our energy marketing business in Europe have resulted in and may continue to have a material negative impact on our financial re</w:t>
      </w:r>
      <w:r>
        <w:rPr>
          <w:rFonts w:eastAsia="Times New Roman"/>
          <w:color w:val="000000"/>
          <w:sz w:val="20"/>
          <w:szCs w:val="20"/>
        </w:rPr>
        <w:t>sults.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Risks Relating to Our Supply Chain and Our Ability to Obtain Adequate Quantities of LPG</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We are dependent on our principal LPG suppliers, which increases the</w:t>
      </w:r>
      <w:r>
        <w:rPr>
          <w:rFonts w:eastAsia="Times New Roman"/>
          <w:color w:val="000000"/>
          <w:sz w:val="20"/>
          <w:szCs w:val="20"/>
        </w:rPr>
        <w:t xml:space="preserve"> </w:t>
      </w:r>
      <w:r>
        <w:rPr>
          <w:rFonts w:eastAsia="Times New Roman"/>
          <w:b/>
          <w:bCs/>
          <w:i/>
          <w:iCs/>
          <w:color w:val="000000"/>
          <w:sz w:val="20"/>
          <w:szCs w:val="20"/>
        </w:rPr>
        <w:t xml:space="preserve">risks from an interruption in supply and transportation. </w:t>
      </w:r>
      <w:r>
        <w:rPr>
          <w:rFonts w:eastAsia="Times New Roman"/>
          <w:color w:val="000000"/>
          <w:sz w:val="20"/>
          <w:szCs w:val="20"/>
        </w:rPr>
        <w:t>During Fiscal 2023, AmeriGas Pr</w:t>
      </w:r>
      <w:r>
        <w:rPr>
          <w:rFonts w:eastAsia="Times New Roman"/>
          <w:color w:val="000000"/>
          <w:sz w:val="20"/>
          <w:szCs w:val="20"/>
        </w:rPr>
        <w:t>opane purchased approximately 85% of its propane needs from 20 suppliers. If supplies from these sources were interrupted, the cost of procuring replacement supplies and transporting those supplies from alternative locations might be materially higher and,</w:t>
      </w:r>
      <w:r>
        <w:rPr>
          <w:rFonts w:eastAsia="Times New Roman"/>
          <w:color w:val="000000"/>
          <w:sz w:val="20"/>
          <w:szCs w:val="20"/>
        </w:rPr>
        <w:t xml:space="preserve"> at least on a short-term basis, our earnings could be affected. Additionally, in certain geographic areas, a single supplier provides more than 50% of AmeriGas Propane’s propane requirements. Disruptions in supply in these geographic areas could also have</w:t>
      </w:r>
      <w:r>
        <w:rPr>
          <w:rFonts w:eastAsia="Times New Roman"/>
          <w:color w:val="000000"/>
          <w:sz w:val="20"/>
          <w:szCs w:val="20"/>
        </w:rPr>
        <w:t xml:space="preserve"> an adverse impact on our earnings. Our international businesses are similarly dependent upon their LPG suppliers. For example, during Fiscal 2023, UGI International’s business in the United Kingdom purchased approximately 76% of its LPG needs from two sup</w:t>
      </w:r>
      <w:r>
        <w:rPr>
          <w:rFonts w:eastAsia="Times New Roman"/>
          <w:color w:val="000000"/>
          <w:sz w:val="20"/>
          <w:szCs w:val="20"/>
        </w:rPr>
        <w:t>pliers and, in Italy, approximately 72% of its supply was sourced from two suppliers. If supplies from UGI International’s principal LPG sources are interrupted, the cost of procuring replacement supplies and transporting those supplies from alternative lo</w:t>
      </w:r>
      <w:r>
        <w:rPr>
          <w:rFonts w:eastAsia="Times New Roman"/>
          <w:color w:val="000000"/>
          <w:sz w:val="20"/>
          <w:szCs w:val="20"/>
        </w:rPr>
        <w:t>cations might be materially higher and our earnings could be adversely affected. There is no assurance that our international businesses will be able to continue to acquire sufficient supplies of LPG to meet demand at prices or within time periods that wou</w:t>
      </w:r>
      <w:r>
        <w:rPr>
          <w:rFonts w:eastAsia="Times New Roman"/>
          <w:color w:val="000000"/>
          <w:sz w:val="20"/>
          <w:szCs w:val="20"/>
        </w:rPr>
        <w:t xml:space="preserve">ld allow them to remain competitive.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Our ability to obtain sufficient quantities of LPG is dependent on transportation facilities and providers. </w:t>
      </w:r>
      <w:r>
        <w:rPr>
          <w:rFonts w:eastAsia="Times New Roman"/>
          <w:color w:val="000000"/>
          <w:sz w:val="20"/>
          <w:szCs w:val="20"/>
        </w:rPr>
        <w:t>Spikes in demand caused by weather or other factors can limit our access to port terminals and other transpo</w:t>
      </w:r>
      <w:r>
        <w:rPr>
          <w:rFonts w:eastAsia="Times New Roman"/>
          <w:color w:val="000000"/>
          <w:sz w:val="20"/>
          <w:szCs w:val="20"/>
        </w:rPr>
        <w:t>rtation and storage facilities, disrupt transportation and limit our ability to obtain sufficient quantities of LPG. A significant increase in port and similar fees and fuel prices may also adversely affect our transportation costs and business. Transporta</w:t>
      </w:r>
      <w:r>
        <w:rPr>
          <w:rFonts w:eastAsia="Times New Roman"/>
          <w:color w:val="000000"/>
          <w:sz w:val="20"/>
          <w:szCs w:val="20"/>
        </w:rPr>
        <w:t>tion providers (rail and truck) in some circumstances have limited ability to provide additional resources in times of peak demand. Moreover, the ability of our transportation providers to maintain a staff of qualified truck drivers is critical to the succ</w:t>
      </w:r>
      <w:r>
        <w:rPr>
          <w:rFonts w:eastAsia="Times New Roman"/>
          <w:color w:val="000000"/>
          <w:sz w:val="20"/>
          <w:szCs w:val="20"/>
        </w:rPr>
        <w:t>ess of our business. Regulatory requirements and an improvement in the economy could reduce the number of eligible drivers or require us to pay higher transportation fees as our transportation providers seek to pass on additional labor costs associated wit</w:t>
      </w:r>
      <w:r>
        <w:rPr>
          <w:rFonts w:eastAsia="Times New Roman"/>
          <w:color w:val="000000"/>
          <w:sz w:val="20"/>
          <w:szCs w:val="20"/>
        </w:rPr>
        <w:t>h attracting and retaining drivers.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Our profitability is subject to LPG pricing and inventory risk.</w:t>
      </w:r>
      <w:r>
        <w:rPr>
          <w:rFonts w:eastAsia="Times New Roman"/>
          <w:color w:val="000000"/>
          <w:sz w:val="20"/>
          <w:szCs w:val="20"/>
        </w:rPr>
        <w:t xml:space="preserve"> The retail LPG business is a “margin-based” business in which gross profits are dependent upon the excess of the sales price over LPG supply costs. LPG is</w:t>
      </w:r>
      <w:r>
        <w:rPr>
          <w:rFonts w:eastAsia="Times New Roman"/>
          <w:color w:val="000000"/>
          <w:sz w:val="20"/>
          <w:szCs w:val="20"/>
        </w:rPr>
        <w:t xml:space="preserve"> a commodity, and, as such, its unit price is subject to fluctuations in response to changes in supply or other market conditions. We have no control over supplies, commodity prices or market conditions. Consequently, the unit price of the LPG that our sub</w:t>
      </w:r>
      <w:r>
        <w:rPr>
          <w:rFonts w:eastAsia="Times New Roman"/>
          <w:color w:val="000000"/>
          <w:sz w:val="20"/>
          <w:szCs w:val="20"/>
        </w:rPr>
        <w:t>sidiaries and other distributors and marketers purchase can change rapidly over a short period of time. Most of our domestic LPG product supply contracts permit suppliers to charge posted prices at the time of delivery or negotiated prices based on the cur</w:t>
      </w:r>
      <w:r>
        <w:rPr>
          <w:rFonts w:eastAsia="Times New Roman"/>
          <w:color w:val="000000"/>
          <w:sz w:val="20"/>
          <w:szCs w:val="20"/>
        </w:rPr>
        <w:t xml:space="preserve">rent industry index prices established at major U.S. storage points such as Mont Belvieu, Texas or Conway, Kansas. Most of our international LPG supply contracts are based on internationally quoted market prices. We also purchase a portion of our supplies </w:t>
      </w:r>
      <w:r>
        <w:rPr>
          <w:rFonts w:eastAsia="Times New Roman"/>
          <w:color w:val="000000"/>
          <w:sz w:val="20"/>
          <w:szCs w:val="20"/>
        </w:rPr>
        <w:t>in the spot market. Because our subsidiaries’ profitability is sensitive to changes in wholesale LPG supply costs, we will be adversely affected if we cannot pass on increases in the cost of LPG to our customers, or if there is a delay in passing on such c</w:t>
      </w:r>
      <w:r>
        <w:rPr>
          <w:rFonts w:eastAsia="Times New Roman"/>
          <w:color w:val="000000"/>
          <w:sz w:val="20"/>
          <w:szCs w:val="20"/>
        </w:rPr>
        <w:t>ost increases. Due to competitive pricing in the industry, our subsidiaries may not fully be able to pass on product cost increases to our customers when product costs rise, or when our competitors do not raise their product prices in a timely manner. Fina</w:t>
      </w:r>
      <w:r>
        <w:rPr>
          <w:rFonts w:eastAsia="Times New Roman"/>
          <w:color w:val="000000"/>
          <w:sz w:val="20"/>
          <w:szCs w:val="20"/>
        </w:rPr>
        <w:t>lly, market volatility may cause our subsidiaries to sell LPG at less than the price at which they purchased it, which would adversely affect our operating results.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We offer our customers various fixed-price LPG programs, and a significant number of our </w:t>
      </w:r>
      <w:r>
        <w:rPr>
          <w:rFonts w:eastAsia="Times New Roman"/>
          <w:color w:val="000000"/>
          <w:sz w:val="20"/>
          <w:szCs w:val="20"/>
        </w:rPr>
        <w:t>customers utilize our fixed-price programs. In order to manage the price risk from offering these services, we utilize our physical inventory position, supplemented by forward commodity transactions with various third parties having terms and volumes subst</w:t>
      </w:r>
      <w:r>
        <w:rPr>
          <w:rFonts w:eastAsia="Times New Roman"/>
          <w:color w:val="000000"/>
          <w:sz w:val="20"/>
          <w:szCs w:val="20"/>
        </w:rPr>
        <w:t>antially the same as our customers’ contracts, but there can be no assurance that such measures will be effective. In periods of high LPG price volatility, the fixed-price programs create exposure to over or under-supply positions as the demand from custom</w:t>
      </w:r>
      <w:r>
        <w:rPr>
          <w:rFonts w:eastAsia="Times New Roman"/>
          <w:color w:val="000000"/>
          <w:sz w:val="20"/>
          <w:szCs w:val="20"/>
        </w:rPr>
        <w:t>ers may significantly exceed or fall short of supply procured. In addition, if LPG prices decline significantly subsequent to customers signing up for a fixed-price program, there is a risk that customers will default on their commitments, adversely affect</w:t>
      </w:r>
      <w:r>
        <w:rPr>
          <w:rFonts w:eastAsia="Times New Roman"/>
          <w:color w:val="000000"/>
          <w:sz w:val="20"/>
          <w:szCs w:val="20"/>
        </w:rPr>
        <w:t xml:space="preserve">ing our results of operations. </w:t>
      </w:r>
    </w:p>
    <w:p w:rsidR="00000000" w:rsidRDefault="00AC31B9">
      <w:pPr>
        <w:jc w:val="both"/>
        <w:rPr>
          <w:rFonts w:eastAsia="Times New Roman"/>
        </w:rPr>
      </w:pPr>
    </w:p>
    <w:p w:rsidR="00000000" w:rsidRDefault="00AC31B9">
      <w:pPr>
        <w:jc w:val="center"/>
        <w:divId w:val="205265980"/>
        <w:rPr>
          <w:rFonts w:eastAsia="Times New Roman"/>
        </w:rPr>
      </w:pPr>
      <w:r>
        <w:rPr>
          <w:rFonts w:eastAsia="Times New Roman"/>
          <w:color w:val="000000"/>
          <w:sz w:val="20"/>
          <w:szCs w:val="20"/>
        </w:rPr>
        <w:t>39</w:t>
      </w:r>
    </w:p>
    <w:p w:rsidR="00000000" w:rsidRDefault="00AC31B9">
      <w:pPr>
        <w:rPr>
          <w:rFonts w:eastAsia="Times New Roman"/>
        </w:rPr>
      </w:pPr>
      <w:r>
        <w:rPr>
          <w:rFonts w:eastAsia="Times New Roman"/>
        </w:rPr>
        <w:pict>
          <v:rect id="_x0000_i1065" style="width:0;height:1.5pt" o:hralign="center" o:hrstd="t" o:hr="t" fillcolor="#a0a0a0" stroked="f"/>
        </w:pict>
      </w:r>
    </w:p>
    <w:p w:rsidR="00000000" w:rsidRDefault="00AC31B9">
      <w:pPr>
        <w:divId w:val="502361059"/>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b/>
          <w:bCs/>
          <w:i/>
          <w:iCs/>
          <w:color w:val="000000"/>
          <w:sz w:val="20"/>
          <w:szCs w:val="20"/>
        </w:rPr>
        <w:t>Changes in commodity market prices may have a significant negative effect on our</w:t>
      </w:r>
      <w:r>
        <w:rPr>
          <w:rFonts w:eastAsia="Times New Roman"/>
          <w:color w:val="000000"/>
          <w:sz w:val="20"/>
          <w:szCs w:val="20"/>
        </w:rPr>
        <w:t xml:space="preserve"> </w:t>
      </w:r>
      <w:r>
        <w:rPr>
          <w:rFonts w:eastAsia="Times New Roman"/>
          <w:b/>
          <w:bCs/>
          <w:i/>
          <w:iCs/>
          <w:color w:val="000000"/>
          <w:sz w:val="20"/>
          <w:szCs w:val="20"/>
        </w:rPr>
        <w:t xml:space="preserve">liquidity. </w:t>
      </w:r>
      <w:r>
        <w:rPr>
          <w:rFonts w:eastAsia="Times New Roman"/>
          <w:color w:val="000000"/>
          <w:sz w:val="20"/>
          <w:szCs w:val="20"/>
        </w:rPr>
        <w:t xml:space="preserve">Depending on the terms of our contracts with suppliers as well as our use of financial instruments to reduce volatility in the cost of LPG and natural gas, changes in the market price of LPG and natural gas can create margin payment obligations for us and </w:t>
      </w:r>
      <w:r>
        <w:rPr>
          <w:rFonts w:eastAsia="Times New Roman"/>
          <w:color w:val="000000"/>
          <w:sz w:val="20"/>
          <w:szCs w:val="20"/>
        </w:rPr>
        <w:t>expose us to increased liquidity risk. In addition, increased demand for domestically produced LPG and natural gas overseas may, depending on production volumes in the U.S., result in higher domestic prices and expose us to additional liquidity risks.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Su</w:t>
      </w:r>
      <w:r>
        <w:rPr>
          <w:rFonts w:eastAsia="Times New Roman"/>
          <w:b/>
          <w:bCs/>
          <w:i/>
          <w:iCs/>
          <w:color w:val="000000"/>
          <w:sz w:val="20"/>
          <w:szCs w:val="20"/>
        </w:rPr>
        <w:t>pplier and derivative counterparty defaults may have a negative effect on our operating results.</w:t>
      </w:r>
      <w:r>
        <w:rPr>
          <w:rFonts w:eastAsia="Times New Roman"/>
          <w:color w:val="000000"/>
          <w:sz w:val="20"/>
          <w:szCs w:val="20"/>
        </w:rPr>
        <w:t xml:space="preserve"> When we enter into fixed-price sales contracts with customers, we typically enter into fixed-price purchase contracts with suppliers. Depending on changes in t</w:t>
      </w:r>
      <w:r>
        <w:rPr>
          <w:rFonts w:eastAsia="Times New Roman"/>
          <w:color w:val="000000"/>
          <w:sz w:val="20"/>
          <w:szCs w:val="20"/>
        </w:rPr>
        <w:t>he market prices of products compared to the prices secured in our contracts with suppliers of LPG, natural gas and electricity, a default of or force majeure by one or more of our suppliers under such contracts could cause us to purchase those commodities</w:t>
      </w:r>
      <w:r>
        <w:rPr>
          <w:rFonts w:eastAsia="Times New Roman"/>
          <w:color w:val="000000"/>
          <w:sz w:val="20"/>
          <w:szCs w:val="20"/>
        </w:rPr>
        <w:t xml:space="preserve"> at higher prices from alternate suppliers, which would have a negative impact on our operating results.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Additionally, we economically hedge the market risk associated with a substantial portion of our supply purchases using certain derivative instrument</w:t>
      </w:r>
      <w:r>
        <w:rPr>
          <w:rFonts w:eastAsia="Times New Roman"/>
          <w:color w:val="000000"/>
          <w:sz w:val="20"/>
          <w:szCs w:val="20"/>
        </w:rPr>
        <w:t>s. Such changes in market prices of the aforementioned commodities could result in material exposures or significant concentrations of balances with derivative counterparties. If certain counterparties were unable to meet the obligations set forth in these</w:t>
      </w:r>
      <w:r>
        <w:rPr>
          <w:rFonts w:eastAsia="Times New Roman"/>
          <w:color w:val="000000"/>
          <w:sz w:val="20"/>
          <w:szCs w:val="20"/>
        </w:rPr>
        <w:t xml:space="preserve"> derivative contracts and we were unable to fully mitigate this exposure via collateral deposit requirements and master netting arrangements, such outcomes could result in a negative effect on our operating results.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Our business is dependent on the domes</w:t>
      </w:r>
      <w:r>
        <w:rPr>
          <w:rFonts w:eastAsia="Times New Roman"/>
          <w:b/>
          <w:bCs/>
          <w:i/>
          <w:iCs/>
          <w:color w:val="000000"/>
          <w:sz w:val="20"/>
          <w:szCs w:val="20"/>
        </w:rPr>
        <w:t>tic and</w:t>
      </w:r>
      <w:r>
        <w:rPr>
          <w:rFonts w:eastAsia="Times New Roman"/>
          <w:color w:val="000000"/>
          <w:sz w:val="20"/>
          <w:szCs w:val="20"/>
        </w:rPr>
        <w:t xml:space="preserve"> </w:t>
      </w:r>
      <w:r>
        <w:rPr>
          <w:rFonts w:eastAsia="Times New Roman"/>
          <w:b/>
          <w:bCs/>
          <w:i/>
          <w:iCs/>
          <w:color w:val="000000"/>
          <w:sz w:val="20"/>
          <w:szCs w:val="20"/>
        </w:rPr>
        <w:t>global supply chain to ensure that equipment, materials and other resources are available to both expand and maintain services in a safe and reliable manner. Moreover, prices of equipment, materials and other resources have increased recently and m</w:t>
      </w:r>
      <w:r>
        <w:rPr>
          <w:rFonts w:eastAsia="Times New Roman"/>
          <w:b/>
          <w:bCs/>
          <w:i/>
          <w:iCs/>
          <w:color w:val="000000"/>
          <w:sz w:val="20"/>
          <w:szCs w:val="20"/>
        </w:rPr>
        <w:t xml:space="preserve">ay continue to increase in the future. Failure to secure equipment, materials and other resources on economically acceptable terms may adversely impact our financial condition and results of operations. </w:t>
      </w:r>
      <w:r>
        <w:rPr>
          <w:rFonts w:eastAsia="Times New Roman"/>
          <w:color w:val="000000"/>
          <w:sz w:val="20"/>
          <w:szCs w:val="20"/>
        </w:rPr>
        <w:t>Current domestic and global supply chain issues are d</w:t>
      </w:r>
      <w:r>
        <w:rPr>
          <w:rFonts w:eastAsia="Times New Roman"/>
          <w:color w:val="000000"/>
          <w:sz w:val="20"/>
          <w:szCs w:val="20"/>
        </w:rPr>
        <w:t>elaying the delivery, and in some cases resulting in shortages of, materials, equipment and other resources that are critical to our business operations. Failure to eliminate or manage the constraints in the supply chain may impact the availability of item</w:t>
      </w:r>
      <w:r>
        <w:rPr>
          <w:rFonts w:eastAsia="Times New Roman"/>
          <w:color w:val="000000"/>
          <w:sz w:val="20"/>
          <w:szCs w:val="20"/>
        </w:rPr>
        <w:t xml:space="preserve">s that are necessary to support normal operations as well as materials that are required for continued infrastructure growth, including the replacement of end-of-life assets. </w:t>
      </w:r>
    </w:p>
    <w:p w:rsidR="00000000" w:rsidRDefault="00AC31B9">
      <w:pPr>
        <w:divId w:val="808398785"/>
        <w:rPr>
          <w:rFonts w:eastAsia="Times New Roman"/>
        </w:rPr>
      </w:pPr>
    </w:p>
    <w:p w:rsidR="00000000" w:rsidRDefault="00AC31B9">
      <w:pPr>
        <w:jc w:val="both"/>
        <w:rPr>
          <w:rFonts w:eastAsia="Times New Roman"/>
        </w:rPr>
      </w:pPr>
      <w:r>
        <w:rPr>
          <w:rFonts w:eastAsia="Times New Roman"/>
          <w:color w:val="000000"/>
          <w:sz w:val="20"/>
          <w:szCs w:val="20"/>
        </w:rPr>
        <w:t>Moreover, inflation has been and continues to be an area of increasing economi</w:t>
      </w:r>
      <w:r>
        <w:rPr>
          <w:rFonts w:eastAsia="Times New Roman"/>
          <w:color w:val="000000"/>
          <w:sz w:val="20"/>
          <w:szCs w:val="20"/>
        </w:rPr>
        <w:t>c concern, both domestically and internationally. Changes in the costs of providing our energy products and services, including price increases in equipment and materials as well as increases in labor and distribution costs, have negatively impacted, and m</w:t>
      </w:r>
      <w:r>
        <w:rPr>
          <w:rFonts w:eastAsia="Times New Roman"/>
          <w:color w:val="000000"/>
          <w:sz w:val="20"/>
          <w:szCs w:val="20"/>
        </w:rPr>
        <w:t>ay continue to negatively impact, our financial condition and results of operations and/or result in corresponding price increases for the energy products and services we offer our customers.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Risks Relating to Government Regulation and Oversight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Regulators may not approve the rates we request and existing rates may be challenged, which may adversely affect our results of operations. </w:t>
      </w:r>
      <w:r>
        <w:rPr>
          <w:rFonts w:eastAsia="Times New Roman"/>
          <w:color w:val="000000"/>
          <w:sz w:val="20"/>
          <w:szCs w:val="20"/>
        </w:rPr>
        <w:t>In our Utilities segment, our distribution operations are su</w:t>
      </w:r>
      <w:r>
        <w:rPr>
          <w:rFonts w:eastAsia="Times New Roman"/>
          <w:color w:val="000000"/>
          <w:sz w:val="20"/>
          <w:szCs w:val="20"/>
        </w:rPr>
        <w:t>bject to regulation by the PAPUC, WVPSC and MDPSC, depending on the state in which the operations are located. These regulatory bodies, among other things, approve the rates that Utilities may charge utility customers, thus impacting the returns that Utili</w:t>
      </w:r>
      <w:r>
        <w:rPr>
          <w:rFonts w:eastAsia="Times New Roman"/>
          <w:color w:val="000000"/>
          <w:sz w:val="20"/>
          <w:szCs w:val="20"/>
        </w:rPr>
        <w:t>ties may earn on the assets that are dedicated to its operations. Utilities periodically files, and we expect to continue to periodically file, requests with these regulatory bodies to increase base rates charged to customers in the respective states in wh</w:t>
      </w:r>
      <w:r>
        <w:rPr>
          <w:rFonts w:eastAsia="Times New Roman"/>
          <w:color w:val="000000"/>
          <w:sz w:val="20"/>
          <w:szCs w:val="20"/>
        </w:rPr>
        <w:t>ich Utilities operates. If Utilities is required in a rate proceeding to reduce the rates it charges its utility customers, or is unable to obtain approval for timely rate increases from the appropriate regulatory body, particularly when necessary to cover</w:t>
      </w:r>
      <w:r>
        <w:rPr>
          <w:rFonts w:eastAsia="Times New Roman"/>
          <w:color w:val="000000"/>
          <w:sz w:val="20"/>
          <w:szCs w:val="20"/>
        </w:rPr>
        <w:t xml:space="preserve"> increased costs, Utilities’ revenue growth will be limited and earnings may decrease.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The enactment of proposed or future tax legislation may adversely impact our financial condition and results of operations. </w:t>
      </w:r>
      <w:r>
        <w:rPr>
          <w:rFonts w:eastAsia="Times New Roman"/>
          <w:color w:val="000000"/>
          <w:sz w:val="20"/>
          <w:szCs w:val="20"/>
        </w:rPr>
        <w:t>We continue to assess the impact of variou</w:t>
      </w:r>
      <w:r>
        <w:rPr>
          <w:rFonts w:eastAsia="Times New Roman"/>
          <w:color w:val="000000"/>
          <w:sz w:val="20"/>
          <w:szCs w:val="20"/>
        </w:rPr>
        <w:t>s U.S. federal, state, local and international legislative proposals that could result in a material increase to our U.S. federal, state, local and/or international taxes. We cannot predict what impact, if any, changes in federal policy, including tax poli</w:t>
      </w:r>
      <w:r>
        <w:rPr>
          <w:rFonts w:eastAsia="Times New Roman"/>
          <w:color w:val="000000"/>
          <w:sz w:val="20"/>
          <w:szCs w:val="20"/>
        </w:rPr>
        <w:t>cies, will have on our industry or whether any specific legislation will be enacted or the terms of any such legislation. However, if such proposals were to be enacted, or if modifications were to be made to certain existing regulations, the consequences c</w:t>
      </w:r>
      <w:r>
        <w:rPr>
          <w:rFonts w:eastAsia="Times New Roman"/>
          <w:color w:val="000000"/>
          <w:sz w:val="20"/>
          <w:szCs w:val="20"/>
        </w:rPr>
        <w:t>ould have a material adverse impact on us, including increasing our tax burden, increasing our cost of tax compliance or otherwise adversely affecting our financial position, results of operations, cash flows and liquidity. Changes in applicable U.S. or fo</w:t>
      </w:r>
      <w:r>
        <w:rPr>
          <w:rFonts w:eastAsia="Times New Roman"/>
          <w:color w:val="000000"/>
          <w:sz w:val="20"/>
          <w:szCs w:val="20"/>
        </w:rPr>
        <w:t>reign tax laws and regulations, or their interpretation and application, including the possibility of retroactive effect, could affect our tax expense and profitability. Such impact may also be affected positively or negatively by subsequent potential judi</w:t>
      </w:r>
      <w:r>
        <w:rPr>
          <w:rFonts w:eastAsia="Times New Roman"/>
          <w:color w:val="000000"/>
          <w:sz w:val="20"/>
          <w:szCs w:val="20"/>
        </w:rPr>
        <w:t>cial interpretation or related regulation or legislation which cannot be predicted with certainty.</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Our need to comply with, and respond to, industry-wide changes resulting from, comprehensive, complex, and sometimes unpredictable</w:t>
      </w:r>
      <w:r>
        <w:rPr>
          <w:rFonts w:eastAsia="Times New Roman"/>
          <w:color w:val="000000"/>
          <w:sz w:val="20"/>
          <w:szCs w:val="20"/>
        </w:rPr>
        <w:t xml:space="preserve"> </w:t>
      </w:r>
      <w:r>
        <w:rPr>
          <w:rFonts w:eastAsia="Times New Roman"/>
          <w:b/>
          <w:bCs/>
          <w:i/>
          <w:iCs/>
          <w:color w:val="000000"/>
          <w:sz w:val="20"/>
          <w:szCs w:val="20"/>
        </w:rPr>
        <w:t>governmental regulations</w:t>
      </w:r>
      <w:r>
        <w:rPr>
          <w:rFonts w:eastAsia="Times New Roman"/>
          <w:b/>
          <w:bCs/>
          <w:i/>
          <w:iCs/>
          <w:color w:val="000000"/>
          <w:sz w:val="20"/>
          <w:szCs w:val="20"/>
        </w:rPr>
        <w:t>, including regulatory initiatives aimed at increasing competition within our industry, may increase our costs and limit our revenue growth,</w:t>
      </w:r>
      <w:r>
        <w:rPr>
          <w:rFonts w:eastAsia="Times New Roman"/>
          <w:color w:val="000000"/>
          <w:sz w:val="20"/>
          <w:szCs w:val="20"/>
        </w:rPr>
        <w:t xml:space="preserve"> </w:t>
      </w:r>
      <w:r>
        <w:rPr>
          <w:rFonts w:eastAsia="Times New Roman"/>
          <w:b/>
          <w:bCs/>
          <w:i/>
          <w:iCs/>
          <w:color w:val="000000"/>
          <w:sz w:val="20"/>
          <w:szCs w:val="20"/>
        </w:rPr>
        <w:t xml:space="preserve">which may adversely affect our operating results. </w:t>
      </w:r>
      <w:r>
        <w:rPr>
          <w:rFonts w:eastAsia="Times New Roman"/>
          <w:color w:val="000000"/>
          <w:sz w:val="20"/>
          <w:szCs w:val="20"/>
        </w:rPr>
        <w:t xml:space="preserve">While we </w:t>
      </w:r>
    </w:p>
    <w:p w:rsidR="00000000" w:rsidRDefault="00AC31B9">
      <w:pPr>
        <w:jc w:val="center"/>
        <w:divId w:val="652683739"/>
        <w:rPr>
          <w:rFonts w:eastAsia="Times New Roman"/>
        </w:rPr>
      </w:pPr>
      <w:r>
        <w:rPr>
          <w:rFonts w:eastAsia="Times New Roman"/>
          <w:color w:val="000000"/>
          <w:sz w:val="20"/>
          <w:szCs w:val="20"/>
        </w:rPr>
        <w:t>40</w:t>
      </w:r>
    </w:p>
    <w:p w:rsidR="00000000" w:rsidRDefault="00AC31B9">
      <w:pPr>
        <w:rPr>
          <w:rFonts w:eastAsia="Times New Roman"/>
        </w:rPr>
      </w:pPr>
      <w:r>
        <w:rPr>
          <w:rFonts w:eastAsia="Times New Roman"/>
        </w:rPr>
        <w:pict>
          <v:rect id="_x0000_i1066" style="width:0;height:1.5pt" o:hralign="center" o:hrstd="t" o:hr="t" fillcolor="#a0a0a0" stroked="f"/>
        </w:pict>
      </w:r>
    </w:p>
    <w:p w:rsidR="00000000" w:rsidRDefault="00AC31B9">
      <w:pPr>
        <w:divId w:val="2117869856"/>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generally refer to our Utilities segment as our “regulated segment,” there are many governmental regulations that have an impact on all of our businesses. Currently, we are subject to extensive an</w:t>
      </w:r>
      <w:r>
        <w:rPr>
          <w:rFonts w:eastAsia="Times New Roman"/>
          <w:color w:val="000000"/>
          <w:sz w:val="20"/>
          <w:szCs w:val="20"/>
        </w:rPr>
        <w:t xml:space="preserve">d changing international, federal, state, and local laws and regulations including, but not limited to, safety, health, transportation, tax, and environmental laws and regulations that govern the marketing, storage, distribution, and transportation of our </w:t>
      </w:r>
      <w:r>
        <w:rPr>
          <w:rFonts w:eastAsia="Times New Roman"/>
          <w:color w:val="000000"/>
          <w:sz w:val="20"/>
          <w:szCs w:val="20"/>
        </w:rPr>
        <w:t>energy products. Moreover, existing statutes and regulations may be revised or reinterpreted and new laws and regulations may be adopted or become applicable to us that may affect our businesses in ways that we cannot predict.</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New regulations, or a chang</w:t>
      </w:r>
      <w:r>
        <w:rPr>
          <w:rFonts w:eastAsia="Times New Roman"/>
          <w:color w:val="000000"/>
          <w:sz w:val="20"/>
          <w:szCs w:val="20"/>
        </w:rPr>
        <w:t>e in the interpretation of existing regulations, could result in increased expenditures. In addition, for many of our operations, we are required to obtain permits from regulatory authorities and, in some cases, such regulatory permits could subject our op</w:t>
      </w:r>
      <w:r>
        <w:rPr>
          <w:rFonts w:eastAsia="Times New Roman"/>
          <w:color w:val="000000"/>
          <w:sz w:val="20"/>
          <w:szCs w:val="20"/>
        </w:rPr>
        <w:t>erations to additional regulations and standards of conduct. Failure to obtain or comply with these permits or applicable regulations and standards of conduct could result in civil and criminal fines or the cessation of the operations in violation. Governm</w:t>
      </w:r>
      <w:r>
        <w:rPr>
          <w:rFonts w:eastAsia="Times New Roman"/>
          <w:color w:val="000000"/>
          <w:sz w:val="20"/>
          <w:szCs w:val="20"/>
        </w:rPr>
        <w:t>ental regulations and policies in the U.S. and Europe may provide for subsidies or incentives to customers who use alternative fuels instead of carbon fuels. The EU has committed to cut C</w:t>
      </w:r>
      <w:r>
        <w:rPr>
          <w:rFonts w:eastAsia="Times New Roman"/>
          <w:color w:val="000000"/>
          <w:sz w:val="20"/>
          <w:szCs w:val="20"/>
        </w:rPr>
        <w:t>O</w:t>
      </w:r>
      <w:r>
        <w:rPr>
          <w:rFonts w:eastAsia="Times New Roman"/>
          <w:color w:val="000000"/>
          <w:sz w:val="13"/>
          <w:szCs w:val="13"/>
        </w:rPr>
        <w:t>2</w:t>
      </w:r>
      <w:r>
        <w:rPr>
          <w:rFonts w:eastAsia="Times New Roman"/>
          <w:color w:val="000000"/>
          <w:sz w:val="20"/>
          <w:szCs w:val="20"/>
        </w:rPr>
        <w:t xml:space="preserve"> emissions and EU member states are proposing and implementing a ra</w:t>
      </w:r>
      <w:r>
        <w:rPr>
          <w:rFonts w:eastAsia="Times New Roman"/>
          <w:color w:val="000000"/>
          <w:sz w:val="20"/>
          <w:szCs w:val="20"/>
        </w:rPr>
        <w:t>nge of subsidies and incentives to achieve the EU’s climate change goals. These subsidies and incentives may result in reduced demand for our energy products and services.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 are investigating and remediating contamination at a number of present and form</w:t>
      </w:r>
      <w:r>
        <w:rPr>
          <w:rFonts w:eastAsia="Times New Roman"/>
          <w:color w:val="000000"/>
          <w:sz w:val="20"/>
          <w:szCs w:val="20"/>
        </w:rPr>
        <w:t>er operating sites in the U.S., including former sites where we or our former subsidiaries operated MGPs. We have also received claims from third parties that allege that we are responsible for costs to clean up properties where we or our former subsidiari</w:t>
      </w:r>
      <w:r>
        <w:rPr>
          <w:rFonts w:eastAsia="Times New Roman"/>
          <w:color w:val="000000"/>
          <w:sz w:val="20"/>
          <w:szCs w:val="20"/>
        </w:rPr>
        <w:t>es operated a MGP or conducted other operations. Most of the costs we incur to remediate sites outside of Pennsylvania cannot currently be recovered in PAPUC rate proceedings, and insurance may not cover all or even part of these costs. Our actual costs to</w:t>
      </w:r>
      <w:r>
        <w:rPr>
          <w:rFonts w:eastAsia="Times New Roman"/>
          <w:color w:val="000000"/>
          <w:sz w:val="20"/>
          <w:szCs w:val="20"/>
        </w:rPr>
        <w:t xml:space="preserve"> clean up these sites may exceed our current estimates due to factors beyond our control, such as:</w:t>
      </w:r>
    </w:p>
    <w:p w:rsidR="00000000" w:rsidRDefault="00AC31B9">
      <w:pPr>
        <w:jc w:val="both"/>
        <w:rPr>
          <w:rFonts w:eastAsia="Times New Roman"/>
        </w:rPr>
      </w:pPr>
    </w:p>
    <w:p w:rsidR="00000000" w:rsidRDefault="00AC31B9">
      <w:pPr>
        <w:ind w:hanging="360"/>
        <w:jc w:val="both"/>
        <w:rPr>
          <w:rFonts w:eastAsia="Times New Roman"/>
        </w:rPr>
      </w:pPr>
      <w:r>
        <w:rPr>
          <w:rFonts w:eastAsia="Times New Roman"/>
          <w:color w:val="000000"/>
          <w:sz w:val="20"/>
          <w:szCs w:val="20"/>
        </w:rPr>
        <w:t xml:space="preserve">•the discovery of presently unknown conditions; </w:t>
      </w:r>
    </w:p>
    <w:p w:rsidR="00000000" w:rsidRDefault="00AC31B9">
      <w:pPr>
        <w:ind w:hanging="360"/>
        <w:jc w:val="both"/>
        <w:rPr>
          <w:rFonts w:eastAsia="Times New Roman"/>
        </w:rPr>
      </w:pPr>
      <w:r>
        <w:rPr>
          <w:rFonts w:eastAsia="Times New Roman"/>
          <w:color w:val="000000"/>
          <w:sz w:val="20"/>
          <w:szCs w:val="20"/>
        </w:rPr>
        <w:t xml:space="preserve">•changes in environmental laws and regulations; </w:t>
      </w:r>
    </w:p>
    <w:p w:rsidR="00000000" w:rsidRDefault="00AC31B9">
      <w:pPr>
        <w:ind w:hanging="360"/>
        <w:jc w:val="both"/>
        <w:rPr>
          <w:rFonts w:eastAsia="Times New Roman"/>
        </w:rPr>
      </w:pPr>
      <w:r>
        <w:rPr>
          <w:rFonts w:eastAsia="Times New Roman"/>
          <w:color w:val="000000"/>
          <w:sz w:val="20"/>
          <w:szCs w:val="20"/>
        </w:rPr>
        <w:t xml:space="preserve">•judicial rejection of our legal defenses to third-party </w:t>
      </w:r>
      <w:r>
        <w:rPr>
          <w:rFonts w:eastAsia="Times New Roman"/>
          <w:color w:val="000000"/>
          <w:sz w:val="20"/>
          <w:szCs w:val="20"/>
        </w:rPr>
        <w:t xml:space="preserve">claims; or </w:t>
      </w:r>
    </w:p>
    <w:p w:rsidR="00000000" w:rsidRDefault="00AC31B9">
      <w:pPr>
        <w:ind w:hanging="360"/>
        <w:jc w:val="both"/>
        <w:rPr>
          <w:rFonts w:eastAsia="Times New Roman"/>
        </w:rPr>
      </w:pPr>
      <w:r>
        <w:rPr>
          <w:rFonts w:eastAsia="Times New Roman"/>
          <w:color w:val="000000"/>
          <w:sz w:val="20"/>
          <w:szCs w:val="20"/>
        </w:rPr>
        <w:t>•the insolvency of other responsible parties at the sites at which we are involved.</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Moreover, if we discover additional contaminated sites, we could be required to incur material costs, which would reduce our net income.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 also may be unable to timely respond to changes within the energy and utility sectors that may result from regulatory initiatives to further increase competition within our industry. Such regulatory initiatives may create opportunities for additional co</w:t>
      </w:r>
      <w:r>
        <w:rPr>
          <w:rFonts w:eastAsia="Times New Roman"/>
          <w:color w:val="000000"/>
          <w:sz w:val="20"/>
          <w:szCs w:val="20"/>
        </w:rPr>
        <w:t>mpetitors to grow their business or enter our markets and, as a result, we may be unable to maintain our revenues or continue to pursue our current business strategy.</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Our operations, financial results and cash flows may be adversely affected by existing </w:t>
      </w:r>
      <w:r>
        <w:rPr>
          <w:rFonts w:eastAsia="Times New Roman"/>
          <w:b/>
          <w:bCs/>
          <w:i/>
          <w:iCs/>
          <w:color w:val="000000"/>
          <w:sz w:val="20"/>
          <w:szCs w:val="20"/>
        </w:rPr>
        <w:t xml:space="preserve">and future global climate change laws and regulations, including with respect to GHG emission restrictions, as well as market responses thereto. </w:t>
      </w:r>
      <w:r>
        <w:rPr>
          <w:rFonts w:eastAsia="Times New Roman"/>
          <w:color w:val="000000"/>
          <w:sz w:val="20"/>
          <w:szCs w:val="20"/>
        </w:rPr>
        <w:t>Climate change continues to attract considerable public and scientific attention in the U.S. and in foreign cou</w:t>
      </w:r>
      <w:r>
        <w:rPr>
          <w:rFonts w:eastAsia="Times New Roman"/>
          <w:color w:val="000000"/>
          <w:sz w:val="20"/>
          <w:szCs w:val="20"/>
        </w:rPr>
        <w:t>ntries. As a result, numerous proposals have been made, and could continue to be made, at the international, national, regional, state and local levels of government to monitor and limit GHG emissions and climate impact. These efforts have included conside</w:t>
      </w:r>
      <w:r>
        <w:rPr>
          <w:rFonts w:eastAsia="Times New Roman"/>
          <w:color w:val="000000"/>
          <w:sz w:val="20"/>
          <w:szCs w:val="20"/>
        </w:rPr>
        <w:t xml:space="preserve">ration of, among other things, cap-and-trade programs, carbon taxes, GHG reporting and tracking programs, and regulations that directly limit GHG emissions from certain sources. </w:t>
      </w:r>
    </w:p>
    <w:p w:rsidR="00000000" w:rsidRDefault="00AC31B9">
      <w:pPr>
        <w:divId w:val="385102161"/>
        <w:rPr>
          <w:rFonts w:eastAsia="Times New Roman"/>
        </w:rPr>
      </w:pPr>
    </w:p>
    <w:p w:rsidR="00000000" w:rsidRDefault="00AC31B9">
      <w:pPr>
        <w:jc w:val="both"/>
        <w:rPr>
          <w:rFonts w:eastAsia="Times New Roman"/>
        </w:rPr>
      </w:pPr>
      <w:r>
        <w:rPr>
          <w:rFonts w:eastAsia="Times New Roman"/>
          <w:color w:val="000000"/>
          <w:sz w:val="20"/>
          <w:szCs w:val="20"/>
        </w:rPr>
        <w:t>Increased regulation of GHG emissions, or climate impact generally, could have significant additional adverse impacts on us as well as our suppliers, vendors, and customers. The adoption and implementation of any laws or regulations imposing obligations on</w:t>
      </w:r>
      <w:r>
        <w:rPr>
          <w:rFonts w:eastAsia="Times New Roman"/>
          <w:color w:val="000000"/>
          <w:sz w:val="20"/>
          <w:szCs w:val="20"/>
        </w:rPr>
        <w:t>, or limiting GHG emissions from, our equipment and operations could require us to incur significant costs to reduce GHG emissions associated with our operations or could adversely affect demand for our energy products. The potential increase in our operat</w:t>
      </w:r>
      <w:r>
        <w:rPr>
          <w:rFonts w:eastAsia="Times New Roman"/>
          <w:color w:val="000000"/>
          <w:sz w:val="20"/>
          <w:szCs w:val="20"/>
        </w:rPr>
        <w:t>ing costs could include, but are not limited to, new costs to operate and maintain our facilities, install new emission controls on our facilities, acquire allowances to authorize our GHG emissions, pay taxes related to our GHG emissions, administer and ma</w:t>
      </w:r>
      <w:r>
        <w:rPr>
          <w:rFonts w:eastAsia="Times New Roman"/>
          <w:color w:val="000000"/>
          <w:sz w:val="20"/>
          <w:szCs w:val="20"/>
        </w:rPr>
        <w:t>nage a GHG emissions reduction program, and adversely impact the value of certain assets. We may not be able to pass on resulting increases in costs to customers. In addition, changes in regulatory policies that result in a reduction in the demand for hydr</w:t>
      </w:r>
      <w:r>
        <w:rPr>
          <w:rFonts w:eastAsia="Times New Roman"/>
          <w:color w:val="000000"/>
          <w:sz w:val="20"/>
          <w:szCs w:val="20"/>
        </w:rPr>
        <w:t>ocarbon products and carbon-emitting fuel sources that are deemed to contribute to climate change, or restrict the use of such products or fuel sources, may reduce volumes available to us for processing, transportation, marketing and storage and could caus</w:t>
      </w:r>
      <w:r>
        <w:rPr>
          <w:rFonts w:eastAsia="Times New Roman"/>
          <w:color w:val="000000"/>
          <w:sz w:val="20"/>
          <w:szCs w:val="20"/>
        </w:rPr>
        <w:t>e increases in costs or production disruptions. These developments could have a material adverse effect on our results of operations, financial results, valuation and useful life of assets, and cash flows.</w:t>
      </w:r>
    </w:p>
    <w:p w:rsidR="00000000" w:rsidRDefault="00AC31B9">
      <w:pPr>
        <w:jc w:val="center"/>
        <w:divId w:val="261836408"/>
        <w:rPr>
          <w:rFonts w:eastAsia="Times New Roman"/>
        </w:rPr>
      </w:pPr>
      <w:r>
        <w:rPr>
          <w:rFonts w:eastAsia="Times New Roman"/>
          <w:color w:val="000000"/>
          <w:sz w:val="20"/>
          <w:szCs w:val="20"/>
        </w:rPr>
        <w:t>41</w:t>
      </w:r>
    </w:p>
    <w:p w:rsidR="00000000" w:rsidRDefault="00AC31B9">
      <w:pPr>
        <w:rPr>
          <w:rFonts w:eastAsia="Times New Roman"/>
        </w:rPr>
      </w:pPr>
      <w:r>
        <w:rPr>
          <w:rFonts w:eastAsia="Times New Roman"/>
        </w:rPr>
        <w:pict>
          <v:rect id="_x0000_i1067" style="width:0;height:1.5pt" o:hralign="center" o:hrstd="t" o:hr="t" fillcolor="#a0a0a0" stroked="f"/>
        </w:pict>
      </w:r>
    </w:p>
    <w:p w:rsidR="00000000" w:rsidRDefault="00AC31B9">
      <w:pPr>
        <w:divId w:val="690379735"/>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Changes in data privacy and data protection laws and regulations or any failure to comply with such laws and regulations, could adversely affect our business and financial results. </w:t>
      </w:r>
      <w:r>
        <w:rPr>
          <w:rFonts w:eastAsia="Times New Roman"/>
          <w:color w:val="000000"/>
          <w:sz w:val="20"/>
          <w:szCs w:val="20"/>
        </w:rPr>
        <w:t>As part</w:t>
      </w:r>
      <w:r>
        <w:rPr>
          <w:rFonts w:eastAsia="Times New Roman"/>
          <w:color w:val="000000"/>
          <w:sz w:val="20"/>
          <w:szCs w:val="20"/>
        </w:rPr>
        <w:t xml:space="preserve"> of our operations, we collect, use, store and transfer the personal information and data of our employees as well as customer, vendor and supplier data in and across various jurisdictions. There has been increased public attention regarding the use of per</w:t>
      </w:r>
      <w:r>
        <w:rPr>
          <w:rFonts w:eastAsia="Times New Roman"/>
          <w:color w:val="000000"/>
          <w:sz w:val="20"/>
          <w:szCs w:val="20"/>
        </w:rPr>
        <w:t>sonal information and data transfers, accompanied by legislation and regulations intended to strengthen data protection, information security and consumer and personal privacy. The laws in these areas continue to develop and the changing nature of data pro</w:t>
      </w:r>
      <w:r>
        <w:rPr>
          <w:rFonts w:eastAsia="Times New Roman"/>
          <w:color w:val="000000"/>
          <w:sz w:val="20"/>
          <w:szCs w:val="20"/>
        </w:rPr>
        <w:t>tection, information security and privacy laws in the U.S., the EU and elsewhere could impact our processing of the personal information and data of our employees, vendors, suppliers and customers, which could lead to increased operating costs. Existing an</w:t>
      </w:r>
      <w:r>
        <w:rPr>
          <w:rFonts w:eastAsia="Times New Roman"/>
          <w:color w:val="000000"/>
          <w:sz w:val="20"/>
          <w:szCs w:val="20"/>
        </w:rPr>
        <w:t>d emerging laws and regulations are inconsistent across jurisdictions and are subject to evolving, differing, and sometimes conflicting interpretations. The EU adopted the GDPR, which expanded EU data protections, in certain circumstances, to companies out</w:t>
      </w:r>
      <w:r>
        <w:rPr>
          <w:rFonts w:eastAsia="Times New Roman"/>
          <w:color w:val="000000"/>
          <w:sz w:val="20"/>
          <w:szCs w:val="20"/>
        </w:rPr>
        <w:t>side of the EU processing data of EU residents, regardless of whether the processing occurs in the EU. Similarly, the State of California legislature passed the California Consumer Privacy Act of 2018 (the “CCPA”) and the California Privacy Rights Act (the</w:t>
      </w:r>
      <w:r>
        <w:rPr>
          <w:rFonts w:eastAsia="Times New Roman"/>
          <w:color w:val="000000"/>
          <w:sz w:val="20"/>
          <w:szCs w:val="20"/>
        </w:rPr>
        <w:t xml:space="preserve"> “CPRA”), which, among other things, grant a number of rights to California residents with respect to their personal information, and require companies to make extensive disclosures to consumers about such companies’ data collection, use, and sharing pract</w:t>
      </w:r>
      <w:r>
        <w:rPr>
          <w:rFonts w:eastAsia="Times New Roman"/>
          <w:color w:val="000000"/>
          <w:sz w:val="20"/>
          <w:szCs w:val="20"/>
        </w:rPr>
        <w:t>ices and inform consumers of their personal information rights. In addition, the CPRA created a new state privacy regulator, which will likely result in greater regulatory activity and enforcement in the privacy area. Comprehensive privacy laws with some s</w:t>
      </w:r>
      <w:r>
        <w:rPr>
          <w:rFonts w:eastAsia="Times New Roman"/>
          <w:color w:val="000000"/>
          <w:sz w:val="20"/>
          <w:szCs w:val="20"/>
        </w:rPr>
        <w:t>imilarities to the CCPA and CPRA have been proposed or passed at the U.S. federal and state levels, such as the Virginia Consumer Data Protection Act (the “VCDPA”) and the Colorado Privacy Act (the “CPA”). Additionally, the Federal Trade Commission and man</w:t>
      </w:r>
      <w:r>
        <w:rPr>
          <w:rFonts w:eastAsia="Times New Roman"/>
          <w:color w:val="000000"/>
          <w:sz w:val="20"/>
          <w:szCs w:val="20"/>
        </w:rPr>
        <w:t>y state attorneys general are interpreting federal and state consumer protection laws to impose standards for the online collection, use, dissemination and security of data as well as requiring disclosures about these practices. We expect that there will c</w:t>
      </w:r>
      <w:r>
        <w:rPr>
          <w:rFonts w:eastAsia="Times New Roman"/>
          <w:color w:val="000000"/>
          <w:sz w:val="20"/>
          <w:szCs w:val="20"/>
        </w:rPr>
        <w:t>ontinue to be new laws, regulations and industry standards concerning data privacy and data protection, including artificial intelligence, in the U.S., the EU and other jurisdictions, and we cannot yet determine the impact such laws, regulations, interpret</w:t>
      </w:r>
      <w:r>
        <w:rPr>
          <w:rFonts w:eastAsia="Times New Roman"/>
          <w:color w:val="000000"/>
          <w:sz w:val="20"/>
          <w:szCs w:val="20"/>
        </w:rPr>
        <w:t>ations and standards may have on our business.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While we have invested significant time and resources in our GDPR and U.S. privacy law compliance program, emerging and changing data privacy and data protection requirements as well as other new and upcomin</w:t>
      </w:r>
      <w:r>
        <w:rPr>
          <w:rFonts w:eastAsia="Times New Roman"/>
          <w:color w:val="000000"/>
          <w:sz w:val="20"/>
          <w:szCs w:val="20"/>
        </w:rPr>
        <w:t>g European and U.S. federal and state privacy and cybersecurity laws and industry standards may cause us to incur substantial fines, additional significant costs or require us to change our business practices. Any failure or perceived failure to comply may</w:t>
      </w:r>
      <w:r>
        <w:rPr>
          <w:rFonts w:eastAsia="Times New Roman"/>
          <w:color w:val="000000"/>
          <w:sz w:val="20"/>
          <w:szCs w:val="20"/>
        </w:rPr>
        <w:t xml:space="preserve"> result in proceedings or actions against us by government entities or individuals, including class actions. Moreover, any inquiries or investigations, any other government actions or any actions by individuals may be costly to comply with, result in negat</w:t>
      </w:r>
      <w:r>
        <w:rPr>
          <w:rFonts w:eastAsia="Times New Roman"/>
          <w:color w:val="000000"/>
          <w:sz w:val="20"/>
          <w:szCs w:val="20"/>
        </w:rPr>
        <w:t>ive publicity, increase our operating costs, require significant management time and attention and subject us to remedies that may harm our business, including fines, demands or orders that we modify or cease existing business practices.</w:t>
      </w:r>
    </w:p>
    <w:p w:rsidR="00000000" w:rsidRDefault="00AC31B9">
      <w:pPr>
        <w:divId w:val="1394543774"/>
        <w:rPr>
          <w:rFonts w:eastAsia="Times New Roman"/>
        </w:rPr>
      </w:pPr>
    </w:p>
    <w:p w:rsidR="00000000" w:rsidRDefault="00AC31B9">
      <w:pPr>
        <w:jc w:val="both"/>
        <w:rPr>
          <w:rFonts w:eastAsia="Times New Roman"/>
        </w:rPr>
      </w:pPr>
      <w:r>
        <w:rPr>
          <w:rFonts w:eastAsia="Times New Roman"/>
          <w:b/>
          <w:bCs/>
          <w:i/>
          <w:iCs/>
          <w:color w:val="000000"/>
          <w:sz w:val="20"/>
          <w:szCs w:val="20"/>
        </w:rPr>
        <w:t>The provisions o</w:t>
      </w:r>
      <w:r>
        <w:rPr>
          <w:rFonts w:eastAsia="Times New Roman"/>
          <w:b/>
          <w:bCs/>
          <w:i/>
          <w:iCs/>
          <w:color w:val="000000"/>
          <w:sz w:val="20"/>
          <w:szCs w:val="20"/>
        </w:rPr>
        <w:t>f the Dodd-Frank Wall Street Reform and Consumer Protection Act (the “Dodd-Frank Act”), related regulations, and the rules adopted thereunder and other regulations, including the European Market Infrastructure Regulation (the “EMIR”), may have an adverse e</w:t>
      </w:r>
      <w:r>
        <w:rPr>
          <w:rFonts w:eastAsia="Times New Roman"/>
          <w:b/>
          <w:bCs/>
          <w:i/>
          <w:iCs/>
          <w:color w:val="000000"/>
          <w:sz w:val="20"/>
          <w:szCs w:val="20"/>
        </w:rPr>
        <w:t>ffect on our ability to use derivative instruments to hedge risks associated with our business.</w:t>
      </w:r>
      <w:r>
        <w:rPr>
          <w:rFonts w:eastAsia="Times New Roman"/>
          <w:color w:val="000000"/>
          <w:sz w:val="20"/>
          <w:szCs w:val="20"/>
        </w:rPr>
        <w:t xml:space="preserve"> Our derivative hedging activities are subject to Title VII of the Dodd-Frank Act, which regulates the over-the-counter derivatives market and entities that part</w:t>
      </w:r>
      <w:r>
        <w:rPr>
          <w:rFonts w:eastAsia="Times New Roman"/>
          <w:color w:val="000000"/>
          <w:sz w:val="20"/>
          <w:szCs w:val="20"/>
        </w:rPr>
        <w:t xml:space="preserve">icipate in that market. The Dodd-Frank Act requires the CFTC and the federal banking regulators to implement the Dodd-Frank Act’s provisions through rulemaking, including rules regarding mandatory clearing, trade execution and margin requirements. We have </w:t>
      </w:r>
      <w:r>
        <w:rPr>
          <w:rFonts w:eastAsia="Times New Roman"/>
          <w:color w:val="000000"/>
          <w:sz w:val="20"/>
          <w:szCs w:val="20"/>
        </w:rPr>
        <w:t>and expect to continue to qualify for and rely upon an exception from mandatory clearing and trade execution requirements for swaps entered into by commercial end-users to hedge commercial risks. In addition to relief from the clearing mandate, we also exp</w:t>
      </w:r>
      <w:r>
        <w:rPr>
          <w:rFonts w:eastAsia="Times New Roman"/>
          <w:color w:val="000000"/>
          <w:sz w:val="20"/>
          <w:szCs w:val="20"/>
        </w:rPr>
        <w:t>ect to continue to qualify for an exception for non-financial end-users from the margin requirements on uncleared swaps. If we are not able to do so and have to post margin supporting our uncleared swaps in the future, our costs of entering into and mainta</w:t>
      </w:r>
      <w:r>
        <w:rPr>
          <w:rFonts w:eastAsia="Times New Roman"/>
          <w:color w:val="000000"/>
          <w:sz w:val="20"/>
          <w:szCs w:val="20"/>
        </w:rPr>
        <w:t>ining swaps would be increased.</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Based on information available as of the date of this Report, the effect of such requirements will be likely to (directly or indirectly) increase our overall costs of entering into derivatives transactions. In particular, </w:t>
      </w:r>
      <w:r>
        <w:rPr>
          <w:rFonts w:eastAsia="Times New Roman"/>
          <w:color w:val="000000"/>
          <w:sz w:val="20"/>
          <w:szCs w:val="20"/>
        </w:rPr>
        <w:t xml:space="preserve">new margin requirements, position limits and significantly higher capital charges resulting from new global capital regulations, even if not directly applicable to us, may cause an increase in the pricing of derivatives transactions entered into by market </w:t>
      </w:r>
      <w:r>
        <w:rPr>
          <w:rFonts w:eastAsia="Times New Roman"/>
          <w:color w:val="000000"/>
          <w:sz w:val="20"/>
          <w:szCs w:val="20"/>
        </w:rPr>
        <w:t xml:space="preserve">participants to whom such requirements apply or affect our overall ability to enter into derivatives transactions with certain counterparties. While costs imposed directly on us due to regulatory requirements for derivatives under the Dodd-Frank Act, such </w:t>
      </w:r>
      <w:r>
        <w:rPr>
          <w:rFonts w:eastAsia="Times New Roman"/>
          <w:color w:val="000000"/>
          <w:sz w:val="20"/>
          <w:szCs w:val="20"/>
        </w:rPr>
        <w:t xml:space="preserve">as reporting, recordkeeping and electing the end-user exception from mandatory clearing, are relatively minor, costs imposed upon our counterparties may increase the cost of our doing business in the derivatives markets to the extent such costs are passed </w:t>
      </w:r>
      <w:r>
        <w:rPr>
          <w:rFonts w:eastAsia="Times New Roman"/>
          <w:color w:val="000000"/>
          <w:sz w:val="20"/>
          <w:szCs w:val="20"/>
        </w:rPr>
        <w:t xml:space="preserve">on to us. </w:t>
      </w:r>
    </w:p>
    <w:p w:rsidR="00000000" w:rsidRDefault="00AC31B9">
      <w:pPr>
        <w:divId w:val="670332501"/>
        <w:rPr>
          <w:rFonts w:eastAsia="Times New Roman"/>
        </w:rPr>
      </w:pPr>
    </w:p>
    <w:p w:rsidR="00000000" w:rsidRDefault="00AC31B9">
      <w:pPr>
        <w:jc w:val="both"/>
        <w:rPr>
          <w:rFonts w:eastAsia="Times New Roman"/>
        </w:rPr>
      </w:pPr>
      <w:r>
        <w:rPr>
          <w:rFonts w:eastAsia="Times New Roman"/>
          <w:color w:val="000000"/>
          <w:sz w:val="20"/>
          <w:szCs w:val="20"/>
        </w:rPr>
        <w:t>The EMIR may result in increased costs for over-the-counter derivative counterparties trading in the EU and may also lead to an increase in the costs of, and demand for, the liquid collateral that the EMIR requires central counterparties to ac</w:t>
      </w:r>
      <w:r>
        <w:rPr>
          <w:rFonts w:eastAsia="Times New Roman"/>
          <w:color w:val="000000"/>
          <w:sz w:val="20"/>
          <w:szCs w:val="20"/>
        </w:rPr>
        <w:t>cept. Although we expect to continue to qualify as a non-financial counterparty under the EMIR, and thus not be required to post margin, we are currently subject to limited derivatives reporting requirements that could expand in the future, and may also be</w:t>
      </w:r>
      <w:r>
        <w:rPr>
          <w:rFonts w:eastAsia="Times New Roman"/>
          <w:color w:val="000000"/>
          <w:sz w:val="20"/>
          <w:szCs w:val="20"/>
        </w:rPr>
        <w:t xml:space="preserve"> </w:t>
      </w:r>
    </w:p>
    <w:p w:rsidR="00000000" w:rsidRDefault="00AC31B9">
      <w:pPr>
        <w:jc w:val="center"/>
        <w:divId w:val="1369065802"/>
        <w:rPr>
          <w:rFonts w:eastAsia="Times New Roman"/>
        </w:rPr>
      </w:pPr>
      <w:r>
        <w:rPr>
          <w:rFonts w:eastAsia="Times New Roman"/>
          <w:color w:val="000000"/>
          <w:sz w:val="20"/>
          <w:szCs w:val="20"/>
        </w:rPr>
        <w:t>42</w:t>
      </w:r>
    </w:p>
    <w:p w:rsidR="00000000" w:rsidRDefault="00AC31B9">
      <w:pPr>
        <w:rPr>
          <w:rFonts w:eastAsia="Times New Roman"/>
        </w:rPr>
      </w:pPr>
      <w:r>
        <w:rPr>
          <w:rFonts w:eastAsia="Times New Roman"/>
        </w:rPr>
        <w:pict>
          <v:rect id="_x0000_i1068" style="width:0;height:1.5pt" o:hralign="center" o:hrstd="t" o:hr="t" fillcolor="#a0a0a0" stroked="f"/>
        </w:pict>
      </w:r>
    </w:p>
    <w:p w:rsidR="00000000" w:rsidRDefault="00AC31B9">
      <w:pPr>
        <w:divId w:val="1115710887"/>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subject to increased regulatory requirements, including recordkeeping, marking to market, timely confirmations, portfolio reconciliation a</w:t>
      </w:r>
      <w:r>
        <w:rPr>
          <w:rFonts w:eastAsia="Times New Roman"/>
          <w:color w:val="000000"/>
          <w:sz w:val="20"/>
          <w:szCs w:val="20"/>
        </w:rPr>
        <w:t>nd dispute resolution procedures. Provisions under the EMIR could significantly increase the cost of derivatives contracts, materially alter the terms of derivatives contracts and reduce the availability of derivatives to protect against risks that we enco</w:t>
      </w:r>
      <w:r>
        <w:rPr>
          <w:rFonts w:eastAsia="Times New Roman"/>
          <w:color w:val="000000"/>
          <w:sz w:val="20"/>
          <w:szCs w:val="20"/>
        </w:rPr>
        <w:t>unter. The increased trading costs and collateral costs may have an adverse impact on our business, contracts, financial condition, operating results, cash flow, liquidity and prospects.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General Risks that May Impact Our Business and Our Shareholders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T</w:t>
      </w:r>
      <w:r>
        <w:rPr>
          <w:rFonts w:eastAsia="Times New Roman"/>
          <w:b/>
          <w:bCs/>
          <w:i/>
          <w:iCs/>
          <w:color w:val="000000"/>
          <w:sz w:val="20"/>
          <w:szCs w:val="20"/>
        </w:rPr>
        <w:t>he inability to attract, develop, retain and engage key employees could adversely affect our ability to execute our strategic, operational and financial plans.</w:t>
      </w:r>
      <w:r>
        <w:rPr>
          <w:rFonts w:eastAsia="Times New Roman"/>
          <w:color w:val="000000"/>
          <w:sz w:val="20"/>
          <w:szCs w:val="20"/>
        </w:rPr>
        <w:t xml:space="preserve"> We are dependent upon the continued service and contributions of our management and key technica</w:t>
      </w:r>
      <w:r>
        <w:rPr>
          <w:rFonts w:eastAsia="Times New Roman"/>
          <w:color w:val="000000"/>
          <w:sz w:val="20"/>
          <w:szCs w:val="20"/>
        </w:rPr>
        <w:t>l and professional employees, as well as our ability to transfer the knowledge and expertise of our workforce to new employees as our employees retire or we otherwise experience employee turnover. In addition, the success of our operations depends on our a</w:t>
      </w:r>
      <w:r>
        <w:rPr>
          <w:rFonts w:eastAsia="Times New Roman"/>
          <w:color w:val="000000"/>
          <w:sz w:val="20"/>
          <w:szCs w:val="20"/>
        </w:rPr>
        <w:t>bility to identify, attract and develop skilled and experienced key employees. There is increased competition for experienced management and technical and professional employees, which could increase the costs associated with identifying, attracting and re</w:t>
      </w:r>
      <w:r>
        <w:rPr>
          <w:rFonts w:eastAsia="Times New Roman"/>
          <w:color w:val="000000"/>
          <w:sz w:val="20"/>
          <w:szCs w:val="20"/>
        </w:rPr>
        <w:t>taining such individuals. We may not be able to attract, retain or engage key employees if our compensation and benefits program is not as robust as the compensation and benefits programs offered by other employers for similar roles. Further, a lack of emp</w:t>
      </w:r>
      <w:r>
        <w:rPr>
          <w:rFonts w:eastAsia="Times New Roman"/>
          <w:color w:val="000000"/>
          <w:sz w:val="20"/>
          <w:szCs w:val="20"/>
        </w:rPr>
        <w:t>loyee engagement could lead to loss of productivity and increased employee burnout, turnover, absenteeism, safety incidents as well as decreased customer satisfaction. Additionally, uncertainty as a result of our ongoing review of strategic alternatives co</w:t>
      </w:r>
      <w:r>
        <w:rPr>
          <w:rFonts w:eastAsia="Times New Roman"/>
          <w:color w:val="000000"/>
          <w:sz w:val="20"/>
          <w:szCs w:val="20"/>
        </w:rPr>
        <w:t>uld negatively impact our ability to recruit and retain key employees. If we cannot identify, attract, develop, retain and engage management, technical and professional employees, along with other qualified employees, to support the various functions of ou</w:t>
      </w:r>
      <w:r>
        <w:rPr>
          <w:rFonts w:eastAsia="Times New Roman"/>
          <w:color w:val="000000"/>
          <w:sz w:val="20"/>
          <w:szCs w:val="20"/>
        </w:rPr>
        <w:t>r business, our operations and financial performance could be adversely impacted.</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We may not be able to collect on the accounts of our customers. </w:t>
      </w:r>
      <w:r>
        <w:rPr>
          <w:rFonts w:eastAsia="Times New Roman"/>
          <w:color w:val="000000"/>
          <w:sz w:val="20"/>
          <w:szCs w:val="20"/>
        </w:rPr>
        <w:t>We depend on the viability of our customers for collections of accounts receivable and notes receivable. Mor</w:t>
      </w:r>
      <w:r>
        <w:rPr>
          <w:rFonts w:eastAsia="Times New Roman"/>
          <w:color w:val="000000"/>
          <w:sz w:val="20"/>
          <w:szCs w:val="20"/>
        </w:rPr>
        <w:t>eover, our businesses serve numerous retail customers, and as we grow our businesses organically and through acquisitions, our retail customer base is expected to expand. There can be no assurance that our customers will not experience financial difficulti</w:t>
      </w:r>
      <w:r>
        <w:rPr>
          <w:rFonts w:eastAsia="Times New Roman"/>
          <w:color w:val="000000"/>
          <w:sz w:val="20"/>
          <w:szCs w:val="20"/>
        </w:rPr>
        <w:t>es in the future or that we will be able to collect all of our outstanding accounts receivable or notes receivable. Any such nonpayment by our customers could adversely affect our business.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We are subject to operating and litigation risks that may not be</w:t>
      </w:r>
      <w:r>
        <w:rPr>
          <w:rFonts w:eastAsia="Times New Roman"/>
          <w:b/>
          <w:bCs/>
          <w:i/>
          <w:iCs/>
          <w:color w:val="000000"/>
          <w:sz w:val="20"/>
          <w:szCs w:val="20"/>
        </w:rPr>
        <w:t xml:space="preserve"> covered by</w:t>
      </w:r>
      <w:r>
        <w:rPr>
          <w:rFonts w:eastAsia="Times New Roman"/>
          <w:color w:val="000000"/>
          <w:sz w:val="20"/>
          <w:szCs w:val="20"/>
        </w:rPr>
        <w:t xml:space="preserve"> </w:t>
      </w:r>
      <w:r>
        <w:rPr>
          <w:rFonts w:eastAsia="Times New Roman"/>
          <w:b/>
          <w:bCs/>
          <w:i/>
          <w:iCs/>
          <w:color w:val="000000"/>
          <w:sz w:val="20"/>
          <w:szCs w:val="20"/>
        </w:rPr>
        <w:t xml:space="preserve">insurance. </w:t>
      </w:r>
      <w:r>
        <w:rPr>
          <w:rFonts w:eastAsia="Times New Roman"/>
          <w:color w:val="000000"/>
          <w:sz w:val="20"/>
          <w:szCs w:val="20"/>
        </w:rPr>
        <w:t>Our business operations are subject to all of the operating hazards and risks normally incidental to the handling, storage and distribution of combustible products, such as LPG and natural gas, and the generation of electricity. Thes</w:t>
      </w:r>
      <w:r>
        <w:rPr>
          <w:rFonts w:eastAsia="Times New Roman"/>
          <w:color w:val="000000"/>
          <w:sz w:val="20"/>
          <w:szCs w:val="20"/>
        </w:rPr>
        <w:t>e risks could result in substantial losses due to personal injury and/or loss of life, and severe damage to and destruction of property and equipment arising from explosions and other catastrophic events, including acts of terrorism. As a result of these a</w:t>
      </w:r>
      <w:r>
        <w:rPr>
          <w:rFonts w:eastAsia="Times New Roman"/>
          <w:color w:val="000000"/>
          <w:sz w:val="20"/>
          <w:szCs w:val="20"/>
        </w:rPr>
        <w:t>nd other incidents, we are sometimes a defendant in legal proceedings and litigation arising in the ordinary course of business, including regulatory investigations, claims, lawsuits and other proceedings. Additionally, environmental contamination or other</w:t>
      </w:r>
      <w:r>
        <w:rPr>
          <w:rFonts w:eastAsia="Times New Roman"/>
          <w:color w:val="000000"/>
          <w:sz w:val="20"/>
          <w:szCs w:val="20"/>
        </w:rPr>
        <w:t xml:space="preserve"> incidents resulting in an environmental impact have resulted in, and could continue to result in, legal or regulatory proceedings (see “</w:t>
      </w:r>
      <w:r>
        <w:rPr>
          <w:rFonts w:eastAsia="Times New Roman"/>
          <w:i/>
          <w:iCs/>
          <w:color w:val="000000"/>
          <w:sz w:val="20"/>
          <w:szCs w:val="20"/>
        </w:rPr>
        <w:t>Our need to comply with, and respond to, industry-wide changes resulting from, comprehensive, complex, and sometimes un</w:t>
      </w:r>
      <w:r>
        <w:rPr>
          <w:rFonts w:eastAsia="Times New Roman"/>
          <w:i/>
          <w:iCs/>
          <w:color w:val="000000"/>
          <w:sz w:val="20"/>
          <w:szCs w:val="20"/>
        </w:rPr>
        <w:t>predictable governmental regulations, including regulatory initiatives aimed at increasing competition within our industry, may increase our costs and limit our revenue growth, which may adversely affect our operating results</w:t>
      </w:r>
      <w:r>
        <w:rPr>
          <w:rFonts w:eastAsia="Times New Roman"/>
          <w:color w:val="000000"/>
          <w:sz w:val="20"/>
          <w:szCs w:val="20"/>
        </w:rPr>
        <w:t xml:space="preserve">” </w:t>
      </w:r>
      <w:r>
        <w:rPr>
          <w:rFonts w:eastAsia="Times New Roman"/>
          <w:color w:val="000000"/>
          <w:sz w:val="20"/>
          <w:szCs w:val="20"/>
        </w:rPr>
        <w:t>for more information on such proceedings). There can be no assurance that our insurance coverage will be adequate to protect us from all material expenses related to pending and future claims or that such levels of insurance would be available in the futur</w:t>
      </w:r>
      <w:r>
        <w:rPr>
          <w:rFonts w:eastAsia="Times New Roman"/>
          <w:color w:val="000000"/>
          <w:sz w:val="20"/>
          <w:szCs w:val="20"/>
        </w:rPr>
        <w:t>e at economical prices. Moreover, defense and settlement costs may be substantial, even with respect to claims and investigations that have no merit. If we cannot resolve these matters favorably, our business, financial condition, results of operations and</w:t>
      </w:r>
      <w:r>
        <w:rPr>
          <w:rFonts w:eastAsia="Times New Roman"/>
          <w:color w:val="000000"/>
          <w:sz w:val="20"/>
          <w:szCs w:val="20"/>
        </w:rPr>
        <w:t xml:space="preserve"> future prospects may be materially adversely affected.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The risk of natural disasters, pandemics and catastrophic events, including acts of war and terrorism, may adversely affect the economy and the price and availability of LPG, other refined fuels an</w:t>
      </w:r>
      <w:r>
        <w:rPr>
          <w:rFonts w:eastAsia="Times New Roman"/>
          <w:b/>
          <w:bCs/>
          <w:i/>
          <w:iCs/>
          <w:color w:val="000000"/>
          <w:sz w:val="20"/>
          <w:szCs w:val="20"/>
        </w:rPr>
        <w:t xml:space="preserve">d natural gas. </w:t>
      </w:r>
      <w:r>
        <w:rPr>
          <w:rFonts w:eastAsia="Times New Roman"/>
          <w:color w:val="000000"/>
          <w:sz w:val="20"/>
          <w:szCs w:val="20"/>
        </w:rPr>
        <w:t xml:space="preserve">Natural disasters, pandemics and catastrophic events, such as fires, earthquakes, explosions, floods, tornadoes, hurricanes, terrorist attacks, war (including conflict in the Middle East), political unrest and other similar occurrences, may </w:t>
      </w:r>
      <w:r>
        <w:rPr>
          <w:rFonts w:eastAsia="Times New Roman"/>
          <w:color w:val="000000"/>
          <w:sz w:val="20"/>
          <w:szCs w:val="20"/>
        </w:rPr>
        <w:t>adversely impact the demand for, price and availability of LPG (including propane), other refined fuels and natural gas, which could adversely impact our financial condition and results of operations, our ability to raise capital and our future growth. The</w:t>
      </w:r>
      <w:r>
        <w:rPr>
          <w:rFonts w:eastAsia="Times New Roman"/>
          <w:color w:val="000000"/>
          <w:sz w:val="20"/>
          <w:szCs w:val="20"/>
        </w:rPr>
        <w:t xml:space="preserve"> impact that the foregoing may have on our industries in general, and on us in particular, is not known at this time. A natural disaster, pandemic or an act of war or terrorism could result in disruptions of crude oil or natural gas supplies and markets (t</w:t>
      </w:r>
      <w:r>
        <w:rPr>
          <w:rFonts w:eastAsia="Times New Roman"/>
          <w:color w:val="000000"/>
          <w:sz w:val="20"/>
          <w:szCs w:val="20"/>
        </w:rPr>
        <w:t>he sources of LPG), cause price volatility in the cost of LPG, fuel oil and natural gas, and our infrastructure facilities could be directly or indirectly impacted. Additionally, if our means of supply transportation, such as rail, truck or pipeline, are d</w:t>
      </w:r>
      <w:r>
        <w:rPr>
          <w:rFonts w:eastAsia="Times New Roman"/>
          <w:color w:val="000000"/>
          <w:sz w:val="20"/>
          <w:szCs w:val="20"/>
        </w:rPr>
        <w:t>elayed or temporarily unavailable due to a natural disaster, pandemic, war or terrorist activity, we may be unable to transport LPG and other refined fuels in a timely manner or at all. A lower level of economic activity could result in a decline in energy</w:t>
      </w:r>
      <w:r>
        <w:rPr>
          <w:rFonts w:eastAsia="Times New Roman"/>
          <w:color w:val="000000"/>
          <w:sz w:val="20"/>
          <w:szCs w:val="20"/>
        </w:rPr>
        <w:t xml:space="preserve"> consumption, which could adversely affect our revenues or restrict our future growth. Instability in the financial markets as a result of a natural disaster, pandemic, war or terrorism could also affect our ability to raise capital. We have opted to purch</w:t>
      </w:r>
      <w:r>
        <w:rPr>
          <w:rFonts w:eastAsia="Times New Roman"/>
          <w:color w:val="000000"/>
          <w:sz w:val="20"/>
          <w:szCs w:val="20"/>
        </w:rPr>
        <w:t xml:space="preserve">ase insurance coverage for natural disasters and terrorist acts within our property and casualty insurance programs, but we can give no assurance that our insurance </w:t>
      </w:r>
    </w:p>
    <w:p w:rsidR="00000000" w:rsidRDefault="00AC31B9">
      <w:pPr>
        <w:jc w:val="center"/>
        <w:divId w:val="1404261332"/>
        <w:rPr>
          <w:rFonts w:eastAsia="Times New Roman"/>
        </w:rPr>
      </w:pPr>
      <w:r>
        <w:rPr>
          <w:rFonts w:eastAsia="Times New Roman"/>
          <w:color w:val="000000"/>
          <w:sz w:val="20"/>
          <w:szCs w:val="20"/>
        </w:rPr>
        <w:t>43</w:t>
      </w:r>
    </w:p>
    <w:p w:rsidR="00000000" w:rsidRDefault="00AC31B9">
      <w:pPr>
        <w:rPr>
          <w:rFonts w:eastAsia="Times New Roman"/>
        </w:rPr>
      </w:pPr>
      <w:r>
        <w:rPr>
          <w:rFonts w:eastAsia="Times New Roman"/>
        </w:rPr>
        <w:pict>
          <v:rect id="_x0000_i1069" style="width:0;height:1.5pt" o:hralign="center" o:hrstd="t" o:hr="t" fillcolor="#a0a0a0" stroked="f"/>
        </w:pict>
      </w:r>
    </w:p>
    <w:p w:rsidR="00000000" w:rsidRDefault="00AC31B9">
      <w:pPr>
        <w:divId w:val="19934470"/>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coverage would be adequate to fully compensate us for any losses to our business or property resulting from natural disasters or terrorist acts.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Our indebtedness may adversely affect our business, financial condition and operating results. Our debt agreements also contain covenants that restrict our operational flexibility.</w:t>
      </w:r>
      <w:r>
        <w:rPr>
          <w:rFonts w:ascii="Calibri" w:eastAsia="Times New Roman" w:hAnsi="Calibri" w:cs="Calibri"/>
          <w:color w:val="000000"/>
          <w:sz w:val="20"/>
          <w:szCs w:val="20"/>
        </w:rPr>
        <w:t xml:space="preserve"> </w:t>
      </w:r>
      <w:r>
        <w:rPr>
          <w:rFonts w:eastAsia="Times New Roman"/>
          <w:color w:val="000000"/>
          <w:sz w:val="20"/>
          <w:szCs w:val="20"/>
        </w:rPr>
        <w:t xml:space="preserve">As of September 30, 2023, we had total indebtedness of approximately $7 </w:t>
      </w:r>
      <w:r>
        <w:rPr>
          <w:rFonts w:eastAsia="Times New Roman"/>
          <w:color w:val="000000"/>
          <w:sz w:val="20"/>
          <w:szCs w:val="20"/>
        </w:rPr>
        <w:t xml:space="preserve">billion. Our indebtedness could adversely affect our business, financial condition, operating results and operational flexibility by, among other things: </w:t>
      </w:r>
    </w:p>
    <w:p w:rsidR="00000000" w:rsidRDefault="00AC31B9">
      <w:pPr>
        <w:divId w:val="2071952783"/>
        <w:rPr>
          <w:rFonts w:eastAsia="Times New Roman"/>
        </w:rPr>
      </w:pPr>
    </w:p>
    <w:p w:rsidR="00000000" w:rsidRDefault="00AC31B9">
      <w:pPr>
        <w:ind w:hanging="360"/>
        <w:divId w:val="239288276"/>
        <w:rPr>
          <w:rFonts w:eastAsia="Times New Roman"/>
        </w:rPr>
      </w:pPr>
      <w:r>
        <w:rPr>
          <w:rFonts w:eastAsia="Times New Roman"/>
          <w:color w:val="000000"/>
          <w:sz w:val="20"/>
          <w:szCs w:val="20"/>
        </w:rPr>
        <w:t>•impairing our ability to obtain additional financing in the future for working capital, capital ex</w:t>
      </w:r>
      <w:r>
        <w:rPr>
          <w:rFonts w:eastAsia="Times New Roman"/>
          <w:color w:val="000000"/>
          <w:sz w:val="20"/>
          <w:szCs w:val="20"/>
        </w:rPr>
        <w:t>penditures, acquisitions or other purposes</w:t>
      </w:r>
      <w:r>
        <w:rPr>
          <w:rFonts w:eastAsia="Times New Roman"/>
          <w:color w:val="000000"/>
          <w:sz w:val="20"/>
          <w:szCs w:val="20"/>
        </w:rPr>
        <w:t>;</w:t>
      </w:r>
      <w:r>
        <w:rPr>
          <w:rFonts w:eastAsia="Times New Roman"/>
          <w:color w:val="000000"/>
          <w:sz w:val="20"/>
          <w:szCs w:val="20"/>
        </w:rPr>
        <w:t xml:space="preserve"> </w:t>
      </w:r>
    </w:p>
    <w:p w:rsidR="00000000" w:rsidRDefault="00AC31B9">
      <w:pPr>
        <w:ind w:hanging="360"/>
        <w:divId w:val="1020544382"/>
        <w:rPr>
          <w:rFonts w:eastAsia="Times New Roman"/>
        </w:rPr>
      </w:pPr>
      <w:r>
        <w:rPr>
          <w:rFonts w:eastAsia="Times New Roman"/>
          <w:color w:val="000000"/>
          <w:sz w:val="20"/>
          <w:szCs w:val="20"/>
        </w:rPr>
        <w:t xml:space="preserve">•limiting operational flexibility and our ability to pursue business opportunities and implement certain business strategies; </w:t>
      </w:r>
    </w:p>
    <w:p w:rsidR="00000000" w:rsidRDefault="00AC31B9">
      <w:pPr>
        <w:ind w:hanging="360"/>
        <w:divId w:val="237400084"/>
        <w:rPr>
          <w:rFonts w:eastAsia="Times New Roman"/>
        </w:rPr>
      </w:pPr>
      <w:r>
        <w:rPr>
          <w:rFonts w:eastAsia="Times New Roman"/>
          <w:color w:val="000000"/>
          <w:sz w:val="20"/>
          <w:szCs w:val="20"/>
        </w:rPr>
        <w:t xml:space="preserve">•impairing our ability to respond to changing business and economic conditions; </w:t>
      </w:r>
    </w:p>
    <w:p w:rsidR="00000000" w:rsidRDefault="00AC31B9">
      <w:pPr>
        <w:ind w:hanging="360"/>
        <w:divId w:val="1655641560"/>
        <w:rPr>
          <w:rFonts w:eastAsia="Times New Roman"/>
        </w:rPr>
      </w:pPr>
      <w:r>
        <w:rPr>
          <w:rFonts w:eastAsia="Times New Roman"/>
          <w:color w:val="000000"/>
          <w:sz w:val="20"/>
          <w:szCs w:val="20"/>
        </w:rPr>
        <w:t>•im</w:t>
      </w:r>
      <w:r>
        <w:rPr>
          <w:rFonts w:eastAsia="Times New Roman"/>
          <w:color w:val="000000"/>
          <w:sz w:val="20"/>
          <w:szCs w:val="20"/>
        </w:rPr>
        <w:t>pairing our ability to repay our indebtedness at maturity, especially where our debt agreements contain significant maturities;</w:t>
      </w:r>
    </w:p>
    <w:p w:rsidR="00000000" w:rsidRDefault="00AC31B9">
      <w:pPr>
        <w:ind w:hanging="360"/>
        <w:divId w:val="261647545"/>
        <w:rPr>
          <w:rFonts w:eastAsia="Times New Roman"/>
        </w:rPr>
      </w:pPr>
      <w:r>
        <w:rPr>
          <w:rFonts w:eastAsia="Times New Roman"/>
          <w:color w:val="000000"/>
          <w:sz w:val="20"/>
          <w:szCs w:val="20"/>
        </w:rPr>
        <w:t>•exposing us to the risk of increased interest rates where our debt agreements have variable interest rates; and</w:t>
      </w:r>
    </w:p>
    <w:p w:rsidR="00000000" w:rsidRDefault="00AC31B9">
      <w:pPr>
        <w:ind w:hanging="360"/>
        <w:divId w:val="460417961"/>
        <w:rPr>
          <w:rFonts w:eastAsia="Times New Roman"/>
        </w:rPr>
      </w:pPr>
      <w:r>
        <w:rPr>
          <w:rFonts w:eastAsia="Times New Roman"/>
          <w:color w:val="000000"/>
          <w:sz w:val="20"/>
          <w:szCs w:val="20"/>
        </w:rPr>
        <w:t xml:space="preserve">•placing us at </w:t>
      </w:r>
      <w:r>
        <w:rPr>
          <w:rFonts w:eastAsia="Times New Roman"/>
          <w:color w:val="000000"/>
          <w:sz w:val="20"/>
          <w:szCs w:val="20"/>
        </w:rPr>
        <w:t xml:space="preserve">a competitive disadvantage compared to our competitors that have proportionately less debt and fewer guarantee obligations. </w:t>
      </w:r>
    </w:p>
    <w:p w:rsidR="00000000" w:rsidRDefault="00AC31B9">
      <w:pPr>
        <w:divId w:val="1381827175"/>
        <w:rPr>
          <w:rFonts w:eastAsia="Times New Roman"/>
        </w:rPr>
      </w:pPr>
    </w:p>
    <w:p w:rsidR="00000000" w:rsidRDefault="00AC31B9">
      <w:pPr>
        <w:jc w:val="both"/>
        <w:rPr>
          <w:rFonts w:eastAsia="Times New Roman"/>
        </w:rPr>
      </w:pPr>
      <w:r>
        <w:rPr>
          <w:rFonts w:eastAsia="Times New Roman"/>
          <w:color w:val="000000"/>
          <w:sz w:val="20"/>
          <w:szCs w:val="20"/>
        </w:rPr>
        <w:t>The occurrence of any of such events could have a material adverse effect upon our business, financial condition and results of o</w:t>
      </w:r>
      <w:r>
        <w:rPr>
          <w:rFonts w:eastAsia="Times New Roman"/>
          <w:color w:val="000000"/>
          <w:sz w:val="20"/>
          <w:szCs w:val="20"/>
        </w:rPr>
        <w:t>perations. Further, if our credit ratings were to be downgraded, or general market conditions were to ascribe higher risk to our rating levels, our industry, or us, our access to capital and the cost of any future debt financing could be negatively impacte</w:t>
      </w:r>
      <w:r>
        <w:rPr>
          <w:rFonts w:eastAsia="Times New Roman"/>
          <w:color w:val="000000"/>
          <w:sz w:val="20"/>
          <w:szCs w:val="20"/>
        </w:rPr>
        <w:t>d. Additionally, our ability to make payments of principal and interest on our indebtedness depends upon our future performance, which is subject to economic and political conditions, seasonal cycles and financial, business and other factors, many of which</w:t>
      </w:r>
      <w:r>
        <w:rPr>
          <w:rFonts w:eastAsia="Times New Roman"/>
          <w:color w:val="000000"/>
          <w:sz w:val="20"/>
          <w:szCs w:val="20"/>
        </w:rPr>
        <w:t xml:space="preserve"> are beyond our control. If we are unable to generate sufficient cash flow from operations to service our indebtedness, we may be required to, among other things, refinance or restructure all or a portion of our indebtedness, reduce or delay planned capita</w:t>
      </w:r>
      <w:r>
        <w:rPr>
          <w:rFonts w:eastAsia="Times New Roman"/>
          <w:color w:val="000000"/>
          <w:sz w:val="20"/>
          <w:szCs w:val="20"/>
        </w:rPr>
        <w:t>l or operating expenditures or sell selected assets. Such measures might not be sufficient to enable us to service our indebtedness, and any such refinancing, restructuring or sale of assets might not be available on favorable terms or at all.</w:t>
      </w:r>
    </w:p>
    <w:p w:rsidR="00000000" w:rsidRDefault="00AC31B9">
      <w:pPr>
        <w:divId w:val="608318141"/>
        <w:rPr>
          <w:rFonts w:eastAsia="Times New Roman"/>
        </w:rPr>
      </w:pPr>
    </w:p>
    <w:p w:rsidR="00000000" w:rsidRDefault="00AC31B9">
      <w:pPr>
        <w:jc w:val="both"/>
        <w:rPr>
          <w:rFonts w:eastAsia="Times New Roman"/>
        </w:rPr>
      </w:pPr>
      <w:r>
        <w:rPr>
          <w:rFonts w:eastAsia="Times New Roman"/>
          <w:color w:val="000000"/>
          <w:sz w:val="20"/>
          <w:szCs w:val="20"/>
        </w:rPr>
        <w:t>In additio</w:t>
      </w:r>
      <w:r>
        <w:rPr>
          <w:rFonts w:eastAsia="Times New Roman"/>
          <w:color w:val="000000"/>
          <w:sz w:val="20"/>
          <w:szCs w:val="20"/>
        </w:rPr>
        <w:t>n, our debt agreements generally contain customary affirmative covenants, including, among others, covenants pertaining to the delivery of financial statements; certain financial covenants; notices of default and certain other material events; payment of o</w:t>
      </w:r>
      <w:r>
        <w:rPr>
          <w:rFonts w:eastAsia="Times New Roman"/>
          <w:color w:val="000000"/>
          <w:sz w:val="20"/>
          <w:szCs w:val="20"/>
        </w:rPr>
        <w:t xml:space="preserve">bligations; preservation of corporate existence, rights, privileges, permits, licenses, franchises and intellectual property; maintenance of property and insurance and compliance with laws, as well as customary negative covenants, including, among others, </w:t>
      </w:r>
      <w:r>
        <w:rPr>
          <w:rFonts w:eastAsia="Times New Roman"/>
          <w:color w:val="000000"/>
          <w:sz w:val="20"/>
          <w:szCs w:val="20"/>
        </w:rPr>
        <w:t>limitations on the incurrence of liens, investments and indebtedness; mergers, acquisitions and certain other fundamental changes; transfers, leases or dispositions of assets outside the ordinary course of business</w:t>
      </w:r>
      <w:r>
        <w:rPr>
          <w:rFonts w:eastAsia="Times New Roman"/>
          <w:color w:val="000000"/>
          <w:sz w:val="20"/>
          <w:szCs w:val="20"/>
        </w:rPr>
        <w:t>;</w:t>
      </w:r>
      <w:r>
        <w:rPr>
          <w:rFonts w:eastAsia="Times New Roman"/>
          <w:color w:val="000000"/>
          <w:sz w:val="20"/>
          <w:szCs w:val="20"/>
        </w:rPr>
        <w:t xml:space="preserve"> restricted payments; changes in our line</w:t>
      </w:r>
      <w:r>
        <w:rPr>
          <w:rFonts w:eastAsia="Times New Roman"/>
          <w:color w:val="000000"/>
          <w:sz w:val="20"/>
          <w:szCs w:val="20"/>
        </w:rPr>
        <w:t xml:space="preserve"> of business</w:t>
      </w:r>
      <w:r>
        <w:rPr>
          <w:rFonts w:eastAsia="Times New Roman"/>
          <w:color w:val="000000"/>
          <w:sz w:val="20"/>
          <w:szCs w:val="20"/>
        </w:rPr>
        <w:t>;</w:t>
      </w:r>
      <w:r>
        <w:rPr>
          <w:rFonts w:eastAsia="Times New Roman"/>
          <w:color w:val="000000"/>
          <w:sz w:val="20"/>
          <w:szCs w:val="20"/>
        </w:rPr>
        <w:t xml:space="preserve"> transactions with affiliates and burdensome agreements. These covenants could affect our ability to operate our business, respond to changes in business and economic conditions, obtain additional financing (if needed), and may increase the am</w:t>
      </w:r>
      <w:r>
        <w:rPr>
          <w:rFonts w:eastAsia="Times New Roman"/>
          <w:color w:val="000000"/>
          <w:sz w:val="20"/>
          <w:szCs w:val="20"/>
        </w:rPr>
        <w:t>ount of interest expense we ultimately pay pursuant to the debt agreements. Further, our ability to comply with the covenants and restrictions contained in our debt agreements may be affected by events beyond our control, including prevailing economic, fin</w:t>
      </w:r>
      <w:r>
        <w:rPr>
          <w:rFonts w:eastAsia="Times New Roman"/>
          <w:color w:val="000000"/>
          <w:sz w:val="20"/>
          <w:szCs w:val="20"/>
        </w:rPr>
        <w:t>ancial and industry conditions or regulatory changes. A failure to comply with the covenants in our debt agreements could result in a default or an event of default. Upon an event of default, unless waived, the lenders could elect to terminate their commit</w:t>
      </w:r>
      <w:r>
        <w:rPr>
          <w:rFonts w:eastAsia="Times New Roman"/>
          <w:color w:val="000000"/>
          <w:sz w:val="20"/>
          <w:szCs w:val="20"/>
        </w:rPr>
        <w:t>ments, cease making further loans, require cash collateralization of letters of credit, cause their loans to become due and payable in full, foreclose against any assets securing the debt under our debt agreements and force us and our subsidiaries into ban</w:t>
      </w:r>
      <w:r>
        <w:rPr>
          <w:rFonts w:eastAsia="Times New Roman"/>
          <w:color w:val="000000"/>
          <w:sz w:val="20"/>
          <w:szCs w:val="20"/>
        </w:rPr>
        <w:t>kruptcy or liquidation. If the payment of our debt is accelerated, we cannot be certain that we will have sufficient funds available to pay down the indebtedness (together with accrued interest and fees), or that we will have the ability to refinance the a</w:t>
      </w:r>
      <w:r>
        <w:rPr>
          <w:rFonts w:eastAsia="Times New Roman"/>
          <w:color w:val="000000"/>
          <w:sz w:val="20"/>
          <w:szCs w:val="20"/>
        </w:rPr>
        <w:t>ccelerated indebtedness on terms favorable to us or at all. This could have a material adverse effect upon our business, financial condition and results of operations.</w:t>
      </w:r>
    </w:p>
    <w:p w:rsidR="00000000" w:rsidRDefault="00AC31B9">
      <w:pPr>
        <w:divId w:val="313219649"/>
        <w:rPr>
          <w:rFonts w:eastAsia="Times New Roman"/>
        </w:rPr>
      </w:pPr>
    </w:p>
    <w:p w:rsidR="00000000" w:rsidRDefault="00AC31B9">
      <w:pPr>
        <w:jc w:val="both"/>
        <w:rPr>
          <w:rFonts w:eastAsia="Times New Roman"/>
        </w:rPr>
      </w:pPr>
      <w:r>
        <w:rPr>
          <w:rFonts w:eastAsia="Times New Roman"/>
          <w:color w:val="000000"/>
          <w:sz w:val="20"/>
          <w:szCs w:val="20"/>
        </w:rPr>
        <w:t>Additionally, the terms of future debt agreements could include more restrictive coven</w:t>
      </w:r>
      <w:r>
        <w:rPr>
          <w:rFonts w:eastAsia="Times New Roman"/>
          <w:color w:val="000000"/>
          <w:sz w:val="20"/>
          <w:szCs w:val="20"/>
        </w:rPr>
        <w:t>ants, or require incremental collateral, which may further restrict our business operations or conflict with covenant restrictions then in effect. As a result, there is no guarantee that financings will be available in the future to fund our obligations, o</w:t>
      </w:r>
      <w:r>
        <w:rPr>
          <w:rFonts w:eastAsia="Times New Roman"/>
          <w:color w:val="000000"/>
          <w:sz w:val="20"/>
          <w:szCs w:val="20"/>
        </w:rPr>
        <w:t>r that they will be available on terms consistent with our expectations. See the liquidity section in Item 7. Management's Discussion and Analysis for additional information on our current debt agreements.</w:t>
      </w:r>
    </w:p>
    <w:p w:rsidR="00000000" w:rsidRDefault="00AC31B9">
      <w:pPr>
        <w:divId w:val="451945285"/>
        <w:rPr>
          <w:rFonts w:eastAsia="Times New Roman"/>
        </w:rPr>
      </w:pPr>
    </w:p>
    <w:p w:rsidR="00000000" w:rsidRDefault="00AC31B9">
      <w:pPr>
        <w:jc w:val="center"/>
        <w:divId w:val="670647753"/>
        <w:rPr>
          <w:rFonts w:eastAsia="Times New Roman"/>
        </w:rPr>
      </w:pPr>
      <w:r>
        <w:rPr>
          <w:rFonts w:eastAsia="Times New Roman"/>
          <w:color w:val="000000"/>
          <w:sz w:val="20"/>
          <w:szCs w:val="20"/>
        </w:rPr>
        <w:t>44</w:t>
      </w:r>
    </w:p>
    <w:p w:rsidR="00000000" w:rsidRDefault="00AC31B9">
      <w:pPr>
        <w:rPr>
          <w:rFonts w:eastAsia="Times New Roman"/>
        </w:rPr>
      </w:pPr>
      <w:r>
        <w:rPr>
          <w:rFonts w:eastAsia="Times New Roman"/>
        </w:rPr>
        <w:pict>
          <v:rect id="_x0000_i1070" style="width:0;height:1.5pt" o:hralign="center" o:hrstd="t" o:hr="t" fillcolor="#a0a0a0" stroked="f"/>
        </w:pict>
      </w:r>
    </w:p>
    <w:p w:rsidR="00000000" w:rsidRDefault="00AC31B9">
      <w:pPr>
        <w:divId w:val="1836454685"/>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b/>
          <w:bCs/>
          <w:i/>
          <w:iCs/>
          <w:color w:val="000000"/>
          <w:sz w:val="20"/>
          <w:szCs w:val="20"/>
        </w:rPr>
        <w:t>An impairment of our assets could adversely affect our financial condition and results of operations</w:t>
      </w:r>
      <w:r>
        <w:rPr>
          <w:rFonts w:eastAsia="Times New Roman"/>
          <w:color w:val="000000"/>
          <w:sz w:val="20"/>
          <w:szCs w:val="20"/>
        </w:rPr>
        <w:t>. We test goodwill, intangible, and other long-lived assets for impairment annually or w</w:t>
      </w:r>
      <w:r>
        <w:rPr>
          <w:rFonts w:eastAsia="Times New Roman"/>
          <w:color w:val="000000"/>
          <w:sz w:val="20"/>
          <w:szCs w:val="20"/>
        </w:rPr>
        <w:t>henever events or circumstances indicate impairment may have occurred. To the extent the value of goodwill or long-lived assets becomes impaired, the Company may be required to incur impairment charges that could have a material impact on our results of op</w:t>
      </w:r>
      <w:r>
        <w:rPr>
          <w:rFonts w:eastAsia="Times New Roman"/>
          <w:color w:val="000000"/>
          <w:sz w:val="20"/>
          <w:szCs w:val="20"/>
        </w:rPr>
        <w:t>erations. The testing of assets for impairment requires us to make significant estimates about our future events, including our performance and projected cash flows, as well as other assumptions. These estimates can be affected by numerous factors, includi</w:t>
      </w:r>
      <w:r>
        <w:rPr>
          <w:rFonts w:eastAsia="Times New Roman"/>
          <w:color w:val="000000"/>
          <w:sz w:val="20"/>
          <w:szCs w:val="20"/>
        </w:rPr>
        <w:t xml:space="preserve">ng developments in the global economic environment, including the prospect of higher interest rates, developments in regulatory, industry and market conditions, changes in business operations, changes in competition or changes in technologies. Any changes </w:t>
      </w:r>
      <w:r>
        <w:rPr>
          <w:rFonts w:eastAsia="Times New Roman"/>
          <w:color w:val="000000"/>
          <w:sz w:val="20"/>
          <w:szCs w:val="20"/>
        </w:rPr>
        <w:t>in key assumptions, or actual performance compared with key assumptions, about our business and its future prospects could affect the fair value of one or more of our assets, which may result in an impairment charge. We have incurred and may continue to in</w:t>
      </w:r>
      <w:r>
        <w:rPr>
          <w:rFonts w:eastAsia="Times New Roman"/>
          <w:color w:val="000000"/>
          <w:sz w:val="20"/>
          <w:szCs w:val="20"/>
        </w:rPr>
        <w:t>cur impairment charges on certain of our assets that could have a material impact on our results of operations.</w:t>
      </w:r>
    </w:p>
    <w:p w:rsidR="00000000" w:rsidRDefault="00AC31B9">
      <w:pPr>
        <w:divId w:val="489758632"/>
        <w:rPr>
          <w:rFonts w:eastAsia="Times New Roman"/>
        </w:rPr>
      </w:pPr>
    </w:p>
    <w:p w:rsidR="00000000" w:rsidRDefault="00AC31B9">
      <w:pPr>
        <w:jc w:val="both"/>
        <w:rPr>
          <w:rFonts w:eastAsia="Times New Roman"/>
        </w:rPr>
      </w:pPr>
      <w:r>
        <w:rPr>
          <w:rFonts w:eastAsia="Times New Roman"/>
          <w:b/>
          <w:bCs/>
          <w:i/>
          <w:iCs/>
          <w:color w:val="000000"/>
          <w:sz w:val="20"/>
          <w:szCs w:val="20"/>
        </w:rPr>
        <w:t>Our holding company structure could limit our ability to pay dividends or</w:t>
      </w:r>
      <w:r>
        <w:rPr>
          <w:rFonts w:eastAsia="Times New Roman"/>
          <w:color w:val="000000"/>
          <w:sz w:val="20"/>
          <w:szCs w:val="20"/>
        </w:rPr>
        <w:t xml:space="preserve"> </w:t>
      </w:r>
      <w:r>
        <w:rPr>
          <w:rFonts w:eastAsia="Times New Roman"/>
          <w:b/>
          <w:bCs/>
          <w:i/>
          <w:iCs/>
          <w:color w:val="000000"/>
          <w:sz w:val="20"/>
          <w:szCs w:val="20"/>
        </w:rPr>
        <w:t xml:space="preserve">service debt. </w:t>
      </w:r>
      <w:r>
        <w:rPr>
          <w:rFonts w:eastAsia="Times New Roman"/>
          <w:color w:val="000000"/>
          <w:sz w:val="20"/>
          <w:szCs w:val="20"/>
        </w:rPr>
        <w:t>We are a holding company whose material assets are the stock of our subsidiaries. Our ability to pay dividends on our Common Stock and to pay principal and accrued inte</w:t>
      </w:r>
      <w:r>
        <w:rPr>
          <w:rFonts w:eastAsia="Times New Roman"/>
          <w:color w:val="000000"/>
          <w:sz w:val="20"/>
          <w:szCs w:val="20"/>
        </w:rPr>
        <w:t>rest on our debt, if any, depends on the payment of dividends to us by our principal subsidiaries. Payments to us by our subsidiaries, in turn, depend upon their consolidated results of operations and cash flows. The operations of our subsidiaries are affe</w:t>
      </w:r>
      <w:r>
        <w:rPr>
          <w:rFonts w:eastAsia="Times New Roman"/>
          <w:color w:val="000000"/>
          <w:sz w:val="20"/>
          <w:szCs w:val="20"/>
        </w:rPr>
        <w:t xml:space="preserve">cted by conditions beyond our control, including weather, regulations, competition in national and international markets we serve, the costs and availability of propane, butane, natural gas, electricity, and other energy sources, capital market conditions </w:t>
      </w:r>
      <w:r>
        <w:rPr>
          <w:rFonts w:eastAsia="Times New Roman"/>
          <w:color w:val="000000"/>
          <w:sz w:val="20"/>
          <w:szCs w:val="20"/>
        </w:rPr>
        <w:t>and interest rates and other business risks impacting liquidity levels. The ability of our subsidiaries to make payments to us is also affected by the level of indebtedness of our subsidiaries, which is substantial, and the restrictions on payments to us i</w:t>
      </w:r>
      <w:r>
        <w:rPr>
          <w:rFonts w:eastAsia="Times New Roman"/>
          <w:color w:val="000000"/>
          <w:sz w:val="20"/>
          <w:szCs w:val="20"/>
        </w:rPr>
        <w:t>mposed under the terms of such indebtedness.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Volatility in credit and capital markets may restrict our ability to grow,</w:t>
      </w:r>
      <w:r>
        <w:rPr>
          <w:rFonts w:eastAsia="Times New Roman"/>
          <w:color w:val="000000"/>
          <w:sz w:val="20"/>
          <w:szCs w:val="20"/>
        </w:rPr>
        <w:t xml:space="preserve"> </w:t>
      </w:r>
      <w:r>
        <w:rPr>
          <w:rFonts w:eastAsia="Times New Roman"/>
          <w:b/>
          <w:bCs/>
          <w:i/>
          <w:iCs/>
          <w:color w:val="000000"/>
          <w:sz w:val="20"/>
          <w:szCs w:val="20"/>
        </w:rPr>
        <w:t xml:space="preserve">increase the likelihood of defaults by our suppliers and vendors, customers and counterparties and adversely affect our operating results. </w:t>
      </w:r>
      <w:r>
        <w:rPr>
          <w:rFonts w:eastAsia="Times New Roman"/>
          <w:color w:val="000000"/>
          <w:sz w:val="20"/>
          <w:szCs w:val="20"/>
        </w:rPr>
        <w:t xml:space="preserve">Volatility in credit and capital markets may create additional risks to our businesses in the future. We are exposed </w:t>
      </w:r>
      <w:r>
        <w:rPr>
          <w:rFonts w:eastAsia="Times New Roman"/>
          <w:color w:val="000000"/>
          <w:sz w:val="20"/>
          <w:szCs w:val="20"/>
        </w:rPr>
        <w:t xml:space="preserve">to financial market risk (including refinancing risk) resulting from factors beyond our control, including, among other things, commodity price volatility and changes in interest rates and conditions in the credit and capital markets. Adverse developments </w:t>
      </w:r>
      <w:r>
        <w:rPr>
          <w:rFonts w:eastAsia="Times New Roman"/>
          <w:color w:val="000000"/>
          <w:sz w:val="20"/>
          <w:szCs w:val="20"/>
        </w:rPr>
        <w:t xml:space="preserve">in the credit markets may increase our possible exposure to the liquidity, default and credit risks of our suppliers and vendors, counterparties associated with derivative financial instruments and our customers.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We depend on our intellectual property a</w:t>
      </w:r>
      <w:r>
        <w:rPr>
          <w:rFonts w:eastAsia="Times New Roman"/>
          <w:b/>
          <w:bCs/>
          <w:i/>
          <w:iCs/>
          <w:color w:val="000000"/>
          <w:sz w:val="20"/>
          <w:szCs w:val="20"/>
        </w:rPr>
        <w:t xml:space="preserve">nd failure to protect that intellectual property could adversely affect us. </w:t>
      </w:r>
      <w:r>
        <w:rPr>
          <w:rFonts w:eastAsia="Times New Roman"/>
          <w:color w:val="000000"/>
          <w:sz w:val="20"/>
          <w:szCs w:val="20"/>
        </w:rPr>
        <w:t>We seek trademark protection for our brands in each of our businesses, and we invest significant resources in developing our business brands. Failure to maintain our trademarks and</w:t>
      </w:r>
      <w:r>
        <w:rPr>
          <w:rFonts w:eastAsia="Times New Roman"/>
          <w:color w:val="000000"/>
          <w:sz w:val="20"/>
          <w:szCs w:val="20"/>
        </w:rPr>
        <w:t xml:space="preserve"> brands could adversely affect our customer-facing businesses and our operational results.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Declines in the stock market or bond market, and a low interest</w:t>
      </w:r>
      <w:r>
        <w:rPr>
          <w:rFonts w:eastAsia="Times New Roman"/>
          <w:color w:val="000000"/>
          <w:sz w:val="20"/>
          <w:szCs w:val="20"/>
        </w:rPr>
        <w:t xml:space="preserve"> </w:t>
      </w:r>
      <w:r>
        <w:rPr>
          <w:rFonts w:eastAsia="Times New Roman"/>
          <w:b/>
          <w:bCs/>
          <w:i/>
          <w:iCs/>
          <w:color w:val="000000"/>
          <w:sz w:val="20"/>
          <w:szCs w:val="20"/>
        </w:rPr>
        <w:t xml:space="preserve">rate environment, may negatively impact our pension liability. </w:t>
      </w:r>
      <w:r>
        <w:rPr>
          <w:rFonts w:eastAsia="Times New Roman"/>
          <w:color w:val="000000"/>
          <w:sz w:val="20"/>
          <w:szCs w:val="20"/>
        </w:rPr>
        <w:t>Declines in the stock market and a l</w:t>
      </w:r>
      <w:r>
        <w:rPr>
          <w:rFonts w:eastAsia="Times New Roman"/>
          <w:color w:val="000000"/>
          <w:sz w:val="20"/>
          <w:szCs w:val="20"/>
        </w:rPr>
        <w:t>ow interest rate environment historically have resulted in a significant impact on our pension liability and funded status. Declines in the stock or bond market and valuation of stocks or bonds, combined with low interest rates, could further impact our pe</w:t>
      </w:r>
      <w:r>
        <w:rPr>
          <w:rFonts w:eastAsia="Times New Roman"/>
          <w:color w:val="000000"/>
          <w:sz w:val="20"/>
          <w:szCs w:val="20"/>
        </w:rPr>
        <w:t xml:space="preserve">nsion liability and funded status and increase the amount of required contributions to our pension plans.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Unless we otherwise consent in writing, our Amended and Restated Bylaws designate a state court located in Montgomery County, Pennsylvania or, if n</w:t>
      </w:r>
      <w:r>
        <w:rPr>
          <w:rFonts w:eastAsia="Times New Roman"/>
          <w:b/>
          <w:bCs/>
          <w:i/>
          <w:iCs/>
          <w:color w:val="000000"/>
          <w:sz w:val="20"/>
          <w:szCs w:val="20"/>
        </w:rPr>
        <w:t>o state court located within such county has jurisdiction over such action or proceeding, the federal United States District Court for the Eastern District of Pennsylvania, as the sole and exclusive forum for certain types of actions and proceedings that m</w:t>
      </w:r>
      <w:r>
        <w:rPr>
          <w:rFonts w:eastAsia="Times New Roman"/>
          <w:b/>
          <w:bCs/>
          <w:i/>
          <w:iCs/>
          <w:color w:val="000000"/>
          <w:sz w:val="20"/>
          <w:szCs w:val="20"/>
        </w:rPr>
        <w:t xml:space="preserve">ay be initiated by our shareholders, which could discourage lawsuits against us and our directors and officers. </w:t>
      </w:r>
      <w:r>
        <w:rPr>
          <w:rFonts w:eastAsia="Times New Roman"/>
          <w:color w:val="000000"/>
          <w:sz w:val="20"/>
          <w:szCs w:val="20"/>
        </w:rPr>
        <w:t>Our Amended and Restated Bylaws provide that, unless we otherwise consent in writing, a state court located in Montgomery County, Pennsylvania o</w:t>
      </w:r>
      <w:r>
        <w:rPr>
          <w:rFonts w:eastAsia="Times New Roman"/>
          <w:color w:val="000000"/>
          <w:sz w:val="20"/>
          <w:szCs w:val="20"/>
        </w:rPr>
        <w:t>r, if no state court located within such county has jurisdiction over such action or proceeding, the federal United States District Court for the Eastern District of Pennsylvania, as the sole and exclusive forum for: (a) any derivative action or proceeding</w:t>
      </w:r>
      <w:r>
        <w:rPr>
          <w:rFonts w:eastAsia="Times New Roman"/>
          <w:color w:val="000000"/>
          <w:sz w:val="20"/>
          <w:szCs w:val="20"/>
        </w:rPr>
        <w:t xml:space="preserve"> brought on behalf of us; (b) any action or proceeding asserting a claim of breach of duty owed to us or our shareholders by any director, officer, or other employee of ours; (c) any action or proceeding asserting a claim against us or against any of our d</w:t>
      </w:r>
      <w:r>
        <w:rPr>
          <w:rFonts w:eastAsia="Times New Roman"/>
          <w:color w:val="000000"/>
          <w:sz w:val="20"/>
          <w:szCs w:val="20"/>
        </w:rPr>
        <w:t>irectors, officers or other employees arising pursuant to, or involving any interpretation or enforcement of, any provision of the Pennsylvania Associations Code, Pennsylvania Business Corporation Law of 1988, or our Amended and Restated Articles of Incorp</w:t>
      </w:r>
      <w:r>
        <w:rPr>
          <w:rFonts w:eastAsia="Times New Roman"/>
          <w:color w:val="000000"/>
          <w:sz w:val="20"/>
          <w:szCs w:val="20"/>
        </w:rPr>
        <w:t xml:space="preserve">oration or Amended and Restated Bylaws; and (d) any action or proceeding asserting a claim peculiar to the relationship between or among us and our officers, directors, and shareholders, or otherwise governed by or involving the internal affairs doctrine. </w:t>
      </w:r>
      <w:r>
        <w:rPr>
          <w:rFonts w:eastAsia="Times New Roman"/>
          <w:color w:val="000000"/>
          <w:sz w:val="20"/>
          <w:szCs w:val="20"/>
        </w:rPr>
        <w:t xml:space="preserve">This exclusive forum provision does not apply to suits brought to enforce a duty or liability created by the Exchange Act or the Securities Act. </w:t>
      </w:r>
    </w:p>
    <w:p w:rsidR="00000000" w:rsidRDefault="00AC31B9">
      <w:pPr>
        <w:jc w:val="both"/>
        <w:rPr>
          <w:rFonts w:eastAsia="Times New Roman"/>
        </w:rPr>
      </w:pPr>
    </w:p>
    <w:p w:rsidR="00000000" w:rsidRDefault="00AC31B9">
      <w:pPr>
        <w:jc w:val="center"/>
        <w:divId w:val="2076512504"/>
        <w:rPr>
          <w:rFonts w:eastAsia="Times New Roman"/>
        </w:rPr>
      </w:pPr>
      <w:r>
        <w:rPr>
          <w:rFonts w:eastAsia="Times New Roman"/>
          <w:color w:val="000000"/>
          <w:sz w:val="20"/>
          <w:szCs w:val="20"/>
        </w:rPr>
        <w:t>45</w:t>
      </w:r>
    </w:p>
    <w:p w:rsidR="00000000" w:rsidRDefault="00AC31B9">
      <w:pPr>
        <w:rPr>
          <w:rFonts w:eastAsia="Times New Roman"/>
        </w:rPr>
      </w:pPr>
      <w:r>
        <w:rPr>
          <w:rFonts w:eastAsia="Times New Roman"/>
        </w:rPr>
        <w:pict>
          <v:rect id="_x0000_i1071" style="width:0;height:1.5pt" o:hralign="center" o:hrstd="t" o:hr="t" fillcolor="#a0a0a0" stroked="f"/>
        </w:pict>
      </w:r>
    </w:p>
    <w:p w:rsidR="00000000" w:rsidRDefault="00AC31B9">
      <w:pPr>
        <w:divId w:val="393700832"/>
        <w:rPr>
          <w:rFonts w:eastAsia="Times New Roman"/>
        </w:rPr>
      </w:pPr>
      <w:hyperlink w:anchor="ic92dd05487854a4eaece953328045c39_7" w:history="1">
        <w:r>
          <w:rPr>
            <w:rStyle w:val="a3"/>
            <w:rFonts w:eastAsia="Times New Roman"/>
            <w:b/>
            <w:bCs/>
            <w:sz w:val="20"/>
            <w:szCs w:val="20"/>
          </w:rPr>
          <w:t>Table of C</w:t>
        </w:r>
        <w:r>
          <w:rPr>
            <w:rStyle w:val="a3"/>
            <w:rFonts w:eastAsia="Times New Roman"/>
            <w:b/>
            <w:bCs/>
            <w:sz w:val="20"/>
            <w:szCs w:val="20"/>
          </w:rPr>
          <w:t>ontents</w:t>
        </w:r>
      </w:hyperlink>
    </w:p>
    <w:p w:rsidR="00000000" w:rsidRDefault="00AC31B9">
      <w:pPr>
        <w:jc w:val="both"/>
        <w:rPr>
          <w:rFonts w:eastAsia="Times New Roman"/>
        </w:rPr>
      </w:pPr>
      <w:r>
        <w:rPr>
          <w:rFonts w:eastAsia="Times New Roman"/>
          <w:color w:val="000000"/>
          <w:sz w:val="20"/>
          <w:szCs w:val="20"/>
        </w:rPr>
        <w:t>This exclusive forum provision may limit the ability of our shareholders to bring a claim in a judicial forum that such shareholders find favorable for disputes with us or our directors or officers, which may discourage such lawsuits against us and</w:t>
      </w:r>
      <w:r>
        <w:rPr>
          <w:rFonts w:eastAsia="Times New Roman"/>
          <w:color w:val="000000"/>
          <w:sz w:val="20"/>
          <w:szCs w:val="20"/>
        </w:rPr>
        <w:t xml:space="preserve"> our directors and officers. Alternatively, if a court outside of Pennsylvania were to find this exclusive forum provision inapplicable to, or unenforceable in respect of, one or more of the specified types of actions or proceedings described above, we may</w:t>
      </w:r>
      <w:r>
        <w:rPr>
          <w:rFonts w:eastAsia="Times New Roman"/>
          <w:color w:val="000000"/>
          <w:sz w:val="20"/>
          <w:szCs w:val="20"/>
        </w:rPr>
        <w:t xml:space="preserve"> incur additional costs associated with resolving such matters in other jurisdictions, which could adversely affect our business, results of operations and financial condition.</w:t>
      </w:r>
    </w:p>
    <w:p w:rsidR="00000000" w:rsidRDefault="00AC31B9">
      <w:pPr>
        <w:jc w:val="both"/>
        <w:rPr>
          <w:rFonts w:eastAsia="Times New Roman"/>
        </w:rPr>
      </w:pPr>
    </w:p>
    <w:p w:rsidR="00000000" w:rsidRDefault="00AC31B9">
      <w:pPr>
        <w:jc w:val="both"/>
        <w:divId w:val="804812504"/>
        <w:rPr>
          <w:rFonts w:eastAsia="Times New Roman"/>
        </w:rPr>
      </w:pPr>
      <w:r>
        <w:rPr>
          <w:rFonts w:eastAsia="Times New Roman"/>
          <w:b/>
          <w:bCs/>
          <w:color w:val="000000"/>
          <w:sz w:val="20"/>
          <w:szCs w:val="20"/>
        </w:rPr>
        <w:t>ITEM 1B. UNRESOLVED STAFF COMMENTS</w:t>
      </w:r>
    </w:p>
    <w:p w:rsidR="00000000" w:rsidRDefault="00AC31B9">
      <w:pPr>
        <w:divId w:val="1906144698"/>
        <w:rPr>
          <w:rFonts w:eastAsia="Times New Roman"/>
        </w:rPr>
      </w:pPr>
    </w:p>
    <w:p w:rsidR="00000000" w:rsidRDefault="00AC31B9">
      <w:pPr>
        <w:divId w:val="191382311"/>
        <w:rPr>
          <w:rFonts w:eastAsia="Times New Roman"/>
        </w:rPr>
      </w:pPr>
      <w:r>
        <w:rPr>
          <w:rFonts w:eastAsia="Times New Roman"/>
          <w:color w:val="000000"/>
          <w:sz w:val="20"/>
          <w:szCs w:val="20"/>
        </w:rPr>
        <w:t xml:space="preserve">None. </w:t>
      </w:r>
    </w:p>
    <w:p w:rsidR="00000000" w:rsidRDefault="00AC31B9">
      <w:pPr>
        <w:jc w:val="both"/>
        <w:divId w:val="1243105635"/>
        <w:rPr>
          <w:rFonts w:eastAsia="Times New Roman"/>
        </w:rPr>
      </w:pPr>
      <w:r>
        <w:rPr>
          <w:rFonts w:eastAsia="Times New Roman"/>
          <w:b/>
          <w:bCs/>
          <w:color w:val="000000"/>
          <w:sz w:val="20"/>
          <w:szCs w:val="20"/>
        </w:rPr>
        <w:t>ITEM 3. LEGAL PROCEEDINGS</w:t>
      </w:r>
    </w:p>
    <w:p w:rsidR="00000000" w:rsidRDefault="00AC31B9">
      <w:pPr>
        <w:divId w:val="1753041745"/>
        <w:rPr>
          <w:rFonts w:eastAsia="Times New Roman"/>
        </w:rPr>
      </w:pPr>
    </w:p>
    <w:p w:rsidR="00000000" w:rsidRDefault="00AC31B9">
      <w:pPr>
        <w:jc w:val="both"/>
        <w:rPr>
          <w:rFonts w:eastAsia="Times New Roman"/>
        </w:rPr>
      </w:pPr>
      <w:r>
        <w:rPr>
          <w:rFonts w:eastAsia="Times New Roman"/>
          <w:color w:val="000000"/>
          <w:sz w:val="20"/>
          <w:szCs w:val="20"/>
        </w:rPr>
        <w:t xml:space="preserve">With </w:t>
      </w:r>
      <w:r>
        <w:rPr>
          <w:rFonts w:eastAsia="Times New Roman"/>
          <w:color w:val="000000"/>
          <w:sz w:val="20"/>
          <w:szCs w:val="20"/>
        </w:rPr>
        <w:t>the exception of those matters set forth in Note 16 to Consolidated Financial Statements included in Item 15 of this Report, no material legal proceedings are pending involving the Company, any of its subsidiaries, or any of their properties, and no such p</w:t>
      </w:r>
      <w:r>
        <w:rPr>
          <w:rFonts w:eastAsia="Times New Roman"/>
          <w:color w:val="000000"/>
          <w:sz w:val="20"/>
          <w:szCs w:val="20"/>
        </w:rPr>
        <w:t>roceedings are known to be contemplated by governmental authorities other than claims arising in the ordinary course of business.</w:t>
      </w:r>
    </w:p>
    <w:p w:rsidR="00000000" w:rsidRDefault="00AC31B9">
      <w:pPr>
        <w:jc w:val="both"/>
        <w:divId w:val="1842238623"/>
        <w:rPr>
          <w:rFonts w:eastAsia="Times New Roman"/>
        </w:rPr>
      </w:pPr>
      <w:r>
        <w:rPr>
          <w:rFonts w:eastAsia="Times New Roman"/>
          <w:b/>
          <w:bCs/>
          <w:color w:val="000000"/>
          <w:sz w:val="20"/>
          <w:szCs w:val="20"/>
        </w:rPr>
        <w:t>ITEM 4. MINE SAFETY DISCLOSURES</w:t>
      </w:r>
    </w:p>
    <w:p w:rsidR="00000000" w:rsidRDefault="00AC31B9">
      <w:pPr>
        <w:divId w:val="1909222992"/>
        <w:rPr>
          <w:rFonts w:eastAsia="Times New Roman"/>
        </w:rPr>
      </w:pPr>
    </w:p>
    <w:p w:rsidR="00000000" w:rsidRDefault="00AC31B9">
      <w:pPr>
        <w:divId w:val="413934362"/>
        <w:rPr>
          <w:rFonts w:eastAsia="Times New Roman"/>
        </w:rPr>
      </w:pPr>
      <w:r>
        <w:rPr>
          <w:rFonts w:eastAsia="Times New Roman"/>
          <w:color w:val="000000"/>
          <w:sz w:val="20"/>
          <w:szCs w:val="20"/>
        </w:rPr>
        <w:t>None.</w:t>
      </w:r>
    </w:p>
    <w:p w:rsidR="00000000" w:rsidRDefault="00AC31B9">
      <w:pPr>
        <w:jc w:val="center"/>
        <w:divId w:val="813596333"/>
        <w:rPr>
          <w:rFonts w:eastAsia="Times New Roman"/>
        </w:rPr>
      </w:pPr>
      <w:r>
        <w:rPr>
          <w:rFonts w:eastAsia="Times New Roman"/>
          <w:b/>
          <w:bCs/>
          <w:color w:val="000000"/>
          <w:sz w:val="20"/>
          <w:szCs w:val="20"/>
        </w:rPr>
        <w:t>EXECUTIVE OFFICERS</w:t>
      </w:r>
    </w:p>
    <w:p w:rsidR="00000000" w:rsidRDefault="00AC31B9">
      <w:pPr>
        <w:divId w:val="1721511490"/>
        <w:rPr>
          <w:rFonts w:eastAsia="Times New Roman"/>
        </w:rPr>
      </w:pPr>
    </w:p>
    <w:p w:rsidR="00000000" w:rsidRDefault="00AC31B9">
      <w:pPr>
        <w:jc w:val="both"/>
        <w:rPr>
          <w:rFonts w:eastAsia="Times New Roman"/>
        </w:rPr>
      </w:pPr>
      <w:r>
        <w:rPr>
          <w:rFonts w:eastAsia="Times New Roman"/>
          <w:color w:val="000000"/>
          <w:sz w:val="20"/>
          <w:szCs w:val="20"/>
        </w:rPr>
        <w:t xml:space="preserve">Information regarding our executive officers is included in Part </w:t>
      </w:r>
      <w:r>
        <w:rPr>
          <w:rFonts w:eastAsia="Times New Roman"/>
          <w:color w:val="000000"/>
          <w:sz w:val="20"/>
          <w:szCs w:val="20"/>
        </w:rPr>
        <w:t>III of this Report and is incorporated in Part I by reference.</w:t>
      </w:r>
    </w:p>
    <w:p w:rsidR="00000000" w:rsidRDefault="00AC31B9">
      <w:pPr>
        <w:jc w:val="center"/>
        <w:divId w:val="1016885125"/>
        <w:rPr>
          <w:rFonts w:eastAsia="Times New Roman"/>
        </w:rPr>
      </w:pPr>
      <w:r>
        <w:rPr>
          <w:rFonts w:eastAsia="Times New Roman"/>
          <w:color w:val="000000"/>
          <w:sz w:val="20"/>
          <w:szCs w:val="20"/>
        </w:rPr>
        <w:t>46</w:t>
      </w:r>
    </w:p>
    <w:p w:rsidR="00000000" w:rsidRDefault="00AC31B9">
      <w:pPr>
        <w:rPr>
          <w:rFonts w:eastAsia="Times New Roman"/>
        </w:rPr>
      </w:pPr>
      <w:r>
        <w:rPr>
          <w:rFonts w:eastAsia="Times New Roman"/>
        </w:rPr>
        <w:pict>
          <v:rect id="_x0000_i1072" style="width:0;height:1.5pt" o:hralign="center" o:hrstd="t" o:hr="t" fillcolor="#a0a0a0" stroked="f"/>
        </w:pict>
      </w:r>
    </w:p>
    <w:p w:rsidR="00000000" w:rsidRDefault="00AC31B9">
      <w:pPr>
        <w:divId w:val="745566209"/>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b/>
          <w:bCs/>
          <w:color w:val="000000"/>
          <w:sz w:val="20"/>
          <w:szCs w:val="20"/>
        </w:rPr>
        <w:t>PART II:</w:t>
      </w:r>
    </w:p>
    <w:p w:rsidR="00000000" w:rsidRDefault="00AC31B9">
      <w:pPr>
        <w:jc w:val="both"/>
        <w:rPr>
          <w:rFonts w:eastAsia="Times New Roman"/>
        </w:rPr>
      </w:pPr>
    </w:p>
    <w:p w:rsidR="00000000" w:rsidRDefault="00AC31B9">
      <w:pPr>
        <w:ind w:hanging="810"/>
        <w:jc w:val="both"/>
        <w:rPr>
          <w:rFonts w:eastAsia="Times New Roman"/>
        </w:rPr>
      </w:pPr>
      <w:r>
        <w:rPr>
          <w:rFonts w:eastAsia="Times New Roman"/>
          <w:b/>
          <w:bCs/>
          <w:color w:val="000000"/>
          <w:sz w:val="20"/>
          <w:szCs w:val="20"/>
        </w:rPr>
        <w:t>ITEM 5.MARKET FOR REGISTRANT’</w:t>
      </w:r>
      <w:r>
        <w:rPr>
          <w:rFonts w:eastAsia="Times New Roman"/>
          <w:b/>
          <w:bCs/>
          <w:color w:val="000000"/>
          <w:sz w:val="20"/>
          <w:szCs w:val="20"/>
        </w:rPr>
        <w:t>S COMMON EQUITY, RELATED STOCKHOLDER MATTERS AND ISSUER PURCHASES OF EQUITY SECURITIES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Market Information and Dividend Policy</w:t>
      </w:r>
    </w:p>
    <w:p w:rsidR="00000000" w:rsidRDefault="00AC31B9">
      <w:pPr>
        <w:divId w:val="1999377798"/>
        <w:rPr>
          <w:rFonts w:eastAsia="Times New Roman"/>
        </w:rPr>
      </w:pPr>
    </w:p>
    <w:p w:rsidR="00000000" w:rsidRDefault="00AC31B9">
      <w:pPr>
        <w:jc w:val="both"/>
        <w:rPr>
          <w:rFonts w:eastAsia="Times New Roman"/>
        </w:rPr>
      </w:pPr>
      <w:r>
        <w:rPr>
          <w:rFonts w:eastAsia="Times New Roman"/>
          <w:color w:val="000000"/>
          <w:sz w:val="20"/>
          <w:szCs w:val="20"/>
        </w:rPr>
        <w:t>Our Common Stock is traded on the New York Stock Exchange under the symbol “UGI.” On November 10, 2023, we had 6,313 holders o</w:t>
      </w:r>
      <w:r>
        <w:rPr>
          <w:rFonts w:eastAsia="Times New Roman"/>
          <w:color w:val="000000"/>
          <w:sz w:val="20"/>
          <w:szCs w:val="20"/>
        </w:rPr>
        <w:t>f record of Common Stock.</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Payment of dividends is subject to declaration by the Board of Directors. Factors considered in determining dividends include our profitability and expected capital needs. Subject to these qualifications, we presently expect to </w:t>
      </w:r>
      <w:r>
        <w:rPr>
          <w:rFonts w:eastAsia="Times New Roman"/>
          <w:color w:val="000000"/>
          <w:sz w:val="20"/>
          <w:szCs w:val="20"/>
        </w:rPr>
        <w:t>continue to pay dividends on a quarterly basis.</w:t>
      </w:r>
    </w:p>
    <w:p w:rsidR="00000000" w:rsidRDefault="00AC31B9">
      <w:pPr>
        <w:divId w:val="1142773340"/>
        <w:rPr>
          <w:rFonts w:eastAsia="Times New Roman"/>
        </w:rPr>
      </w:pPr>
    </w:p>
    <w:p w:rsidR="00000000" w:rsidRDefault="00AC31B9">
      <w:pPr>
        <w:divId w:val="882912533"/>
        <w:rPr>
          <w:rFonts w:eastAsia="Times New Roman"/>
        </w:rPr>
      </w:pPr>
      <w:r>
        <w:rPr>
          <w:rFonts w:eastAsia="Times New Roman"/>
          <w:b/>
          <w:bCs/>
          <w:color w:val="000000"/>
          <w:sz w:val="20"/>
          <w:szCs w:val="20"/>
        </w:rPr>
        <w:t>Equity Compensation Plan Information</w:t>
      </w:r>
    </w:p>
    <w:p w:rsidR="00000000" w:rsidRDefault="00AC31B9">
      <w:pPr>
        <w:divId w:val="641496598"/>
        <w:rPr>
          <w:rFonts w:eastAsia="Times New Roman"/>
        </w:rPr>
      </w:pPr>
    </w:p>
    <w:p w:rsidR="00000000" w:rsidRDefault="00AC31B9">
      <w:pPr>
        <w:jc w:val="both"/>
        <w:rPr>
          <w:rFonts w:eastAsia="Times New Roman"/>
        </w:rPr>
      </w:pPr>
      <w:r>
        <w:rPr>
          <w:rFonts w:eastAsia="Times New Roman"/>
          <w:color w:val="000000"/>
          <w:sz w:val="20"/>
          <w:szCs w:val="20"/>
        </w:rPr>
        <w:t>Information regarding the securities authorized for issuance under our equity compensation plans can be found under Part III of this Report.</w:t>
      </w:r>
    </w:p>
    <w:p w:rsidR="00000000" w:rsidRDefault="00AC31B9">
      <w:pPr>
        <w:divId w:val="1208689254"/>
        <w:rPr>
          <w:rFonts w:eastAsia="Times New Roman"/>
        </w:rPr>
      </w:pPr>
    </w:p>
    <w:p w:rsidR="00000000" w:rsidRDefault="00AC31B9">
      <w:pPr>
        <w:divId w:val="860778629"/>
        <w:rPr>
          <w:rFonts w:eastAsia="Times New Roman"/>
        </w:rPr>
      </w:pPr>
      <w:r>
        <w:rPr>
          <w:rFonts w:eastAsia="Times New Roman"/>
          <w:b/>
          <w:bCs/>
          <w:color w:val="000000"/>
          <w:sz w:val="20"/>
          <w:szCs w:val="20"/>
        </w:rPr>
        <w:t>Issuer Purchases of Equi</w:t>
      </w:r>
      <w:r>
        <w:rPr>
          <w:rFonts w:eastAsia="Times New Roman"/>
          <w:b/>
          <w:bCs/>
          <w:color w:val="000000"/>
          <w:sz w:val="20"/>
          <w:szCs w:val="20"/>
        </w:rPr>
        <w:t>ty Securities</w:t>
      </w:r>
    </w:p>
    <w:p w:rsidR="00000000" w:rsidRDefault="00AC31B9">
      <w:pPr>
        <w:divId w:val="968360039"/>
        <w:rPr>
          <w:rFonts w:eastAsia="Times New Roman"/>
        </w:rPr>
      </w:pPr>
    </w:p>
    <w:p w:rsidR="00000000" w:rsidRDefault="00AC31B9">
      <w:pPr>
        <w:jc w:val="both"/>
        <w:rPr>
          <w:rFonts w:eastAsia="Times New Roman"/>
        </w:rPr>
      </w:pPr>
      <w:r>
        <w:rPr>
          <w:rFonts w:eastAsia="Times New Roman"/>
          <w:color w:val="000000"/>
          <w:sz w:val="20"/>
          <w:szCs w:val="20"/>
        </w:rPr>
        <w:t>The Company did not repurchase any shares of its Common Stock during the quarter ended September 30, 2023. As of September 30, 2023, the Company had 6.50 million shares of Common Stock available for repurchase through an extension of a prev</w:t>
      </w:r>
      <w:r>
        <w:rPr>
          <w:rFonts w:eastAsia="Times New Roman"/>
          <w:color w:val="000000"/>
          <w:sz w:val="20"/>
          <w:szCs w:val="20"/>
        </w:rPr>
        <w:t>ious share repurchase program announced by the Company on February 2, 2022. The Board of Directors authorized the repurchase of up to 8 million shares of Common Stock over a four-year period expiring in February 2026.</w:t>
      </w:r>
    </w:p>
    <w:p w:rsidR="00000000" w:rsidRDefault="00AC31B9">
      <w:pPr>
        <w:divId w:val="1725444015"/>
        <w:rPr>
          <w:rFonts w:eastAsia="Times New Roman"/>
        </w:rPr>
      </w:pPr>
    </w:p>
    <w:p w:rsidR="00000000" w:rsidRDefault="00AC31B9">
      <w:pPr>
        <w:divId w:val="1421953006"/>
        <w:rPr>
          <w:rFonts w:eastAsia="Times New Roman"/>
        </w:rPr>
      </w:pPr>
      <w:r>
        <w:rPr>
          <w:rFonts w:eastAsia="Times New Roman"/>
          <w:b/>
          <w:bCs/>
          <w:color w:val="000000"/>
          <w:sz w:val="20"/>
          <w:szCs w:val="20"/>
        </w:rPr>
        <w:t>Recent Sale of Unregistered Securiti</w:t>
      </w:r>
      <w:r>
        <w:rPr>
          <w:rFonts w:eastAsia="Times New Roman"/>
          <w:b/>
          <w:bCs/>
          <w:color w:val="000000"/>
          <w:sz w:val="20"/>
          <w:szCs w:val="20"/>
        </w:rPr>
        <w:t>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Company did not sell any unregistered securities during Fiscal 2023.</w:t>
      </w:r>
    </w:p>
    <w:p w:rsidR="00000000" w:rsidRDefault="00AC31B9">
      <w:pPr>
        <w:jc w:val="both"/>
        <w:rPr>
          <w:rFonts w:eastAsia="Times New Roman"/>
        </w:rPr>
      </w:pPr>
    </w:p>
    <w:p w:rsidR="00000000" w:rsidRDefault="00AC31B9">
      <w:pPr>
        <w:divId w:val="622807148"/>
        <w:rPr>
          <w:rFonts w:eastAsia="Times New Roman"/>
        </w:rPr>
      </w:pPr>
      <w:r>
        <w:rPr>
          <w:rFonts w:eastAsia="Times New Roman"/>
          <w:b/>
          <w:bCs/>
          <w:color w:val="000000"/>
          <w:sz w:val="20"/>
          <w:szCs w:val="20"/>
        </w:rPr>
        <w:t>Performance Graph</w:t>
      </w:r>
    </w:p>
    <w:p w:rsidR="00000000" w:rsidRDefault="00AC31B9">
      <w:pPr>
        <w:divId w:val="2140563838"/>
        <w:rPr>
          <w:rFonts w:eastAsia="Times New Roman"/>
        </w:rPr>
      </w:pPr>
    </w:p>
    <w:p w:rsidR="00000000" w:rsidRDefault="00AC31B9">
      <w:pPr>
        <w:jc w:val="both"/>
        <w:rPr>
          <w:rFonts w:eastAsia="Times New Roman"/>
        </w:rPr>
      </w:pPr>
      <w:r>
        <w:rPr>
          <w:rFonts w:eastAsia="Times New Roman"/>
          <w:color w:val="000000"/>
          <w:sz w:val="20"/>
          <w:szCs w:val="20"/>
        </w:rPr>
        <w:t>The following graph compares the cumulative five-year total shareholder return (stock price appreciation and the reinvestment of dividends) on an investment</w:t>
      </w:r>
      <w:r>
        <w:rPr>
          <w:rFonts w:eastAsia="Times New Roman"/>
          <w:color w:val="000000"/>
          <w:sz w:val="20"/>
          <w:szCs w:val="20"/>
        </w:rPr>
        <w:t xml:space="preserve"> of $100 in UGI Common Stock, the S&amp;P 500 Index, and the S&amp;P 500 Utilities Index over the five years from September 30, 2018, through September 30, 2023. The stock performance shown on the graph below is based on historical data and is not necessarily indi</w:t>
      </w:r>
      <w:r>
        <w:rPr>
          <w:rFonts w:eastAsia="Times New Roman"/>
          <w:color w:val="000000"/>
          <w:sz w:val="20"/>
          <w:szCs w:val="20"/>
        </w:rPr>
        <w:t>cative of future stock price performance.</w:t>
      </w:r>
    </w:p>
    <w:p w:rsidR="00000000" w:rsidRDefault="00AC31B9">
      <w:pPr>
        <w:jc w:val="center"/>
        <w:rPr>
          <w:rFonts w:eastAsia="Times New Roman"/>
        </w:rPr>
      </w:pPr>
      <w:r>
        <w:rPr>
          <w:rFonts w:eastAsia="Times New Roman"/>
          <w:noProof/>
        </w:rPr>
        <w:drawing>
          <wp:inline distT="0" distB="0" distL="0" distR="0">
            <wp:extent cx="304800" cy="3048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C31B9">
      <w:pPr>
        <w:jc w:val="center"/>
        <w:rPr>
          <w:rFonts w:eastAsia="Times New Roman"/>
        </w:rPr>
      </w:pPr>
    </w:p>
    <w:p w:rsidR="00000000" w:rsidRDefault="00AC31B9">
      <w:pPr>
        <w:jc w:val="center"/>
        <w:divId w:val="742217205"/>
        <w:rPr>
          <w:rFonts w:eastAsia="Times New Roman"/>
        </w:rPr>
      </w:pPr>
      <w:r>
        <w:rPr>
          <w:rFonts w:eastAsia="Times New Roman"/>
          <w:color w:val="000000"/>
          <w:sz w:val="20"/>
          <w:szCs w:val="20"/>
        </w:rPr>
        <w:t>47</w:t>
      </w:r>
    </w:p>
    <w:p w:rsidR="00000000" w:rsidRDefault="00AC31B9">
      <w:pPr>
        <w:rPr>
          <w:rFonts w:eastAsia="Times New Roman"/>
        </w:rPr>
      </w:pPr>
      <w:r>
        <w:rPr>
          <w:rFonts w:eastAsia="Times New Roman"/>
        </w:rPr>
        <w:pict>
          <v:rect id="_x0000_i1074" style="width:0;height:1.5pt" o:hralign="center" o:hrstd="t" o:hr="t" fillcolor="#a0a0a0" stroked="f"/>
        </w:pict>
      </w:r>
    </w:p>
    <w:p w:rsidR="00000000" w:rsidRDefault="00AC31B9">
      <w:pPr>
        <w:divId w:val="1040126249"/>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divId w:val="735204593"/>
        <w:rPr>
          <w:rFonts w:eastAsia="Times New Roman"/>
        </w:rPr>
      </w:pPr>
    </w:p>
    <w:p w:rsidR="00000000" w:rsidRDefault="00AC31B9">
      <w:pPr>
        <w:ind w:hanging="810"/>
        <w:jc w:val="both"/>
        <w:divId w:val="996302126"/>
        <w:rPr>
          <w:rFonts w:eastAsia="Times New Roman"/>
        </w:rPr>
      </w:pPr>
      <w:r>
        <w:rPr>
          <w:rFonts w:eastAsia="Times New Roman"/>
          <w:b/>
          <w:bCs/>
          <w:color w:val="000000"/>
          <w:sz w:val="20"/>
          <w:szCs w:val="20"/>
        </w:rPr>
        <w:t>ITEM 6.SELECTED FINANCIAL DATA</w:t>
      </w:r>
    </w:p>
    <w:p w:rsidR="00000000" w:rsidRDefault="00AC31B9">
      <w:pPr>
        <w:jc w:val="both"/>
        <w:rPr>
          <w:rFonts w:eastAsia="Times New Roman"/>
        </w:rPr>
      </w:pPr>
      <w:r>
        <w:rPr>
          <w:rFonts w:eastAsia="Times New Roman"/>
          <w:color w:val="000000"/>
          <w:sz w:val="20"/>
          <w:szCs w:val="20"/>
        </w:rPr>
        <w:t>Intentionally omitted.</w:t>
      </w:r>
    </w:p>
    <w:p w:rsidR="00000000" w:rsidRDefault="00AC31B9">
      <w:pPr>
        <w:ind w:hanging="360"/>
        <w:jc w:val="both"/>
        <w:rPr>
          <w:rFonts w:eastAsia="Times New Roman"/>
        </w:rPr>
      </w:pPr>
    </w:p>
    <w:p w:rsidR="00000000" w:rsidRDefault="00AC31B9">
      <w:pPr>
        <w:ind w:hanging="810"/>
        <w:jc w:val="both"/>
        <w:rPr>
          <w:rFonts w:eastAsia="Times New Roman"/>
        </w:rPr>
      </w:pPr>
      <w:r>
        <w:rPr>
          <w:rFonts w:eastAsia="Times New Roman"/>
          <w:b/>
          <w:bCs/>
          <w:color w:val="000000"/>
          <w:sz w:val="20"/>
          <w:szCs w:val="20"/>
        </w:rPr>
        <w:t>ITEM 7.MANAGEMENT’</w:t>
      </w:r>
      <w:r>
        <w:rPr>
          <w:rFonts w:eastAsia="Times New Roman"/>
          <w:b/>
          <w:bCs/>
          <w:color w:val="000000"/>
          <w:sz w:val="20"/>
          <w:szCs w:val="20"/>
        </w:rPr>
        <w:t>S DISCUSSION AND ANALYSIS OF FINANCIAL CONDITION AND RESULTS OF OPERATIONS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MD&amp;A discusses our results of operations for Fiscal 2023 and Fiscal 2022, and our financial condition. For discussion of our results of operations and cash flows for Fiscal 2022 c</w:t>
      </w:r>
      <w:r>
        <w:rPr>
          <w:rFonts w:eastAsia="Times New Roman"/>
          <w:color w:val="000000"/>
          <w:sz w:val="20"/>
          <w:szCs w:val="20"/>
        </w:rPr>
        <w:t>ompared with Fiscal 2021, refer to “Item 7. Management’s Discussion and Analysis of Financial Condition and Results of Operations” in our Fiscal 2022 Annual Report on Form 10-K, filed with the SEC on November 21, 2022. MD&amp;A should be read in conjunction wi</w:t>
      </w:r>
      <w:r>
        <w:rPr>
          <w:rFonts w:eastAsia="Times New Roman"/>
          <w:color w:val="000000"/>
          <w:sz w:val="20"/>
          <w:szCs w:val="20"/>
        </w:rPr>
        <w:t xml:space="preserve">th Items 1 and 2, “Business and Properties,” Item 1A, “Risk Factors,” and the Consolidated Financial Statements in Item 8 below including “Segment Information” included in Note 22 to Consolidated Financial Statements. </w:t>
      </w:r>
    </w:p>
    <w:p w:rsidR="00000000" w:rsidRDefault="00AC31B9">
      <w:pPr>
        <w:jc w:val="both"/>
        <w:divId w:val="1075933551"/>
        <w:rPr>
          <w:rFonts w:eastAsia="Times New Roman"/>
        </w:rPr>
      </w:pPr>
      <w:r>
        <w:rPr>
          <w:rFonts w:eastAsia="Times New Roman"/>
          <w:color w:val="000000"/>
          <w:sz w:val="20"/>
          <w:szCs w:val="20"/>
        </w:rPr>
        <w:t>Because most of our businesses sell o</w:t>
      </w:r>
      <w:r>
        <w:rPr>
          <w:rFonts w:eastAsia="Times New Roman"/>
          <w:color w:val="000000"/>
          <w:sz w:val="20"/>
          <w:szCs w:val="20"/>
        </w:rPr>
        <w:t>r distribute energy products used in large part for heating purposes, our results are significantly influenced by temperatures in our service territories, particularly during the heating-season months of October through March. Accordingly, our results of o</w:t>
      </w:r>
      <w:r>
        <w:rPr>
          <w:rFonts w:eastAsia="Times New Roman"/>
          <w:color w:val="000000"/>
          <w:sz w:val="20"/>
          <w:szCs w:val="20"/>
        </w:rPr>
        <w:t>perations, after adjusting for the effects of gains and losses on derivative instruments not associated with current-period transactions as further discussed below, are significantly higher in our first and second fiscal quarters.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Executive Overview</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Re</w:t>
      </w:r>
      <w:r>
        <w:rPr>
          <w:rFonts w:eastAsia="Times New Roman"/>
          <w:b/>
          <w:bCs/>
          <w:color w:val="000000"/>
          <w:sz w:val="20"/>
          <w:szCs w:val="20"/>
        </w:rPr>
        <w:t>cent Developments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Review of Strategic Alternatives. </w:t>
      </w:r>
      <w:r>
        <w:rPr>
          <w:rFonts w:eastAsia="Times New Roman"/>
          <w:color w:val="000000"/>
          <w:sz w:val="20"/>
          <w:szCs w:val="20"/>
        </w:rPr>
        <w:t xml:space="preserve">In August 2023, the Company announced the commencement of a strategic review, focused on the LPG businesses, intending to unlock and maximize shareholder value. The Company is exploring a full range of </w:t>
      </w:r>
      <w:r>
        <w:rPr>
          <w:rFonts w:eastAsia="Times New Roman"/>
          <w:color w:val="000000"/>
          <w:sz w:val="20"/>
          <w:szCs w:val="20"/>
        </w:rPr>
        <w:t>options with the goal of reducing UGI’s earnings volatility and strengthening our balance sheet. In conjunction with the strategic review, the Company is also pursuing actions to optimize its cost structure and re-align its capital allocation priorities. T</w:t>
      </w:r>
      <w:r>
        <w:rPr>
          <w:rFonts w:eastAsia="Times New Roman"/>
          <w:color w:val="000000"/>
          <w:sz w:val="20"/>
          <w:szCs w:val="20"/>
        </w:rPr>
        <w:t>he Company expects to continue on its existing plans while the review of strategic alternatives is ongoing.</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Impairment of Goodwill. </w:t>
      </w:r>
      <w:r>
        <w:rPr>
          <w:rFonts w:eastAsia="Times New Roman"/>
          <w:color w:val="000000"/>
          <w:sz w:val="20"/>
          <w:szCs w:val="20"/>
        </w:rPr>
        <w:t>During the quarter ended June 30, 2023, the Company identified interim impairment indicators related to goodwill within th</w:t>
      </w:r>
      <w:r>
        <w:rPr>
          <w:rFonts w:eastAsia="Times New Roman"/>
          <w:color w:val="000000"/>
          <w:sz w:val="20"/>
          <w:szCs w:val="20"/>
        </w:rPr>
        <w:t>e AmeriGas Propane reporting unit: (1) AmeriGas Partners issued $500 million of Senior Notes at an interest rate of 9.375%, which was significantly higher than the interest rates on the other AmeriGas Propane debt obligations; and (2) financial projections</w:t>
      </w:r>
      <w:r>
        <w:rPr>
          <w:rFonts w:eastAsia="Times New Roman"/>
          <w:color w:val="000000"/>
          <w:sz w:val="20"/>
          <w:szCs w:val="20"/>
        </w:rPr>
        <w:t xml:space="preserve"> for the AmeriGas Propane reporting unit were reduced significantly compared to previous forecasts following declines in gross margins and customer retention and higher operating expenses. The Company concluded that these events constituted triggering even</w:t>
      </w:r>
      <w:r>
        <w:rPr>
          <w:rFonts w:eastAsia="Times New Roman"/>
          <w:color w:val="000000"/>
          <w:sz w:val="20"/>
          <w:szCs w:val="20"/>
        </w:rPr>
        <w:t xml:space="preserve">ts that indicate that the AmeriGas Propane goodwill may be impaired and, as such, performed an interim impairment test of its goodwill as of May 31, 2023. </w:t>
      </w:r>
    </w:p>
    <w:p w:rsidR="00000000" w:rsidRDefault="00AC31B9">
      <w:pPr>
        <w:divId w:val="1521315797"/>
        <w:rPr>
          <w:rFonts w:eastAsia="Times New Roman"/>
        </w:rPr>
      </w:pPr>
    </w:p>
    <w:p w:rsidR="00000000" w:rsidRDefault="00AC31B9">
      <w:pPr>
        <w:jc w:val="both"/>
        <w:rPr>
          <w:rFonts w:eastAsia="Times New Roman"/>
        </w:rPr>
      </w:pPr>
      <w:r>
        <w:rPr>
          <w:rFonts w:eastAsia="Times New Roman"/>
          <w:color w:val="000000"/>
          <w:sz w:val="20"/>
          <w:szCs w:val="20"/>
        </w:rPr>
        <w:t>Based on such impairment test, the estimated fair value of the AmeriGas Propane reporting unit was</w:t>
      </w:r>
      <w:r>
        <w:rPr>
          <w:rFonts w:eastAsia="Times New Roman"/>
          <w:color w:val="000000"/>
          <w:sz w:val="20"/>
          <w:szCs w:val="20"/>
        </w:rPr>
        <w:t xml:space="preserve"> determined to be less than its carrying value. As a result, the Company recorded a non-cash pre-tax goodwill impairment charge of $656 million, included in “Impairment of goodwill” on the Consolidated Statement of Income, to reduce the carrying value of A</w:t>
      </w:r>
      <w:r>
        <w:rPr>
          <w:rFonts w:eastAsia="Times New Roman"/>
          <w:color w:val="000000"/>
          <w:sz w:val="20"/>
          <w:szCs w:val="20"/>
        </w:rPr>
        <w:t xml:space="preserve">meriGas Propane to its fair value. </w:t>
      </w:r>
    </w:p>
    <w:p w:rsidR="00000000" w:rsidRDefault="00AC31B9">
      <w:pPr>
        <w:divId w:val="1730807826"/>
        <w:rPr>
          <w:rFonts w:eastAsia="Times New Roman"/>
        </w:rPr>
      </w:pPr>
    </w:p>
    <w:p w:rsidR="00000000" w:rsidRDefault="00AC31B9">
      <w:pPr>
        <w:jc w:val="both"/>
        <w:rPr>
          <w:rFonts w:eastAsia="Times New Roman"/>
        </w:rPr>
      </w:pPr>
      <w:r>
        <w:rPr>
          <w:rFonts w:eastAsia="Times New Roman"/>
          <w:color w:val="000000"/>
          <w:sz w:val="20"/>
          <w:szCs w:val="20"/>
        </w:rPr>
        <w:t>The performance of the AmeriGas Propane reporting unit and the potential for future developments in the global economic environment, including the prospect of higher interest rates, introduces a heightened risk for add</w:t>
      </w:r>
      <w:r>
        <w:rPr>
          <w:rFonts w:eastAsia="Times New Roman"/>
          <w:color w:val="000000"/>
          <w:sz w:val="20"/>
          <w:szCs w:val="20"/>
        </w:rPr>
        <w:t>itional impairment in the AmeriGas Propane reporting unit. If there is continued deterioration in the results of operations, a portion or all of the remaining recorded goodwill for the AmeriGas Propane reporting unit, which was $1.3 billion as of September</w:t>
      </w:r>
      <w:r>
        <w:rPr>
          <w:rFonts w:eastAsia="Times New Roman"/>
          <w:color w:val="000000"/>
          <w:sz w:val="20"/>
          <w:szCs w:val="20"/>
        </w:rPr>
        <w:t xml:space="preserve"> 30, 2023, could be subject to further impairment.</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See Note 12 to Consolidated Financial Statements for additional information.</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International Energy Marketing Transactions</w:t>
      </w:r>
    </w:p>
    <w:p w:rsidR="00000000" w:rsidRDefault="00AC31B9">
      <w:pPr>
        <w:divId w:val="528762795"/>
        <w:rPr>
          <w:rFonts w:eastAsia="Times New Roman"/>
        </w:rPr>
      </w:pPr>
    </w:p>
    <w:p w:rsidR="00000000" w:rsidRDefault="00AC31B9">
      <w:pPr>
        <w:jc w:val="both"/>
        <w:rPr>
          <w:rFonts w:eastAsia="Times New Roman"/>
        </w:rPr>
      </w:pPr>
      <w:r>
        <w:rPr>
          <w:rFonts w:eastAsia="Times New Roman"/>
          <w:color w:val="000000"/>
          <w:sz w:val="20"/>
          <w:szCs w:val="20"/>
        </w:rPr>
        <w:t>During Fiscal 2023 and in October 2023, the Company entered into a number of transactions pursuant to its previously announced decision to exit its European energy marketing business. The European energy marketing business primarily markets natural gas and</w:t>
      </w:r>
      <w:r>
        <w:rPr>
          <w:rFonts w:eastAsia="Times New Roman"/>
          <w:color w:val="000000"/>
          <w:sz w:val="20"/>
          <w:szCs w:val="20"/>
        </w:rPr>
        <w:t xml:space="preserve"> electricity to customers through third-party distribution systems in France, the Netherlands and, prior to its sales, in Belgium and the United Kingdom. </w:t>
      </w:r>
    </w:p>
    <w:p w:rsidR="00000000" w:rsidRDefault="00AC31B9">
      <w:pPr>
        <w:jc w:val="center"/>
        <w:divId w:val="311325560"/>
        <w:rPr>
          <w:rFonts w:eastAsia="Times New Roman"/>
        </w:rPr>
      </w:pPr>
      <w:r>
        <w:rPr>
          <w:rFonts w:eastAsia="Times New Roman"/>
          <w:color w:val="000000"/>
          <w:sz w:val="20"/>
          <w:szCs w:val="20"/>
        </w:rPr>
        <w:t>48</w:t>
      </w:r>
    </w:p>
    <w:p w:rsidR="00000000" w:rsidRDefault="00AC31B9">
      <w:pPr>
        <w:rPr>
          <w:rFonts w:eastAsia="Times New Roman"/>
        </w:rPr>
      </w:pPr>
      <w:r>
        <w:rPr>
          <w:rFonts w:eastAsia="Times New Roman"/>
        </w:rPr>
        <w:pict>
          <v:rect id="_x0000_i1075" style="width:0;height:1.5pt" o:hralign="center" o:hrstd="t" o:hr="t" fillcolor="#a0a0a0" stroked="f"/>
        </w:pict>
      </w:r>
    </w:p>
    <w:p w:rsidR="00000000" w:rsidRDefault="00AC31B9">
      <w:pPr>
        <w:divId w:val="1163010475"/>
        <w:rPr>
          <w:rFonts w:eastAsia="Times New Roman"/>
        </w:rPr>
      </w:pPr>
      <w:hyperlink w:anchor="ic92dd05487854a4eaece953328045c39_7" w:history="1">
        <w:r>
          <w:rPr>
            <w:rStyle w:val="a3"/>
            <w:rFonts w:eastAsia="Times New Roman"/>
            <w:b/>
            <w:bCs/>
            <w:sz w:val="20"/>
            <w:szCs w:val="20"/>
          </w:rPr>
          <w:t>Tabl</w:t>
        </w:r>
        <w:r>
          <w:rPr>
            <w:rStyle w:val="a3"/>
            <w:rFonts w:eastAsia="Times New Roman"/>
            <w:b/>
            <w:bCs/>
            <w:sz w:val="20"/>
            <w:szCs w:val="20"/>
          </w:rPr>
          <w:t>e of Contents</w:t>
        </w:r>
      </w:hyperlink>
    </w:p>
    <w:p w:rsidR="00000000" w:rsidRDefault="00AC31B9">
      <w:pPr>
        <w:divId w:val="1790054400"/>
        <w:rPr>
          <w:rFonts w:eastAsia="Times New Roman"/>
        </w:rPr>
      </w:pPr>
    </w:p>
    <w:p w:rsidR="00000000" w:rsidRDefault="00AC31B9">
      <w:pPr>
        <w:jc w:val="both"/>
        <w:rPr>
          <w:rFonts w:eastAsia="Times New Roman"/>
        </w:rPr>
      </w:pPr>
      <w:r>
        <w:rPr>
          <w:rFonts w:eastAsia="Times New Roman"/>
          <w:b/>
          <w:bCs/>
          <w:i/>
          <w:iCs/>
          <w:color w:val="000000"/>
          <w:sz w:val="20"/>
          <w:szCs w:val="20"/>
        </w:rPr>
        <w:t>France.</w:t>
      </w:r>
      <w:r>
        <w:rPr>
          <w:rFonts w:eastAsia="Times New Roman"/>
          <w:color w:val="000000"/>
          <w:sz w:val="20"/>
          <w:szCs w:val="20"/>
        </w:rPr>
        <w:t xml:space="preserve"> In October 2023, UGI International, through a wholly-owned subsidiary, sold substantially all of its energy marketing business located in France for a net cash payment to the buyer of $25 million (which approximates a pre-tax loss) </w:t>
      </w:r>
      <w:r>
        <w:rPr>
          <w:rFonts w:eastAsia="Times New Roman"/>
          <w:color w:val="000000"/>
          <w:sz w:val="20"/>
          <w:szCs w:val="20"/>
        </w:rPr>
        <w:t>subject to certain adjustments principally related to the pending transfer of certain customer contracts. As of September 30, 2023, the $25 million cash to be paid to the buyer in October 2023 had been placed in escrow and is reflected in “Other current as</w:t>
      </w:r>
      <w:r>
        <w:rPr>
          <w:rFonts w:eastAsia="Times New Roman"/>
          <w:color w:val="000000"/>
          <w:sz w:val="20"/>
          <w:szCs w:val="20"/>
        </w:rPr>
        <w:t>sets” on the September 30, 2023 Consolidated Balance Sheet. The carrying values of the assets and liabilities associated with this business, principally comprising certain commodity derivative instruments, energy certificates and certain working capital, h</w:t>
      </w:r>
      <w:r>
        <w:rPr>
          <w:rFonts w:eastAsia="Times New Roman"/>
          <w:color w:val="000000"/>
          <w:sz w:val="20"/>
          <w:szCs w:val="20"/>
        </w:rPr>
        <w:t>ave been classified as held-for-sale on the September 30, 2023 Consolidated Balance Sheet. The Company did not recognize any impairment associated with the assets held for sale in Fiscal 2023 because, in accordance with our policy related to such assets, a</w:t>
      </w:r>
      <w:r>
        <w:rPr>
          <w:rFonts w:eastAsia="Times New Roman"/>
          <w:color w:val="000000"/>
          <w:sz w:val="20"/>
          <w:szCs w:val="20"/>
        </w:rPr>
        <w:t xml:space="preserve">ny impairment is limited to the disposal group’s long-lived assets, and such assets were not material.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Belgium.</w:t>
      </w:r>
      <w:r>
        <w:rPr>
          <w:rFonts w:eastAsia="Times New Roman"/>
          <w:color w:val="000000"/>
          <w:sz w:val="20"/>
          <w:szCs w:val="20"/>
        </w:rPr>
        <w:t xml:space="preserve"> In September 2023, UGI International, through a wholly-owned subsidiary, sold its energy marketing business located in Belgium for a net cash</w:t>
      </w:r>
      <w:r>
        <w:rPr>
          <w:rFonts w:eastAsia="Times New Roman"/>
          <w:color w:val="000000"/>
          <w:sz w:val="20"/>
          <w:szCs w:val="20"/>
        </w:rPr>
        <w:t xml:space="preserve"> payment to the buyer of $3 million. Pursuant to the sale agreement, the Company transferred to the buyer certain assets, principally comprising customer and energy broker contracts. In conjunction with the sale, the Company recorded a pre-tax loss of $6 m</w:t>
      </w:r>
      <w:r>
        <w:rPr>
          <w:rFonts w:eastAsia="Times New Roman"/>
          <w:color w:val="000000"/>
          <w:sz w:val="20"/>
          <w:szCs w:val="20"/>
        </w:rPr>
        <w:t>illion ($5 million after-tax) which amount includes the net payment to the buyer, the write-off of certain prepaid energy broker payments and associated transaction costs and fees. The loss is reflected in “Loss on disposal of UGI International energy mark</w:t>
      </w:r>
      <w:r>
        <w:rPr>
          <w:rFonts w:eastAsia="Times New Roman"/>
          <w:color w:val="000000"/>
          <w:sz w:val="20"/>
          <w:szCs w:val="20"/>
        </w:rPr>
        <w:t xml:space="preserve">eting business” on the Consolidated Statements of Income. </w:t>
      </w:r>
    </w:p>
    <w:p w:rsidR="00000000" w:rsidRDefault="00AC31B9">
      <w:pPr>
        <w:divId w:val="1660038766"/>
        <w:rPr>
          <w:rFonts w:eastAsia="Times New Roman"/>
        </w:rPr>
      </w:pPr>
    </w:p>
    <w:p w:rsidR="00000000" w:rsidRDefault="00AC31B9">
      <w:pPr>
        <w:jc w:val="both"/>
        <w:rPr>
          <w:rFonts w:eastAsia="Times New Roman"/>
        </w:rPr>
      </w:pPr>
      <w:r>
        <w:rPr>
          <w:rFonts w:eastAsia="Times New Roman"/>
          <w:b/>
          <w:bCs/>
          <w:i/>
          <w:iCs/>
          <w:color w:val="000000"/>
          <w:sz w:val="20"/>
          <w:szCs w:val="20"/>
        </w:rPr>
        <w:t>United Kingdom.</w:t>
      </w:r>
      <w:r>
        <w:rPr>
          <w:rFonts w:eastAsia="Times New Roman"/>
          <w:color w:val="000000"/>
          <w:sz w:val="20"/>
          <w:szCs w:val="20"/>
        </w:rPr>
        <w:t xml:space="preserve"> In October 2022, UGI International, through a wholly-owned subsidiary, sold its natural gas marketing business located in the U.K. for a net cash payment to the buyer of $19 milli</w:t>
      </w:r>
      <w:r>
        <w:rPr>
          <w:rFonts w:eastAsia="Times New Roman"/>
          <w:color w:val="000000"/>
          <w:sz w:val="20"/>
          <w:szCs w:val="20"/>
        </w:rPr>
        <w:t>on which includes certain working capital adjustments. In conjunction with the sale, the Company recorded a pre-tax loss of $215 million ($151 million after-tax) substantially all of which loss was due to the non-cash transfer of commodity derivative instr</w:t>
      </w:r>
      <w:r>
        <w:rPr>
          <w:rFonts w:eastAsia="Times New Roman"/>
          <w:color w:val="000000"/>
          <w:sz w:val="20"/>
          <w:szCs w:val="20"/>
        </w:rPr>
        <w:t>uments associated with the business. The loss is reflected in “Loss on disposal of UGI International energy marketing business” on the Consolidated Statements of Income. At the date of closing of the sale, these commodity derivative instruments had a net c</w:t>
      </w:r>
      <w:r>
        <w:rPr>
          <w:rFonts w:eastAsia="Times New Roman"/>
          <w:color w:val="000000"/>
          <w:sz w:val="20"/>
          <w:szCs w:val="20"/>
        </w:rPr>
        <w:t>arrying value of $206 million which is attributable to net unrealized gains on such instruments. At September 30, 2022, these derivative instruments were classified as held-for-sale assets and liabilities on the Consolidated Balance Sheets and had a net ca</w:t>
      </w:r>
      <w:r>
        <w:rPr>
          <w:rFonts w:eastAsia="Times New Roman"/>
          <w:color w:val="000000"/>
          <w:sz w:val="20"/>
          <w:szCs w:val="20"/>
        </w:rPr>
        <w:t>rrying value of $276 million. The change in the carrying value of these derivative instruments between September 30, 2022 and October 21, 2022 resulted from changes in their fair values during that period.</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Netherlands.</w:t>
      </w:r>
      <w:r>
        <w:rPr>
          <w:rFonts w:eastAsia="Times New Roman"/>
          <w:color w:val="000000"/>
          <w:sz w:val="20"/>
          <w:szCs w:val="20"/>
        </w:rPr>
        <w:t xml:space="preserve"> </w:t>
      </w:r>
      <w:r>
        <w:rPr>
          <w:rFonts w:eastAsia="Times New Roman"/>
          <w:color w:val="000000"/>
          <w:sz w:val="20"/>
          <w:szCs w:val="20"/>
        </w:rPr>
        <w:t>In September 2023, a substantial number of DVEP’s customers agreed to modify their energy marketing contracts whereby the Company will continue to provide for the delivery of electricity and natural gas at fixed prices through December 31, 2023 but the Com</w:t>
      </w:r>
      <w:r>
        <w:rPr>
          <w:rFonts w:eastAsia="Times New Roman"/>
          <w:color w:val="000000"/>
          <w:sz w:val="20"/>
          <w:szCs w:val="20"/>
        </w:rPr>
        <w:t>pany’s obligations to provide future services will be terminated effective January 1, 2024. As consideration for the early termination of such contracts, the Company has agreed to make cash payments to the customers equal to the fair values of specific com</w:t>
      </w:r>
      <w:r>
        <w:rPr>
          <w:rFonts w:eastAsia="Times New Roman"/>
          <w:color w:val="000000"/>
          <w:sz w:val="20"/>
          <w:szCs w:val="20"/>
        </w:rPr>
        <w:t>modity derivative instruments associated with periods after December 31, 2023. The carrying values of these commodity derivative instruments are subject to change until such contracts are settled, and the cash payments are made, during the first quarter of</w:t>
      </w:r>
      <w:r>
        <w:rPr>
          <w:rFonts w:eastAsia="Times New Roman"/>
          <w:color w:val="000000"/>
          <w:sz w:val="20"/>
          <w:szCs w:val="20"/>
        </w:rPr>
        <w:t xml:space="preserve"> Fiscal 2024. At September 30, 2023, the carrying value of these commodity derivative instruments was $44 million. The early termination agreements with DVEP customers are considered contract modifications and the cash consideration to be paid to these cus</w:t>
      </w:r>
      <w:r>
        <w:rPr>
          <w:rFonts w:eastAsia="Times New Roman"/>
          <w:color w:val="000000"/>
          <w:sz w:val="20"/>
          <w:szCs w:val="20"/>
        </w:rPr>
        <w:t>tomers has been, and will be, reflected as a reduction in revenues on a pro-rata basis, over the remaining performance period of such agreements through December 31, 2023. Accordingly, during the fourth quarter of Fiscal 2023, the Company reduced its reven</w:t>
      </w:r>
      <w:r>
        <w:rPr>
          <w:rFonts w:eastAsia="Times New Roman"/>
          <w:color w:val="000000"/>
          <w:sz w:val="20"/>
          <w:szCs w:val="20"/>
        </w:rPr>
        <w:t>ues from these customers by $4 million, which represents the pro-rated performance obligation through September 30, 2023 from the aforementioned $44 million.</w:t>
      </w:r>
    </w:p>
    <w:p w:rsidR="00000000" w:rsidRDefault="00AC31B9">
      <w:pPr>
        <w:divId w:val="984892103"/>
        <w:rPr>
          <w:rFonts w:eastAsia="Times New Roman"/>
        </w:rPr>
      </w:pPr>
    </w:p>
    <w:p w:rsidR="00000000" w:rsidRDefault="00AC31B9">
      <w:pPr>
        <w:jc w:val="both"/>
        <w:rPr>
          <w:rFonts w:eastAsia="Times New Roman"/>
        </w:rPr>
      </w:pPr>
      <w:r>
        <w:rPr>
          <w:rFonts w:eastAsia="Times New Roman"/>
          <w:color w:val="000000"/>
          <w:sz w:val="20"/>
          <w:szCs w:val="20"/>
        </w:rPr>
        <w:t xml:space="preserve">In conjunction with the wind-down of its European energy marketing business, in July 2023, DVEP </w:t>
      </w:r>
      <w:r>
        <w:rPr>
          <w:rFonts w:eastAsia="Times New Roman"/>
          <w:color w:val="000000"/>
          <w:sz w:val="20"/>
          <w:szCs w:val="20"/>
        </w:rPr>
        <w:t>agreed to sell a substantial portion of its power purchase agreements to a third party for a cash payment to the buyer of $6 million. The closing of the sale is expected to occur during the first quarter of Fiscal 2024. The loss from the sale is not expect</w:t>
      </w:r>
      <w:r>
        <w:rPr>
          <w:rFonts w:eastAsia="Times New Roman"/>
          <w:color w:val="000000"/>
          <w:sz w:val="20"/>
          <w:szCs w:val="20"/>
        </w:rPr>
        <w:t>ed to be material.</w:t>
      </w:r>
    </w:p>
    <w:p w:rsidR="00000000" w:rsidRDefault="00AC31B9">
      <w:pPr>
        <w:divId w:val="1542671891"/>
        <w:rPr>
          <w:rFonts w:eastAsia="Times New Roman"/>
        </w:rPr>
      </w:pPr>
    </w:p>
    <w:p w:rsidR="00000000" w:rsidRDefault="00AC31B9">
      <w:pPr>
        <w:jc w:val="both"/>
        <w:rPr>
          <w:rFonts w:eastAsia="Times New Roman"/>
        </w:rPr>
      </w:pPr>
      <w:r>
        <w:rPr>
          <w:rFonts w:eastAsia="Times New Roman"/>
          <w:color w:val="000000"/>
          <w:sz w:val="20"/>
          <w:szCs w:val="20"/>
        </w:rPr>
        <w:t>During the first quarter of Fiscal 2023, the Company recorded a $19 million pre-tax impairment charge to reduce the carrying values of certain assets associated with its energy marketing business in the Netherlands, comprising property</w:t>
      </w:r>
      <w:r>
        <w:rPr>
          <w:rFonts w:eastAsia="Times New Roman"/>
          <w:color w:val="000000"/>
          <w:sz w:val="20"/>
          <w:szCs w:val="20"/>
        </w:rPr>
        <w:t>, plant and equipment and intangible assets. The impairment charge is reflected in “Operating and administrative expenses” on the Consolidated Statements of Income and included in the UGI International reportable segment.</w:t>
      </w:r>
    </w:p>
    <w:p w:rsidR="00000000" w:rsidRDefault="00AC31B9">
      <w:pPr>
        <w:jc w:val="center"/>
        <w:divId w:val="1316690446"/>
        <w:rPr>
          <w:rFonts w:eastAsia="Times New Roman"/>
        </w:rPr>
      </w:pPr>
      <w:r>
        <w:rPr>
          <w:rFonts w:eastAsia="Times New Roman"/>
          <w:color w:val="000000"/>
          <w:sz w:val="20"/>
          <w:szCs w:val="20"/>
        </w:rPr>
        <w:t>49</w:t>
      </w:r>
    </w:p>
    <w:p w:rsidR="00000000" w:rsidRDefault="00AC31B9">
      <w:pPr>
        <w:rPr>
          <w:rFonts w:eastAsia="Times New Roman"/>
        </w:rPr>
      </w:pPr>
      <w:r>
        <w:rPr>
          <w:rFonts w:eastAsia="Times New Roman"/>
        </w:rPr>
        <w:pict>
          <v:rect id="_x0000_i1076" style="width:0;height:1.5pt" o:hralign="center" o:hrstd="t" o:hr="t" fillcolor="#a0a0a0" stroked="f"/>
        </w:pict>
      </w:r>
    </w:p>
    <w:p w:rsidR="00000000" w:rsidRDefault="00AC31B9">
      <w:pPr>
        <w:divId w:val="1034308794"/>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divId w:val="1256400848"/>
        <w:rPr>
          <w:rFonts w:eastAsia="Times New Roman"/>
        </w:rPr>
      </w:pPr>
      <w:r>
        <w:rPr>
          <w:rFonts w:eastAsia="Times New Roman"/>
          <w:b/>
          <w:bCs/>
          <w:i/>
          <w:iCs/>
          <w:color w:val="000000"/>
          <w:sz w:val="20"/>
          <w:szCs w:val="20"/>
        </w:rPr>
        <w:t>Global Macroeconomic Conditions</w:t>
      </w:r>
    </w:p>
    <w:p w:rsidR="00000000" w:rsidRDefault="00AC31B9">
      <w:pPr>
        <w:jc w:val="both"/>
        <w:divId w:val="1733237951"/>
        <w:rPr>
          <w:rFonts w:eastAsia="Times New Roman"/>
        </w:rPr>
      </w:pPr>
      <w:r>
        <w:rPr>
          <w:rFonts w:eastAsia="Times New Roman"/>
          <w:color w:val="000000"/>
          <w:sz w:val="20"/>
          <w:szCs w:val="20"/>
        </w:rPr>
        <w:t>Beginning in Fiscal 2021 and continuing into Fiscal 2023, global commodity and labor markets have experienced significant inflationary pressur</w:t>
      </w:r>
      <w:r>
        <w:rPr>
          <w:rFonts w:eastAsia="Times New Roman"/>
          <w:color w:val="000000"/>
          <w:sz w:val="20"/>
          <w:szCs w:val="20"/>
        </w:rPr>
        <w:t>es attributable to various economic and political factors, including, among others: supply chain issues including those associated with labor shortages; significant increase and volatility in energy commodity prices; and geopolitical and regulatory conditi</w:t>
      </w:r>
      <w:r>
        <w:rPr>
          <w:rFonts w:eastAsia="Times New Roman"/>
          <w:color w:val="000000"/>
          <w:sz w:val="20"/>
          <w:szCs w:val="20"/>
        </w:rPr>
        <w:t>ons resulting from the war between Russia and Ukraine. These factors have contributed to inflationary pressures as evidenced by increases in various consumer price indices. In response to these inflationary pressures, central banks in the U.S. and Europe i</w:t>
      </w:r>
      <w:r>
        <w:rPr>
          <w:rFonts w:eastAsia="Times New Roman"/>
          <w:color w:val="000000"/>
          <w:sz w:val="20"/>
          <w:szCs w:val="20"/>
        </w:rPr>
        <w:t xml:space="preserve">ncreased interest rates during Fiscal 2022 and Fiscal 2023. In addition, during the last several years, we have experienced significant volatility in energy commodity prices, particularly in LPG, natural gas and electricity prices, which, have resulted in </w:t>
      </w:r>
      <w:r>
        <w:rPr>
          <w:rFonts w:eastAsia="Times New Roman"/>
          <w:color w:val="000000"/>
          <w:sz w:val="20"/>
          <w:szCs w:val="20"/>
        </w:rPr>
        <w:t>substantial fluctuations in the fair values of our commodity derivative instruments. These inflationary pressures and commodity price fluctuations have resulted in, among other things, fluctuations in inventory and cost of sales, and increases in certain o</w:t>
      </w:r>
      <w:r>
        <w:rPr>
          <w:rFonts w:eastAsia="Times New Roman"/>
          <w:color w:val="000000"/>
          <w:sz w:val="20"/>
          <w:szCs w:val="20"/>
        </w:rPr>
        <w:t xml:space="preserve">perating and distribution expenses across all of our businesses. Commodity price fluctuations have also significantly affected the cash collateral deposit requirements of our derivative instrument counterparties and the restricted cash required to be held </w:t>
      </w:r>
      <w:r>
        <w:rPr>
          <w:rFonts w:eastAsia="Times New Roman"/>
          <w:color w:val="000000"/>
          <w:sz w:val="20"/>
          <w:szCs w:val="20"/>
        </w:rPr>
        <w:t>in our derivative broker and clearing institution accounts. We cannot predict the duration or total magnitude of these conditions and the effects such conditions may have on our future business, financial results, financial position, liquidity and cash flo</w:t>
      </w:r>
      <w:r>
        <w:rPr>
          <w:rFonts w:eastAsia="Times New Roman"/>
          <w:color w:val="000000"/>
          <w:sz w:val="20"/>
          <w:szCs w:val="20"/>
        </w:rPr>
        <w:t>ws. However, we continue to monitor and respond to these global economic and geopolitical conditions and remain focused on managing our financial condition and liquidity as these conditions continue to evolve.</w:t>
      </w:r>
    </w:p>
    <w:p w:rsidR="00000000" w:rsidRDefault="00AC31B9">
      <w:pPr>
        <w:jc w:val="both"/>
        <w:divId w:val="1579748469"/>
        <w:rPr>
          <w:rFonts w:eastAsia="Times New Roman"/>
        </w:rPr>
      </w:pPr>
      <w:r>
        <w:rPr>
          <w:rFonts w:eastAsia="Times New Roman"/>
          <w:b/>
          <w:bCs/>
          <w:color w:val="000000"/>
          <w:sz w:val="20"/>
          <w:szCs w:val="20"/>
          <w:u w:val="single"/>
        </w:rPr>
        <w:t>Non-GAAP Financial Measures</w:t>
      </w:r>
    </w:p>
    <w:p w:rsidR="00000000" w:rsidRDefault="00AC31B9">
      <w:pPr>
        <w:jc w:val="both"/>
        <w:divId w:val="2068717427"/>
        <w:rPr>
          <w:rFonts w:eastAsia="Times New Roman"/>
        </w:rPr>
      </w:pPr>
      <w:r>
        <w:rPr>
          <w:rFonts w:eastAsia="Times New Roman"/>
          <w:color w:val="000000"/>
          <w:sz w:val="20"/>
          <w:szCs w:val="20"/>
        </w:rPr>
        <w:t>UGI management use</w:t>
      </w:r>
      <w:r>
        <w:rPr>
          <w:rFonts w:eastAsia="Times New Roman"/>
          <w:color w:val="000000"/>
          <w:sz w:val="20"/>
          <w:szCs w:val="20"/>
        </w:rPr>
        <w:t>s “adjusted net income attributable to UGI Corporation” and “adjusted diluted earnings per share,” both of which are non-GAAP financial measures, when evaluating UGI’s overall performance. Management believes that these non-GAAP measures provide meaningful</w:t>
      </w:r>
      <w:r>
        <w:rPr>
          <w:rFonts w:eastAsia="Times New Roman"/>
          <w:color w:val="000000"/>
          <w:sz w:val="20"/>
          <w:szCs w:val="20"/>
        </w:rPr>
        <w:t xml:space="preserve"> information to investors about UGI’s performance because they eliminate gains and losses on commodity and certain foreign currency derivative instruments not associated with current-period transactions and other significant discrete items that can affect </w:t>
      </w:r>
      <w:r>
        <w:rPr>
          <w:rFonts w:eastAsia="Times New Roman"/>
          <w:color w:val="000000"/>
          <w:sz w:val="20"/>
          <w:szCs w:val="20"/>
        </w:rPr>
        <w:t>the comparison of period-over-period results.</w:t>
      </w:r>
    </w:p>
    <w:p w:rsidR="00000000" w:rsidRDefault="00AC31B9">
      <w:pPr>
        <w:jc w:val="both"/>
        <w:divId w:val="564143636"/>
        <w:rPr>
          <w:rFonts w:eastAsia="Times New Roman"/>
        </w:rPr>
      </w:pPr>
      <w:r>
        <w:rPr>
          <w:rFonts w:eastAsia="Times New Roman"/>
          <w:color w:val="000000"/>
          <w:sz w:val="20"/>
          <w:szCs w:val="20"/>
        </w:rPr>
        <w:t xml:space="preserve">UGI does not designate its commodity and certain foreign currency derivative instruments as hedges under GAAP. Volatility in net income attributable to UGI Corporation can occur as a result of gains and losses </w:t>
      </w:r>
      <w:r>
        <w:rPr>
          <w:rFonts w:eastAsia="Times New Roman"/>
          <w:color w:val="000000"/>
          <w:sz w:val="20"/>
          <w:szCs w:val="20"/>
        </w:rPr>
        <w:t xml:space="preserve">on such derivative instruments not associated with current-period transactions. These gains and losses result principally from recording changes in unrealized gains and losses on unsettled commodity and certain foreign currency derivative instruments and, </w:t>
      </w:r>
      <w:r>
        <w:rPr>
          <w:rFonts w:eastAsia="Times New Roman"/>
          <w:color w:val="000000"/>
          <w:sz w:val="20"/>
          <w:szCs w:val="20"/>
        </w:rPr>
        <w:t>to a much lesser extent, certain realized gains and losses on settled commodity derivative instruments that are not associated with current-period transactions. However, because these derivative instruments economically hedge anticipated future purchases o</w:t>
      </w:r>
      <w:r>
        <w:rPr>
          <w:rFonts w:eastAsia="Times New Roman"/>
          <w:color w:val="000000"/>
          <w:sz w:val="20"/>
          <w:szCs w:val="20"/>
        </w:rPr>
        <w:t>r sales of energy commodities, or in the case of certain foreign currency derivatives, reduce volatility in anticipated future earnings associated with our foreign operations, we expect that such gains or losses will be largely offset by gains or losses on</w:t>
      </w:r>
      <w:r>
        <w:rPr>
          <w:rFonts w:eastAsia="Times New Roman"/>
          <w:color w:val="000000"/>
          <w:sz w:val="20"/>
          <w:szCs w:val="20"/>
        </w:rPr>
        <w:t xml:space="preserve"> anticipated future energy commodity transactions or mitigate volatility in anticipated future earnings. Non-GAAP financial measures are not in accordance with, or an alternative to, GAAP and should be considered in addition to, and not as a substitute for</w:t>
      </w:r>
      <w:r>
        <w:rPr>
          <w:rFonts w:eastAsia="Times New Roman"/>
          <w:color w:val="000000"/>
          <w:sz w:val="20"/>
          <w:szCs w:val="20"/>
        </w:rPr>
        <w:t>, the comparable GAAP measures.</w:t>
      </w:r>
    </w:p>
    <w:p w:rsidR="00000000" w:rsidRDefault="00AC31B9">
      <w:pPr>
        <w:jc w:val="both"/>
        <w:divId w:val="1512523994"/>
        <w:rPr>
          <w:rFonts w:eastAsia="Times New Roman"/>
        </w:rPr>
      </w:pPr>
    </w:p>
    <w:p w:rsidR="00000000" w:rsidRDefault="00AC31B9">
      <w:pPr>
        <w:jc w:val="center"/>
        <w:divId w:val="1990355296"/>
        <w:rPr>
          <w:rFonts w:eastAsia="Times New Roman"/>
        </w:rPr>
      </w:pPr>
      <w:r>
        <w:rPr>
          <w:rFonts w:eastAsia="Times New Roman"/>
          <w:color w:val="000000"/>
          <w:sz w:val="20"/>
          <w:szCs w:val="20"/>
        </w:rPr>
        <w:t>50</w:t>
      </w:r>
    </w:p>
    <w:p w:rsidR="00000000" w:rsidRDefault="00AC31B9">
      <w:pPr>
        <w:rPr>
          <w:rFonts w:eastAsia="Times New Roman"/>
        </w:rPr>
      </w:pPr>
      <w:r>
        <w:rPr>
          <w:rFonts w:eastAsia="Times New Roman"/>
        </w:rPr>
        <w:pict>
          <v:rect id="_x0000_i1077" style="width:0;height:1.5pt" o:hralign="center" o:hrstd="t" o:hr="t" fillcolor="#a0a0a0" stroked="f"/>
        </w:pict>
      </w:r>
    </w:p>
    <w:p w:rsidR="00000000" w:rsidRDefault="00AC31B9">
      <w:pPr>
        <w:divId w:val="1136872904"/>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divId w:val="584458976"/>
        <w:rPr>
          <w:rFonts w:eastAsia="Times New Roman"/>
        </w:rPr>
      </w:pPr>
      <w:r>
        <w:rPr>
          <w:rFonts w:eastAsia="Times New Roman"/>
          <w:color w:val="000000"/>
          <w:sz w:val="20"/>
          <w:szCs w:val="20"/>
        </w:rPr>
        <w:t>The following tables reflect the adjustments referred to above and reconcile net income (loss) attributable to UGI Corporation, the most directl</w:t>
      </w:r>
      <w:r>
        <w:rPr>
          <w:rFonts w:eastAsia="Times New Roman"/>
          <w:color w:val="000000"/>
          <w:sz w:val="20"/>
          <w:szCs w:val="20"/>
        </w:rPr>
        <w:t>y comparable GAAP measure, to adjusted net income attributable to UGI Corporation, and reconcile diluted earnings per share, the most directly comparable GAAP measure, to adjusted diluted earnings per share:</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077"/>
        <w:gridCol w:w="38"/>
        <w:gridCol w:w="36"/>
        <w:gridCol w:w="36"/>
        <w:gridCol w:w="36"/>
        <w:gridCol w:w="121"/>
        <w:gridCol w:w="780"/>
        <w:gridCol w:w="36"/>
        <w:gridCol w:w="36"/>
        <w:gridCol w:w="36"/>
        <w:gridCol w:w="36"/>
        <w:gridCol w:w="121"/>
        <w:gridCol w:w="806"/>
        <w:gridCol w:w="36"/>
        <w:gridCol w:w="36"/>
      </w:tblGrid>
      <w:tr w:rsidR="00000000">
        <w:trPr>
          <w:divId w:val="2045052533"/>
          <w:jc w:val="center"/>
        </w:trPr>
        <w:tc>
          <w:tcPr>
            <w:tcW w:w="50" w:type="pct"/>
            <w:vAlign w:val="center"/>
            <w:hideMark/>
          </w:tcPr>
          <w:p w:rsidR="00000000" w:rsidRDefault="00AC31B9">
            <w:pPr>
              <w:jc w:val="both"/>
              <w:rPr>
                <w:rFonts w:eastAsia="Times New Roman"/>
              </w:rPr>
            </w:pPr>
          </w:p>
        </w:tc>
        <w:tc>
          <w:tcPr>
            <w:tcW w:w="370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2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7"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2045052533"/>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Year Ended September 30,</w:t>
            </w:r>
          </w:p>
        </w:tc>
        <w:tc>
          <w:tcPr>
            <w:tcW w:w="0" w:type="auto"/>
            <w:vAlign w:val="center"/>
            <w:hideMark/>
          </w:tcPr>
          <w:p w:rsidR="00000000" w:rsidRDefault="00AC31B9">
            <w:pPr>
              <w:spacing w:after="100"/>
              <w:jc w:val="center"/>
              <w:rPr>
                <w:rFonts w:eastAsia="Times New Roman"/>
              </w:rPr>
            </w:pPr>
          </w:p>
        </w:tc>
      </w:tr>
      <w:tr w:rsidR="00000000">
        <w:trPr>
          <w:divId w:val="2045052533"/>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(Millions of dollars, except per share amounts)</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vAlign w:val="center"/>
            <w:hideMark/>
          </w:tcPr>
          <w:p w:rsidR="00000000" w:rsidRDefault="00AC31B9">
            <w:pPr>
              <w:spacing w:after="100"/>
              <w:jc w:val="center"/>
              <w:rPr>
                <w:rFonts w:eastAsia="Times New Roman"/>
              </w:rPr>
            </w:pPr>
          </w:p>
        </w:tc>
      </w:tr>
      <w:tr w:rsidR="00000000">
        <w:trPr>
          <w:divId w:val="2045052533"/>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Adjusted net income (loss)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2045052533"/>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Utilities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Corporate &amp; Other (a)</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(2,157)</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417 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Net (loss)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divId w:val="2104453132"/>
              <w:rPr>
                <w:rFonts w:eastAsia="Times New Roman"/>
              </w:rPr>
            </w:pPr>
            <w:r>
              <w:rPr>
                <w:rFonts w:eastAsia="Times New Roman"/>
                <w:color w:val="000000"/>
                <w:sz w:val="20"/>
                <w:szCs w:val="20"/>
              </w:rPr>
              <w:t>Net losses (gains) on commodity derivative instruments not associated with current-period transactions (net of tax of $(419) and $140, respectively)</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1,225 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(458)</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divId w:val="730661074"/>
              <w:rPr>
                <w:rFonts w:eastAsia="Times New Roman"/>
              </w:rPr>
            </w:pPr>
            <w:r>
              <w:rPr>
                <w:rFonts w:eastAsia="Times New Roman"/>
                <w:color w:val="000000"/>
                <w:sz w:val="20"/>
                <w:szCs w:val="20"/>
              </w:rPr>
              <w:t>Unrealized losses (gains) on foreign currency derivative instruments (net of tax of $(11) and $14, respectively)</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divId w:val="135882648"/>
              <w:rPr>
                <w:rFonts w:eastAsia="Times New Roman"/>
              </w:rPr>
            </w:pPr>
            <w:r>
              <w:rPr>
                <w:rFonts w:eastAsia="Times New Roman"/>
                <w:color w:val="000000"/>
                <w:sz w:val="20"/>
                <w:szCs w:val="20"/>
              </w:rPr>
              <w:t>Loss associated with impairment of AmeriGas Propane goodwill (net of tax of $4 and $0, respectively)</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660 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divId w:val="1677267242"/>
              <w:rPr>
                <w:rFonts w:eastAsia="Times New Roman"/>
              </w:rPr>
            </w:pPr>
            <w:r>
              <w:rPr>
                <w:rFonts w:eastAsia="Times New Roman"/>
                <w:color w:val="000000"/>
                <w:sz w:val="20"/>
                <w:szCs w:val="20"/>
              </w:rPr>
              <w:t>Loss on extinguishments of debt (net of tax of $(2) and $(3), respectively)</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divId w:val="2047679646"/>
              <w:rPr>
                <w:rFonts w:eastAsia="Times New Roman"/>
              </w:rPr>
            </w:pPr>
            <w:r>
              <w:rPr>
                <w:rFonts w:eastAsia="Times New Roman"/>
                <w:color w:val="000000"/>
                <w:sz w:val="20"/>
                <w:szCs w:val="20"/>
              </w:rPr>
              <w:t>Acquisition and integration expenses associated with the Mountaineer Acquisition (net of tax of $0 and $(1), respectively)</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divId w:val="1574703544"/>
              <w:rPr>
                <w:rFonts w:eastAsia="Times New Roman"/>
              </w:rPr>
            </w:pPr>
            <w:r>
              <w:rPr>
                <w:rFonts w:eastAsia="Times New Roman"/>
                <w:color w:val="000000"/>
                <w:sz w:val="20"/>
                <w:szCs w:val="20"/>
              </w:rPr>
              <w:t>Business transformation expenses (net of tax of $(3) and $(2), respectively)</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divId w:val="1284071908"/>
              <w:rPr>
                <w:rFonts w:eastAsia="Times New Roman"/>
              </w:rPr>
            </w:pPr>
            <w:r>
              <w:rPr>
                <w:rFonts w:eastAsia="Times New Roman"/>
                <w:color w:val="000000"/>
                <w:sz w:val="20"/>
                <w:szCs w:val="20"/>
              </w:rPr>
              <w:t>AmeriGas operations enhancement for growth project (net of tax of $(6) and $(2), respectively)</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divId w:val="398215973"/>
              <w:rPr>
                <w:rFonts w:eastAsia="Times New Roman"/>
              </w:rPr>
            </w:pPr>
            <w:r>
              <w:rPr>
                <w:rFonts w:eastAsia="Times New Roman"/>
                <w:color w:val="000000"/>
                <w:sz w:val="20"/>
                <w:szCs w:val="20"/>
              </w:rPr>
              <w:t>Impairments of certain equity method investments (net of tax of $0 and $(13), respectively)</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divId w:val="1823960680"/>
              <w:rPr>
                <w:rFonts w:eastAsia="Times New Roman"/>
              </w:rPr>
            </w:pPr>
            <w:r>
              <w:rPr>
                <w:rFonts w:eastAsia="Times New Roman"/>
                <w:color w:val="000000"/>
                <w:sz w:val="20"/>
                <w:szCs w:val="20"/>
              </w:rPr>
              <w:t>Restructuring costs (net of tax of $0 and $(8), respectively)</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divId w:val="1017346545"/>
              <w:rPr>
                <w:rFonts w:eastAsia="Times New Roman"/>
              </w:rPr>
            </w:pPr>
            <w:r>
              <w:rPr>
                <w:rFonts w:eastAsia="Times New Roman"/>
                <w:color w:val="000000"/>
                <w:sz w:val="20"/>
                <w:szCs w:val="20"/>
              </w:rPr>
              <w:t>Costs associated with exit of the UGI International energy marketing business (net of tax of $(67) and $(1), respectively)</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divId w:val="1030303062"/>
              <w:rPr>
                <w:rFonts w:eastAsia="Times New Roman"/>
              </w:rPr>
            </w:pPr>
            <w:r>
              <w:rPr>
                <w:rFonts w:eastAsia="Times New Roman"/>
                <w:color w:val="000000"/>
                <w:sz w:val="20"/>
                <w:szCs w:val="20"/>
              </w:rPr>
              <w:t>Net gain on sale of UGI headquarters building (net of tax of $4 and $0, respectively)</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2045052533"/>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Impact of change in tax law</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2045052533"/>
          <w:jc w:val="center"/>
        </w:trPr>
        <w:tc>
          <w:tcPr>
            <w:tcW w:w="0" w:type="auto"/>
            <w:gridSpan w:val="3"/>
            <w:shd w:val="clear" w:color="auto" w:fill="CCEE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adjustments (a) (b)</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Adjusted net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2045052533"/>
          <w:trHeight w:val="300"/>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bl>
    <w:p w:rsidR="00000000" w:rsidRDefault="00AC31B9">
      <w:pPr>
        <w:jc w:val="center"/>
        <w:divId w:val="918946345"/>
        <w:rPr>
          <w:rFonts w:eastAsia="Times New Roman"/>
        </w:rPr>
      </w:pPr>
      <w:r>
        <w:rPr>
          <w:rFonts w:eastAsia="Times New Roman"/>
          <w:color w:val="000000"/>
          <w:sz w:val="20"/>
          <w:szCs w:val="20"/>
        </w:rPr>
        <w:t>51</w:t>
      </w:r>
    </w:p>
    <w:p w:rsidR="00000000" w:rsidRDefault="00AC31B9">
      <w:pPr>
        <w:rPr>
          <w:rFonts w:eastAsia="Times New Roman"/>
        </w:rPr>
      </w:pPr>
      <w:r>
        <w:rPr>
          <w:rFonts w:eastAsia="Times New Roman"/>
        </w:rPr>
        <w:pict>
          <v:rect id="_x0000_i1078" style="width:0;height:1.5pt" o:hralign="center" o:hrstd="t" o:hr="t" fillcolor="#a0a0a0" stroked="f"/>
        </w:pict>
      </w:r>
    </w:p>
    <w:p w:rsidR="00000000" w:rsidRDefault="00AC31B9">
      <w:pPr>
        <w:divId w:val="1612007233"/>
        <w:rPr>
          <w:rFonts w:eastAsia="Times New Roman"/>
        </w:rPr>
      </w:pPr>
      <w:hyperlink w:anchor="ic92dd05487854a4eaece953328045c39_7"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077"/>
        <w:gridCol w:w="38"/>
        <w:gridCol w:w="36"/>
        <w:gridCol w:w="36"/>
        <w:gridCol w:w="36"/>
        <w:gridCol w:w="121"/>
        <w:gridCol w:w="781"/>
        <w:gridCol w:w="36"/>
        <w:gridCol w:w="36"/>
        <w:gridCol w:w="36"/>
        <w:gridCol w:w="36"/>
        <w:gridCol w:w="120"/>
        <w:gridCol w:w="806"/>
        <w:gridCol w:w="36"/>
        <w:gridCol w:w="36"/>
      </w:tblGrid>
      <w:tr w:rsidR="00000000">
        <w:trPr>
          <w:divId w:val="1956672831"/>
          <w:jc w:val="center"/>
        </w:trPr>
        <w:tc>
          <w:tcPr>
            <w:tcW w:w="50" w:type="pct"/>
            <w:vAlign w:val="center"/>
            <w:hideMark/>
          </w:tcPr>
          <w:p w:rsidR="00000000" w:rsidRDefault="00AC31B9">
            <w:pPr>
              <w:rPr>
                <w:rFonts w:eastAsia="Times New Roman"/>
              </w:rPr>
            </w:pPr>
          </w:p>
        </w:tc>
        <w:tc>
          <w:tcPr>
            <w:tcW w:w="370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2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7"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956672831"/>
          <w:jc w:val="center"/>
        </w:trPr>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Year Ended September 30,</w:t>
            </w:r>
          </w:p>
        </w:tc>
        <w:tc>
          <w:tcPr>
            <w:tcW w:w="0" w:type="auto"/>
            <w:vAlign w:val="center"/>
            <w:hideMark/>
          </w:tcPr>
          <w:p w:rsidR="00000000" w:rsidRDefault="00AC31B9">
            <w:pPr>
              <w:spacing w:after="100"/>
              <w:jc w:val="center"/>
              <w:rPr>
                <w:rFonts w:eastAsia="Times New Roman"/>
              </w:rPr>
            </w:pPr>
          </w:p>
        </w:tc>
      </w:tr>
      <w:tr w:rsidR="00000000">
        <w:trPr>
          <w:divId w:val="1956672831"/>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vAlign w:val="center"/>
            <w:hideMark/>
          </w:tcPr>
          <w:p w:rsidR="00000000" w:rsidRDefault="00AC31B9">
            <w:pPr>
              <w:spacing w:after="100"/>
              <w:jc w:val="center"/>
              <w:rPr>
                <w:rFonts w:eastAsia="Times New Roman"/>
              </w:rPr>
            </w:pPr>
          </w:p>
        </w:tc>
      </w:tr>
      <w:tr w:rsidR="00000000">
        <w:trPr>
          <w:divId w:val="1956672831"/>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Adjusted diluted earnings per share:</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956672831"/>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0.33 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0.52 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0.80 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0.81 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0.89 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0.76 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Utilities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0.95 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Corporate &amp; </w:t>
            </w:r>
            <w:r>
              <w:rPr>
                <w:rFonts w:eastAsia="Times New Roman"/>
                <w:color w:val="000000"/>
                <w:sz w:val="20"/>
                <w:szCs w:val="20"/>
              </w:rPr>
              <w:t>Other (a)</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(10.19)</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(Loss) earnings per share - diluted (c)</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losses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5.77 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Unrealized losses (gains) on foreign currency 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0.13 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(0.17)</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Loss associated with impairment of AmeriGas Propane goodwill</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3.14 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Loss on extinguishments of debt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956672831"/>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956672831"/>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Business transformation expenses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AmeriGas operations enhancement for growth project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0.09 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956672831"/>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Impairments of certain equity method investments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0.10 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Restructuring costs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0.10 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Costs associated with exit of the UGI International energy marketing business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0.86 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gain on sale of UGI headquarters building</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(0.05)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Impact of change in tax law</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(0.09)</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956672831"/>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adjustments (a)</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r w:rsidR="00000000">
        <w:trPr>
          <w:divId w:val="1956672831"/>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Adjusted diluted earnings per share (c)</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r>
    </w:tbl>
    <w:p w:rsidR="00000000" w:rsidRDefault="00AC31B9">
      <w:pPr>
        <w:jc w:val="both"/>
        <w:rPr>
          <w:rFonts w:eastAsia="Times New Roman"/>
        </w:rPr>
      </w:pPr>
    </w:p>
    <w:p w:rsidR="00000000" w:rsidRDefault="00AC31B9">
      <w:pPr>
        <w:ind w:hanging="360"/>
        <w:jc w:val="both"/>
        <w:rPr>
          <w:rFonts w:eastAsia="Times New Roman"/>
        </w:rPr>
      </w:pPr>
      <w:r>
        <w:rPr>
          <w:rFonts w:eastAsia="Times New Roman"/>
          <w:color w:val="000000"/>
          <w:sz w:val="20"/>
          <w:szCs w:val="20"/>
        </w:rPr>
        <w:t>(a)Corporate &amp; Other includes certain adjustments made to our reporting segments in arriving at net income attributable to UGI Corporation. These adjustments have been excluded from the segment results to align with the measure used by our CODM in a</w:t>
      </w:r>
      <w:r>
        <w:rPr>
          <w:rFonts w:eastAsia="Times New Roman"/>
          <w:color w:val="000000"/>
          <w:sz w:val="20"/>
          <w:szCs w:val="20"/>
        </w:rPr>
        <w:t>ssessing segment performance and allocating resources. See Note 22 to Consolidated Financial Statements for additional information related to these adjustments, as well as other items included within Corporate &amp; Other.</w:t>
      </w:r>
    </w:p>
    <w:p w:rsidR="00000000" w:rsidRDefault="00AC31B9">
      <w:pPr>
        <w:ind w:hanging="360"/>
        <w:jc w:val="both"/>
        <w:rPr>
          <w:rFonts w:eastAsia="Times New Roman"/>
        </w:rPr>
      </w:pPr>
      <w:r>
        <w:rPr>
          <w:rFonts w:eastAsia="Times New Roman"/>
          <w:color w:val="000000"/>
          <w:sz w:val="20"/>
          <w:szCs w:val="20"/>
        </w:rPr>
        <w:t>(b)</w:t>
      </w:r>
      <w:r>
        <w:rPr>
          <w:rFonts w:eastAsia="Times New Roman"/>
          <w:color w:val="000000"/>
          <w:sz w:val="20"/>
          <w:szCs w:val="20"/>
        </w:rPr>
        <w:t>Income taxes associated with pre-tax adjustments determined using statutory business unit tax rates.</w:t>
      </w:r>
    </w:p>
    <w:p w:rsidR="00000000" w:rsidRDefault="00AC31B9">
      <w:pPr>
        <w:ind w:hanging="360"/>
        <w:jc w:val="both"/>
        <w:rPr>
          <w:rFonts w:eastAsia="Times New Roman"/>
        </w:rPr>
      </w:pPr>
      <w:r>
        <w:rPr>
          <w:rFonts w:eastAsia="Times New Roman"/>
          <w:color w:val="000000"/>
          <w:sz w:val="20"/>
          <w:szCs w:val="20"/>
        </w:rPr>
        <w:t>(c)The loss per share for Fiscal 2023, was determined excluding the effect of 6.13 million dilutive shares as the impact of such shares would have been ant</w:t>
      </w:r>
      <w:r>
        <w:rPr>
          <w:rFonts w:eastAsia="Times New Roman"/>
          <w:color w:val="000000"/>
          <w:sz w:val="20"/>
          <w:szCs w:val="20"/>
        </w:rPr>
        <w:t xml:space="preserve">idilutive due to the net loss for the period, while the adjusted earnings per share for Fiscal 2023, was determined based upon fully diluted shares of 215.94 million. </w:t>
      </w:r>
    </w:p>
    <w:p w:rsidR="00000000" w:rsidRDefault="00AC31B9">
      <w:pPr>
        <w:jc w:val="center"/>
        <w:divId w:val="679746453"/>
        <w:rPr>
          <w:rFonts w:eastAsia="Times New Roman"/>
        </w:rPr>
      </w:pPr>
      <w:r>
        <w:rPr>
          <w:rFonts w:eastAsia="Times New Roman"/>
          <w:color w:val="000000"/>
          <w:sz w:val="20"/>
          <w:szCs w:val="20"/>
        </w:rPr>
        <w:t>52</w:t>
      </w:r>
    </w:p>
    <w:p w:rsidR="00000000" w:rsidRDefault="00AC31B9">
      <w:pPr>
        <w:rPr>
          <w:rFonts w:eastAsia="Times New Roman"/>
        </w:rPr>
      </w:pPr>
      <w:r>
        <w:rPr>
          <w:rFonts w:eastAsia="Times New Roman"/>
        </w:rPr>
        <w:pict>
          <v:rect id="_x0000_i1079" style="width:0;height:1.5pt" o:hralign="center" o:hrstd="t" o:hr="t" fillcolor="#a0a0a0" stroked="f"/>
        </w:pict>
      </w:r>
    </w:p>
    <w:p w:rsidR="00000000" w:rsidRDefault="00AC31B9">
      <w:pPr>
        <w:divId w:val="375397468"/>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divId w:val="953101941"/>
        <w:rPr>
          <w:rFonts w:eastAsia="Times New Roman"/>
        </w:rPr>
      </w:pPr>
      <w:r>
        <w:rPr>
          <w:rFonts w:eastAsia="Times New Roman"/>
          <w:b/>
          <w:bCs/>
          <w:color w:val="000000"/>
          <w:sz w:val="20"/>
          <w:szCs w:val="20"/>
        </w:rPr>
        <w:t>Fiscal 2023 Compared with Fiscal 2022</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shd w:val="clear" w:color="auto" w:fill="FFFFFF"/>
        </w:rPr>
        <w:t>Discussion.</w:t>
      </w:r>
      <w:r>
        <w:rPr>
          <w:rFonts w:eastAsia="Times New Roman"/>
          <w:color w:val="000000"/>
          <w:sz w:val="20"/>
          <w:szCs w:val="20"/>
          <w:shd w:val="clear" w:color="auto" w:fill="FFFFFF"/>
        </w:rPr>
        <w:t xml:space="preserve"> Net (loss) income attributable to UGI Corporation was $(1,502) million in Fiscal </w:t>
      </w:r>
      <w:r>
        <w:rPr>
          <w:rFonts w:eastAsia="Times New Roman"/>
          <w:color w:val="000000"/>
          <w:sz w:val="20"/>
          <w:szCs w:val="20"/>
        </w:rPr>
        <w:t>2023</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 xml:space="preserve">(equal to $(7.16) per diluted share) compared to $1,073 million in Fiscal </w:t>
      </w:r>
      <w:r>
        <w:rPr>
          <w:rFonts w:eastAsia="Times New Roman"/>
          <w:color w:val="000000"/>
          <w:sz w:val="20"/>
          <w:szCs w:val="20"/>
        </w:rPr>
        <w:t xml:space="preserve">2022 (equal to $4.97 per diluted share). These results include net (losses) gains from changes in unrealized commodity derivative instruments and certain foreign currency derivative </w:t>
      </w:r>
      <w:r>
        <w:rPr>
          <w:rFonts w:eastAsia="Times New Roman"/>
          <w:color w:val="000000"/>
          <w:sz w:val="20"/>
          <w:szCs w:val="20"/>
        </w:rPr>
        <w:t xml:space="preserve">instruments of $(1,252) million and $494 million in Fiscal 2023 and Fiscal 2022, respectively. The higher losses from changes in commodity derivative instruments in Fiscal 2023 principally reflects significant declines in commodity energy prices in Europe </w:t>
      </w:r>
      <w:r>
        <w:rPr>
          <w:rFonts w:eastAsia="Times New Roman"/>
          <w:color w:val="000000"/>
          <w:sz w:val="20"/>
          <w:szCs w:val="20"/>
        </w:rPr>
        <w:t>following unprecedented increases in such prices during Fiscal 2022.</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Net loss attributable to UGI Corporation in Fiscal 2023 also includes (1) a $660 million loss associated with impairment of AmeriGas Propane goodwill; (2) $181 million costs associated </w:t>
      </w:r>
      <w:r>
        <w:rPr>
          <w:rFonts w:eastAsia="Times New Roman"/>
          <w:color w:val="000000"/>
          <w:sz w:val="20"/>
          <w:szCs w:val="20"/>
        </w:rPr>
        <w:t xml:space="preserve">with exit of our UGI International energy marketing business in Europe, principally reflecting loss on the sale of the energy marketing business located in the U.K. and Belgium and wind-down activities in the Netherlands; (3) external advisory fees of $18 </w:t>
      </w:r>
      <w:r>
        <w:rPr>
          <w:rFonts w:eastAsia="Times New Roman"/>
          <w:color w:val="000000"/>
          <w:sz w:val="20"/>
          <w:szCs w:val="20"/>
        </w:rPr>
        <w:t>million associated with AmeriGas operations enhancement for growth project; (4) a $10 million net gain on sale of UGI Corporation’s headquarters building; (5) loss on extinguishment of debt of $7 million at AmeriGas Propane; and (6) business transformation</w:t>
      </w:r>
      <w:r>
        <w:rPr>
          <w:rFonts w:eastAsia="Times New Roman"/>
          <w:color w:val="000000"/>
          <w:sz w:val="20"/>
          <w:szCs w:val="20"/>
        </w:rPr>
        <w:t xml:space="preserve"> expenses of $7 million associated with corporate support functions.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Net loss attributable to UGI Corporation in Fiscal 2022 also includes (1) impairments of certain equity method investments of $22 million; (2) restructuring costs of $21 million largely</w:t>
      </w:r>
      <w:r>
        <w:rPr>
          <w:rFonts w:eastAsia="Times New Roman"/>
          <w:color w:val="000000"/>
          <w:sz w:val="20"/>
          <w:szCs w:val="20"/>
        </w:rPr>
        <w:t xml:space="preserve"> attributable to reductions in workforce and related costs; (3) $19 million of income tax benefits related to tax law changes; (4) loss on extinguishment of debt of $8 million at UGI International; (5) business transformation expenses of $7 million associa</w:t>
      </w:r>
      <w:r>
        <w:rPr>
          <w:rFonts w:eastAsia="Times New Roman"/>
          <w:color w:val="000000"/>
          <w:sz w:val="20"/>
          <w:szCs w:val="20"/>
        </w:rPr>
        <w:t>ted with corporate support functions; (6) $4 million costs associated with exit of our UGI International energy marketing business in the U.K.; (7) external advisory fees of $3 million associated with AmeriGas operations enhancement for growth project; and</w:t>
      </w:r>
      <w:r>
        <w:rPr>
          <w:rFonts w:eastAsia="Times New Roman"/>
          <w:color w:val="000000"/>
          <w:sz w:val="20"/>
          <w:szCs w:val="20"/>
        </w:rPr>
        <w:t xml:space="preserve"> (8) acquisition and integration expenses of $1 million associated with the Mountaineer Acquisition.</w:t>
      </w:r>
    </w:p>
    <w:p w:rsidR="00000000" w:rsidRDefault="00AC31B9">
      <w:pPr>
        <w:jc w:val="both"/>
        <w:rPr>
          <w:rFonts w:eastAsia="Times New Roman"/>
        </w:rPr>
      </w:pPr>
    </w:p>
    <w:p w:rsidR="00000000" w:rsidRDefault="00AC31B9">
      <w:pPr>
        <w:jc w:val="both"/>
        <w:divId w:val="1256357154"/>
        <w:rPr>
          <w:rFonts w:eastAsia="Times New Roman"/>
        </w:rPr>
      </w:pPr>
      <w:r>
        <w:rPr>
          <w:rFonts w:eastAsia="Times New Roman"/>
          <w:color w:val="000000"/>
          <w:sz w:val="20"/>
          <w:szCs w:val="20"/>
        </w:rPr>
        <w:t>Adjusted net income attributable to UGI Corporation for Fiscal 2023 was $613 million (equal to $2.84 per diluted share) compared to adjusted net income a</w:t>
      </w:r>
      <w:r>
        <w:rPr>
          <w:rFonts w:eastAsia="Times New Roman"/>
          <w:color w:val="000000"/>
          <w:sz w:val="20"/>
          <w:szCs w:val="20"/>
        </w:rPr>
        <w:t>ttributable to UGI Corporation for Fiscal 2022 of $626 million (equal to $2.90 per diluted share). The decrease in adjusted net income attributable to UGI Corporation during Fiscal 2023 reflects lower earnings contributions from our LPG businesses, primari</w:t>
      </w:r>
      <w:r>
        <w:rPr>
          <w:rFonts w:eastAsia="Times New Roman"/>
          <w:color w:val="000000"/>
          <w:sz w:val="20"/>
          <w:szCs w:val="20"/>
        </w:rPr>
        <w:t xml:space="preserve">ly AmeriGas Propane. Such decrease was partially offset by higher earnings contributions from our Midstream &amp; Marketing and Utilities segments. In Fiscal 2023, temperatures in all of our business segments, except for AmeriGas Propane, were warmer than the </w:t>
      </w:r>
      <w:r>
        <w:rPr>
          <w:rFonts w:eastAsia="Times New Roman"/>
          <w:color w:val="000000"/>
          <w:sz w:val="20"/>
          <w:szCs w:val="20"/>
        </w:rPr>
        <w:t>prior year.</w:t>
      </w:r>
    </w:p>
    <w:p w:rsidR="00000000" w:rsidRDefault="00AC31B9">
      <w:pPr>
        <w:jc w:val="both"/>
        <w:divId w:val="989672904"/>
        <w:rPr>
          <w:rFonts w:eastAsia="Times New Roman"/>
        </w:rPr>
      </w:pPr>
      <w:r>
        <w:rPr>
          <w:rFonts w:eastAsia="Times New Roman"/>
          <w:color w:val="000000"/>
          <w:sz w:val="20"/>
          <w:szCs w:val="20"/>
        </w:rPr>
        <w:t>AmeriGas Propane’s adjusted net income attributable to UGI Corporation decreased $41 million during Fiscal 2023. This decrease principally reflects higher operating and administrative expenses primarily resulting from, among other things, highe</w:t>
      </w:r>
      <w:r>
        <w:rPr>
          <w:rFonts w:eastAsia="Times New Roman"/>
          <w:color w:val="000000"/>
          <w:sz w:val="20"/>
          <w:szCs w:val="20"/>
        </w:rPr>
        <w:t xml:space="preserve">r vehicle expenses, higher overtime and other employee-related costs associated with distribution activity, and the effects of continuing inflationary pressures. These factors were partially offset by higher gains on sales of fixed assets. </w:t>
      </w:r>
    </w:p>
    <w:p w:rsidR="00000000" w:rsidRDefault="00AC31B9">
      <w:pPr>
        <w:jc w:val="both"/>
        <w:divId w:val="1619606400"/>
        <w:rPr>
          <w:rFonts w:eastAsia="Times New Roman"/>
        </w:rPr>
      </w:pPr>
      <w:r>
        <w:rPr>
          <w:rFonts w:eastAsia="Times New Roman"/>
          <w:color w:val="000000"/>
          <w:sz w:val="20"/>
          <w:szCs w:val="20"/>
        </w:rPr>
        <w:t>UGI Internation</w:t>
      </w:r>
      <w:r>
        <w:rPr>
          <w:rFonts w:eastAsia="Times New Roman"/>
          <w:color w:val="000000"/>
          <w:sz w:val="20"/>
          <w:szCs w:val="20"/>
        </w:rPr>
        <w:t>al’s adjusted net income attributable to UGI Corporation decreased $3 million during Fiscal 2023. This decrease mainly reflects the translation effects of weaker foreign currencies. UGI International operating results principally reflect (1) lower total LP</w:t>
      </w:r>
      <w:r>
        <w:rPr>
          <w:rFonts w:eastAsia="Times New Roman"/>
          <w:color w:val="000000"/>
          <w:sz w:val="20"/>
          <w:szCs w:val="20"/>
        </w:rPr>
        <w:t>G margin principally due to the effects of the lower LPG retail volumes sold attributable to the significantly warmer weather and lower residential LPG consumption resulting from energy conservation measures in Europe due in large part to the war between U</w:t>
      </w:r>
      <w:r>
        <w:rPr>
          <w:rFonts w:eastAsia="Times New Roman"/>
          <w:color w:val="000000"/>
          <w:sz w:val="20"/>
          <w:szCs w:val="20"/>
        </w:rPr>
        <w:t>kraine and Russia; and (2) higher operating and administrative expenses primarily resulting from the effects of continuing inflationary pressures. These decreases were partially offset by higher margin from our natural gas energy marketing activities and h</w:t>
      </w:r>
      <w:r>
        <w:rPr>
          <w:rFonts w:eastAsia="Times New Roman"/>
          <w:color w:val="000000"/>
          <w:sz w:val="20"/>
          <w:szCs w:val="20"/>
        </w:rPr>
        <w:t xml:space="preserve">igher retail LPG average unit margins attributable to strong margin management efforts and lower commodity prices. </w:t>
      </w:r>
    </w:p>
    <w:p w:rsidR="00000000" w:rsidRDefault="00AC31B9">
      <w:pPr>
        <w:jc w:val="both"/>
        <w:divId w:val="867643548"/>
        <w:rPr>
          <w:rFonts w:eastAsia="Times New Roman"/>
        </w:rPr>
      </w:pPr>
      <w:r>
        <w:rPr>
          <w:rFonts w:eastAsia="Times New Roman"/>
          <w:color w:val="000000"/>
          <w:sz w:val="20"/>
          <w:szCs w:val="20"/>
        </w:rPr>
        <w:t>Midstream &amp; Marketing adjusted net income in Fiscal 2023 was $30 million higher than the prior year. This increase principally reflects incr</w:t>
      </w:r>
      <w:r>
        <w:rPr>
          <w:rFonts w:eastAsia="Times New Roman"/>
          <w:color w:val="000000"/>
          <w:sz w:val="20"/>
          <w:szCs w:val="20"/>
        </w:rPr>
        <w:t>emental earnings contributions from UGI Moraine East and Pennant, partially offset by lower margins related to natural gas marketing activities.</w:t>
      </w:r>
    </w:p>
    <w:p w:rsidR="00000000" w:rsidRDefault="00AC31B9">
      <w:pPr>
        <w:jc w:val="both"/>
        <w:rPr>
          <w:rFonts w:eastAsia="Times New Roman"/>
        </w:rPr>
      </w:pPr>
      <w:r>
        <w:rPr>
          <w:rFonts w:eastAsia="Times New Roman"/>
          <w:color w:val="000000"/>
          <w:sz w:val="20"/>
          <w:szCs w:val="20"/>
        </w:rPr>
        <w:t>Utilities Fiscal 2023 adjusted net income increased $13 million compared to the prior year. The increase was la</w:t>
      </w:r>
      <w:r>
        <w:rPr>
          <w:rFonts w:eastAsia="Times New Roman"/>
          <w:color w:val="000000"/>
          <w:sz w:val="20"/>
          <w:szCs w:val="20"/>
        </w:rPr>
        <w:t>rgely related to the increase in base rates and the implementation of the weather normalization adjustment at PA Gas Utility, both of which became effective during the first quarter of Fiscal 2023. This increase was partially offset by higher operating and</w:t>
      </w:r>
      <w:r>
        <w:rPr>
          <w:rFonts w:eastAsia="Times New Roman"/>
          <w:color w:val="000000"/>
          <w:sz w:val="20"/>
          <w:szCs w:val="20"/>
        </w:rPr>
        <w:t xml:space="preserve"> administrative expenses. </w:t>
      </w:r>
    </w:p>
    <w:p w:rsidR="00000000" w:rsidRDefault="00AC31B9">
      <w:pPr>
        <w:jc w:val="center"/>
        <w:divId w:val="1637878554"/>
        <w:rPr>
          <w:rFonts w:eastAsia="Times New Roman"/>
        </w:rPr>
      </w:pPr>
      <w:r>
        <w:rPr>
          <w:rFonts w:eastAsia="Times New Roman"/>
          <w:color w:val="000000"/>
          <w:sz w:val="20"/>
          <w:szCs w:val="20"/>
        </w:rPr>
        <w:t>53</w:t>
      </w:r>
    </w:p>
    <w:p w:rsidR="00000000" w:rsidRDefault="00AC31B9">
      <w:pPr>
        <w:rPr>
          <w:rFonts w:eastAsia="Times New Roman"/>
        </w:rPr>
      </w:pPr>
      <w:r>
        <w:rPr>
          <w:rFonts w:eastAsia="Times New Roman"/>
        </w:rPr>
        <w:pict>
          <v:rect id="_x0000_i1080" style="width:0;height:1.5pt" o:hralign="center" o:hrstd="t" o:hr="t" fillcolor="#a0a0a0" stroked="f"/>
        </w:pict>
      </w:r>
    </w:p>
    <w:p w:rsidR="00000000" w:rsidRDefault="00AC31B9">
      <w:pPr>
        <w:divId w:val="443309476"/>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927"/>
        <w:gridCol w:w="37"/>
        <w:gridCol w:w="36"/>
        <w:gridCol w:w="36"/>
        <w:gridCol w:w="36"/>
        <w:gridCol w:w="120"/>
        <w:gridCol w:w="719"/>
        <w:gridCol w:w="187"/>
        <w:gridCol w:w="36"/>
        <w:gridCol w:w="36"/>
        <w:gridCol w:w="36"/>
        <w:gridCol w:w="120"/>
        <w:gridCol w:w="720"/>
        <w:gridCol w:w="187"/>
        <w:gridCol w:w="36"/>
        <w:gridCol w:w="36"/>
        <w:gridCol w:w="36"/>
        <w:gridCol w:w="120"/>
        <w:gridCol w:w="720"/>
        <w:gridCol w:w="36"/>
        <w:gridCol w:w="36"/>
        <w:gridCol w:w="36"/>
        <w:gridCol w:w="36"/>
        <w:gridCol w:w="37"/>
        <w:gridCol w:w="682"/>
        <w:gridCol w:w="187"/>
      </w:tblGrid>
      <w:tr w:rsidR="00000000">
        <w:tc>
          <w:tcPr>
            <w:tcW w:w="50" w:type="pct"/>
            <w:vAlign w:val="center"/>
            <w:hideMark/>
          </w:tcPr>
          <w:p w:rsidR="00000000" w:rsidRDefault="00AC31B9">
            <w:pPr>
              <w:jc w:val="both"/>
              <w:rPr>
                <w:rFonts w:eastAsia="Times New Roman"/>
              </w:rPr>
            </w:pPr>
          </w:p>
        </w:tc>
        <w:tc>
          <w:tcPr>
            <w:tcW w:w="244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AmeriGas Propane</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Increase (Decrease)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2,581 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2,943 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1,331 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1,330 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950 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889 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income / earnings before interest expense and income taxes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Retail gallons sold (millions)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823 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888 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Degree days – </w:t>
            </w:r>
            <w:r>
              <w:rPr>
                <w:rFonts w:eastAsia="Times New Roman"/>
                <w:color w:val="000000"/>
                <w:sz w:val="20"/>
                <w:szCs w:val="20"/>
              </w:rPr>
              <w:t>% colder (warmer) than normal (b)</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(0.8)</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ind w:hanging="360"/>
        <w:jc w:val="both"/>
        <w:rPr>
          <w:rFonts w:eastAsia="Times New Roman"/>
        </w:rPr>
      </w:pPr>
      <w:r>
        <w:rPr>
          <w:rFonts w:eastAsia="Times New Roman"/>
          <w:color w:val="000000"/>
          <w:sz w:val="20"/>
          <w:szCs w:val="20"/>
        </w:rPr>
        <w:t>(a</w:t>
      </w:r>
      <w:r>
        <w:rPr>
          <w:rFonts w:eastAsia="Times New Roman"/>
          <w:color w:val="000000"/>
          <w:sz w:val="20"/>
          <w:szCs w:val="20"/>
        </w:rPr>
        <w:t>)Total margin represents revenues less cost of sales.</w:t>
      </w:r>
    </w:p>
    <w:p w:rsidR="00000000" w:rsidRDefault="00AC31B9">
      <w:pPr>
        <w:ind w:hanging="360"/>
        <w:jc w:val="both"/>
        <w:rPr>
          <w:rFonts w:eastAsia="Times New Roman"/>
        </w:rPr>
      </w:pPr>
      <w:r>
        <w:rPr>
          <w:rFonts w:eastAsia="Times New Roman"/>
          <w:color w:val="000000"/>
          <w:sz w:val="20"/>
          <w:szCs w:val="20"/>
        </w:rPr>
        <w:t xml:space="preserve">(b)Deviation from average heating degree days is determined on a rolling 10-year period utilizing volume-weighted weather data based on weather statistics provided by NOAA for 344 regions in the United </w:t>
      </w:r>
      <w:r>
        <w:rPr>
          <w:rFonts w:eastAsia="Times New Roman"/>
          <w:color w:val="000000"/>
          <w:sz w:val="20"/>
          <w:szCs w:val="20"/>
        </w:rPr>
        <w:t xml:space="preserve">States, excluding Alaska and Hawaii.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Average temperatures during Fiscal 2023 were 0.5% colder than normal and 1.9% colder than the prior year. Total retail propane gallons sold decreased 7% during Fiscal 2023 due to the effects of driver staffing shorta</w:t>
      </w:r>
      <w:r>
        <w:rPr>
          <w:rFonts w:eastAsia="Times New Roman"/>
          <w:color w:val="000000"/>
          <w:sz w:val="20"/>
          <w:szCs w:val="20"/>
        </w:rPr>
        <w:t>ges (which also limited growth), continuing customer attribution and structural conservation.</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Average daily wholesale propane commodity prices during Fiscal 2023 at Mont Belvieu, Texas, one of the major supply points in the U.S., were approximately 39% l</w:t>
      </w:r>
      <w:r>
        <w:rPr>
          <w:rFonts w:eastAsia="Times New Roman"/>
          <w:color w:val="000000"/>
          <w:sz w:val="20"/>
          <w:szCs w:val="20"/>
        </w:rPr>
        <w:t>ower than such prices during Fiscal 2022. Total revenues decreased $362 million during Fiscal 2023 largely reflecting the lower retail propane volumes sold ($179 million), lower wholesale revenues ($100 million) and the effects of lower average retail prop</w:t>
      </w:r>
      <w:r>
        <w:rPr>
          <w:rFonts w:eastAsia="Times New Roman"/>
          <w:color w:val="000000"/>
          <w:sz w:val="20"/>
          <w:szCs w:val="20"/>
        </w:rPr>
        <w:t>ane selling prices ($76 million). Total cost of sales decreased $363 million during Fiscal 2023 largely attributable to the lower average propane product costs ($160 million), lower wholesale cost of sales ($101 million) and the lower retail propane volume</w:t>
      </w:r>
      <w:r>
        <w:rPr>
          <w:rFonts w:eastAsia="Times New Roman"/>
          <w:color w:val="000000"/>
          <w:sz w:val="20"/>
          <w:szCs w:val="20"/>
        </w:rPr>
        <w:t>s sold ($95 million).</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AmeriGas Propane total margin increased $1 million in Fiscal 2023 largely attributable to higher average retail propane unit margins ($84 million), substantially offset by the lower retail propane volumes sold ($83 million).</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Ameri</w:t>
      </w:r>
      <w:r>
        <w:rPr>
          <w:rFonts w:eastAsia="Times New Roman"/>
          <w:color w:val="000000"/>
          <w:sz w:val="20"/>
          <w:szCs w:val="20"/>
        </w:rPr>
        <w:t xml:space="preserve">Gas Propane operating income and earnings before interest expense and income taxes decreased $39 million in Fiscal 2023 primarily attributable to higher operating and administrative expenses ($61 million), partially offset by higher other operating income </w:t>
      </w:r>
      <w:r>
        <w:rPr>
          <w:rFonts w:eastAsia="Times New Roman"/>
          <w:color w:val="000000"/>
          <w:sz w:val="20"/>
          <w:szCs w:val="20"/>
        </w:rPr>
        <w:t>($21 million), largely related to gains on sales of fixed assets. The increase in operating and administrative expenses reflects, among other things, higher vehicle expenses, higher staffing, overtime and other employee-related costs associated with distri</w:t>
      </w:r>
      <w:r>
        <w:rPr>
          <w:rFonts w:eastAsia="Times New Roman"/>
          <w:color w:val="000000"/>
          <w:sz w:val="20"/>
          <w:szCs w:val="20"/>
        </w:rPr>
        <w:t>bution activity and higher advertising expenses, partially offset by lower salaries and benefits expenses, including the carryover impact of the workforce reductions made during Fiscal 2022.</w:t>
      </w:r>
    </w:p>
    <w:tbl>
      <w:tblPr>
        <w:tblW w:w="4978" w:type="pct"/>
        <w:tblCellMar>
          <w:top w:w="15" w:type="dxa"/>
          <w:left w:w="15" w:type="dxa"/>
          <w:bottom w:w="15" w:type="dxa"/>
          <w:right w:w="15" w:type="dxa"/>
        </w:tblCellMar>
        <w:tblLook w:val="04A0" w:firstRow="1" w:lastRow="0" w:firstColumn="1" w:lastColumn="0" w:noHBand="0" w:noVBand="1"/>
      </w:tblPr>
      <w:tblGrid>
        <w:gridCol w:w="37"/>
        <w:gridCol w:w="3928"/>
        <w:gridCol w:w="36"/>
        <w:gridCol w:w="36"/>
        <w:gridCol w:w="36"/>
        <w:gridCol w:w="36"/>
        <w:gridCol w:w="120"/>
        <w:gridCol w:w="720"/>
        <w:gridCol w:w="187"/>
        <w:gridCol w:w="36"/>
        <w:gridCol w:w="36"/>
        <w:gridCol w:w="36"/>
        <w:gridCol w:w="120"/>
        <w:gridCol w:w="720"/>
        <w:gridCol w:w="187"/>
        <w:gridCol w:w="36"/>
        <w:gridCol w:w="36"/>
        <w:gridCol w:w="36"/>
        <w:gridCol w:w="120"/>
        <w:gridCol w:w="720"/>
        <w:gridCol w:w="36"/>
        <w:gridCol w:w="36"/>
        <w:gridCol w:w="36"/>
        <w:gridCol w:w="36"/>
        <w:gridCol w:w="37"/>
        <w:gridCol w:w="682"/>
        <w:gridCol w:w="187"/>
      </w:tblGrid>
      <w:tr w:rsidR="00000000">
        <w:tc>
          <w:tcPr>
            <w:tcW w:w="50" w:type="pct"/>
            <w:vAlign w:val="center"/>
            <w:hideMark/>
          </w:tcPr>
          <w:p w:rsidR="00000000" w:rsidRDefault="00AC31B9">
            <w:pPr>
              <w:jc w:val="both"/>
              <w:rPr>
                <w:rFonts w:eastAsia="Times New Roman"/>
              </w:rPr>
            </w:pPr>
          </w:p>
        </w:tc>
        <w:tc>
          <w:tcPr>
            <w:tcW w:w="244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UGI International</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Increase (Decrease)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2,965 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3,686 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(721)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920 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935 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623 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611 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Operating income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LPG retail gallons sold (millions)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729 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799 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(70)</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Degree days - % (warmer) than normal (b)</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ind w:hanging="360"/>
        <w:jc w:val="both"/>
        <w:rPr>
          <w:rFonts w:eastAsia="Times New Roman"/>
        </w:rPr>
      </w:pPr>
      <w:r>
        <w:rPr>
          <w:rFonts w:ascii="Calibri" w:eastAsia="Times New Roman" w:hAnsi="Calibri" w:cs="Calibri"/>
          <w:color w:val="000000"/>
          <w:sz w:val="20"/>
          <w:szCs w:val="20"/>
        </w:rPr>
        <w:t>(a</w:t>
      </w:r>
      <w:r>
        <w:rPr>
          <w:rFonts w:ascii="Calibri" w:eastAsia="Times New Roman" w:hAnsi="Calibri" w:cs="Calibri"/>
          <w:color w:val="000000"/>
          <w:sz w:val="20"/>
          <w:szCs w:val="20"/>
        </w:rPr>
        <w:t>)</w:t>
      </w:r>
      <w:r>
        <w:rPr>
          <w:rFonts w:eastAsia="Times New Roman"/>
          <w:color w:val="000000"/>
          <w:sz w:val="20"/>
          <w:szCs w:val="20"/>
        </w:rPr>
        <w:t xml:space="preserve">Total margin represents total revenues less total cost of sales. </w:t>
      </w:r>
    </w:p>
    <w:p w:rsidR="00000000" w:rsidRDefault="00AC31B9">
      <w:pPr>
        <w:ind w:hanging="360"/>
        <w:jc w:val="both"/>
        <w:rPr>
          <w:rFonts w:eastAsia="Times New Roman"/>
        </w:rPr>
      </w:pPr>
      <w:r>
        <w:rPr>
          <w:rFonts w:ascii="Calibri" w:eastAsia="Times New Roman" w:hAnsi="Calibri" w:cs="Calibri"/>
          <w:color w:val="000000"/>
          <w:sz w:val="20"/>
          <w:szCs w:val="20"/>
        </w:rPr>
        <w:t>(b)</w:t>
      </w:r>
      <w:r>
        <w:rPr>
          <w:rFonts w:eastAsia="Times New Roman"/>
          <w:color w:val="000000"/>
          <w:sz w:val="20"/>
          <w:szCs w:val="20"/>
        </w:rPr>
        <w:t xml:space="preserve">Deviation from average heating degree days is determined on a rolling 10-year period utilizing volume-weighted weather data at locations in our UGI International service territories.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Average temperatures during Fiscal 2023 were 10.5% warmer than normal and 8.4% warmer than Fiscal 2022. Total LPG retail gallons sold decreased 9% during Fiscal 2023, largely attributable to the significantly warmer weather; lower consumption, principally </w:t>
      </w:r>
      <w:r>
        <w:rPr>
          <w:rFonts w:eastAsia="Times New Roman"/>
          <w:color w:val="000000"/>
          <w:sz w:val="20"/>
          <w:szCs w:val="20"/>
        </w:rPr>
        <w:t>from residential customers, primarily resulting from the European conservation measures due in large part to high global energy prices and the war between Russia and Ukraine; lower cylinder volumes; and reduced crop drying campaigns. These decreases were p</w:t>
      </w:r>
      <w:r>
        <w:rPr>
          <w:rFonts w:eastAsia="Times New Roman"/>
          <w:color w:val="000000"/>
          <w:sz w:val="20"/>
          <w:szCs w:val="20"/>
        </w:rPr>
        <w:t>artially offset by growth due to natural gas conversions.</w:t>
      </w:r>
    </w:p>
    <w:p w:rsidR="00000000" w:rsidRDefault="00AC31B9">
      <w:pPr>
        <w:jc w:val="both"/>
        <w:rPr>
          <w:rFonts w:eastAsia="Times New Roman"/>
        </w:rPr>
      </w:pPr>
    </w:p>
    <w:p w:rsidR="00000000" w:rsidRDefault="00AC31B9">
      <w:pPr>
        <w:jc w:val="center"/>
        <w:divId w:val="228662114"/>
        <w:rPr>
          <w:rFonts w:eastAsia="Times New Roman"/>
        </w:rPr>
      </w:pPr>
      <w:r>
        <w:rPr>
          <w:rFonts w:eastAsia="Times New Roman"/>
          <w:color w:val="000000"/>
          <w:sz w:val="20"/>
          <w:szCs w:val="20"/>
        </w:rPr>
        <w:t>54</w:t>
      </w:r>
    </w:p>
    <w:p w:rsidR="00000000" w:rsidRDefault="00AC31B9">
      <w:pPr>
        <w:rPr>
          <w:rFonts w:eastAsia="Times New Roman"/>
        </w:rPr>
      </w:pPr>
      <w:r>
        <w:rPr>
          <w:rFonts w:eastAsia="Times New Roman"/>
        </w:rPr>
        <w:pict>
          <v:rect id="_x0000_i1081" style="width:0;height:1.5pt" o:hralign="center" o:hrstd="t" o:hr="t" fillcolor="#a0a0a0" stroked="f"/>
        </w:pict>
      </w:r>
    </w:p>
    <w:p w:rsidR="00000000" w:rsidRDefault="00AC31B9">
      <w:pPr>
        <w:divId w:val="1042245346"/>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UGI International base-currency results are translated into U.S. dollars based upon exchange rates experienced during the reporting periods. The</w:t>
      </w:r>
      <w:r>
        <w:rPr>
          <w:rFonts w:eastAsia="Times New Roman"/>
          <w:color w:val="000000"/>
          <w:sz w:val="20"/>
          <w:szCs w:val="20"/>
        </w:rPr>
        <w:t xml:space="preserve"> functional currency of a significant portion of our UGI International results is the euro and, to a much lesser extent, the British pound sterling. During Fiscal 2023 and Fiscal 2022, the average unweighted euro-to-dollar translation rates were approximat</w:t>
      </w:r>
      <w:r>
        <w:rPr>
          <w:rFonts w:eastAsia="Times New Roman"/>
          <w:color w:val="000000"/>
          <w:sz w:val="20"/>
          <w:szCs w:val="20"/>
        </w:rPr>
        <w:t>ely $1.07 and $1.08, respectively, and the average unweighted British pound sterling-to-dollar translation rates were approximately $1.23 and $1.28, respectively. Fluctuations in these foreign currency exchange rates can have a significant impact on the in</w:t>
      </w:r>
      <w:r>
        <w:rPr>
          <w:rFonts w:eastAsia="Times New Roman"/>
          <w:color w:val="000000"/>
          <w:sz w:val="20"/>
          <w:szCs w:val="20"/>
        </w:rPr>
        <w:t>dividual financial statement components discussed below. The Company uses forward foreign currency exchange contracts entered into over multi-year periods to reduce the volatility in earnings that may result from such changes in foreign currency exchange r</w:t>
      </w:r>
      <w:r>
        <w:rPr>
          <w:rFonts w:eastAsia="Times New Roman"/>
          <w:color w:val="000000"/>
          <w:sz w:val="20"/>
          <w:szCs w:val="20"/>
        </w:rPr>
        <w:t>ates. These forward foreign currency exchange contracts resulted in realized net gains of $15 million and $13 million in Fiscal 2023 and Fiscal 2022, respectively.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Average wholesale prices for propane and butane during Fiscal 2023 in northwest Europe wer</w:t>
      </w:r>
      <w:r>
        <w:rPr>
          <w:rFonts w:eastAsia="Times New Roman"/>
          <w:color w:val="000000"/>
          <w:sz w:val="20"/>
          <w:szCs w:val="20"/>
        </w:rPr>
        <w:t>e approximately 25% and 26% lower, respectively, compared to Fiscal 2022. UGI International revenues and cost of sales decreased $721 million and $706 million, respectively, in Fiscal 2023. The decrease in revenues and cost of sales principally reflects th</w:t>
      </w:r>
      <w:r>
        <w:rPr>
          <w:rFonts w:eastAsia="Times New Roman"/>
          <w:color w:val="000000"/>
          <w:sz w:val="20"/>
          <w:szCs w:val="20"/>
        </w:rPr>
        <w:t>e impact from our energy marketing business of lower volumes sold, partially offset by the impact of higher prices. The decrease in revenues and cost of sales also reflects the impact of the lower LPG retail volumes sold and the lower average LPG product c</w:t>
      </w:r>
      <w:r>
        <w:rPr>
          <w:rFonts w:eastAsia="Times New Roman"/>
          <w:color w:val="000000"/>
          <w:sz w:val="20"/>
          <w:szCs w:val="20"/>
        </w:rPr>
        <w:t xml:space="preserve">osts. The decrease in revenues and cost of sales also reflects the translation effects of the weaker foreign currencies (approximately $115 million and $88 million, respectively).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UGI International total margin decreased $15 million during Fiscal 2023 p</w:t>
      </w:r>
      <w:r>
        <w:rPr>
          <w:rFonts w:eastAsia="Times New Roman"/>
          <w:color w:val="000000"/>
          <w:sz w:val="20"/>
          <w:szCs w:val="20"/>
        </w:rPr>
        <w:t>rimarily reflecting the effects of the lower LPG retail volumes sold ($90 million) and the translation effects of the weaker foreign currencies (approximately $27 million). These factors were substantially offset by higher average LPG retail unit margins a</w:t>
      </w:r>
      <w:r>
        <w:rPr>
          <w:rFonts w:eastAsia="Times New Roman"/>
          <w:color w:val="000000"/>
          <w:sz w:val="20"/>
          <w:szCs w:val="20"/>
        </w:rPr>
        <w:t>ttributable to strong margin management efforts, the lower average LPG product costs and higher total margin from our energy marketing business ($29 million). The higher energy marketing margin reflects higher natural gas energy marketing margin, partially</w:t>
      </w:r>
      <w:r>
        <w:rPr>
          <w:rFonts w:eastAsia="Times New Roman"/>
          <w:color w:val="000000"/>
          <w:sz w:val="20"/>
          <w:szCs w:val="20"/>
        </w:rPr>
        <w:t xml:space="preserve"> offset by lower electricity energy marketing margin.</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UGI International operating income and earnings before interest expense and income taxes decreased $22 million and $20 million, respectively, during Fiscal 2023. The decrease in operating income princ</w:t>
      </w:r>
      <w:r>
        <w:rPr>
          <w:rFonts w:eastAsia="Times New Roman"/>
          <w:color w:val="000000"/>
          <w:sz w:val="20"/>
          <w:szCs w:val="20"/>
        </w:rPr>
        <w:t>ipally reflects the decrease in total margin ($15 million) and higher operating and administrative expenses ($12 million), partially offset by higher other operating income ($8 million). The higher operating and administrative expenses during Fiscal 2023 p</w:t>
      </w:r>
      <w:r>
        <w:rPr>
          <w:rFonts w:eastAsia="Times New Roman"/>
          <w:color w:val="000000"/>
          <w:sz w:val="20"/>
          <w:szCs w:val="20"/>
        </w:rPr>
        <w:t>rimarily reflects the effects of inflationary increases, partially offset by lower distribution and personnel-related costs and the translation effects of the weaker foreign currencies (approximately $11 million). The higher other operating income during F</w:t>
      </w:r>
      <w:r>
        <w:rPr>
          <w:rFonts w:eastAsia="Times New Roman"/>
          <w:color w:val="000000"/>
          <w:sz w:val="20"/>
          <w:szCs w:val="20"/>
        </w:rPr>
        <w:t>iscal 2023 primarily represents higher foreign currency transaction gains ($12 million) and higher cylinder deposit income ($5 million), partially offset by lower gains associated with sales of fixed assets ($11 million). The decrease in earnings before in</w:t>
      </w:r>
      <w:r>
        <w:rPr>
          <w:rFonts w:eastAsia="Times New Roman"/>
          <w:color w:val="000000"/>
          <w:sz w:val="20"/>
          <w:szCs w:val="20"/>
        </w:rPr>
        <w:t>terest expense and income taxes in Fiscal 2023 largely reflects the decrease in operating income partially offset by higher realized gains on foreign currency exchange contracts ($2 million) entered into in order to reduce volatility in UGI International e</w:t>
      </w:r>
      <w:r>
        <w:rPr>
          <w:rFonts w:eastAsia="Times New Roman"/>
          <w:color w:val="000000"/>
          <w:sz w:val="20"/>
          <w:szCs w:val="20"/>
        </w:rPr>
        <w:t>arnings resulting from the effects of changes in foreign currency exchange rates.</w:t>
      </w:r>
    </w:p>
    <w:p w:rsidR="00000000" w:rsidRDefault="00AC31B9">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983"/>
        <w:gridCol w:w="37"/>
        <w:gridCol w:w="36"/>
        <w:gridCol w:w="36"/>
        <w:gridCol w:w="36"/>
        <w:gridCol w:w="120"/>
        <w:gridCol w:w="774"/>
        <w:gridCol w:w="36"/>
        <w:gridCol w:w="36"/>
        <w:gridCol w:w="36"/>
        <w:gridCol w:w="36"/>
        <w:gridCol w:w="120"/>
        <w:gridCol w:w="774"/>
        <w:gridCol w:w="36"/>
        <w:gridCol w:w="36"/>
        <w:gridCol w:w="36"/>
        <w:gridCol w:w="36"/>
        <w:gridCol w:w="120"/>
        <w:gridCol w:w="774"/>
        <w:gridCol w:w="36"/>
        <w:gridCol w:w="36"/>
        <w:gridCol w:w="36"/>
        <w:gridCol w:w="36"/>
        <w:gridCol w:w="37"/>
        <w:gridCol w:w="765"/>
        <w:gridCol w:w="187"/>
      </w:tblGrid>
      <w:tr w:rsidR="00000000">
        <w:tc>
          <w:tcPr>
            <w:tcW w:w="50" w:type="pct"/>
            <w:vAlign w:val="center"/>
            <w:hideMark/>
          </w:tcPr>
          <w:p w:rsidR="00000000" w:rsidRDefault="00AC31B9">
            <w:pPr>
              <w:jc w:val="both"/>
              <w:rPr>
                <w:rFonts w:eastAsia="Times New Roman"/>
              </w:rPr>
            </w:pPr>
          </w:p>
        </w:tc>
        <w:tc>
          <w:tcPr>
            <w:tcW w:w="244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Midstream &amp; Marketing</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Increase (Decrease)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1,847 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2,326 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(479)</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450 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bl>
    <w:p w:rsidR="00000000" w:rsidRDefault="00AC31B9">
      <w:pPr>
        <w:ind w:hanging="360"/>
        <w:jc w:val="both"/>
        <w:rPr>
          <w:rFonts w:eastAsia="Times New Roman"/>
        </w:rPr>
      </w:pPr>
      <w:r>
        <w:rPr>
          <w:rFonts w:eastAsia="Times New Roman"/>
          <w:color w:val="000000"/>
          <w:sz w:val="20"/>
          <w:szCs w:val="20"/>
        </w:rPr>
        <w:t>(a)Total margin represents total revenues less total cost of sales.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Average temperatures across Midstream &amp; Marketing’s energy marketing</w:t>
      </w:r>
      <w:r>
        <w:rPr>
          <w:rFonts w:eastAsia="Times New Roman"/>
          <w:color w:val="000000"/>
          <w:sz w:val="20"/>
          <w:szCs w:val="20"/>
        </w:rPr>
        <w:t xml:space="preserve"> territory during Fiscal 2023 were 11.0% warmer than normal and 6.0% warmer than the prior year.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Midstream &amp; Marketing’s revenues decreased $479 million during Fiscal 2023, principally reflecting lower revenues from natural gas marketing activities ($51</w:t>
      </w:r>
      <w:r>
        <w:rPr>
          <w:rFonts w:eastAsia="Times New Roman"/>
          <w:color w:val="000000"/>
          <w:sz w:val="20"/>
          <w:szCs w:val="20"/>
        </w:rPr>
        <w:t>9 million), including the effects of peaking and capacity management activities, principally reflecting significantly lower average natural gas prices and, to a lesser extent, lower volumes from the warmer weather. This decrease was partially offset by hig</w:t>
      </w:r>
      <w:r>
        <w:rPr>
          <w:rFonts w:eastAsia="Times New Roman"/>
          <w:color w:val="000000"/>
          <w:sz w:val="20"/>
          <w:szCs w:val="20"/>
        </w:rPr>
        <w:t xml:space="preserve">her natural gas gathering and processing activities ($43 million), primarily due to the impact on revenues from the prior-year acquisitions of UGI Moraine East and Pennant. </w:t>
      </w:r>
    </w:p>
    <w:p w:rsidR="00000000" w:rsidRDefault="00AC31B9">
      <w:pPr>
        <w:jc w:val="both"/>
        <w:rPr>
          <w:rFonts w:eastAsia="Times New Roman"/>
        </w:rPr>
      </w:pPr>
    </w:p>
    <w:p w:rsidR="00000000" w:rsidRDefault="00AC31B9">
      <w:pPr>
        <w:jc w:val="center"/>
        <w:divId w:val="25832944"/>
        <w:rPr>
          <w:rFonts w:eastAsia="Times New Roman"/>
        </w:rPr>
      </w:pPr>
      <w:r>
        <w:rPr>
          <w:rFonts w:eastAsia="Times New Roman"/>
          <w:color w:val="000000"/>
          <w:sz w:val="20"/>
          <w:szCs w:val="20"/>
        </w:rPr>
        <w:t>55</w:t>
      </w:r>
    </w:p>
    <w:p w:rsidR="00000000" w:rsidRDefault="00AC31B9">
      <w:pPr>
        <w:rPr>
          <w:rFonts w:eastAsia="Times New Roman"/>
        </w:rPr>
      </w:pPr>
      <w:r>
        <w:rPr>
          <w:rFonts w:eastAsia="Times New Roman"/>
        </w:rPr>
        <w:pict>
          <v:rect id="_x0000_i1082" style="width:0;height:1.5pt" o:hralign="center" o:hrstd="t" o:hr="t" fillcolor="#a0a0a0" stroked="f"/>
        </w:pict>
      </w:r>
    </w:p>
    <w:p w:rsidR="00000000" w:rsidRDefault="00AC31B9">
      <w:pPr>
        <w:divId w:val="531768823"/>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 xml:space="preserve">Midstream &amp; Marketing cost of sales decreased $516 million during Fiscal 2023, primarily reflecting the lower natural gas costs ($511 million) related to the previously mentioned natural gas marketing activities.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Mids</w:t>
      </w:r>
      <w:r>
        <w:rPr>
          <w:rFonts w:eastAsia="Times New Roman"/>
          <w:color w:val="000000"/>
          <w:sz w:val="20"/>
          <w:szCs w:val="20"/>
        </w:rPr>
        <w:t>tream &amp; Marketing total margin increased $37 million in Fiscal 2023, primarily reflecting incremental natural gas gathering and processing activities ($49 million), primarily from the prior year acquisitions of UGI Moraine East and Pennant, partially offse</w:t>
      </w:r>
      <w:r>
        <w:rPr>
          <w:rFonts w:eastAsia="Times New Roman"/>
          <w:color w:val="000000"/>
          <w:sz w:val="20"/>
          <w:szCs w:val="20"/>
        </w:rPr>
        <w:t xml:space="preserve">t by lower margins from natural gas marketing activities ($8 million), including the effects of peaking and capacity management activities, despite the benefits from extremely cold weather in late December 2022. In Fiscal 2022, the margin from natural gas </w:t>
      </w:r>
      <w:r>
        <w:rPr>
          <w:rFonts w:eastAsia="Times New Roman"/>
          <w:color w:val="000000"/>
          <w:sz w:val="20"/>
          <w:szCs w:val="20"/>
        </w:rPr>
        <w:t>marketing activities included the positive impact of settlement timing of certain multi-year commodity storage hedge contracts.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Midstream &amp; Marketing operating income and earnings before interest expense and income taxes during Fiscal 2023 increased $39 </w:t>
      </w:r>
      <w:r>
        <w:rPr>
          <w:rFonts w:eastAsia="Times New Roman"/>
          <w:color w:val="000000"/>
          <w:sz w:val="20"/>
          <w:szCs w:val="20"/>
        </w:rPr>
        <w:t>million and $22 million, respectively. The increase in operating income principally reflects the increase in total margin ($37 million) and higher other operating income ($13 million), partially offset by higher depreciation and amortization expense ($7 mi</w:t>
      </w:r>
      <w:r>
        <w:rPr>
          <w:rFonts w:eastAsia="Times New Roman"/>
          <w:color w:val="000000"/>
          <w:sz w:val="20"/>
          <w:szCs w:val="20"/>
        </w:rPr>
        <w:t>llion) and higher operating and administrative expenses ($4 million). The increase in earnings before interest expense and income taxes principally reflects the higher operating income ($39 million), partially offset by lower income from equity investees (</w:t>
      </w:r>
      <w:r>
        <w:rPr>
          <w:rFonts w:eastAsia="Times New Roman"/>
          <w:color w:val="000000"/>
          <w:sz w:val="20"/>
          <w:szCs w:val="20"/>
        </w:rPr>
        <w:t xml:space="preserve">$17 million) following the acquisition of the remaining 53% ownership interest in Pennant during the fourth quarter of Fiscal 2022. </w:t>
      </w:r>
    </w:p>
    <w:tbl>
      <w:tblPr>
        <w:tblW w:w="4978" w:type="pct"/>
        <w:tblCellMar>
          <w:top w:w="15" w:type="dxa"/>
          <w:left w:w="15" w:type="dxa"/>
          <w:bottom w:w="15" w:type="dxa"/>
          <w:right w:w="15" w:type="dxa"/>
        </w:tblCellMar>
        <w:tblLook w:val="04A0" w:firstRow="1" w:lastRow="0" w:firstColumn="1" w:lastColumn="0" w:noHBand="0" w:noVBand="1"/>
      </w:tblPr>
      <w:tblGrid>
        <w:gridCol w:w="39"/>
        <w:gridCol w:w="3926"/>
        <w:gridCol w:w="38"/>
        <w:gridCol w:w="36"/>
        <w:gridCol w:w="36"/>
        <w:gridCol w:w="36"/>
        <w:gridCol w:w="120"/>
        <w:gridCol w:w="718"/>
        <w:gridCol w:w="187"/>
        <w:gridCol w:w="36"/>
        <w:gridCol w:w="36"/>
        <w:gridCol w:w="36"/>
        <w:gridCol w:w="120"/>
        <w:gridCol w:w="718"/>
        <w:gridCol w:w="187"/>
        <w:gridCol w:w="36"/>
        <w:gridCol w:w="36"/>
        <w:gridCol w:w="36"/>
        <w:gridCol w:w="121"/>
        <w:gridCol w:w="719"/>
        <w:gridCol w:w="37"/>
        <w:gridCol w:w="37"/>
        <w:gridCol w:w="37"/>
        <w:gridCol w:w="36"/>
        <w:gridCol w:w="37"/>
        <w:gridCol w:w="681"/>
        <w:gridCol w:w="187"/>
      </w:tblGrid>
      <w:tr w:rsidR="00000000">
        <w:trPr>
          <w:divId w:val="1299529821"/>
        </w:trPr>
        <w:tc>
          <w:tcPr>
            <w:tcW w:w="50" w:type="pct"/>
            <w:vAlign w:val="center"/>
            <w:hideMark/>
          </w:tcPr>
          <w:p w:rsidR="00000000" w:rsidRDefault="00AC31B9">
            <w:pPr>
              <w:jc w:val="both"/>
              <w:rPr>
                <w:rFonts w:eastAsia="Times New Roman"/>
              </w:rPr>
            </w:pPr>
          </w:p>
        </w:tc>
        <w:tc>
          <w:tcPr>
            <w:tcW w:w="244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299529821"/>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Utilities</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Increase (Decrease)</w:t>
            </w:r>
          </w:p>
        </w:tc>
      </w:tr>
      <w:tr w:rsidR="00000000">
        <w:trPr>
          <w:divId w:val="129952982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1299529821"/>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1,854 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1,620 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299529821"/>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877 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801 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299529821"/>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and administrative expenses (a)</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299529821"/>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299529821"/>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299529821"/>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Gas Utility system throughput – bcf</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299529821"/>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Core market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299529821"/>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Total</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375 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299529821"/>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Electric Utility distribution sales - gwh</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959 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997 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299529821"/>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Gas Utility degree days – % (warmer) than normal (b)</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(11.7)</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ind w:hanging="360"/>
        <w:jc w:val="both"/>
        <w:rPr>
          <w:rFonts w:eastAsia="Times New Roman"/>
        </w:rPr>
      </w:pPr>
      <w:r>
        <w:rPr>
          <w:rFonts w:eastAsia="Times New Roman"/>
          <w:color w:val="000000"/>
          <w:sz w:val="20"/>
          <w:szCs w:val="20"/>
          <w:shd w:val="clear" w:color="auto" w:fill="FFFFFF"/>
        </w:rPr>
        <w:t>(a)</w:t>
      </w:r>
      <w:r>
        <w:rPr>
          <w:rFonts w:eastAsia="Times New Roman"/>
          <w:color w:val="000000"/>
          <w:sz w:val="20"/>
          <w:szCs w:val="20"/>
        </w:rPr>
        <w:t>Total margin represents total revenues less total cost of sales and revenue-related taxes (i.e. Electric Utility gross</w:t>
      </w:r>
      <w:r>
        <w:rPr>
          <w:rFonts w:eastAsia="Times New Roman"/>
          <w:color w:val="000000"/>
          <w:sz w:val="20"/>
          <w:szCs w:val="20"/>
        </w:rPr>
        <w:t xml:space="preserve"> receipts and business and occupation taxes) of $24 million and $21 million, respectively, during Fiscal 2023 and Fiscal 2022. For financial statement purposes, revenue-related taxes are included in “Operating and administrative expenses” on the Consolidat</w:t>
      </w:r>
      <w:r>
        <w:rPr>
          <w:rFonts w:eastAsia="Times New Roman"/>
          <w:color w:val="000000"/>
          <w:sz w:val="20"/>
          <w:szCs w:val="20"/>
        </w:rPr>
        <w:t>ed Statements of Income (but are excluded from operating expenses presented above).</w:t>
      </w:r>
    </w:p>
    <w:p w:rsidR="00000000" w:rsidRDefault="00AC31B9">
      <w:pPr>
        <w:ind w:hanging="360"/>
        <w:jc w:val="both"/>
        <w:rPr>
          <w:rFonts w:eastAsia="Times New Roman"/>
        </w:rPr>
      </w:pPr>
      <w:r>
        <w:rPr>
          <w:rFonts w:eastAsia="Times New Roman"/>
          <w:color w:val="000000"/>
          <w:sz w:val="20"/>
          <w:szCs w:val="20"/>
        </w:rPr>
        <w:t>(b)Deviation from average heating degree days is determined on a 10-year period utilizing volume-weighted weather data based on weather statistics provided by NOAA for airp</w:t>
      </w:r>
      <w:r>
        <w:rPr>
          <w:rFonts w:eastAsia="Times New Roman"/>
          <w:color w:val="000000"/>
          <w:sz w:val="20"/>
          <w:szCs w:val="20"/>
        </w:rPr>
        <w:t xml:space="preserve">orts located within Gas Utility service territories. </w:t>
      </w:r>
    </w:p>
    <w:p w:rsidR="00000000" w:rsidRDefault="00AC31B9">
      <w:pPr>
        <w:jc w:val="both"/>
        <w:rPr>
          <w:rFonts w:eastAsia="Times New Roman"/>
        </w:rPr>
      </w:pPr>
    </w:p>
    <w:p w:rsidR="00000000" w:rsidRDefault="00AC31B9">
      <w:pPr>
        <w:jc w:val="both"/>
        <w:divId w:val="1301305827"/>
        <w:rPr>
          <w:rFonts w:eastAsia="Times New Roman"/>
        </w:rPr>
      </w:pPr>
      <w:r>
        <w:rPr>
          <w:rFonts w:eastAsia="Times New Roman"/>
          <w:color w:val="000000"/>
          <w:sz w:val="20"/>
          <w:szCs w:val="20"/>
        </w:rPr>
        <w:t>Temperatures in Gas Utility’</w:t>
      </w:r>
      <w:r>
        <w:rPr>
          <w:rFonts w:eastAsia="Times New Roman"/>
          <w:color w:val="000000"/>
          <w:sz w:val="20"/>
          <w:szCs w:val="20"/>
        </w:rPr>
        <w:t xml:space="preserve">s service territories during Fiscal 2023 were 11.7% warmer than normal and 4.8% warmer than the prior year. The decrease in Gas Utility core market volumes during Fiscal 2023 is largely related to the warmer weather, partially offset by growth in the core </w:t>
      </w:r>
      <w:r>
        <w:rPr>
          <w:rFonts w:eastAsia="Times New Roman"/>
          <w:color w:val="000000"/>
          <w:sz w:val="20"/>
          <w:szCs w:val="20"/>
        </w:rPr>
        <w:t xml:space="preserve">market customers. The decrease in Electric Utility distribution sales volumes during Fiscal 2023 is primarily attributable to warmer weather. </w:t>
      </w:r>
    </w:p>
    <w:p w:rsidR="00000000" w:rsidRDefault="00AC31B9">
      <w:pPr>
        <w:jc w:val="both"/>
        <w:rPr>
          <w:rFonts w:eastAsia="Times New Roman"/>
        </w:rPr>
      </w:pPr>
      <w:r>
        <w:rPr>
          <w:rFonts w:eastAsia="Times New Roman"/>
          <w:color w:val="000000"/>
          <w:sz w:val="20"/>
          <w:szCs w:val="20"/>
        </w:rPr>
        <w:t>Utilities revenues increased $234 million in Fiscal 2023 reflecting a $225 million increase in Gas Utility revenu</w:t>
      </w:r>
      <w:r>
        <w:rPr>
          <w:rFonts w:eastAsia="Times New Roman"/>
          <w:color w:val="000000"/>
          <w:sz w:val="20"/>
          <w:szCs w:val="20"/>
        </w:rPr>
        <w:t>es and a $9 million increase in Electric Utility revenues. The increase in Gas Utility revenues was largely driven by higher PGC and PGA rates reflecting higher natural gas costs; the effects of the increase in base rates and weather normalization adjustme</w:t>
      </w:r>
      <w:r>
        <w:rPr>
          <w:rFonts w:eastAsia="Times New Roman"/>
          <w:color w:val="000000"/>
          <w:sz w:val="20"/>
          <w:szCs w:val="20"/>
        </w:rPr>
        <w:t>nts for PA Gas Utility that went into effect during the first quarter of Fiscal 2023; and higher other revenues. These increases were partially offset by the effects on core market volumes of the warmer weather and lower off-system sales. The increase in E</w:t>
      </w:r>
      <w:r>
        <w:rPr>
          <w:rFonts w:eastAsia="Times New Roman"/>
          <w:color w:val="000000"/>
          <w:sz w:val="20"/>
          <w:szCs w:val="20"/>
        </w:rPr>
        <w:t xml:space="preserve">lectric Utility revenues during Fiscal 2023 was largely driven by higher DS rates, reflecting higher power costs.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Utilities cost of sales (including revenue-related taxes) was $977 million in Fiscal 2023 compared with $819 million in Fiscal 2022. The in</w:t>
      </w:r>
      <w:r>
        <w:rPr>
          <w:rFonts w:eastAsia="Times New Roman"/>
          <w:color w:val="000000"/>
          <w:sz w:val="20"/>
          <w:szCs w:val="20"/>
        </w:rPr>
        <w:t>crease of $158 million is primarily attributable to Gas Utility ($149 million) mainly reflecting higher PGC and PGA rates and higher other cost of sales, partially offset by lower cost of sales associated with off-system sales. Electric Utility cost of sal</w:t>
      </w:r>
      <w:r>
        <w:rPr>
          <w:rFonts w:eastAsia="Times New Roman"/>
          <w:color w:val="000000"/>
          <w:sz w:val="20"/>
          <w:szCs w:val="20"/>
        </w:rPr>
        <w:t>es increased $9 million in Fiscal 2023 largely reflecting the higher DS rates.</w:t>
      </w:r>
    </w:p>
    <w:p w:rsidR="00000000" w:rsidRDefault="00AC31B9">
      <w:pPr>
        <w:jc w:val="both"/>
        <w:rPr>
          <w:rFonts w:eastAsia="Times New Roman"/>
        </w:rPr>
      </w:pPr>
    </w:p>
    <w:p w:rsidR="00000000" w:rsidRDefault="00AC31B9">
      <w:pPr>
        <w:jc w:val="center"/>
        <w:divId w:val="2125271176"/>
        <w:rPr>
          <w:rFonts w:eastAsia="Times New Roman"/>
        </w:rPr>
      </w:pPr>
      <w:r>
        <w:rPr>
          <w:rFonts w:eastAsia="Times New Roman"/>
          <w:color w:val="000000"/>
          <w:sz w:val="20"/>
          <w:szCs w:val="20"/>
        </w:rPr>
        <w:t>56</w:t>
      </w:r>
    </w:p>
    <w:p w:rsidR="00000000" w:rsidRDefault="00AC31B9">
      <w:pPr>
        <w:rPr>
          <w:rFonts w:eastAsia="Times New Roman"/>
        </w:rPr>
      </w:pPr>
      <w:r>
        <w:rPr>
          <w:rFonts w:eastAsia="Times New Roman"/>
        </w:rPr>
        <w:pict>
          <v:rect id="_x0000_i1083" style="width:0;height:1.5pt" o:hralign="center" o:hrstd="t" o:hr="t" fillcolor="#a0a0a0" stroked="f"/>
        </w:pict>
      </w:r>
    </w:p>
    <w:p w:rsidR="00000000" w:rsidRDefault="00AC31B9">
      <w:pPr>
        <w:divId w:val="1514301919"/>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Utilities total margin increased $76 million during Fiscal 2</w:t>
      </w:r>
      <w:r>
        <w:rPr>
          <w:rFonts w:eastAsia="Times New Roman"/>
          <w:color w:val="000000"/>
          <w:sz w:val="20"/>
          <w:szCs w:val="20"/>
        </w:rPr>
        <w:t>023 substantially attributable to higher Gas Utility total margin mainly reflecting the effects of the increase in base rates and weather normalization adjustments for PA Gas Utility that went into effect during the first quarter of Fiscal 2023 and, to a m</w:t>
      </w:r>
      <w:r>
        <w:rPr>
          <w:rFonts w:eastAsia="Times New Roman"/>
          <w:color w:val="000000"/>
          <w:sz w:val="20"/>
          <w:szCs w:val="20"/>
        </w:rPr>
        <w:t xml:space="preserve">uch lesser extent, impacts from growth in the core market customers and higher other revenues. Electric Utility margin was comparable to the prior year.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Utilities operating income and earnings before interest expense and income taxes during Fiscal 2023 </w:t>
      </w:r>
      <w:r>
        <w:rPr>
          <w:rFonts w:eastAsia="Times New Roman"/>
          <w:color w:val="000000"/>
          <w:sz w:val="20"/>
          <w:szCs w:val="20"/>
        </w:rPr>
        <w:t>increased $30 million and $29 million, respectively, compared to the prior year. These increases largely reflect the previously mentioned increase in total margin, partially offset by higher operating and administrative expenses ($36 million) and higher de</w:t>
      </w:r>
      <w:r>
        <w:rPr>
          <w:rFonts w:eastAsia="Times New Roman"/>
          <w:color w:val="000000"/>
          <w:sz w:val="20"/>
          <w:szCs w:val="20"/>
        </w:rPr>
        <w:t>preciation expense ($8 million). The higher operating and administrative expenses reflect, among other things, higher uncollectible accounts expenses, contract labor costs and personnel-related expenses. The higher depreciation expense compared to the prio</w:t>
      </w:r>
      <w:r>
        <w:rPr>
          <w:rFonts w:eastAsia="Times New Roman"/>
          <w:color w:val="000000"/>
          <w:sz w:val="20"/>
          <w:szCs w:val="20"/>
        </w:rPr>
        <w:t xml:space="preserve">r year reflects the effects of continued distribution system capital expenditure activity.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Interest Expense and Income Taxes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Our consolidated interest expense during Fiscal 2023 was $379 million compared to $329 million during the prior year. The incr</w:t>
      </w:r>
      <w:r>
        <w:rPr>
          <w:rFonts w:eastAsia="Times New Roman"/>
          <w:color w:val="000000"/>
          <w:sz w:val="20"/>
          <w:szCs w:val="20"/>
        </w:rPr>
        <w:t>ease in interest expense largely reflects higher credit agreement interest rates and borrowings, higher average interest rates on UGI Corporation long-term debt and higher average long-term debt outstanding principally at our Utilities and Midstream &amp; Mark</w:t>
      </w:r>
      <w:r>
        <w:rPr>
          <w:rFonts w:eastAsia="Times New Roman"/>
          <w:color w:val="000000"/>
          <w:sz w:val="20"/>
          <w:szCs w:val="20"/>
        </w:rPr>
        <w:t xml:space="preserve">eting segments.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Our effective income tax rate decreased between Fiscal 2022 and Fiscal 2023, primarily due to the release of a valuation allowance related to the utilization of foreign tax credits and the availability of investment tax credits in Fiscal</w:t>
      </w:r>
      <w:r>
        <w:rPr>
          <w:rFonts w:eastAsia="Times New Roman"/>
          <w:color w:val="000000"/>
          <w:sz w:val="20"/>
          <w:szCs w:val="20"/>
        </w:rPr>
        <w:t xml:space="preserve"> 2023 that were not available in Fiscal 2022. These decreases were partially offset by (1) a higher concentration of pre-tax losses in higher income tax rate jurisdictions resulting from losses on derivative instruments; (2) establishing a valuation allowa</w:t>
      </w:r>
      <w:r>
        <w:rPr>
          <w:rFonts w:eastAsia="Times New Roman"/>
          <w:color w:val="000000"/>
          <w:sz w:val="20"/>
          <w:szCs w:val="20"/>
        </w:rPr>
        <w:t>nce for interest expense disallowance at AmeriGas Propane; and (3) the impact on income taxes from the goodwill impairment at AmeriGas Propane, which included certain adjustments to the associated deferred tax assets. For additional information on our inco</w:t>
      </w:r>
      <w:r>
        <w:rPr>
          <w:rFonts w:eastAsia="Times New Roman"/>
          <w:color w:val="000000"/>
          <w:sz w:val="20"/>
          <w:szCs w:val="20"/>
        </w:rPr>
        <w:t xml:space="preserve">me taxes, including tax law changes, see Note 7 to Consolidated Financial Statements. </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Financial Condition and Liquidity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Company expects to have sufficient liquidity including cash on hand and available borrowing capacity, to continue to support lo</w:t>
      </w:r>
      <w:r>
        <w:rPr>
          <w:rFonts w:eastAsia="Times New Roman"/>
          <w:color w:val="000000"/>
          <w:sz w:val="20"/>
          <w:szCs w:val="20"/>
        </w:rPr>
        <w:t>ng-term commitments and ongoing operations despite uncertainties associated with ongoing global macroeconomic conditions including, among others, changes in consumer behavior, the inflationary cost environment and ongoing energy commodity price volatility.</w:t>
      </w:r>
      <w:r>
        <w:rPr>
          <w:rFonts w:eastAsia="Times New Roman"/>
          <w:color w:val="000000"/>
          <w:sz w:val="20"/>
          <w:szCs w:val="20"/>
        </w:rPr>
        <w:t xml:space="preserve"> Our total available liquidity balance, comprising cash and cash equivalents and available borrowing capacity on our revolving credit facilities, totaled approximately $1.6 billion and $1.7 billion at September 30, 2023 and 2022, respectively. The Company </w:t>
      </w:r>
      <w:r>
        <w:rPr>
          <w:rFonts w:eastAsia="Times New Roman"/>
          <w:color w:val="000000"/>
          <w:sz w:val="20"/>
          <w:szCs w:val="20"/>
        </w:rPr>
        <w:t>does not have any senior notes or term loans maturing in the next twelve months. The Company cannot predict the duration or total magnitude of the uncertain economic factors mentioned above and the total effects they will have on its liquidity, debt covena</w:t>
      </w:r>
      <w:r>
        <w:rPr>
          <w:rFonts w:eastAsia="Times New Roman"/>
          <w:color w:val="000000"/>
          <w:sz w:val="20"/>
          <w:szCs w:val="20"/>
        </w:rPr>
        <w:t>nts, financial condition or the timing of capital expenditures. UGI and its subsidiaries were in compliance with its debt covenants as of September 30, 2023. See Note 6 to the Consolidated Financial Statements for additional information on compliance.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w:t>
      </w:r>
      <w:r>
        <w:rPr>
          <w:rFonts w:eastAsia="Times New Roman"/>
          <w:color w:val="000000"/>
          <w:sz w:val="20"/>
          <w:szCs w:val="20"/>
        </w:rPr>
        <w:t xml:space="preserve"> depend on both internal and external sources of liquidity to provide funds for working capital and to fund capital requirements. Our short-term cash requirements not met by cash from operations are generally satisfied with borrowings under credit faciliti</w:t>
      </w:r>
      <w:r>
        <w:rPr>
          <w:rFonts w:eastAsia="Times New Roman"/>
          <w:color w:val="000000"/>
          <w:sz w:val="20"/>
          <w:szCs w:val="20"/>
        </w:rPr>
        <w:t>es and, in the case of Midstream &amp; Marketing, also from a Receivables Facility. Long-term cash requirements are generally met through the issuance of long-term debt or equity securities. We believe that each of our business units has sufficient liquidity i</w:t>
      </w:r>
      <w:r>
        <w:rPr>
          <w:rFonts w:eastAsia="Times New Roman"/>
          <w:color w:val="000000"/>
          <w:sz w:val="20"/>
          <w:szCs w:val="20"/>
        </w:rPr>
        <w:t>n the forms of cash and cash equivalents on hand; cash expected to be generated from operations; credit facility and Receivables Facility borrowing capacity; and the ability to obtain long-term financing to meet anticipated contractual and projected cash c</w:t>
      </w:r>
      <w:r>
        <w:rPr>
          <w:rFonts w:eastAsia="Times New Roman"/>
          <w:color w:val="000000"/>
          <w:sz w:val="20"/>
          <w:szCs w:val="20"/>
        </w:rPr>
        <w:t>ommitments. Issuances of debt and equity securities in the capital markets and additional credit facilities may not, however, be available to us on acceptable terms.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The primary sources of UGI’s cash and cash equivalents are the dividends and other cash </w:t>
      </w:r>
      <w:r>
        <w:rPr>
          <w:rFonts w:eastAsia="Times New Roman"/>
          <w:color w:val="000000"/>
          <w:sz w:val="20"/>
          <w:szCs w:val="20"/>
        </w:rPr>
        <w:t xml:space="preserve">payments made to UGI or its corporate subsidiaries by its principal business units. Our cash and cash equivalents totaled $241 million at September 30, 2023, compared with $405 million at September 30, 2022. Excluding cash and cash equivalents that reside </w:t>
      </w:r>
      <w:r>
        <w:rPr>
          <w:rFonts w:eastAsia="Times New Roman"/>
          <w:color w:val="000000"/>
          <w:sz w:val="20"/>
          <w:szCs w:val="20"/>
        </w:rPr>
        <w:t>at UGI’s operating subsidiaries, at September 30, 2023 and 2022, our cash and cash equivalents totaled $51 million and $140 million, respectively. Such cash is available to pay dividends on UGI Common Stock and for investment purposes. The decrease in cash</w:t>
      </w:r>
      <w:r>
        <w:rPr>
          <w:rFonts w:eastAsia="Times New Roman"/>
          <w:color w:val="000000"/>
          <w:sz w:val="20"/>
          <w:szCs w:val="20"/>
        </w:rPr>
        <w:t xml:space="preserve"> and cash equivalents since September 30, 2022, can be attributed to, among other things, temporary restrictions on the payment of dividends from AmeriGas OLP to UGI resulting from the use of an equity cure, as defined by the 2022 AmeriGas OLP Credit Agree</w:t>
      </w:r>
      <w:r>
        <w:rPr>
          <w:rFonts w:eastAsia="Times New Roman"/>
          <w:color w:val="000000"/>
          <w:sz w:val="20"/>
          <w:szCs w:val="20"/>
        </w:rPr>
        <w:t xml:space="preserve">ment and an increase in cash outflow in the form of capital contributions to AmeriGas Partners. In November 2023, the Company amended the 2022 AmeriGas OLP Credit agreement to reduce both the revolver amount and the minimum interest </w:t>
      </w:r>
    </w:p>
    <w:p w:rsidR="00000000" w:rsidRDefault="00AC31B9">
      <w:pPr>
        <w:jc w:val="center"/>
        <w:divId w:val="1423143576"/>
        <w:rPr>
          <w:rFonts w:eastAsia="Times New Roman"/>
        </w:rPr>
      </w:pPr>
      <w:r>
        <w:rPr>
          <w:rFonts w:eastAsia="Times New Roman"/>
          <w:color w:val="000000"/>
          <w:sz w:val="20"/>
          <w:szCs w:val="20"/>
        </w:rPr>
        <w:t>57</w:t>
      </w:r>
    </w:p>
    <w:p w:rsidR="00000000" w:rsidRDefault="00AC31B9">
      <w:pPr>
        <w:rPr>
          <w:rFonts w:eastAsia="Times New Roman"/>
        </w:rPr>
      </w:pPr>
      <w:r>
        <w:rPr>
          <w:rFonts w:eastAsia="Times New Roman"/>
        </w:rPr>
        <w:pict>
          <v:rect id="_x0000_i1084" style="width:0;height:1.5pt" o:hralign="center" o:hrstd="t" o:hr="t" fillcolor="#a0a0a0" stroked="f"/>
        </w:pict>
      </w:r>
    </w:p>
    <w:p w:rsidR="00000000" w:rsidRDefault="00AC31B9">
      <w:pPr>
        <w:divId w:val="837771132"/>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coverage ratio. As of September 30, 2023 the Partnership was in compliance with all debt covenants as set forth in the amended 2022 AmeriGas OLP Credit Agreement without the consideration of the equity cure provisions, alleviating the restriction on the su</w:t>
      </w:r>
      <w:r>
        <w:rPr>
          <w:rFonts w:eastAsia="Times New Roman"/>
          <w:color w:val="000000"/>
          <w:sz w:val="20"/>
          <w:szCs w:val="20"/>
        </w:rPr>
        <w:t>bsidiaries ability to pay dividends to the parent. See Note 6 to the Consolidated Financial Statements for additional information.</w:t>
      </w:r>
    </w:p>
    <w:p w:rsidR="00000000" w:rsidRDefault="00AC31B9">
      <w:pPr>
        <w:jc w:val="both"/>
        <w:divId w:val="127748082"/>
        <w:rPr>
          <w:rFonts w:eastAsia="Times New Roman"/>
        </w:rPr>
      </w:pPr>
      <w:r>
        <w:rPr>
          <w:rFonts w:eastAsia="Times New Roman"/>
          <w:color w:val="000000"/>
          <w:sz w:val="20"/>
          <w:szCs w:val="20"/>
        </w:rPr>
        <w:t xml:space="preserve">During Fiscal 2023 and Fiscal 2022, our principal business units paid cash dividends and made other cash payments to UGI and </w:t>
      </w:r>
      <w:r>
        <w:rPr>
          <w:rFonts w:eastAsia="Times New Roman"/>
          <w:color w:val="000000"/>
          <w:sz w:val="20"/>
          <w:szCs w:val="20"/>
        </w:rPr>
        <w:t>its subsidiaries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6107"/>
        <w:gridCol w:w="38"/>
        <w:gridCol w:w="36"/>
        <w:gridCol w:w="36"/>
        <w:gridCol w:w="36"/>
        <w:gridCol w:w="120"/>
        <w:gridCol w:w="796"/>
        <w:gridCol w:w="36"/>
        <w:gridCol w:w="36"/>
        <w:gridCol w:w="36"/>
        <w:gridCol w:w="36"/>
        <w:gridCol w:w="120"/>
        <w:gridCol w:w="798"/>
        <w:gridCol w:w="36"/>
      </w:tblGrid>
      <w:tr w:rsidR="00000000">
        <w:trPr>
          <w:divId w:val="743990015"/>
        </w:trPr>
        <w:tc>
          <w:tcPr>
            <w:tcW w:w="50" w:type="pct"/>
            <w:vAlign w:val="center"/>
            <w:hideMark/>
          </w:tcPr>
          <w:p w:rsidR="00000000" w:rsidRDefault="00AC31B9">
            <w:pPr>
              <w:jc w:val="both"/>
              <w:rPr>
                <w:rFonts w:eastAsia="Times New Roman"/>
              </w:rPr>
            </w:pPr>
          </w:p>
        </w:tc>
        <w:tc>
          <w:tcPr>
            <w:tcW w:w="370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743990015"/>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r>
      <w:tr w:rsidR="00000000">
        <w:trPr>
          <w:divId w:val="743990015"/>
        </w:trPr>
        <w:tc>
          <w:tcPr>
            <w:tcW w:w="0" w:type="auto"/>
            <w:gridSpan w:val="3"/>
            <w:vAlign w:val="center"/>
            <w:hideMark/>
          </w:tcPr>
          <w:p w:rsidR="00000000" w:rsidRDefault="00AC31B9">
            <w:pPr>
              <w:spacing w:after="100"/>
              <w:jc w:val="center"/>
              <w:rPr>
                <w:rFonts w:eastAsia="Times New Roman"/>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74399001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43990015"/>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43990015"/>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43990015"/>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Utilities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43990015"/>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divId w:val="1732386341"/>
        <w:rPr>
          <w:rFonts w:eastAsia="Times New Roman"/>
        </w:rPr>
      </w:pPr>
    </w:p>
    <w:p w:rsidR="00000000" w:rsidRDefault="00AC31B9">
      <w:pPr>
        <w:ind w:hanging="360"/>
        <w:jc w:val="both"/>
        <w:rPr>
          <w:rFonts w:eastAsia="Times New Roman"/>
        </w:rPr>
      </w:pPr>
      <w:r>
        <w:rPr>
          <w:rFonts w:eastAsia="Times New Roman"/>
          <w:b/>
          <w:bCs/>
          <w:color w:val="000000"/>
          <w:sz w:val="20"/>
          <w:szCs w:val="20"/>
        </w:rPr>
        <w:t>C</w:t>
      </w:r>
      <w:r>
        <w:rPr>
          <w:rFonts w:eastAsia="Times New Roman"/>
          <w:b/>
          <w:bCs/>
          <w:color w:val="000000"/>
          <w:sz w:val="20"/>
          <w:szCs w:val="20"/>
        </w:rPr>
        <w:t>ommon and Preferred Stock</w:t>
      </w:r>
    </w:p>
    <w:p w:rsidR="00000000" w:rsidRDefault="00AC31B9">
      <w:pPr>
        <w:ind w:hanging="360"/>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Issuance of Equity Units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On May 25, 2021, the Company issued 2.2 million Equity Units with a total notional value of $220 million. Each Equity Unit has a stated amount of $100 and consists of (1) a 10% undivided beneficial ownership interest in one share of Convertible Preferred S</w:t>
      </w:r>
      <w:r>
        <w:rPr>
          <w:rFonts w:eastAsia="Times New Roman"/>
          <w:color w:val="000000"/>
          <w:sz w:val="20"/>
          <w:szCs w:val="20"/>
        </w:rPr>
        <w:t>tock with a liquidation preference of $1,000 per share and (2) a 2024 Purchase Contract. The Company received approximately $213 million in proceeds from the issuance of the Equity Units, net of offering expenses and underwriting costs and commissions, and</w:t>
      </w:r>
      <w:r>
        <w:rPr>
          <w:rFonts w:eastAsia="Times New Roman"/>
          <w:color w:val="000000"/>
          <w:sz w:val="20"/>
          <w:szCs w:val="20"/>
        </w:rPr>
        <w:t xml:space="preserve"> issued 220,000 shares of Convertible Preferred Stock, recording $213 million in “Preferred stock” on the accompanying Consolidated Balance Sheet. The proceeds were used to pay a portion of the purchase price for the Mountaineer Acquisition and related fee</w:t>
      </w:r>
      <w:r>
        <w:rPr>
          <w:rFonts w:eastAsia="Times New Roman"/>
          <w:color w:val="000000"/>
          <w:sz w:val="20"/>
          <w:szCs w:val="20"/>
        </w:rPr>
        <w:t xml:space="preserve">s and expenses, and for general corporate purposes. For additional information on the Mountaineer Acquisition and the issuance of Equity Units, see Notes 5 and 13 to the Consolidated Financial Statements. </w:t>
      </w:r>
    </w:p>
    <w:p w:rsidR="00000000" w:rsidRDefault="00AC31B9">
      <w:pPr>
        <w:jc w:val="both"/>
        <w:divId w:val="78795540"/>
        <w:rPr>
          <w:rFonts w:eastAsia="Times New Roman"/>
        </w:rPr>
      </w:pPr>
      <w:r>
        <w:rPr>
          <w:rFonts w:eastAsia="Times New Roman"/>
          <w:b/>
          <w:bCs/>
          <w:i/>
          <w:iCs/>
          <w:color w:val="000000"/>
          <w:sz w:val="20"/>
          <w:szCs w:val="20"/>
        </w:rPr>
        <w:t>Dividends</w:t>
      </w:r>
    </w:p>
    <w:p w:rsidR="00000000" w:rsidRDefault="00AC31B9">
      <w:pPr>
        <w:jc w:val="both"/>
        <w:divId w:val="1513061433"/>
        <w:rPr>
          <w:rFonts w:eastAsia="Times New Roman"/>
        </w:rPr>
      </w:pPr>
      <w:r>
        <w:rPr>
          <w:rFonts w:eastAsia="Times New Roman"/>
          <w:color w:val="000000"/>
          <w:sz w:val="20"/>
          <w:szCs w:val="20"/>
        </w:rPr>
        <w:t>Quarterly dividends per share of UGI Com</w:t>
      </w:r>
      <w:r>
        <w:rPr>
          <w:rFonts w:eastAsia="Times New Roman"/>
          <w:color w:val="000000"/>
          <w:sz w:val="20"/>
          <w:szCs w:val="20"/>
        </w:rPr>
        <w:t>mon Stock paid during Fiscal 2023 and Fiscal 2022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549"/>
        <w:gridCol w:w="36"/>
        <w:gridCol w:w="36"/>
        <w:gridCol w:w="36"/>
        <w:gridCol w:w="36"/>
        <w:gridCol w:w="120"/>
        <w:gridCol w:w="1078"/>
        <w:gridCol w:w="36"/>
        <w:gridCol w:w="36"/>
        <w:gridCol w:w="36"/>
        <w:gridCol w:w="36"/>
        <w:gridCol w:w="120"/>
        <w:gridCol w:w="1078"/>
        <w:gridCol w:w="36"/>
      </w:tblGrid>
      <w:tr w:rsidR="00000000">
        <w:trPr>
          <w:divId w:val="2063477178"/>
        </w:trPr>
        <w:tc>
          <w:tcPr>
            <w:tcW w:w="50" w:type="pct"/>
            <w:vAlign w:val="center"/>
            <w:hideMark/>
          </w:tcPr>
          <w:p w:rsidR="00000000" w:rsidRDefault="00AC31B9">
            <w:pPr>
              <w:jc w:val="both"/>
              <w:rPr>
                <w:rFonts w:eastAsia="Times New Roman"/>
              </w:rPr>
            </w:pPr>
          </w:p>
        </w:tc>
        <w:tc>
          <w:tcPr>
            <w:tcW w:w="339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69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69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2063477178"/>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b/>
                <w:bCs/>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b/>
                <w:bCs/>
                <w:color w:val="000000"/>
                <w:sz w:val="20"/>
                <w:szCs w:val="20"/>
              </w:rPr>
              <w:t>2022</w:t>
            </w:r>
          </w:p>
        </w:tc>
      </w:tr>
      <w:tr w:rsidR="00000000">
        <w:trPr>
          <w:divId w:val="206347717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divId w:val="868643675"/>
              <w:rPr>
                <w:rFonts w:eastAsia="Times New Roman"/>
              </w:rPr>
            </w:pPr>
            <w:r>
              <w:rPr>
                <w:rFonts w:eastAsia="Times New Roman"/>
                <w:color w:val="000000"/>
                <w:sz w:val="20"/>
                <w:szCs w:val="20"/>
              </w:rPr>
              <w:t>1</w:t>
            </w:r>
            <w:r>
              <w:rPr>
                <w:rFonts w:eastAsia="Times New Roman"/>
                <w:color w:val="000000"/>
                <w:sz w:val="13"/>
                <w:szCs w:val="13"/>
              </w:rPr>
              <w:t>s</w:t>
            </w:r>
            <w:r>
              <w:rPr>
                <w:rFonts w:eastAsia="Times New Roman"/>
                <w:color w:val="000000"/>
                <w:sz w:val="13"/>
                <w:szCs w:val="13"/>
              </w:rPr>
              <w:t>t</w:t>
            </w:r>
            <w:r>
              <w:rPr>
                <w:rFonts w:eastAsia="Times New Roman"/>
                <w:color w:val="000000"/>
                <w:sz w:val="20"/>
                <w:szCs w:val="20"/>
              </w:rPr>
              <w:t xml:space="preserve"> Quarter</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0.360 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0.345 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63477178"/>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divId w:val="612132295"/>
              <w:rPr>
                <w:rFonts w:eastAsia="Times New Roman"/>
              </w:rPr>
            </w:pPr>
            <w:r>
              <w:rPr>
                <w:rFonts w:eastAsia="Times New Roman"/>
                <w:color w:val="000000"/>
                <w:sz w:val="20"/>
                <w:szCs w:val="20"/>
              </w:rPr>
              <w:t>2</w:t>
            </w:r>
            <w:r>
              <w:rPr>
                <w:rFonts w:eastAsia="Times New Roman"/>
                <w:color w:val="000000"/>
                <w:sz w:val="13"/>
                <w:szCs w:val="13"/>
              </w:rPr>
              <w:t>n</w:t>
            </w:r>
            <w:r>
              <w:rPr>
                <w:rFonts w:eastAsia="Times New Roman"/>
                <w:color w:val="000000"/>
                <w:sz w:val="13"/>
                <w:szCs w:val="13"/>
              </w:rPr>
              <w:t>d</w:t>
            </w:r>
            <w:r>
              <w:rPr>
                <w:rFonts w:eastAsia="Times New Roman"/>
                <w:color w:val="000000"/>
                <w:sz w:val="20"/>
                <w:szCs w:val="20"/>
              </w:rPr>
              <w:t xml:space="preserve"> Quarter</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0.360</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0.345</w:t>
            </w:r>
          </w:p>
        </w:tc>
      </w:tr>
      <w:tr w:rsidR="00000000">
        <w:trPr>
          <w:divId w:val="2063477178"/>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divId w:val="849369300"/>
              <w:rPr>
                <w:rFonts w:eastAsia="Times New Roman"/>
              </w:rPr>
            </w:pPr>
            <w:r>
              <w:rPr>
                <w:rFonts w:eastAsia="Times New Roman"/>
                <w:color w:val="000000"/>
                <w:sz w:val="20"/>
                <w:szCs w:val="20"/>
              </w:rPr>
              <w:t>3</w:t>
            </w:r>
            <w:r>
              <w:rPr>
                <w:rFonts w:eastAsia="Times New Roman"/>
                <w:color w:val="000000"/>
                <w:sz w:val="13"/>
                <w:szCs w:val="13"/>
              </w:rPr>
              <w:t>r</w:t>
            </w:r>
            <w:r>
              <w:rPr>
                <w:rFonts w:eastAsia="Times New Roman"/>
                <w:color w:val="000000"/>
                <w:sz w:val="13"/>
                <w:szCs w:val="13"/>
              </w:rPr>
              <w:t>d</w:t>
            </w:r>
            <w:r>
              <w:rPr>
                <w:rFonts w:eastAsia="Times New Roman"/>
                <w:color w:val="000000"/>
                <w:sz w:val="20"/>
                <w:szCs w:val="20"/>
              </w:rPr>
              <w:t xml:space="preserve"> Quarter</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0.375</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0.360</w:t>
            </w:r>
          </w:p>
        </w:tc>
      </w:tr>
      <w:tr w:rsidR="00000000">
        <w:trPr>
          <w:divId w:val="2063477178"/>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divId w:val="1616517493"/>
              <w:rPr>
                <w:rFonts w:eastAsia="Times New Roman"/>
              </w:rPr>
            </w:pPr>
            <w:r>
              <w:rPr>
                <w:rFonts w:eastAsia="Times New Roman"/>
                <w:color w:val="000000"/>
                <w:sz w:val="20"/>
                <w:szCs w:val="20"/>
              </w:rPr>
              <w:t>4</w:t>
            </w:r>
            <w:r>
              <w:rPr>
                <w:rFonts w:eastAsia="Times New Roman"/>
                <w:color w:val="000000"/>
                <w:sz w:val="13"/>
                <w:szCs w:val="13"/>
              </w:rPr>
              <w:t>t</w:t>
            </w:r>
            <w:r>
              <w:rPr>
                <w:rFonts w:eastAsia="Times New Roman"/>
                <w:color w:val="000000"/>
                <w:sz w:val="13"/>
                <w:szCs w:val="13"/>
              </w:rPr>
              <w:t>h</w:t>
            </w:r>
            <w:r>
              <w:rPr>
                <w:rFonts w:eastAsia="Times New Roman"/>
                <w:color w:val="000000"/>
                <w:sz w:val="20"/>
                <w:szCs w:val="20"/>
              </w:rPr>
              <w:t xml:space="preserve"> Quarter</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0.375</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0.360</w:t>
            </w:r>
          </w:p>
        </w:tc>
      </w:tr>
      <w:tr w:rsidR="00000000">
        <w:trPr>
          <w:divId w:val="2063477178"/>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both"/>
        <w:divId w:val="1608393835"/>
        <w:rPr>
          <w:rFonts w:eastAsia="Times New Roman"/>
        </w:rPr>
      </w:pPr>
      <w:r>
        <w:rPr>
          <w:rFonts w:eastAsia="Times New Roman"/>
          <w:color w:val="000000"/>
          <w:sz w:val="20"/>
          <w:szCs w:val="20"/>
        </w:rPr>
        <w:t xml:space="preserve">On </w:t>
      </w:r>
      <w:r>
        <w:rPr>
          <w:rFonts w:eastAsia="Times New Roman"/>
          <w:color w:val="000000"/>
          <w:sz w:val="20"/>
          <w:szCs w:val="20"/>
        </w:rPr>
        <w:t>November 16, 2023, UGI’s Board of Directors declared a cash dividend equal to $0.375 per common share. The dividend will be payable on January 1, 2024, to shareholders of record on December 15, 2023.</w:t>
      </w:r>
    </w:p>
    <w:p w:rsidR="00000000" w:rsidRDefault="00AC31B9">
      <w:pPr>
        <w:jc w:val="both"/>
        <w:rPr>
          <w:rFonts w:eastAsia="Times New Roman"/>
        </w:rPr>
      </w:pPr>
    </w:p>
    <w:p w:rsidR="00000000" w:rsidRDefault="00AC31B9">
      <w:pPr>
        <w:divId w:val="885683136"/>
        <w:rPr>
          <w:rFonts w:eastAsia="Times New Roman"/>
        </w:rPr>
      </w:pPr>
      <w:r>
        <w:rPr>
          <w:rFonts w:eastAsia="Times New Roman"/>
          <w:b/>
          <w:bCs/>
          <w:i/>
          <w:iCs/>
          <w:color w:val="000000"/>
          <w:sz w:val="20"/>
          <w:szCs w:val="20"/>
        </w:rPr>
        <w:t>Repurchases of Common Stock</w:t>
      </w:r>
    </w:p>
    <w:p w:rsidR="00000000" w:rsidRDefault="00AC31B9">
      <w:pPr>
        <w:divId w:val="978075062"/>
        <w:rPr>
          <w:rFonts w:eastAsia="Times New Roman"/>
        </w:rPr>
      </w:pPr>
    </w:p>
    <w:p w:rsidR="00000000" w:rsidRDefault="00AC31B9">
      <w:pPr>
        <w:jc w:val="both"/>
        <w:rPr>
          <w:rFonts w:eastAsia="Times New Roman"/>
        </w:rPr>
      </w:pPr>
      <w:r>
        <w:rPr>
          <w:rFonts w:eastAsia="Times New Roman"/>
          <w:color w:val="000000"/>
          <w:sz w:val="20"/>
          <w:szCs w:val="20"/>
        </w:rPr>
        <w:t>During Fiscal 2023 and F</w:t>
      </w:r>
      <w:r>
        <w:rPr>
          <w:rFonts w:eastAsia="Times New Roman"/>
          <w:color w:val="000000"/>
          <w:sz w:val="20"/>
          <w:szCs w:val="20"/>
        </w:rPr>
        <w:t>iscal 2022, the Company repurchased 600,000 shares and 900,000 shares of its common stock at a total purchase price of $22 million and $38 million, respectively. For additional information on the authorization of these repurchases, see Note 13 to the Conso</w:t>
      </w:r>
      <w:r>
        <w:rPr>
          <w:rFonts w:eastAsia="Times New Roman"/>
          <w:color w:val="000000"/>
          <w:sz w:val="20"/>
          <w:szCs w:val="20"/>
        </w:rPr>
        <w:t>lidated Financial Statements.</w:t>
      </w:r>
    </w:p>
    <w:p w:rsidR="00000000" w:rsidRDefault="00AC31B9">
      <w:pPr>
        <w:jc w:val="center"/>
        <w:divId w:val="1995258252"/>
        <w:rPr>
          <w:rFonts w:eastAsia="Times New Roman"/>
        </w:rPr>
      </w:pPr>
      <w:r>
        <w:rPr>
          <w:rFonts w:eastAsia="Times New Roman"/>
          <w:color w:val="000000"/>
          <w:sz w:val="20"/>
          <w:szCs w:val="20"/>
        </w:rPr>
        <w:t>58</w:t>
      </w:r>
    </w:p>
    <w:p w:rsidR="00000000" w:rsidRDefault="00AC31B9">
      <w:pPr>
        <w:rPr>
          <w:rFonts w:eastAsia="Times New Roman"/>
        </w:rPr>
      </w:pPr>
      <w:r>
        <w:rPr>
          <w:rFonts w:eastAsia="Times New Roman"/>
        </w:rPr>
        <w:pict>
          <v:rect id="_x0000_i1085" style="width:0;height:1.5pt" o:hralign="center" o:hrstd="t" o:hr="t" fillcolor="#a0a0a0" stroked="f"/>
        </w:pict>
      </w:r>
    </w:p>
    <w:p w:rsidR="00000000" w:rsidRDefault="00AC31B9">
      <w:pPr>
        <w:divId w:val="1448503111"/>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Long-term Debt and Credit Facilities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Company’</w:t>
      </w:r>
      <w:r>
        <w:rPr>
          <w:rFonts w:eastAsia="Times New Roman"/>
          <w:color w:val="000000"/>
          <w:sz w:val="20"/>
          <w:szCs w:val="20"/>
        </w:rPr>
        <w:t>s debt outstanding at September 30, 2023 and 2022, comprised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842"/>
        <w:gridCol w:w="38"/>
        <w:gridCol w:w="121"/>
        <w:gridCol w:w="760"/>
        <w:gridCol w:w="36"/>
        <w:gridCol w:w="36"/>
        <w:gridCol w:w="36"/>
        <w:gridCol w:w="36"/>
        <w:gridCol w:w="121"/>
        <w:gridCol w:w="962"/>
        <w:gridCol w:w="36"/>
        <w:gridCol w:w="36"/>
        <w:gridCol w:w="36"/>
        <w:gridCol w:w="36"/>
        <w:gridCol w:w="121"/>
        <w:gridCol w:w="818"/>
        <w:gridCol w:w="36"/>
        <w:gridCol w:w="36"/>
        <w:gridCol w:w="36"/>
        <w:gridCol w:w="36"/>
        <w:gridCol w:w="121"/>
        <w:gridCol w:w="598"/>
        <w:gridCol w:w="36"/>
        <w:gridCol w:w="36"/>
        <w:gridCol w:w="36"/>
        <w:gridCol w:w="36"/>
        <w:gridCol w:w="120"/>
        <w:gridCol w:w="500"/>
        <w:gridCol w:w="36"/>
        <w:gridCol w:w="36"/>
        <w:gridCol w:w="36"/>
        <w:gridCol w:w="36"/>
        <w:gridCol w:w="120"/>
        <w:gridCol w:w="500"/>
        <w:gridCol w:w="36"/>
        <w:gridCol w:w="36"/>
        <w:gridCol w:w="36"/>
        <w:gridCol w:w="36"/>
        <w:gridCol w:w="120"/>
        <w:gridCol w:w="500"/>
        <w:gridCol w:w="36"/>
      </w:tblGrid>
      <w:tr w:rsidR="00000000">
        <w:trPr>
          <w:divId w:val="1449163026"/>
          <w:jc w:val="center"/>
        </w:trPr>
        <w:tc>
          <w:tcPr>
            <w:tcW w:w="50" w:type="pct"/>
            <w:vAlign w:val="center"/>
            <w:hideMark/>
          </w:tcPr>
          <w:p w:rsidR="00000000" w:rsidRDefault="00AC31B9">
            <w:pPr>
              <w:jc w:val="both"/>
              <w:rPr>
                <w:rFonts w:eastAsia="Times New Roman"/>
              </w:rPr>
            </w:pPr>
          </w:p>
        </w:tc>
        <w:tc>
          <w:tcPr>
            <w:tcW w:w="143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1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7"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7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6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7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449163026"/>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r>
      <w:tr w:rsidR="00000000">
        <w:trPr>
          <w:divId w:val="1449163026"/>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(Millions of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AmeriGas Propane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UGI International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Midstream &amp; Marketing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Utilities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Corp. &amp; 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Total</w:t>
            </w:r>
          </w:p>
        </w:tc>
      </w:tr>
      <w:tr w:rsidR="00AC31B9">
        <w:trPr>
          <w:divId w:val="1449163026"/>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Short-term borrowings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449163026"/>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449163026"/>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Long-term debt (including current maturities):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AC31B9">
        <w:trPr>
          <w:divId w:val="1449163026"/>
          <w:jc w:val="center"/>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Senior notes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2,400 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424 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1,505 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4,329 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4,472 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449163026"/>
          <w:jc w:val="center"/>
        </w:trPr>
        <w:tc>
          <w:tcPr>
            <w:tcW w:w="0" w:type="auto"/>
            <w:gridSpan w:val="3"/>
            <w:shd w:val="clear" w:color="auto" w:fill="CCEE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Term loans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794 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727 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1,967 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1,871 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449163026"/>
          <w:jc w:val="center"/>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long-term debt</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351 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322 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449163026"/>
          <w:jc w:val="center"/>
        </w:trPr>
        <w:tc>
          <w:tcPr>
            <w:tcW w:w="0" w:type="auto"/>
            <w:gridSpan w:val="3"/>
            <w:shd w:val="clear" w:color="auto" w:fill="CCEE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Unamortized debt issuance costs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449163026"/>
          <w:jc w:val="center"/>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long-term debt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6,600 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6,632 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449163026"/>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debt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7,249 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both"/>
        <w:divId w:val="1270965670"/>
        <w:rPr>
          <w:rFonts w:eastAsia="Times New Roman"/>
        </w:rPr>
      </w:pPr>
      <w:r>
        <w:rPr>
          <w:rFonts w:eastAsia="Times New Roman"/>
          <w:b/>
          <w:bCs/>
          <w:i/>
          <w:iCs/>
          <w:color w:val="000000"/>
          <w:sz w:val="20"/>
          <w:szCs w:val="20"/>
        </w:rPr>
        <w:t>Significant Financing Activities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2022 AmeriGas OLP Credit Agreement.</w:t>
      </w:r>
      <w:r>
        <w:rPr>
          <w:rFonts w:eastAsia="Times New Roman"/>
          <w:color w:val="000000"/>
          <w:sz w:val="20"/>
          <w:szCs w:val="20"/>
        </w:rPr>
        <w:t xml:space="preserve"> Under the 2022 AmeriGas OLP Credit Agreement, AmeriGas OLP, as borrower, is required to comply with financial covenants related to leverage and interest coverage measured at the Partner</w:t>
      </w:r>
      <w:r>
        <w:rPr>
          <w:rFonts w:eastAsia="Times New Roman"/>
          <w:color w:val="000000"/>
          <w:sz w:val="20"/>
          <w:szCs w:val="20"/>
        </w:rPr>
        <w:t>ship and at AmeriGas OLP. On November 15, 2023, the Company entered into an amendment to the 2022 AmeriGas OLP Credit Agreement, which amends certain provisions of the credit agreement dated as of September 28, 2022 to, among other things, (i) reduce the m</w:t>
      </w:r>
      <w:r>
        <w:rPr>
          <w:rFonts w:eastAsia="Times New Roman"/>
          <w:color w:val="000000"/>
          <w:sz w:val="20"/>
          <w:szCs w:val="20"/>
        </w:rPr>
        <w:t>aximum revolver amount from $600 million to $400 million, (ii) reduce the minimum interest coverage ratio, effective for the fourth quarter of Fiscal 2023 through the end of the fourth quarter of Fiscal 2024 and (iii) beginning for the first quarter of Fis</w:t>
      </w:r>
      <w:r>
        <w:rPr>
          <w:rFonts w:eastAsia="Times New Roman"/>
          <w:color w:val="000000"/>
          <w:sz w:val="20"/>
          <w:szCs w:val="20"/>
        </w:rPr>
        <w:t xml:space="preserve">cal 2025, the minimum interest coverage ratio will remain reduced if the net leverage ratio is below a threshold as defined by the agreement; if the net leverage ratio exceeds such threshold, the minimum interest coverage ratio will revert to the original </w:t>
      </w:r>
      <w:r>
        <w:rPr>
          <w:rFonts w:eastAsia="Times New Roman"/>
          <w:color w:val="000000"/>
          <w:sz w:val="20"/>
          <w:szCs w:val="20"/>
        </w:rPr>
        <w:t>ratio as defined by the agreement.</w:t>
      </w:r>
    </w:p>
    <w:p w:rsidR="00000000" w:rsidRDefault="00AC31B9">
      <w:pPr>
        <w:divId w:val="1234240025"/>
        <w:rPr>
          <w:rFonts w:eastAsia="Times New Roman"/>
        </w:rPr>
      </w:pPr>
    </w:p>
    <w:p w:rsidR="00000000" w:rsidRDefault="00AC31B9">
      <w:pPr>
        <w:jc w:val="both"/>
        <w:rPr>
          <w:rFonts w:eastAsia="Times New Roman"/>
        </w:rPr>
      </w:pPr>
      <w:r>
        <w:rPr>
          <w:rFonts w:eastAsia="Times New Roman"/>
          <w:color w:val="000000"/>
          <w:sz w:val="20"/>
          <w:szCs w:val="20"/>
        </w:rPr>
        <w:t>As of March 31, 2023, AmeriGas OLP was in breach of the leverage ratio debt covenant and interest coverage ratio, which it cured with the funds received from UGI. The 2022 AmeriGas OLP Credit Agreement contains an equit</w:t>
      </w:r>
      <w:r>
        <w:rPr>
          <w:rFonts w:eastAsia="Times New Roman"/>
          <w:color w:val="000000"/>
          <w:sz w:val="20"/>
          <w:szCs w:val="20"/>
        </w:rPr>
        <w:t xml:space="preserve">y cure provision, which allows AmeriGas OLP’s direct or indirect parent, including UGI and its other subsidiaries, to fund capital contributions to eliminate any EBITDA (as defined in the 2022 AmeriGas OLP Credit Agreement) shortfalls that would otherwise </w:t>
      </w:r>
      <w:r>
        <w:rPr>
          <w:rFonts w:eastAsia="Times New Roman"/>
          <w:color w:val="000000"/>
          <w:sz w:val="20"/>
          <w:szCs w:val="20"/>
        </w:rPr>
        <w:t>result in non-compliance with these financial covenants. UGI made capital contributions to AmeriGas OLP of $20 million and $11 million on March 31, 2023 and April 24, 2023, respectively, which in aggregate represented one equity cure in accordance with the</w:t>
      </w:r>
      <w:r>
        <w:rPr>
          <w:rFonts w:eastAsia="Times New Roman"/>
          <w:color w:val="000000"/>
          <w:sz w:val="20"/>
          <w:szCs w:val="20"/>
        </w:rPr>
        <w:t xml:space="preserve"> 2022 AmeriGas OLP Credit Agreement. As a result of these capital contributions, AmeriGas OLP and the Partnership were in compliance with its financial covenants after considering the equity cure provision as of June 30, 2023 and March 31, 2023. As of Sept</w:t>
      </w:r>
      <w:r>
        <w:rPr>
          <w:rFonts w:eastAsia="Times New Roman"/>
          <w:color w:val="000000"/>
          <w:sz w:val="20"/>
          <w:szCs w:val="20"/>
        </w:rPr>
        <w:t xml:space="preserve">ember 30, 2023 the Partnership was in compliance with all debt covenants as set forth in the amended 2022 AmeriGas OLP Credit Agreement without the consideration of the equity cure provisions. </w:t>
      </w:r>
    </w:p>
    <w:p w:rsidR="00000000" w:rsidRDefault="00AC31B9">
      <w:pPr>
        <w:jc w:val="both"/>
        <w:rPr>
          <w:rFonts w:eastAsia="Times New Roman"/>
        </w:rPr>
      </w:pPr>
      <w:r>
        <w:rPr>
          <w:rFonts w:eastAsia="Times New Roman"/>
          <w:color w:val="000000"/>
          <w:sz w:val="20"/>
          <w:szCs w:val="20"/>
        </w:rPr>
        <w:t>UGI also provided an irrevocable letter of support whereby UGI</w:t>
      </w:r>
      <w:r>
        <w:rPr>
          <w:rFonts w:eastAsia="Times New Roman"/>
          <w:color w:val="000000"/>
          <w:sz w:val="20"/>
          <w:szCs w:val="20"/>
        </w:rPr>
        <w:t xml:space="preserve"> has committed to fund any such EBITDA shortfalls and debt service, if any. Based on the support and the projected EBITDA, AmeriGas OLP is expected to remain in compliance with its financial debt covenants for the succeeding twelve-month period. In additio</w:t>
      </w:r>
      <w:r>
        <w:rPr>
          <w:rFonts w:eastAsia="Times New Roman"/>
          <w:color w:val="000000"/>
          <w:sz w:val="20"/>
          <w:szCs w:val="20"/>
        </w:rPr>
        <w:t>n, in May 2023, the Company contributed $52 million in an equity contribution to AmeriGas Partners principally to fund debt service on AmeriGas Partners Senior Notes.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Utilities 2023 Credit Agreement.</w:t>
      </w:r>
      <w:r>
        <w:rPr>
          <w:rFonts w:eastAsia="Times New Roman"/>
          <w:color w:val="000000"/>
          <w:sz w:val="20"/>
          <w:szCs w:val="20"/>
        </w:rPr>
        <w:t xml:space="preserve"> On November 9, 2023, UGI Utilities entered into th</w:t>
      </w:r>
      <w:r>
        <w:rPr>
          <w:rFonts w:eastAsia="Times New Roman"/>
          <w:color w:val="000000"/>
          <w:sz w:val="20"/>
          <w:szCs w:val="20"/>
        </w:rPr>
        <w:t>e UGI Utilities 2023 Credit Agreement providing for borrowings up to $375 million (including a $50 million sublimit for letters of credit and a $38 million sublimit for swingline loans). UGI Utilities may request an increase in the amount of loan commitmen</w:t>
      </w:r>
      <w:r>
        <w:rPr>
          <w:rFonts w:eastAsia="Times New Roman"/>
          <w:color w:val="000000"/>
          <w:sz w:val="20"/>
          <w:szCs w:val="20"/>
        </w:rPr>
        <w:t>ts under the credit agreement to a maximum aggregate amount of $125 million. The interest rates applicable to borrowings under the UGI Utilities 2023 Credit Agreement will remain unchanged. The credit agreement contains customary covenants and default prov</w:t>
      </w:r>
      <w:r>
        <w:rPr>
          <w:rFonts w:eastAsia="Times New Roman"/>
          <w:color w:val="000000"/>
          <w:sz w:val="20"/>
          <w:szCs w:val="20"/>
        </w:rPr>
        <w:t>isions and requires compliance with certain financial covenants including a maximum debt to capitalization ratio as defined in the agreement. The maturity of the credit agreement was extended to November 2024 with an additional automatic 5-year extension u</w:t>
      </w:r>
      <w:r>
        <w:rPr>
          <w:rFonts w:eastAsia="Times New Roman"/>
          <w:color w:val="000000"/>
          <w:sz w:val="20"/>
          <w:szCs w:val="20"/>
        </w:rPr>
        <w:t>pon receipt of authorization for such extension from the PAPUC. Borrowings under the credit agreement may be used to refinance UGI Utilities existing indebtedness, finance the working capital needs of UGI Utilities and for general corporate purposes.</w:t>
      </w:r>
    </w:p>
    <w:p w:rsidR="00000000" w:rsidRDefault="00AC31B9">
      <w:pPr>
        <w:jc w:val="center"/>
        <w:divId w:val="159856931"/>
        <w:rPr>
          <w:rFonts w:eastAsia="Times New Roman"/>
        </w:rPr>
      </w:pPr>
      <w:r>
        <w:rPr>
          <w:rFonts w:eastAsia="Times New Roman"/>
          <w:color w:val="000000"/>
          <w:sz w:val="20"/>
          <w:szCs w:val="20"/>
        </w:rPr>
        <w:t>59</w:t>
      </w:r>
    </w:p>
    <w:p w:rsidR="00000000" w:rsidRDefault="00AC31B9">
      <w:pPr>
        <w:rPr>
          <w:rFonts w:eastAsia="Times New Roman"/>
        </w:rPr>
      </w:pPr>
      <w:r>
        <w:rPr>
          <w:rFonts w:eastAsia="Times New Roman"/>
        </w:rPr>
        <w:pict>
          <v:rect id="_x0000_i1086" style="width:0;height:1.5pt" o:hralign="center" o:hrstd="t" o:hr="t" fillcolor="#a0a0a0" stroked="f"/>
        </w:pict>
      </w:r>
    </w:p>
    <w:p w:rsidR="00000000" w:rsidRDefault="00AC31B9">
      <w:pPr>
        <w:divId w:val="89084582"/>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On December 13, 2022, UGI Utilities entered into an amendment to the UGI Utilities Credit Agreement, providing for borrowings up to $425 million</w:t>
      </w:r>
      <w:r>
        <w:rPr>
          <w:rFonts w:eastAsia="Times New Roman"/>
          <w:color w:val="000000"/>
          <w:sz w:val="20"/>
          <w:szCs w:val="20"/>
        </w:rPr>
        <w:t xml:space="preserve"> and to replace the use of LIBOR with Term SOFR.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AmeriGas Partners Senior Notes. </w:t>
      </w:r>
      <w:r>
        <w:rPr>
          <w:rFonts w:eastAsia="Times New Roman"/>
          <w:color w:val="000000"/>
          <w:sz w:val="20"/>
          <w:szCs w:val="20"/>
        </w:rPr>
        <w:t>On May 31, 2023, AmeriGas Partners and AmeriGas Finance Corp. issued $500 million principal amount of 9.375% Senior Notes due May 2028. The 9.375% Senior Notes rank equally with AmeriGas Partners’ existing senior notes. The net proceeds from the issuance o</w:t>
      </w:r>
      <w:r>
        <w:rPr>
          <w:rFonts w:eastAsia="Times New Roman"/>
          <w:color w:val="000000"/>
          <w:sz w:val="20"/>
          <w:szCs w:val="20"/>
        </w:rPr>
        <w:t>f the 9.375% Senior Notes, together with cash on hand, a $150 million cash contribution from the Company and other sources of liquidity, were used for the early repayment, pursuant to a tender offer and notice of redemption, of all AmeriGas Partners 5.625%</w:t>
      </w:r>
      <w:r>
        <w:rPr>
          <w:rFonts w:eastAsia="Times New Roman"/>
          <w:color w:val="000000"/>
          <w:sz w:val="20"/>
          <w:szCs w:val="20"/>
        </w:rPr>
        <w:t xml:space="preserve"> Senior Notes having an aggregate principal balance of $675 million, plus tender premiums and accrued and unpaid interest. In conjunction with the early repayment of the 5.625% Senior Notes, in June 2023 the Partnership recognized a pre-tax loss of $9 mill</w:t>
      </w:r>
      <w:r>
        <w:rPr>
          <w:rFonts w:eastAsia="Times New Roman"/>
          <w:color w:val="000000"/>
          <w:sz w:val="20"/>
          <w:szCs w:val="20"/>
        </w:rPr>
        <w:t>ion primarily comprising tender premiums and the write-off of unamortized debt issuance costs, which is reflected in “Loss on extinguishments of debt” on the Consolidated Statements of Income.</w:t>
      </w:r>
    </w:p>
    <w:p w:rsidR="00000000" w:rsidRDefault="00AC31B9">
      <w:pPr>
        <w:jc w:val="both"/>
        <w:divId w:val="1701124752"/>
        <w:rPr>
          <w:rFonts w:eastAsia="Times New Roman"/>
        </w:rPr>
      </w:pPr>
      <w:r>
        <w:rPr>
          <w:rFonts w:eastAsia="Times New Roman"/>
          <w:b/>
          <w:bCs/>
          <w:i/>
          <w:iCs/>
          <w:color w:val="000000"/>
          <w:sz w:val="20"/>
          <w:szCs w:val="20"/>
        </w:rPr>
        <w:t>UGI International 2023 Credit Facilities Agreement.</w:t>
      </w:r>
      <w:r>
        <w:rPr>
          <w:rFonts w:eastAsia="Times New Roman"/>
          <w:color w:val="000000"/>
          <w:sz w:val="20"/>
          <w:szCs w:val="20"/>
        </w:rPr>
        <w:t xml:space="preserve"> On March 7,</w:t>
      </w:r>
      <w:r>
        <w:rPr>
          <w:rFonts w:eastAsia="Times New Roman"/>
          <w:color w:val="000000"/>
          <w:sz w:val="20"/>
          <w:szCs w:val="20"/>
        </w:rPr>
        <w:t xml:space="preserve"> 2023, UGI International, LLC and its indirect wholly-owned subsidiary, UGI International Holdings B.V., entered into the UGI International 2023 Credit Facilities Agreement, a five-year unsecured senior facilities agreement, maturing March 7, 2028, with a </w:t>
      </w:r>
      <w:r>
        <w:rPr>
          <w:rFonts w:eastAsia="Times New Roman"/>
          <w:color w:val="000000"/>
          <w:sz w:val="20"/>
          <w:szCs w:val="20"/>
        </w:rPr>
        <w:t>consortium of banks. The UGI International 2023 Credit Facilities Agreement consists of (1) a €300 million variable-rate term loan facility ("Facility A") and (2) a €500 million multicurrency revolving credit facility, including a €100 million sublimit for</w:t>
      </w:r>
      <w:r>
        <w:rPr>
          <w:rFonts w:eastAsia="Times New Roman"/>
          <w:color w:val="000000"/>
          <w:sz w:val="20"/>
          <w:szCs w:val="20"/>
        </w:rPr>
        <w:t xml:space="preserve"> swingline loans ("Facility B"). We have designated borrowings under Facility A as a net investment hedge. In connection with the entering into of the UGI International 2023 Credit Facilities Agreement, UGI International, LLC paid off in full and terminate</w:t>
      </w:r>
      <w:r>
        <w:rPr>
          <w:rFonts w:eastAsia="Times New Roman"/>
          <w:color w:val="000000"/>
          <w:sz w:val="20"/>
          <w:szCs w:val="20"/>
        </w:rPr>
        <w:t xml:space="preserve">d the UGI International Credit Facilities Agreement, dated as of October 18, 2018. Borrowings under the multicurrency revolving credit facility may be used to finance the working capital needs of UGI International, LLC and its subsidiaries and for general </w:t>
      </w:r>
      <w:r>
        <w:rPr>
          <w:rFonts w:eastAsia="Times New Roman"/>
          <w:color w:val="000000"/>
          <w:sz w:val="20"/>
          <w:szCs w:val="20"/>
        </w:rPr>
        <w:t>corporate purposes.</w:t>
      </w:r>
    </w:p>
    <w:p w:rsidR="00000000" w:rsidRDefault="00AC31B9">
      <w:pPr>
        <w:jc w:val="both"/>
        <w:divId w:val="131875138"/>
        <w:rPr>
          <w:rFonts w:eastAsia="Times New Roman"/>
        </w:rPr>
      </w:pPr>
      <w:r>
        <w:rPr>
          <w:rFonts w:eastAsia="Times New Roman"/>
          <w:b/>
          <w:bCs/>
          <w:i/>
          <w:iCs/>
          <w:color w:val="000000"/>
          <w:sz w:val="20"/>
          <w:szCs w:val="20"/>
        </w:rPr>
        <w:t xml:space="preserve">UGI Energy Services Credit Agreement. </w:t>
      </w:r>
      <w:r>
        <w:rPr>
          <w:rFonts w:eastAsia="Times New Roman"/>
          <w:color w:val="000000"/>
          <w:sz w:val="20"/>
          <w:szCs w:val="20"/>
        </w:rPr>
        <w:t>On May 12, 2023, Energy Services entered into the second amendment to the UGI Energy Services Credit Agreement, which provides that the Term SOFR rate (as defined in the UGI Energy Services Credit A</w:t>
      </w:r>
      <w:r>
        <w:rPr>
          <w:rFonts w:eastAsia="Times New Roman"/>
          <w:color w:val="000000"/>
          <w:sz w:val="20"/>
          <w:szCs w:val="20"/>
        </w:rPr>
        <w:t>greement) shall replace LIBOR as a reference rate. After giving effect to the second amendment, the UGI Energy Services Credit Agreement shall bear interest at a floating rate of, at Energy Services’ option, either (i) Term SOFR plus the Applicable Rate (a</w:t>
      </w:r>
      <w:r>
        <w:rPr>
          <w:rFonts w:eastAsia="Times New Roman"/>
          <w:color w:val="000000"/>
          <w:sz w:val="20"/>
          <w:szCs w:val="20"/>
        </w:rPr>
        <w:t xml:space="preserve">s defined in the UGI Energy Services Credit Agreement) plus a credit spread adjustment of 0.10%, or (ii) the base rate plus the Applicable Rate. The Applicable Rate will be based on the leverage of Energy Services. </w:t>
      </w:r>
    </w:p>
    <w:p w:rsidR="00000000" w:rsidRDefault="00AC31B9">
      <w:pPr>
        <w:jc w:val="both"/>
        <w:divId w:val="179857137"/>
        <w:rPr>
          <w:rFonts w:eastAsia="Times New Roman"/>
        </w:rPr>
      </w:pPr>
      <w:r>
        <w:rPr>
          <w:rFonts w:eastAsia="Times New Roman"/>
          <w:b/>
          <w:bCs/>
          <w:i/>
          <w:iCs/>
          <w:color w:val="000000"/>
          <w:sz w:val="20"/>
          <w:szCs w:val="20"/>
        </w:rPr>
        <w:t>Energy Services Amended Term Loan Credit</w:t>
      </w:r>
      <w:r>
        <w:rPr>
          <w:rFonts w:eastAsia="Times New Roman"/>
          <w:b/>
          <w:bCs/>
          <w:i/>
          <w:iCs/>
          <w:color w:val="000000"/>
          <w:sz w:val="20"/>
          <w:szCs w:val="20"/>
        </w:rPr>
        <w:t xml:space="preserve"> Agreement.</w:t>
      </w:r>
      <w:r>
        <w:rPr>
          <w:rFonts w:eastAsia="Times New Roman"/>
          <w:color w:val="000000"/>
          <w:sz w:val="20"/>
          <w:szCs w:val="20"/>
        </w:rPr>
        <w:t xml:space="preserve"> On February 23, 2023, Energy Services entered into the Energy Services Amended Term Loan Credit Agreement, the first amendment to the Energy Services Term Loan Credit Agreement, dated August 13, 2019. The Energy Services Amended Term Loan Credi</w:t>
      </w:r>
      <w:r>
        <w:rPr>
          <w:rFonts w:eastAsia="Times New Roman"/>
          <w:color w:val="000000"/>
          <w:sz w:val="20"/>
          <w:szCs w:val="20"/>
        </w:rPr>
        <w:t xml:space="preserve">t Agreement provides, among other items, that (i) the outstanding principal amount of the loans shall be increased by $125 million to $800 million, (ii) the maturity date of the loans shall be extended to February 22, 2030, and (iii) Term SOFR (as defined </w:t>
      </w:r>
      <w:r>
        <w:rPr>
          <w:rFonts w:eastAsia="Times New Roman"/>
          <w:color w:val="000000"/>
          <w:sz w:val="20"/>
          <w:szCs w:val="20"/>
        </w:rPr>
        <w:t xml:space="preserve">in the Energy Services Amended Term Loan Credit Agreement) shall replace LIBOR as a reference rate. </w:t>
      </w:r>
    </w:p>
    <w:p w:rsidR="00000000" w:rsidRDefault="00AC31B9">
      <w:pPr>
        <w:jc w:val="both"/>
        <w:divId w:val="1642148317"/>
        <w:rPr>
          <w:rFonts w:eastAsia="Times New Roman"/>
        </w:rPr>
      </w:pPr>
      <w:r>
        <w:rPr>
          <w:rFonts w:eastAsia="Times New Roman"/>
          <w:b/>
          <w:bCs/>
          <w:i/>
          <w:iCs/>
          <w:color w:val="000000"/>
          <w:sz w:val="20"/>
          <w:szCs w:val="20"/>
        </w:rPr>
        <w:t>Mountaineer 2023 Credit Agreement.</w:t>
      </w:r>
      <w:r>
        <w:rPr>
          <w:rFonts w:eastAsia="Times New Roman"/>
          <w:b/>
          <w:bCs/>
          <w:color w:val="000000"/>
          <w:sz w:val="20"/>
          <w:szCs w:val="20"/>
        </w:rPr>
        <w:t xml:space="preserve"> </w:t>
      </w:r>
      <w:r>
        <w:rPr>
          <w:rFonts w:eastAsia="Times New Roman"/>
          <w:color w:val="000000"/>
          <w:sz w:val="20"/>
          <w:szCs w:val="20"/>
        </w:rPr>
        <w:t>On October 20, 2022, Mountaineer entered into the Mountaineer 2023 Credit Agreement, as borrower, with a group of lender</w:t>
      </w:r>
      <w:r>
        <w:rPr>
          <w:rFonts w:eastAsia="Times New Roman"/>
          <w:color w:val="000000"/>
          <w:sz w:val="20"/>
          <w:szCs w:val="20"/>
        </w:rPr>
        <w:t>s. The Mountaineer 2023 Credit Agreement amends and restates a previous credit agreement and provides for borrowings up to $150 million, including a $20 million sublimit for letters of credit. Mountaineer may request an increase in the amount of loan commi</w:t>
      </w:r>
      <w:r>
        <w:rPr>
          <w:rFonts w:eastAsia="Times New Roman"/>
          <w:color w:val="000000"/>
          <w:sz w:val="20"/>
          <w:szCs w:val="20"/>
        </w:rPr>
        <w:t>tments to a maximum aggregate amount of $250 million, subject to certain terms and conditions. Borrowings under the Mountaineer 2023 Credit Agreement can be used to finance the working capital needs of Mountaineer and for general corporate purposes. The Mo</w:t>
      </w:r>
      <w:r>
        <w:rPr>
          <w:rFonts w:eastAsia="Times New Roman"/>
          <w:color w:val="000000"/>
          <w:sz w:val="20"/>
          <w:szCs w:val="20"/>
        </w:rPr>
        <w:t>untaineer 2023 Credit Agreement is scheduled to expire in November 2024, and Mountaineer has the option, with the consent of the lenders, to request extension of the maturity date to November 2025, and then to November 2026, upon fulfillment of specified c</w:t>
      </w:r>
      <w:r>
        <w:rPr>
          <w:rFonts w:eastAsia="Times New Roman"/>
          <w:color w:val="000000"/>
          <w:sz w:val="20"/>
          <w:szCs w:val="20"/>
        </w:rPr>
        <w:t>onditions.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Corporation Credit Facility Agreement</w:t>
      </w:r>
      <w:r>
        <w:rPr>
          <w:rFonts w:eastAsia="Times New Roman"/>
          <w:b/>
          <w:bCs/>
          <w:color w:val="000000"/>
          <w:sz w:val="20"/>
          <w:szCs w:val="20"/>
        </w:rPr>
        <w:t xml:space="preserve">. </w:t>
      </w:r>
      <w:r>
        <w:rPr>
          <w:rFonts w:eastAsia="Times New Roman"/>
          <w:color w:val="000000"/>
          <w:sz w:val="20"/>
          <w:szCs w:val="20"/>
        </w:rPr>
        <w:t>On May 12, 2023, the Company entered into the second amendment to the UGI Corporation Credit Agreement, which provides that the Term SOFR rate (as defined in the UGI Corporation Credit Agreement) shal</w:t>
      </w:r>
      <w:r>
        <w:rPr>
          <w:rFonts w:eastAsia="Times New Roman"/>
          <w:color w:val="000000"/>
          <w:sz w:val="20"/>
          <w:szCs w:val="20"/>
        </w:rPr>
        <w:t xml:space="preserve">l replace LIBOR as a reference rate. After giving effect to the second amendment, the UGI Corporation Credit Agreement shall bear interest at a floating rate of, at the Company’s option, either (i) Term SOFR plus the Applicable Rate (as defined in the UGI </w:t>
      </w:r>
      <w:r>
        <w:rPr>
          <w:rFonts w:eastAsia="Times New Roman"/>
          <w:color w:val="000000"/>
          <w:sz w:val="20"/>
          <w:szCs w:val="20"/>
        </w:rPr>
        <w:t>Corporation Credit Agreement) plus a credit spread adjustment of 0.10%, or (ii) the base rate plus the applicable margin that will be based on the leverage of the Company or credit ratings assigned to certain indebtedness of the Company.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On September 20,</w:t>
      </w:r>
      <w:r>
        <w:rPr>
          <w:rFonts w:eastAsia="Times New Roman"/>
          <w:color w:val="000000"/>
          <w:sz w:val="20"/>
          <w:szCs w:val="20"/>
        </w:rPr>
        <w:t xml:space="preserve"> 2023, UGI amended the UGI Corporation Credit Facility Agreement which extended the maturity date of the (1) five-year $250 million amortizing variable-rate term loan and (2) five-year $300 million revolving credit facility to May 2025 and increased the ap</w:t>
      </w:r>
      <w:r>
        <w:rPr>
          <w:rFonts w:eastAsia="Times New Roman"/>
          <w:color w:val="000000"/>
          <w:sz w:val="20"/>
          <w:szCs w:val="20"/>
        </w:rPr>
        <w:t>plicable rates (as defined in the amended UGI Corporation Credit Agreement) by 0.125%.</w:t>
      </w:r>
    </w:p>
    <w:p w:rsidR="00000000" w:rsidRDefault="00AC31B9">
      <w:pPr>
        <w:jc w:val="center"/>
        <w:divId w:val="1902712554"/>
        <w:rPr>
          <w:rFonts w:eastAsia="Times New Roman"/>
        </w:rPr>
      </w:pPr>
      <w:r>
        <w:rPr>
          <w:rFonts w:eastAsia="Times New Roman"/>
          <w:color w:val="000000"/>
          <w:sz w:val="20"/>
          <w:szCs w:val="20"/>
        </w:rPr>
        <w:t>60</w:t>
      </w:r>
    </w:p>
    <w:p w:rsidR="00000000" w:rsidRDefault="00AC31B9">
      <w:pPr>
        <w:rPr>
          <w:rFonts w:eastAsia="Times New Roman"/>
        </w:rPr>
      </w:pPr>
      <w:r>
        <w:rPr>
          <w:rFonts w:eastAsia="Times New Roman"/>
        </w:rPr>
        <w:pict>
          <v:rect id="_x0000_i1087" style="width:0;height:1.5pt" o:hralign="center" o:hrstd="t" o:hr="t" fillcolor="#a0a0a0" stroked="f"/>
        </w:pict>
      </w:r>
    </w:p>
    <w:p w:rsidR="00000000" w:rsidRDefault="00AC31B9">
      <w:pPr>
        <w:divId w:val="1048529658"/>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Credit Facilities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Information about the Company’s principal credit agreements (excluding Energy Services’ Receivables Facility, which is discussed below) as of September 30, 2023 and 2022, is presented in the tables below. </w:t>
      </w:r>
    </w:p>
    <w:tbl>
      <w:tblPr>
        <w:tblW w:w="4978" w:type="pct"/>
        <w:jc w:val="center"/>
        <w:tblCellMar>
          <w:top w:w="15" w:type="dxa"/>
          <w:left w:w="15" w:type="dxa"/>
          <w:bottom w:w="15" w:type="dxa"/>
          <w:right w:w="15" w:type="dxa"/>
        </w:tblCellMar>
        <w:tblLook w:val="04A0" w:firstRow="1" w:lastRow="0" w:firstColumn="1" w:lastColumn="0" w:noHBand="0" w:noVBand="1"/>
      </w:tblPr>
      <w:tblGrid>
        <w:gridCol w:w="52"/>
        <w:gridCol w:w="1654"/>
        <w:gridCol w:w="39"/>
        <w:gridCol w:w="36"/>
        <w:gridCol w:w="36"/>
        <w:gridCol w:w="36"/>
        <w:gridCol w:w="59"/>
        <w:gridCol w:w="827"/>
        <w:gridCol w:w="36"/>
        <w:gridCol w:w="36"/>
        <w:gridCol w:w="36"/>
        <w:gridCol w:w="36"/>
        <w:gridCol w:w="121"/>
        <w:gridCol w:w="676"/>
        <w:gridCol w:w="36"/>
        <w:gridCol w:w="36"/>
        <w:gridCol w:w="36"/>
        <w:gridCol w:w="36"/>
        <w:gridCol w:w="121"/>
        <w:gridCol w:w="916"/>
        <w:gridCol w:w="36"/>
        <w:gridCol w:w="36"/>
        <w:gridCol w:w="36"/>
        <w:gridCol w:w="36"/>
        <w:gridCol w:w="121"/>
        <w:gridCol w:w="913"/>
        <w:gridCol w:w="36"/>
        <w:gridCol w:w="36"/>
        <w:gridCol w:w="36"/>
        <w:gridCol w:w="36"/>
        <w:gridCol w:w="121"/>
        <w:gridCol w:w="822"/>
        <w:gridCol w:w="36"/>
        <w:gridCol w:w="36"/>
        <w:gridCol w:w="36"/>
        <w:gridCol w:w="36"/>
        <w:gridCol w:w="70"/>
        <w:gridCol w:w="742"/>
        <w:gridCol w:w="187"/>
      </w:tblGrid>
      <w:tr w:rsidR="00000000">
        <w:trPr>
          <w:divId w:val="1406222873"/>
          <w:jc w:val="center"/>
        </w:trPr>
        <w:tc>
          <w:tcPr>
            <w:tcW w:w="50" w:type="pct"/>
            <w:vAlign w:val="center"/>
            <w:hideMark/>
          </w:tcPr>
          <w:p w:rsidR="00000000" w:rsidRDefault="00AC31B9">
            <w:pPr>
              <w:jc w:val="both"/>
              <w:rPr>
                <w:rFonts w:eastAsia="Times New Roman"/>
              </w:rPr>
            </w:pPr>
          </w:p>
        </w:tc>
        <w:tc>
          <w:tcPr>
            <w:tcW w:w="115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7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9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9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8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406222873"/>
          <w:jc w:val="center"/>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(Currency in millions)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Expiration Date</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Total Capacity</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Borrowings Outstanding</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Letters of Credit and Guarantees Outstanding</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Available Borrowing Capacity</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Weighted Average Interest Rate - End of Year</w:t>
            </w:r>
          </w:p>
        </w:tc>
      </w:tr>
      <w:tr w:rsidR="00000000">
        <w:trPr>
          <w:divId w:val="1406222873"/>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September 30, 2023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406222873"/>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AmeriGas OLP</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September 2026</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598 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N.A.</w:t>
            </w:r>
          </w:p>
        </w:tc>
      </w:tr>
      <w:tr w:rsidR="00000000">
        <w:trPr>
          <w:divId w:val="1406222873"/>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International, LLC (a)</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March 2028</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5.17 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406222873"/>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Energy Services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March 2025</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7.67 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406222873"/>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Utilities (c)</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June 2024</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425 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6.30 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406222873"/>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Mountaineer</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November 2024</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6.68 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406222873"/>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Corporation (b)</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May 2025</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7.80 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406222873"/>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September 30, 2022</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406222873"/>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AmeriGas OLP</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September 2026</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467 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7.27 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406222873"/>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International, LLC (a)</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October 2023</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N.A.</w:t>
            </w:r>
          </w:p>
        </w:tc>
      </w:tr>
      <w:tr w:rsidR="00000000">
        <w:trPr>
          <w:divId w:val="1406222873"/>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Energy Services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March 2025</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N.A.</w:t>
            </w:r>
          </w:p>
        </w:tc>
      </w:tr>
      <w:tr w:rsidR="00000000">
        <w:trPr>
          <w:divId w:val="1406222873"/>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Utilities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June 2024</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4.37 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406222873"/>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Mountaineer</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November 2024</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406222873"/>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Corporation (b)</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August 2024</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5.62 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bl>
    <w:p w:rsidR="00000000" w:rsidRDefault="00AC31B9">
      <w:pPr>
        <w:ind w:hanging="360"/>
        <w:jc w:val="both"/>
        <w:rPr>
          <w:rFonts w:eastAsia="Times New Roman"/>
        </w:rPr>
      </w:pPr>
      <w:r>
        <w:rPr>
          <w:rFonts w:eastAsia="Times New Roman"/>
          <w:color w:val="000000"/>
          <w:sz w:val="20"/>
          <w:szCs w:val="20"/>
        </w:rPr>
        <w:t>(a)Permit</w:t>
      </w:r>
      <w:r>
        <w:rPr>
          <w:rFonts w:eastAsia="Times New Roman"/>
          <w:color w:val="000000"/>
          <w:sz w:val="20"/>
          <w:szCs w:val="20"/>
        </w:rPr>
        <w:t xml:space="preserve">s UGI International, LLC to borrow in euros or USD. </w:t>
      </w:r>
    </w:p>
    <w:p w:rsidR="00000000" w:rsidRDefault="00AC31B9">
      <w:pPr>
        <w:ind w:hanging="360"/>
        <w:jc w:val="both"/>
        <w:rPr>
          <w:rFonts w:eastAsia="Times New Roman"/>
        </w:rPr>
      </w:pPr>
      <w:r>
        <w:rPr>
          <w:rFonts w:eastAsia="Times New Roman"/>
          <w:color w:val="000000"/>
          <w:sz w:val="20"/>
          <w:szCs w:val="20"/>
        </w:rPr>
        <w:t>(b)Borrowings outstanding have been classified as “Long-term debt” on the Consolidated Balance Sheets. Subsequent to September 30, 2022, the Company repaid $87 million of such borrowings and classified t</w:t>
      </w:r>
      <w:r>
        <w:rPr>
          <w:rFonts w:eastAsia="Times New Roman"/>
          <w:color w:val="000000"/>
          <w:sz w:val="20"/>
          <w:szCs w:val="20"/>
        </w:rPr>
        <w:t>hese repayments as “Current maturities of long-term debt” on the Consolidated Balance Sheets.</w:t>
      </w:r>
    </w:p>
    <w:p w:rsidR="00000000" w:rsidRDefault="00AC31B9">
      <w:pPr>
        <w:ind w:hanging="360"/>
        <w:jc w:val="both"/>
        <w:rPr>
          <w:rFonts w:eastAsia="Times New Roman"/>
        </w:rPr>
      </w:pPr>
      <w:r>
        <w:rPr>
          <w:rFonts w:eastAsia="Times New Roman"/>
          <w:color w:val="000000"/>
          <w:sz w:val="20"/>
          <w:szCs w:val="20"/>
        </w:rPr>
        <w:t>(c)On November 9, 2023, UGI Utilities entered into the UGI Utilities 2023 Credit Agreement and concurrently terminated the UGI Utilities Credit Agreement, a prede</w:t>
      </w:r>
      <w:r>
        <w:rPr>
          <w:rFonts w:eastAsia="Times New Roman"/>
          <w:color w:val="000000"/>
          <w:sz w:val="20"/>
          <w:szCs w:val="20"/>
        </w:rPr>
        <w:t xml:space="preserve">cessor agreement. See </w:t>
      </w:r>
      <w:r>
        <w:rPr>
          <w:rFonts w:eastAsia="Times New Roman"/>
          <w:i/>
          <w:iCs/>
          <w:color w:val="000000"/>
          <w:sz w:val="20"/>
          <w:szCs w:val="20"/>
        </w:rPr>
        <w:t>Significant Financing Activities</w:t>
      </w:r>
      <w:r>
        <w:rPr>
          <w:rFonts w:eastAsia="Times New Roman"/>
          <w:color w:val="000000"/>
          <w:sz w:val="20"/>
          <w:szCs w:val="20"/>
        </w:rPr>
        <w:t xml:space="preserve"> above and Note 6 for additional information.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N.A. - Not applicable</w:t>
      </w:r>
    </w:p>
    <w:p w:rsidR="00000000" w:rsidRDefault="00AC31B9">
      <w:pPr>
        <w:divId w:val="1637056098"/>
        <w:rPr>
          <w:rFonts w:eastAsia="Times New Roman"/>
        </w:rPr>
      </w:pPr>
    </w:p>
    <w:p w:rsidR="00000000" w:rsidRDefault="00AC31B9">
      <w:pPr>
        <w:jc w:val="both"/>
        <w:rPr>
          <w:rFonts w:eastAsia="Times New Roman"/>
        </w:rPr>
      </w:pPr>
      <w:r>
        <w:rPr>
          <w:rFonts w:eastAsia="Times New Roman"/>
          <w:color w:val="000000"/>
          <w:sz w:val="20"/>
          <w:szCs w:val="20"/>
        </w:rPr>
        <w:t>The average daily and peak short-term borrowings under the Company’s principal credit agreements are as follows:</w:t>
      </w:r>
    </w:p>
    <w:tbl>
      <w:tblPr>
        <w:tblW w:w="4978" w:type="pct"/>
        <w:tblCellMar>
          <w:top w:w="15" w:type="dxa"/>
          <w:left w:w="15" w:type="dxa"/>
          <w:bottom w:w="15" w:type="dxa"/>
          <w:right w:w="15" w:type="dxa"/>
        </w:tblCellMar>
        <w:tblLook w:val="04A0" w:firstRow="1" w:lastRow="0" w:firstColumn="1" w:lastColumn="0" w:noHBand="0" w:noVBand="1"/>
      </w:tblPr>
      <w:tblGrid>
        <w:gridCol w:w="38"/>
        <w:gridCol w:w="3993"/>
        <w:gridCol w:w="37"/>
        <w:gridCol w:w="36"/>
        <w:gridCol w:w="36"/>
        <w:gridCol w:w="36"/>
        <w:gridCol w:w="121"/>
        <w:gridCol w:w="785"/>
        <w:gridCol w:w="36"/>
        <w:gridCol w:w="36"/>
        <w:gridCol w:w="36"/>
        <w:gridCol w:w="36"/>
        <w:gridCol w:w="120"/>
        <w:gridCol w:w="786"/>
        <w:gridCol w:w="36"/>
        <w:gridCol w:w="36"/>
        <w:gridCol w:w="36"/>
        <w:gridCol w:w="36"/>
        <w:gridCol w:w="121"/>
        <w:gridCol w:w="786"/>
        <w:gridCol w:w="36"/>
        <w:gridCol w:w="36"/>
        <w:gridCol w:w="36"/>
        <w:gridCol w:w="36"/>
        <w:gridCol w:w="120"/>
        <w:gridCol w:w="786"/>
        <w:gridCol w:w="36"/>
      </w:tblGrid>
      <w:tr w:rsidR="00000000">
        <w:trPr>
          <w:divId w:val="1862358460"/>
        </w:trPr>
        <w:tc>
          <w:tcPr>
            <w:tcW w:w="50" w:type="pct"/>
            <w:vAlign w:val="center"/>
            <w:hideMark/>
          </w:tcPr>
          <w:p w:rsidR="00000000" w:rsidRDefault="00AC31B9">
            <w:pPr>
              <w:jc w:val="both"/>
              <w:rPr>
                <w:rFonts w:eastAsia="Times New Roman"/>
              </w:rPr>
            </w:pPr>
          </w:p>
        </w:tc>
        <w:tc>
          <w:tcPr>
            <w:tcW w:w="244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862358460"/>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r>
      <w:tr w:rsidR="00000000">
        <w:trPr>
          <w:divId w:val="1862358460"/>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(Currency in millions)</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Average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Peak</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Average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Peak</w:t>
            </w:r>
          </w:p>
        </w:tc>
      </w:tr>
      <w:tr w:rsidR="00000000">
        <w:trPr>
          <w:divId w:val="186235846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AmeriGas OLP</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862358460"/>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International, LLC</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862358460"/>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Energy Services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862358460"/>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340 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270 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862358460"/>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Mountaineer</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862358460"/>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Corporation</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both"/>
        <w:divId w:val="958100587"/>
        <w:rPr>
          <w:rFonts w:eastAsia="Times New Roman"/>
        </w:rPr>
      </w:pPr>
      <w:r>
        <w:rPr>
          <w:rFonts w:eastAsia="Times New Roman"/>
          <w:b/>
          <w:bCs/>
          <w:i/>
          <w:iCs/>
          <w:color w:val="000000"/>
          <w:sz w:val="20"/>
          <w:szCs w:val="20"/>
        </w:rPr>
        <w:t>Receivables Facility.</w:t>
      </w:r>
      <w:r>
        <w:rPr>
          <w:rFonts w:eastAsia="Times New Roman"/>
          <w:color w:val="000000"/>
          <w:sz w:val="20"/>
          <w:szCs w:val="20"/>
        </w:rPr>
        <w:t xml:space="preserve"> Energy Services has a Receivables Facility with an issuer of receivables-backed commercial paper. O</w:t>
      </w:r>
      <w:r>
        <w:rPr>
          <w:rFonts w:eastAsia="Times New Roman"/>
          <w:color w:val="000000"/>
          <w:sz w:val="20"/>
          <w:szCs w:val="20"/>
        </w:rPr>
        <w:t>n October 20, 2023, the expiration date of the Receivables Facility was extended to October 18, 2024. The Receivables Facility provides Energy Services with the ability to borrow up to $200 million of eligible receivables during the period October 20, 2023</w:t>
      </w:r>
      <w:r>
        <w:rPr>
          <w:rFonts w:eastAsia="Times New Roman"/>
          <w:color w:val="000000"/>
          <w:sz w:val="20"/>
          <w:szCs w:val="20"/>
        </w:rPr>
        <w:t xml:space="preserve"> to April 30, 2024, and up to $100 million of eligible receivables during the period May 1, 2024 to October 18, 2024. Energy Services uses the Receivables Facility to fund working capital, margin calls under commodity futures contracts, capital expenditure</w:t>
      </w:r>
      <w:r>
        <w:rPr>
          <w:rFonts w:eastAsia="Times New Roman"/>
          <w:color w:val="000000"/>
          <w:sz w:val="20"/>
          <w:szCs w:val="20"/>
        </w:rPr>
        <w:t xml:space="preserve">s, dividends and for general corporate purposes. </w:t>
      </w:r>
    </w:p>
    <w:p w:rsidR="00000000" w:rsidRDefault="00AC31B9">
      <w:pPr>
        <w:jc w:val="both"/>
        <w:divId w:val="1198930032"/>
        <w:rPr>
          <w:rFonts w:eastAsia="Times New Roman"/>
        </w:rPr>
      </w:pPr>
      <w:r>
        <w:rPr>
          <w:rFonts w:eastAsia="Times New Roman"/>
          <w:color w:val="000000"/>
          <w:sz w:val="20"/>
          <w:szCs w:val="20"/>
        </w:rPr>
        <w:t>Under the Receivables Facility, Energy Services transfers, on an ongoing basis and without recourse, its trade accounts receivable to its wholly owned, special purpose subsidiary, ESFC, which is consolidate</w:t>
      </w:r>
      <w:r>
        <w:rPr>
          <w:rFonts w:eastAsia="Times New Roman"/>
          <w:color w:val="000000"/>
          <w:sz w:val="20"/>
          <w:szCs w:val="20"/>
        </w:rPr>
        <w:t xml:space="preserve">d for financial statement purposes. </w:t>
      </w:r>
    </w:p>
    <w:p w:rsidR="00000000" w:rsidRDefault="00AC31B9">
      <w:pPr>
        <w:jc w:val="center"/>
        <w:divId w:val="1280599592"/>
        <w:rPr>
          <w:rFonts w:eastAsia="Times New Roman"/>
        </w:rPr>
      </w:pPr>
      <w:r>
        <w:rPr>
          <w:rFonts w:eastAsia="Times New Roman"/>
          <w:color w:val="000000"/>
          <w:sz w:val="20"/>
          <w:szCs w:val="20"/>
        </w:rPr>
        <w:t>61</w:t>
      </w:r>
    </w:p>
    <w:p w:rsidR="00000000" w:rsidRDefault="00AC31B9">
      <w:pPr>
        <w:rPr>
          <w:rFonts w:eastAsia="Times New Roman"/>
        </w:rPr>
      </w:pPr>
      <w:r>
        <w:rPr>
          <w:rFonts w:eastAsia="Times New Roman"/>
        </w:rPr>
        <w:pict>
          <v:rect id="_x0000_i1088" style="width:0;height:1.5pt" o:hralign="center" o:hrstd="t" o:hr="t" fillcolor="#a0a0a0" stroked="f"/>
        </w:pict>
      </w:r>
    </w:p>
    <w:p w:rsidR="00000000" w:rsidRDefault="00AC31B9">
      <w:pPr>
        <w:divId w:val="348874400"/>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divId w:val="922881596"/>
        <w:rPr>
          <w:rFonts w:eastAsia="Times New Roman"/>
        </w:rPr>
      </w:pPr>
      <w:r>
        <w:rPr>
          <w:rFonts w:eastAsia="Times New Roman"/>
          <w:color w:val="000000"/>
          <w:sz w:val="20"/>
          <w:szCs w:val="20"/>
        </w:rPr>
        <w:t>ESFC, in turn, has sold and, subject to certain conditions, may from time to time sell, an undivided int</w:t>
      </w:r>
      <w:r>
        <w:rPr>
          <w:rFonts w:eastAsia="Times New Roman"/>
          <w:color w:val="000000"/>
          <w:sz w:val="20"/>
          <w:szCs w:val="20"/>
        </w:rPr>
        <w:t xml:space="preserve">erest in some or all of the receivables to a major bank. Amounts sold to the bank are reflected as “Short-term borrowings” on the Consolidated Balance Sheets. ESFC was created and has been structured to isolate its assets from creditors of Energy Services </w:t>
      </w:r>
      <w:r>
        <w:rPr>
          <w:rFonts w:eastAsia="Times New Roman"/>
          <w:color w:val="000000"/>
          <w:sz w:val="20"/>
          <w:szCs w:val="20"/>
        </w:rPr>
        <w:t>and its affiliates, including UGI. Trade receivables sold to the bank remain on the Company’s balance sheet and the Company reflects a liability equal to the amount advanced by the bank. The Company records interest expense on amounts owed to the bank. Ene</w:t>
      </w:r>
      <w:r>
        <w:rPr>
          <w:rFonts w:eastAsia="Times New Roman"/>
          <w:color w:val="000000"/>
          <w:sz w:val="20"/>
          <w:szCs w:val="20"/>
        </w:rPr>
        <w:t xml:space="preserve">rgy Services continues to service, administer and collect trade receivables on behalf of the bank, as applicable. </w:t>
      </w:r>
    </w:p>
    <w:p w:rsidR="00000000" w:rsidRDefault="00AC31B9">
      <w:pPr>
        <w:jc w:val="both"/>
        <w:divId w:val="602803224"/>
        <w:rPr>
          <w:rFonts w:eastAsia="Times New Roman"/>
        </w:rPr>
      </w:pPr>
      <w:r>
        <w:rPr>
          <w:rFonts w:eastAsia="Times New Roman"/>
          <w:color w:val="000000"/>
          <w:sz w:val="20"/>
          <w:szCs w:val="20"/>
        </w:rPr>
        <w:t>At September 30, 2023, the outstanding balance of trade receivables was $62 million, $46 million of which were sold to the bank. At September</w:t>
      </w:r>
      <w:r>
        <w:rPr>
          <w:rFonts w:eastAsia="Times New Roman"/>
          <w:color w:val="000000"/>
          <w:sz w:val="20"/>
          <w:szCs w:val="20"/>
        </w:rPr>
        <w:t xml:space="preserve"> 30, 2022, the outstanding balance of trade receivables was $101 million, none of which was sold to the bank. Amounts sold to the bank are reflected as “Short-term borrowings” on the Consolidated Balance Sheet. During Fiscal 2023 and Fiscal 2022, peak sale</w:t>
      </w:r>
      <w:r>
        <w:rPr>
          <w:rFonts w:eastAsia="Times New Roman"/>
          <w:color w:val="000000"/>
          <w:sz w:val="20"/>
          <w:szCs w:val="20"/>
        </w:rPr>
        <w:t>s of receivables were $150 million and $98 million, respectively. During Fiscal 2023 and Fiscal 2022, average daily amounts sold were $46 million and $2 million, respectively.</w:t>
      </w:r>
    </w:p>
    <w:p w:rsidR="00000000" w:rsidRDefault="00AC31B9">
      <w:pPr>
        <w:jc w:val="both"/>
        <w:divId w:val="67465534"/>
        <w:rPr>
          <w:rFonts w:eastAsia="Times New Roman"/>
        </w:rPr>
      </w:pPr>
      <w:r>
        <w:rPr>
          <w:rFonts w:eastAsia="Times New Roman"/>
          <w:color w:val="000000"/>
          <w:sz w:val="20"/>
          <w:szCs w:val="20"/>
        </w:rPr>
        <w:t>For further information on the Company’s long-term debt, credit facilities and t</w:t>
      </w:r>
      <w:r>
        <w:rPr>
          <w:rFonts w:eastAsia="Times New Roman"/>
          <w:color w:val="000000"/>
          <w:sz w:val="20"/>
          <w:szCs w:val="20"/>
        </w:rPr>
        <w:t>he Receivables Facility, see Note 6 to Consolidated Financial Statements.</w:t>
      </w:r>
    </w:p>
    <w:p w:rsidR="00000000" w:rsidRDefault="00AC31B9">
      <w:pPr>
        <w:jc w:val="both"/>
        <w:divId w:val="2073507237"/>
        <w:rPr>
          <w:rFonts w:eastAsia="Times New Roman"/>
        </w:rPr>
      </w:pPr>
      <w:r>
        <w:rPr>
          <w:rFonts w:eastAsia="Times New Roman"/>
          <w:b/>
          <w:bCs/>
          <w:color w:val="000000"/>
          <w:sz w:val="20"/>
          <w:szCs w:val="20"/>
        </w:rPr>
        <w:t>Cash Flows</w:t>
      </w:r>
    </w:p>
    <w:p w:rsidR="00000000" w:rsidRDefault="00AC31B9">
      <w:pPr>
        <w:jc w:val="both"/>
        <w:divId w:val="226573598"/>
        <w:rPr>
          <w:rFonts w:eastAsia="Times New Roman"/>
        </w:rPr>
      </w:pPr>
      <w:r>
        <w:rPr>
          <w:rFonts w:eastAsia="Times New Roman"/>
          <w:color w:val="000000"/>
          <w:sz w:val="20"/>
          <w:szCs w:val="20"/>
        </w:rPr>
        <w:t>Due to the seasonal nature of the Company’s businesses, cash flows from operating activities are generally strongest during the second and third fiscal quarters when custo</w:t>
      </w:r>
      <w:r>
        <w:rPr>
          <w:rFonts w:eastAsia="Times New Roman"/>
          <w:color w:val="000000"/>
          <w:sz w:val="20"/>
          <w:szCs w:val="20"/>
        </w:rPr>
        <w:t>mers pay for natural gas, LPG, electricity and other energy products and services consumed during the peak heating season months. Conversely, operating cash flows are generally at their lowest levels during the fourth and first fiscal quarters when the Com</w:t>
      </w:r>
      <w:r>
        <w:rPr>
          <w:rFonts w:eastAsia="Times New Roman"/>
          <w:color w:val="000000"/>
          <w:sz w:val="20"/>
          <w:szCs w:val="20"/>
        </w:rPr>
        <w:t>pany’s investment in working capital, principally inventories and accounts receivable, is generally greatest.</w:t>
      </w:r>
    </w:p>
    <w:p w:rsidR="00000000" w:rsidRDefault="00AC31B9">
      <w:pPr>
        <w:jc w:val="both"/>
        <w:divId w:val="989139965"/>
        <w:rPr>
          <w:rFonts w:eastAsia="Times New Roman"/>
        </w:rPr>
      </w:pPr>
      <w:r>
        <w:rPr>
          <w:rFonts w:eastAsia="Times New Roman"/>
          <w:b/>
          <w:bCs/>
          <w:color w:val="000000"/>
          <w:sz w:val="20"/>
          <w:szCs w:val="20"/>
        </w:rPr>
        <w:t>Operating Activities:</w:t>
      </w:r>
    </w:p>
    <w:p w:rsidR="00000000" w:rsidRDefault="00AC31B9">
      <w:pPr>
        <w:jc w:val="both"/>
        <w:divId w:val="1870876296"/>
        <w:rPr>
          <w:rFonts w:eastAsia="Times New Roman"/>
        </w:rPr>
      </w:pPr>
      <w:r>
        <w:rPr>
          <w:rFonts w:eastAsia="Times New Roman"/>
          <w:color w:val="000000"/>
          <w:sz w:val="20"/>
          <w:szCs w:val="20"/>
        </w:rPr>
        <w:t>Year-to-year variations in our cash flows from operating activities can be significantly affected by changes in operating wo</w:t>
      </w:r>
      <w:r>
        <w:rPr>
          <w:rFonts w:eastAsia="Times New Roman"/>
          <w:color w:val="000000"/>
          <w:sz w:val="20"/>
          <w:szCs w:val="20"/>
        </w:rPr>
        <w:t xml:space="preserve">rking capital, especially during periods with significant changes in energy commodity prices. Cash flows from operating activities in Fiscal 2023 and Fiscal 2022 were $1,107 million and $716 million, respectively. The increase in cash flow from operations </w:t>
      </w:r>
      <w:r>
        <w:rPr>
          <w:rFonts w:eastAsia="Times New Roman"/>
          <w:color w:val="000000"/>
          <w:sz w:val="20"/>
          <w:szCs w:val="20"/>
        </w:rPr>
        <w:t xml:space="preserve">principally reflects greater cash flow from changes in operating working capital offset in part by higher net derivative instrument collateral repayments. Cash flows from operating activities before changes in operating working capital were $1,258 million </w:t>
      </w:r>
      <w:r>
        <w:rPr>
          <w:rFonts w:eastAsia="Times New Roman"/>
          <w:color w:val="000000"/>
          <w:sz w:val="20"/>
          <w:szCs w:val="20"/>
        </w:rPr>
        <w:t>in Fiscal 2023 and $1,269 million in Fiscal 2022. Changes in operating working capital and collateral deposits used operating cash flow of $151 million in Fiscal 2023 compared to $553 million of cash flow used in Fiscal 2022. The significant decrease in ca</w:t>
      </w:r>
      <w:r>
        <w:rPr>
          <w:rFonts w:eastAsia="Times New Roman"/>
          <w:color w:val="000000"/>
          <w:sz w:val="20"/>
          <w:szCs w:val="20"/>
        </w:rPr>
        <w:t>sh used to fund changes in operating working capital principally reflects lower cash used to fund changes in accounts receivable and inventories partially offset by a significant increase in collateral deposit repayments and cash required to fund changes i</w:t>
      </w:r>
      <w:r>
        <w:rPr>
          <w:rFonts w:eastAsia="Times New Roman"/>
          <w:color w:val="000000"/>
          <w:sz w:val="20"/>
          <w:szCs w:val="20"/>
        </w:rPr>
        <w:t>n accounts payable. These changes in operating working capital and collateral deposits principally reflect the effects of the previously mentioned significant decrease in commodity energy prices during Fiscal 2023, principally at UGI International and Mids</w:t>
      </w:r>
      <w:r>
        <w:rPr>
          <w:rFonts w:eastAsia="Times New Roman"/>
          <w:color w:val="000000"/>
          <w:sz w:val="20"/>
          <w:szCs w:val="20"/>
        </w:rPr>
        <w:t>tream &amp; Marketing.</w:t>
      </w:r>
    </w:p>
    <w:p w:rsidR="00000000" w:rsidRDefault="00AC31B9">
      <w:pPr>
        <w:jc w:val="both"/>
        <w:divId w:val="1289163836"/>
        <w:rPr>
          <w:rFonts w:eastAsia="Times New Roman"/>
        </w:rPr>
      </w:pPr>
      <w:r>
        <w:rPr>
          <w:rFonts w:eastAsia="Times New Roman"/>
          <w:b/>
          <w:bCs/>
          <w:color w:val="000000"/>
          <w:sz w:val="20"/>
          <w:szCs w:val="20"/>
        </w:rPr>
        <w:t>Investing Activities:</w:t>
      </w:r>
    </w:p>
    <w:p w:rsidR="00000000" w:rsidRDefault="00AC31B9">
      <w:pPr>
        <w:jc w:val="both"/>
        <w:divId w:val="1188324442"/>
        <w:rPr>
          <w:rFonts w:eastAsia="Times New Roman"/>
        </w:rPr>
      </w:pPr>
      <w:r>
        <w:rPr>
          <w:rFonts w:eastAsia="Times New Roman"/>
          <w:color w:val="000000"/>
          <w:sz w:val="20"/>
          <w:szCs w:val="20"/>
        </w:rPr>
        <w:t>Investing activity cash flow is principally affected by cash expenditures for property, plant and equipment; cash paid for acquisitions of businesses and assets; investments in equity method investees; and cash proc</w:t>
      </w:r>
      <w:r>
        <w:rPr>
          <w:rFonts w:eastAsia="Times New Roman"/>
          <w:color w:val="000000"/>
          <w:sz w:val="20"/>
          <w:szCs w:val="20"/>
        </w:rPr>
        <w:t>eeds from sales and retirements of property, plant and equipment. Cash expenditures for property, plant and equipment totaled $974 million in Fiscal 2023 and $804 million in Fiscal 2022. The increase in cash payments for property, plant and equipment in Fi</w:t>
      </w:r>
      <w:r>
        <w:rPr>
          <w:rFonts w:eastAsia="Times New Roman"/>
          <w:color w:val="000000"/>
          <w:sz w:val="20"/>
          <w:szCs w:val="20"/>
        </w:rPr>
        <w:t>scal 2023 compared with Fiscal 2022 principally reflects higher cash capital expenditures in our Midstream &amp; Marketing segment due in large part to the investments in committed renewable energy projects and new LNG facilities and, to a lesser extent, sligh</w:t>
      </w:r>
      <w:r>
        <w:rPr>
          <w:rFonts w:eastAsia="Times New Roman"/>
          <w:color w:val="000000"/>
          <w:sz w:val="20"/>
          <w:szCs w:val="20"/>
        </w:rPr>
        <w:t>tly higher cash capital expenditures at our Utilities segment. Cash used for acquisitions of businesses and assets in Fiscal 2023 reflects a small acquisition in Europe while Fiscal 2022 includes the Stonehenge Acquisition and the Pennant Acquisition. Cash</w:t>
      </w:r>
      <w:r>
        <w:rPr>
          <w:rFonts w:eastAsia="Times New Roman"/>
          <w:color w:val="000000"/>
          <w:sz w:val="20"/>
          <w:szCs w:val="20"/>
        </w:rPr>
        <w:t xml:space="preserve"> used for investments in equity method investees was $146 million in Fiscal 2023 compared to $47 million in Fiscal 2022 principally reflecting investments in biomass and renewable energy projects at our Midstream &amp; Marketing reportable segment and, to a mu</w:t>
      </w:r>
      <w:r>
        <w:rPr>
          <w:rFonts w:eastAsia="Times New Roman"/>
          <w:color w:val="000000"/>
          <w:sz w:val="20"/>
          <w:szCs w:val="20"/>
        </w:rPr>
        <w:t>ch lesser extent, our investment in a renewable energy joint venture at UGI International. Cash inflows associated with investing activities during Fiscal 2023 and Fiscal 2022 also includes cash received from the settlement of certain forward foreign curre</w:t>
      </w:r>
      <w:r>
        <w:rPr>
          <w:rFonts w:eastAsia="Times New Roman"/>
          <w:color w:val="000000"/>
          <w:sz w:val="20"/>
          <w:szCs w:val="20"/>
        </w:rPr>
        <w:t xml:space="preserve">ncy contracts previously designated as net investment hedges. </w:t>
      </w:r>
    </w:p>
    <w:p w:rsidR="00000000" w:rsidRDefault="00AC31B9">
      <w:pPr>
        <w:jc w:val="both"/>
        <w:divId w:val="1998026098"/>
        <w:rPr>
          <w:rFonts w:eastAsia="Times New Roman"/>
        </w:rPr>
      </w:pPr>
      <w:r>
        <w:rPr>
          <w:rFonts w:eastAsia="Times New Roman"/>
          <w:b/>
          <w:bCs/>
          <w:color w:val="000000"/>
          <w:sz w:val="20"/>
          <w:szCs w:val="20"/>
        </w:rPr>
        <w:t>Financing Activities:</w:t>
      </w:r>
    </w:p>
    <w:p w:rsidR="00000000" w:rsidRDefault="00AC31B9">
      <w:pPr>
        <w:jc w:val="both"/>
        <w:divId w:val="1020396994"/>
        <w:rPr>
          <w:rFonts w:eastAsia="Times New Roman"/>
        </w:rPr>
      </w:pPr>
      <w:r>
        <w:rPr>
          <w:rFonts w:eastAsia="Times New Roman"/>
          <w:color w:val="000000"/>
          <w:sz w:val="20"/>
          <w:szCs w:val="20"/>
        </w:rPr>
        <w:t>Changes in cash flow from financing activities are primarily due to issuances and repayments of long-term debt; net short-term borrowings; dividends on UGI Common Stock; q</w:t>
      </w:r>
      <w:r>
        <w:rPr>
          <w:rFonts w:eastAsia="Times New Roman"/>
          <w:color w:val="000000"/>
          <w:sz w:val="20"/>
          <w:szCs w:val="20"/>
        </w:rPr>
        <w:t>uarterly payments on outstanding Purchase Contracts; and issuances and repurchases of equity instruments.</w:t>
      </w:r>
    </w:p>
    <w:p w:rsidR="00000000" w:rsidRDefault="00AC31B9">
      <w:pPr>
        <w:jc w:val="center"/>
        <w:divId w:val="2068841533"/>
        <w:rPr>
          <w:rFonts w:eastAsia="Times New Roman"/>
        </w:rPr>
      </w:pPr>
      <w:r>
        <w:rPr>
          <w:rFonts w:eastAsia="Times New Roman"/>
          <w:color w:val="000000"/>
          <w:sz w:val="20"/>
          <w:szCs w:val="20"/>
        </w:rPr>
        <w:t>62</w:t>
      </w:r>
    </w:p>
    <w:p w:rsidR="00000000" w:rsidRDefault="00AC31B9">
      <w:pPr>
        <w:rPr>
          <w:rFonts w:eastAsia="Times New Roman"/>
        </w:rPr>
      </w:pPr>
      <w:r>
        <w:rPr>
          <w:rFonts w:eastAsia="Times New Roman"/>
        </w:rPr>
        <w:pict>
          <v:rect id="_x0000_i1089" style="width:0;height:1.5pt" o:hralign="center" o:hrstd="t" o:hr="t" fillcolor="#a0a0a0" stroked="f"/>
        </w:pict>
      </w:r>
    </w:p>
    <w:p w:rsidR="00000000" w:rsidRDefault="00AC31B9">
      <w:pPr>
        <w:divId w:val="178159272"/>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divId w:val="741563417"/>
        <w:rPr>
          <w:rFonts w:eastAsia="Times New Roman"/>
        </w:rPr>
      </w:pPr>
      <w:r>
        <w:rPr>
          <w:rFonts w:eastAsia="Times New Roman"/>
          <w:color w:val="000000"/>
          <w:sz w:val="20"/>
          <w:szCs w:val="20"/>
        </w:rPr>
        <w:t>Cash flow used by financing activities was $168 million in Fiscal 2023 compared to cash flow used by financing activities of $51 million in Fiscal 2022. Fiscal 2023 activities include (1) entering into the previously mentioned UGI International 2023 Credit</w:t>
      </w:r>
      <w:r>
        <w:rPr>
          <w:rFonts w:eastAsia="Times New Roman"/>
          <w:color w:val="000000"/>
          <w:sz w:val="20"/>
          <w:szCs w:val="20"/>
        </w:rPr>
        <w:t xml:space="preserve"> Facilities Agreement in March 2023 and the concurrent repayment of borrowings under the UGI International Credit Facilities Agreement (a predecessor agreement); (2) entering into the previously mentioned Energy Services Amended Term Loan Agreement in Febr</w:t>
      </w:r>
      <w:r>
        <w:rPr>
          <w:rFonts w:eastAsia="Times New Roman"/>
          <w:color w:val="000000"/>
          <w:sz w:val="20"/>
          <w:szCs w:val="20"/>
        </w:rPr>
        <w:t xml:space="preserve">uary 2023 and the concurrent repayment of amounts outstanding under the Energy Services variable rate term loan; and (3) the May 2023 issuance of $500 million principal amount of AmeriGas Partners’ 9.375% Senior Notes and the repayment of the $675 million </w:t>
      </w:r>
      <w:r>
        <w:rPr>
          <w:rFonts w:eastAsia="Times New Roman"/>
          <w:color w:val="000000"/>
          <w:sz w:val="20"/>
          <w:szCs w:val="20"/>
        </w:rPr>
        <w:t>aggregate principal balance of AmeriGas Partners 5.625% Senior Notes. During Fiscal 2022, UGI International issued €400 million principal amount of senior notes and Utilities issued a combined $215 million principal amount of senior notes. Proceeds from th</w:t>
      </w:r>
      <w:r>
        <w:rPr>
          <w:rFonts w:eastAsia="Times New Roman"/>
          <w:color w:val="000000"/>
          <w:sz w:val="20"/>
          <w:szCs w:val="20"/>
        </w:rPr>
        <w:t>e Fiscal 2022 UGI International senior notes were used to repay existing long-term debt, while proceeds from the Utilities notes were used to reduce short-term borrowings and for general corporate purposes. In Fiscal 2023 and Fiscal 2022, the Company had a</w:t>
      </w:r>
      <w:r>
        <w:rPr>
          <w:rFonts w:eastAsia="Times New Roman"/>
          <w:color w:val="000000"/>
          <w:sz w:val="20"/>
          <w:szCs w:val="20"/>
        </w:rPr>
        <w:t xml:space="preserve">ggregate net borrowings from credit facilities and the Receivables Facility totaling $267 million and $1 million, respectively. </w:t>
      </w:r>
    </w:p>
    <w:p w:rsidR="00000000" w:rsidRDefault="00AC31B9">
      <w:pPr>
        <w:jc w:val="both"/>
        <w:divId w:val="1133788966"/>
        <w:rPr>
          <w:rFonts w:eastAsia="Times New Roman"/>
        </w:rPr>
      </w:pPr>
      <w:r>
        <w:rPr>
          <w:rFonts w:eastAsia="Times New Roman"/>
          <w:b/>
          <w:bCs/>
          <w:color w:val="000000"/>
          <w:sz w:val="20"/>
          <w:szCs w:val="20"/>
        </w:rPr>
        <w:t>Capital Expenditures</w:t>
      </w:r>
    </w:p>
    <w:p w:rsidR="00000000" w:rsidRDefault="00AC31B9">
      <w:pPr>
        <w:jc w:val="both"/>
        <w:divId w:val="564221700"/>
        <w:rPr>
          <w:rFonts w:eastAsia="Times New Roman"/>
        </w:rPr>
      </w:pPr>
      <w:r>
        <w:rPr>
          <w:rFonts w:eastAsia="Times New Roman"/>
          <w:color w:val="000000"/>
          <w:sz w:val="20"/>
          <w:szCs w:val="20"/>
        </w:rPr>
        <w:t>In the following table, we present capital expenditures (which exclude acquisitions of businesses and asse</w:t>
      </w:r>
      <w:r>
        <w:rPr>
          <w:rFonts w:eastAsia="Times New Roman"/>
          <w:color w:val="000000"/>
          <w:sz w:val="20"/>
          <w:szCs w:val="20"/>
        </w:rPr>
        <w:t>ts) for Fiscal 2023 and Fiscal 2022. We also provide amounts we expect to spend in Fiscal 2024. We expect to finance a substantial portion of our Fiscal 2024 capital expenditures from cash generated by operations and cash on hand.</w:t>
      </w:r>
    </w:p>
    <w:tbl>
      <w:tblPr>
        <w:tblW w:w="5000" w:type="pct"/>
        <w:tblCellMar>
          <w:top w:w="15" w:type="dxa"/>
          <w:left w:w="15" w:type="dxa"/>
          <w:bottom w:w="15" w:type="dxa"/>
          <w:right w:w="15" w:type="dxa"/>
        </w:tblCellMar>
        <w:tblLook w:val="04A0" w:firstRow="1" w:lastRow="0" w:firstColumn="1" w:lastColumn="0" w:noHBand="0" w:noVBand="1"/>
      </w:tblPr>
      <w:tblGrid>
        <w:gridCol w:w="39"/>
        <w:gridCol w:w="5066"/>
        <w:gridCol w:w="38"/>
        <w:gridCol w:w="36"/>
        <w:gridCol w:w="36"/>
        <w:gridCol w:w="36"/>
        <w:gridCol w:w="121"/>
        <w:gridCol w:w="789"/>
        <w:gridCol w:w="36"/>
        <w:gridCol w:w="36"/>
        <w:gridCol w:w="36"/>
        <w:gridCol w:w="36"/>
        <w:gridCol w:w="120"/>
        <w:gridCol w:w="790"/>
        <w:gridCol w:w="36"/>
        <w:gridCol w:w="36"/>
        <w:gridCol w:w="36"/>
        <w:gridCol w:w="36"/>
        <w:gridCol w:w="120"/>
        <w:gridCol w:w="791"/>
        <w:gridCol w:w="36"/>
      </w:tblGrid>
      <w:tr w:rsidR="00000000">
        <w:trPr>
          <w:divId w:val="536502377"/>
        </w:trPr>
        <w:tc>
          <w:tcPr>
            <w:tcW w:w="50" w:type="pct"/>
            <w:vAlign w:val="center"/>
            <w:hideMark/>
          </w:tcPr>
          <w:p w:rsidR="00000000" w:rsidRDefault="00AC31B9">
            <w:pPr>
              <w:jc w:val="both"/>
              <w:rPr>
                <w:rFonts w:eastAsia="Times New Roman"/>
              </w:rPr>
            </w:pPr>
          </w:p>
        </w:tc>
        <w:tc>
          <w:tcPr>
            <w:tcW w:w="308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536502377"/>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2024</w:t>
            </w:r>
            <w:r>
              <w:rPr>
                <w:rFonts w:eastAsia="Times New Roman"/>
                <w:color w:val="000000"/>
                <w:sz w:val="20"/>
                <w:szCs w:val="20"/>
              </w:rPr>
              <w:br/>
              <w:t>(estimate)</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r>
      <w:tr w:rsidR="00000000">
        <w:trPr>
          <w:divId w:val="536502377"/>
        </w:trPr>
        <w:tc>
          <w:tcPr>
            <w:tcW w:w="0" w:type="auto"/>
            <w:gridSpan w:val="3"/>
            <w:vAlign w:val="center"/>
            <w:hideMark/>
          </w:tcPr>
          <w:p w:rsidR="00000000" w:rsidRDefault="00AC31B9">
            <w:pPr>
              <w:spacing w:after="100"/>
              <w:jc w:val="center"/>
              <w:rPr>
                <w:rFonts w:eastAsia="Times New Roman"/>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53650237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36502377"/>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36502377"/>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36502377"/>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Utilities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499 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563 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562 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36502377"/>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536502377"/>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divId w:val="987981197"/>
        <w:rPr>
          <w:rFonts w:eastAsia="Times New Roman"/>
        </w:rPr>
      </w:pPr>
    </w:p>
    <w:p w:rsidR="00000000" w:rsidRDefault="00AC31B9">
      <w:pPr>
        <w:jc w:val="both"/>
        <w:rPr>
          <w:rFonts w:eastAsia="Times New Roman"/>
        </w:rPr>
      </w:pPr>
      <w:r>
        <w:rPr>
          <w:rFonts w:eastAsia="Times New Roman"/>
          <w:color w:val="000000"/>
          <w:sz w:val="20"/>
          <w:szCs w:val="20"/>
        </w:rPr>
        <w:t>The increases in capital expenditures at Midstream &amp; Marketing in Fiscal</w:t>
      </w:r>
      <w:r>
        <w:rPr>
          <w:rFonts w:eastAsia="Times New Roman"/>
          <w:color w:val="000000"/>
          <w:sz w:val="20"/>
          <w:szCs w:val="20"/>
        </w:rPr>
        <w:t xml:space="preserve"> 2023, and the projected increase in Fiscal 2024, reflect increased levels of capital expenditures associated with investments in renewable energy projects and in new LNG facilities. </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Contractual Cash Obligations and Commitments</w:t>
      </w:r>
    </w:p>
    <w:p w:rsidR="00000000" w:rsidRDefault="00AC31B9">
      <w:pPr>
        <w:jc w:val="both"/>
        <w:divId w:val="2046366381"/>
        <w:rPr>
          <w:rFonts w:eastAsia="Times New Roman"/>
        </w:rPr>
      </w:pPr>
      <w:r>
        <w:rPr>
          <w:rFonts w:eastAsia="Times New Roman"/>
          <w:color w:val="000000"/>
          <w:sz w:val="20"/>
          <w:szCs w:val="20"/>
        </w:rPr>
        <w:t>The Company has contractu</w:t>
      </w:r>
      <w:r>
        <w:rPr>
          <w:rFonts w:eastAsia="Times New Roman"/>
          <w:color w:val="000000"/>
          <w:sz w:val="20"/>
          <w:szCs w:val="20"/>
        </w:rPr>
        <w:t>al cash obligations that extend beyond Fiscal 2023. The following table presents contractual cash obligations with non-affiliates under agreements existing as of September 30, 2023:</w:t>
      </w:r>
    </w:p>
    <w:tbl>
      <w:tblPr>
        <w:tblW w:w="4978" w:type="pct"/>
        <w:tblCellMar>
          <w:top w:w="15" w:type="dxa"/>
          <w:left w:w="15" w:type="dxa"/>
          <w:bottom w:w="15" w:type="dxa"/>
          <w:right w:w="15" w:type="dxa"/>
        </w:tblCellMar>
        <w:tblLook w:val="04A0" w:firstRow="1" w:lastRow="0" w:firstColumn="1" w:lastColumn="0" w:noHBand="0" w:noVBand="1"/>
      </w:tblPr>
      <w:tblGrid>
        <w:gridCol w:w="40"/>
        <w:gridCol w:w="2955"/>
        <w:gridCol w:w="39"/>
        <w:gridCol w:w="36"/>
        <w:gridCol w:w="36"/>
        <w:gridCol w:w="36"/>
        <w:gridCol w:w="120"/>
        <w:gridCol w:w="780"/>
        <w:gridCol w:w="36"/>
        <w:gridCol w:w="36"/>
        <w:gridCol w:w="36"/>
        <w:gridCol w:w="36"/>
        <w:gridCol w:w="120"/>
        <w:gridCol w:w="781"/>
        <w:gridCol w:w="36"/>
        <w:gridCol w:w="36"/>
        <w:gridCol w:w="36"/>
        <w:gridCol w:w="36"/>
        <w:gridCol w:w="120"/>
        <w:gridCol w:w="781"/>
        <w:gridCol w:w="36"/>
        <w:gridCol w:w="36"/>
        <w:gridCol w:w="36"/>
        <w:gridCol w:w="36"/>
        <w:gridCol w:w="120"/>
        <w:gridCol w:w="781"/>
        <w:gridCol w:w="36"/>
        <w:gridCol w:w="36"/>
        <w:gridCol w:w="36"/>
        <w:gridCol w:w="36"/>
        <w:gridCol w:w="121"/>
        <w:gridCol w:w="791"/>
        <w:gridCol w:w="36"/>
      </w:tblGrid>
      <w:tr w:rsidR="00000000">
        <w:trPr>
          <w:divId w:val="1138837848"/>
        </w:trPr>
        <w:tc>
          <w:tcPr>
            <w:tcW w:w="50" w:type="pct"/>
            <w:vAlign w:val="center"/>
            <w:hideMark/>
          </w:tcPr>
          <w:p w:rsidR="00000000" w:rsidRDefault="00AC31B9">
            <w:pPr>
              <w:jc w:val="both"/>
              <w:rPr>
                <w:rFonts w:eastAsia="Times New Roman"/>
              </w:rPr>
            </w:pPr>
          </w:p>
        </w:tc>
        <w:tc>
          <w:tcPr>
            <w:tcW w:w="182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138837848"/>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7"/>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Payments Due by Period</w:t>
            </w:r>
          </w:p>
        </w:tc>
      </w:tr>
      <w:tr w:rsidR="00000000">
        <w:trPr>
          <w:divId w:val="1138837848"/>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Fiscal</w:t>
            </w:r>
            <w:r>
              <w:rPr>
                <w:rFonts w:eastAsia="Times New Roman"/>
                <w:color w:val="000000"/>
                <w:sz w:val="20"/>
                <w:szCs w:val="20"/>
              </w:rPr>
              <w:b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Fiscal</w:t>
            </w:r>
            <w:r>
              <w:rPr>
                <w:rFonts w:eastAsia="Times New Roman"/>
                <w:color w:val="000000"/>
                <w:sz w:val="20"/>
                <w:szCs w:val="20"/>
              </w:rPr>
              <w:br/>
              <w:t>2025 - 2026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Fiscal</w:t>
            </w:r>
            <w:r>
              <w:rPr>
                <w:rFonts w:eastAsia="Times New Roman"/>
                <w:color w:val="000000"/>
                <w:sz w:val="20"/>
                <w:szCs w:val="20"/>
              </w:rPr>
              <w:br/>
              <w:t>2027 - 2028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Thereafter</w:t>
            </w:r>
          </w:p>
        </w:tc>
      </w:tr>
      <w:tr w:rsidR="00000000">
        <w:trPr>
          <w:divId w:val="113883784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Short-term borrowings (a)</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38837848"/>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Long-term debt (a)</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6,647 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2,651 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1,468 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2,471 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38837848"/>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Interest on long-term fixed-rate debt (a)(b)(c)</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2,183 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893 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38837848"/>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502 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38837848"/>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AmeriGas Propane supply contracts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38837848"/>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International supply contracts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464 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464 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38837848"/>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Midstream &amp; Marketing supply contracts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1,020 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277 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424 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38837848"/>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Utilities construction, supply, storage and transportation contracts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401 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38837848"/>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Derivative instruments (d)</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38837848"/>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11,975 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3,753 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3,963 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ind w:hanging="360"/>
        <w:jc w:val="both"/>
        <w:rPr>
          <w:rFonts w:eastAsia="Times New Roman"/>
        </w:rPr>
      </w:pPr>
      <w:r>
        <w:rPr>
          <w:rFonts w:eastAsia="Times New Roman"/>
          <w:color w:val="000000"/>
          <w:sz w:val="20"/>
          <w:szCs w:val="20"/>
        </w:rPr>
        <w:t>(a)Based upon stated maturity dates for debt outstanding at September 30, 2023.</w:t>
      </w:r>
    </w:p>
    <w:p w:rsidR="00000000" w:rsidRDefault="00AC31B9">
      <w:pPr>
        <w:ind w:hanging="360"/>
        <w:jc w:val="both"/>
        <w:divId w:val="1235436622"/>
        <w:rPr>
          <w:rFonts w:eastAsia="Times New Roman"/>
        </w:rPr>
      </w:pPr>
      <w:r>
        <w:rPr>
          <w:rFonts w:eastAsia="Times New Roman"/>
          <w:color w:val="000000"/>
          <w:sz w:val="20"/>
          <w:szCs w:val="20"/>
        </w:rPr>
        <w:t>(b)Based upon stated interest rates adjusted for the effects of interest rate swaps.</w:t>
      </w:r>
    </w:p>
    <w:p w:rsidR="00000000" w:rsidRDefault="00AC31B9">
      <w:pPr>
        <w:ind w:hanging="360"/>
        <w:jc w:val="both"/>
        <w:divId w:val="1920216082"/>
        <w:rPr>
          <w:rFonts w:eastAsia="Times New Roman"/>
        </w:rPr>
      </w:pPr>
      <w:r>
        <w:rPr>
          <w:rFonts w:eastAsia="Times New Roman"/>
          <w:color w:val="000000"/>
          <w:sz w:val="20"/>
          <w:szCs w:val="20"/>
        </w:rPr>
        <w:t>(c)Calculated using app</w:t>
      </w:r>
      <w:r>
        <w:rPr>
          <w:rFonts w:eastAsia="Times New Roman"/>
          <w:color w:val="000000"/>
          <w:sz w:val="20"/>
          <w:szCs w:val="20"/>
        </w:rPr>
        <w:t>licable interest rates or forward interest rate curves, and UGI’s and its subsidiaries’ leverage ratios, as of September 30, 2023.</w:t>
      </w:r>
    </w:p>
    <w:p w:rsidR="00000000" w:rsidRDefault="00AC31B9">
      <w:pPr>
        <w:jc w:val="center"/>
        <w:divId w:val="1417631742"/>
        <w:rPr>
          <w:rFonts w:eastAsia="Times New Roman"/>
        </w:rPr>
      </w:pPr>
      <w:r>
        <w:rPr>
          <w:rFonts w:eastAsia="Times New Roman"/>
          <w:color w:val="000000"/>
          <w:sz w:val="20"/>
          <w:szCs w:val="20"/>
        </w:rPr>
        <w:t>63</w:t>
      </w:r>
    </w:p>
    <w:p w:rsidR="00000000" w:rsidRDefault="00AC31B9">
      <w:pPr>
        <w:rPr>
          <w:rFonts w:eastAsia="Times New Roman"/>
        </w:rPr>
      </w:pPr>
      <w:r>
        <w:rPr>
          <w:rFonts w:eastAsia="Times New Roman"/>
        </w:rPr>
        <w:pict>
          <v:rect id="_x0000_i1090" style="width:0;height:1.5pt" o:hralign="center" o:hrstd="t" o:hr="t" fillcolor="#a0a0a0" stroked="f"/>
        </w:pict>
      </w:r>
    </w:p>
    <w:p w:rsidR="00000000" w:rsidRDefault="00AC31B9">
      <w:pPr>
        <w:divId w:val="456023500"/>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ind w:hanging="360"/>
        <w:jc w:val="both"/>
        <w:divId w:val="1347902853"/>
        <w:rPr>
          <w:rFonts w:eastAsia="Times New Roman"/>
        </w:rPr>
      </w:pPr>
      <w:r>
        <w:rPr>
          <w:rFonts w:eastAsia="Times New Roman"/>
          <w:color w:val="000000"/>
          <w:sz w:val="20"/>
          <w:szCs w:val="20"/>
        </w:rPr>
        <w:t xml:space="preserve">(d)Represents the sum of amounts due if derivative instrument liabilities were settled at the September 30, 2023 amounts reflected in the Consolidated Balance Sheet (but excluding </w:t>
      </w:r>
      <w:r>
        <w:rPr>
          <w:rFonts w:eastAsia="Times New Roman"/>
          <w:color w:val="000000"/>
          <w:sz w:val="20"/>
          <w:szCs w:val="20"/>
        </w:rPr>
        <w:t>amounts associated with interest rate contracts).</w:t>
      </w:r>
    </w:p>
    <w:p w:rsidR="00000000" w:rsidRDefault="00AC31B9">
      <w:pPr>
        <w:jc w:val="both"/>
        <w:divId w:val="1726221115"/>
        <w:rPr>
          <w:rFonts w:eastAsia="Times New Roman"/>
        </w:rPr>
      </w:pPr>
      <w:r>
        <w:rPr>
          <w:rFonts w:eastAsia="Times New Roman"/>
          <w:color w:val="000000"/>
          <w:sz w:val="20"/>
          <w:szCs w:val="20"/>
        </w:rPr>
        <w:t>“Other noncurrent liabilities” included in our Consolidated Balance Sheet at September 30, 2023, principally comprise operating lease liabilities (see Note 15 to Consolidated Financial Statements); regulato</w:t>
      </w:r>
      <w:r>
        <w:rPr>
          <w:rFonts w:eastAsia="Times New Roman"/>
          <w:color w:val="000000"/>
          <w:sz w:val="20"/>
          <w:szCs w:val="20"/>
        </w:rPr>
        <w:t>ry liabilities (see Note 9 to Consolidated Financial Statements); refundable tank and cylinder deposits (as further described in Note 2 to Consolidated Financial Statements under the caption “Refundable Tank and Cylinder Deposits”); litigation, property an</w:t>
      </w:r>
      <w:r>
        <w:rPr>
          <w:rFonts w:eastAsia="Times New Roman"/>
          <w:color w:val="000000"/>
          <w:sz w:val="20"/>
          <w:szCs w:val="20"/>
        </w:rPr>
        <w:t xml:space="preserve">d casualty liabilities and obligations under environmental remediation agreements (see Note 16 to Consolidated Financial Statements); pension and other postretirement benefit liabilities recorded in accordance with accounting guidance relating to employee </w:t>
      </w:r>
      <w:r>
        <w:rPr>
          <w:rFonts w:eastAsia="Times New Roman"/>
          <w:color w:val="000000"/>
          <w:sz w:val="20"/>
          <w:szCs w:val="20"/>
        </w:rPr>
        <w:t>retirement plans (see Note 8 to Consolidated Financial Statements); and liabilities associated with executive compensation plans (see Note 14 to Consolidated Financial Statements). These liabilities, with the exception of operating lease liabilities, are n</w:t>
      </w:r>
      <w:r>
        <w:rPr>
          <w:rFonts w:eastAsia="Times New Roman"/>
          <w:color w:val="000000"/>
          <w:sz w:val="20"/>
          <w:szCs w:val="20"/>
        </w:rPr>
        <w:t xml:space="preserve">ot included in the table of Contractual Cash Obligations and Commitments because they are estimates of future payments and not contractually fixed as to timing or amount. Required minimum contributions to the U.S. Pension Plans (as further described below </w:t>
      </w:r>
      <w:r>
        <w:rPr>
          <w:rFonts w:eastAsia="Times New Roman"/>
          <w:color w:val="000000"/>
          <w:sz w:val="20"/>
          <w:szCs w:val="20"/>
        </w:rPr>
        <w:t>under “U.S. Pension Plans”) in Fiscal 2024 are $22 million. Required minimum contributions to the U.S. Pension Plans in years beyond Fiscal 2024 will depend, in large part, on the impacts of future returns on pension plan assets and interest rates on pensi</w:t>
      </w:r>
      <w:r>
        <w:rPr>
          <w:rFonts w:eastAsia="Times New Roman"/>
          <w:color w:val="000000"/>
          <w:sz w:val="20"/>
          <w:szCs w:val="20"/>
        </w:rPr>
        <w:t xml:space="preserve">on plan liabilities. </w:t>
      </w:r>
    </w:p>
    <w:p w:rsidR="00000000" w:rsidRDefault="00AC31B9">
      <w:pPr>
        <w:jc w:val="both"/>
        <w:divId w:val="1658219012"/>
        <w:rPr>
          <w:rFonts w:eastAsia="Times New Roman"/>
        </w:rPr>
      </w:pPr>
      <w:r>
        <w:rPr>
          <w:rFonts w:eastAsia="Times New Roman"/>
          <w:b/>
          <w:bCs/>
          <w:color w:val="000000"/>
          <w:sz w:val="20"/>
          <w:szCs w:val="20"/>
        </w:rPr>
        <w:t>U.S. Pension Plans</w:t>
      </w:r>
    </w:p>
    <w:p w:rsidR="00000000" w:rsidRDefault="00AC31B9">
      <w:pPr>
        <w:jc w:val="both"/>
        <w:divId w:val="1001661247"/>
        <w:rPr>
          <w:rFonts w:eastAsia="Times New Roman"/>
        </w:rPr>
      </w:pPr>
      <w:r>
        <w:rPr>
          <w:rFonts w:eastAsia="Times New Roman"/>
          <w:color w:val="000000"/>
          <w:sz w:val="20"/>
          <w:szCs w:val="20"/>
        </w:rPr>
        <w:t>The U.S. Pension Plans consist of (1) a defined benefit pension plan for employees hired prior to January 1, 2009, of UGI, UGI Utilities, and certain of UGI’s other domestic wholly owned subsidiaries, and (2) a defi</w:t>
      </w:r>
      <w:r>
        <w:rPr>
          <w:rFonts w:eastAsia="Times New Roman"/>
          <w:color w:val="000000"/>
          <w:sz w:val="20"/>
          <w:szCs w:val="20"/>
        </w:rPr>
        <w:t>ned benefit pension plan for Mountaineer employees hired prior to January 1, 2023. The fair values of the U.S. Pension Plans’ assets totaled $539 million and $525 million at September 30, 2023 and 2022, respectively. At September 30, 2023 and 2022, the und</w:t>
      </w:r>
      <w:r>
        <w:rPr>
          <w:rFonts w:eastAsia="Times New Roman"/>
          <w:color w:val="000000"/>
          <w:sz w:val="20"/>
          <w:szCs w:val="20"/>
        </w:rPr>
        <w:t>erfunded positions of the U.S. Pension Plans, defined as the excess of the PBO over the U.S. Pension Plans’ assets, were $55 million and $82 million, respectively.</w:t>
      </w:r>
    </w:p>
    <w:p w:rsidR="00000000" w:rsidRDefault="00AC31B9">
      <w:pPr>
        <w:jc w:val="both"/>
        <w:divId w:val="1288505120"/>
        <w:rPr>
          <w:rFonts w:eastAsia="Times New Roman"/>
        </w:rPr>
      </w:pPr>
      <w:r>
        <w:rPr>
          <w:rFonts w:eastAsia="Times New Roman"/>
          <w:color w:val="000000"/>
          <w:sz w:val="20"/>
          <w:szCs w:val="20"/>
        </w:rPr>
        <w:t>We believe we are in compliance with regulations governing defined benefit pension plans, in</w:t>
      </w:r>
      <w:r>
        <w:rPr>
          <w:rFonts w:eastAsia="Times New Roman"/>
          <w:color w:val="000000"/>
          <w:sz w:val="20"/>
          <w:szCs w:val="20"/>
        </w:rPr>
        <w:t xml:space="preserve">cluding the ERISA rules and regulations. Required minimum contributions to the U.S. Pension Plans in Fiscal 2024 is </w:t>
      </w:r>
      <w:r>
        <w:rPr>
          <w:rFonts w:eastAsia="Times New Roman"/>
          <w:color w:val="000000"/>
          <w:sz w:val="20"/>
          <w:szCs w:val="20"/>
          <w:shd w:val="clear" w:color="auto" w:fill="FFFFFF"/>
        </w:rPr>
        <w:t>$22 million.</w:t>
      </w:r>
    </w:p>
    <w:p w:rsidR="00000000" w:rsidRDefault="00AC31B9">
      <w:pPr>
        <w:jc w:val="both"/>
        <w:divId w:val="1609699296"/>
        <w:rPr>
          <w:rFonts w:eastAsia="Times New Roman"/>
        </w:rPr>
      </w:pPr>
      <w:r>
        <w:rPr>
          <w:rFonts w:eastAsia="Times New Roman"/>
          <w:color w:val="000000"/>
          <w:sz w:val="20"/>
          <w:szCs w:val="20"/>
        </w:rPr>
        <w:t>GAAP guidance associated with pension and other postretirement plans generally requires recognition of an asset or liability in</w:t>
      </w:r>
      <w:r>
        <w:rPr>
          <w:rFonts w:eastAsia="Times New Roman"/>
          <w:color w:val="000000"/>
          <w:sz w:val="20"/>
          <w:szCs w:val="20"/>
        </w:rPr>
        <w:t xml:space="preserve"> the statement of financial position reflecting the funded status of pension and other postretirement benefit plans with current year changes recognized in shareholders’ equity unless such amounts are subject to regulatory recovery. At September 30, 2023, </w:t>
      </w:r>
      <w:r>
        <w:rPr>
          <w:rFonts w:eastAsia="Times New Roman"/>
          <w:color w:val="000000"/>
          <w:sz w:val="20"/>
          <w:szCs w:val="20"/>
        </w:rPr>
        <w:t>we have recorded pre-tax credits to UGI Corporation’s stockholders’ equity of $4 million and recorded regulatory assets totaling $111 million in order to reflect the funded status of the U.S. Pension Plans. For a more detailed discussion of the U.S. Pensio</w:t>
      </w:r>
      <w:r>
        <w:rPr>
          <w:rFonts w:eastAsia="Times New Roman"/>
          <w:color w:val="000000"/>
          <w:sz w:val="20"/>
          <w:szCs w:val="20"/>
        </w:rPr>
        <w:t>n Plans and our other postretirement benefit plans, see Note 8 to Consolidated Financial Statements.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Related Party Transactions</w:t>
      </w:r>
    </w:p>
    <w:p w:rsidR="00000000" w:rsidRDefault="00AC31B9">
      <w:pPr>
        <w:jc w:val="both"/>
        <w:divId w:val="343898537"/>
        <w:rPr>
          <w:rFonts w:eastAsia="Times New Roman"/>
        </w:rPr>
      </w:pPr>
      <w:r>
        <w:rPr>
          <w:rFonts w:eastAsia="Times New Roman"/>
          <w:color w:val="000000"/>
          <w:sz w:val="20"/>
          <w:szCs w:val="20"/>
        </w:rPr>
        <w:t>During Fiscal 2023 and Fiscal 2022, we did not enter into any related-party transactions that had a material effect on our fin</w:t>
      </w:r>
      <w:r>
        <w:rPr>
          <w:rFonts w:eastAsia="Times New Roman"/>
          <w:color w:val="000000"/>
          <w:sz w:val="20"/>
          <w:szCs w:val="20"/>
        </w:rPr>
        <w:t>ancial condition, results of operations or cash flows.</w:t>
      </w:r>
    </w:p>
    <w:p w:rsidR="00000000" w:rsidRDefault="00AC31B9">
      <w:pPr>
        <w:divId w:val="2145585544"/>
        <w:rPr>
          <w:rFonts w:eastAsia="Times New Roman"/>
        </w:rPr>
      </w:pPr>
    </w:p>
    <w:p w:rsidR="00000000" w:rsidRDefault="00AC31B9">
      <w:pPr>
        <w:jc w:val="both"/>
        <w:rPr>
          <w:rFonts w:eastAsia="Times New Roman"/>
        </w:rPr>
      </w:pPr>
      <w:r>
        <w:rPr>
          <w:rFonts w:eastAsia="Times New Roman"/>
          <w:b/>
          <w:bCs/>
          <w:color w:val="000000"/>
          <w:sz w:val="20"/>
          <w:szCs w:val="20"/>
          <w:u w:val="single"/>
        </w:rPr>
        <w:t>Off-Balance-Sheet Arrangements</w:t>
      </w:r>
    </w:p>
    <w:p w:rsidR="00000000" w:rsidRDefault="00AC31B9">
      <w:pPr>
        <w:jc w:val="both"/>
        <w:divId w:val="982927176"/>
        <w:rPr>
          <w:rFonts w:eastAsia="Times New Roman"/>
        </w:rPr>
      </w:pPr>
      <w:r>
        <w:rPr>
          <w:rFonts w:eastAsia="Times New Roman"/>
          <w:color w:val="000000"/>
          <w:sz w:val="20"/>
          <w:szCs w:val="20"/>
        </w:rPr>
        <w:t>UGI primarily enters into guarantee arrangements on behalf of its consolidated subsidiaries. These arrangements are not subject to the recognition and measurement guidance relating to guarantees under GAAP.</w:t>
      </w:r>
    </w:p>
    <w:p w:rsidR="00000000" w:rsidRDefault="00AC31B9">
      <w:pPr>
        <w:jc w:val="both"/>
        <w:divId w:val="944312361"/>
        <w:rPr>
          <w:rFonts w:eastAsia="Times New Roman"/>
        </w:rPr>
      </w:pPr>
      <w:r>
        <w:rPr>
          <w:rFonts w:eastAsia="Times New Roman"/>
          <w:color w:val="000000"/>
          <w:sz w:val="20"/>
          <w:szCs w:val="20"/>
        </w:rPr>
        <w:t>We do not have any off-balance-sheet arrangements</w:t>
      </w:r>
      <w:r>
        <w:rPr>
          <w:rFonts w:eastAsia="Times New Roman"/>
          <w:color w:val="000000"/>
          <w:sz w:val="20"/>
          <w:szCs w:val="20"/>
        </w:rPr>
        <w:t xml:space="preserve"> that are expected to have a material effect on our financial condition, change in financial condition, revenues or expenses, results of operations, liquidity, capital expenditures or capital resources.</w:t>
      </w:r>
    </w:p>
    <w:p w:rsidR="00000000" w:rsidRDefault="00AC31B9">
      <w:pPr>
        <w:divId w:val="266471701"/>
        <w:rPr>
          <w:rFonts w:eastAsia="Times New Roman"/>
        </w:rPr>
      </w:pPr>
    </w:p>
    <w:p w:rsidR="00000000" w:rsidRDefault="00AC31B9">
      <w:pPr>
        <w:jc w:val="both"/>
        <w:rPr>
          <w:rFonts w:eastAsia="Times New Roman"/>
        </w:rPr>
      </w:pPr>
      <w:r>
        <w:rPr>
          <w:rFonts w:eastAsia="Times New Roman"/>
          <w:b/>
          <w:bCs/>
          <w:color w:val="000000"/>
          <w:sz w:val="20"/>
          <w:szCs w:val="20"/>
          <w:u w:val="single"/>
        </w:rPr>
        <w:t>Utility Regulatory Matters</w:t>
      </w:r>
    </w:p>
    <w:p w:rsidR="00000000" w:rsidRDefault="00AC31B9">
      <w:pPr>
        <w:jc w:val="both"/>
        <w:divId w:val="1874146396"/>
        <w:rPr>
          <w:rFonts w:eastAsia="Times New Roman"/>
        </w:rPr>
      </w:pPr>
      <w:r>
        <w:rPr>
          <w:rFonts w:eastAsia="Times New Roman"/>
          <w:b/>
          <w:bCs/>
          <w:i/>
          <w:iCs/>
          <w:color w:val="000000"/>
          <w:sz w:val="20"/>
          <w:szCs w:val="20"/>
        </w:rPr>
        <w:t>UGI Utilities. </w:t>
      </w:r>
      <w:r>
        <w:rPr>
          <w:rFonts w:eastAsia="Times New Roman"/>
          <w:color w:val="000000"/>
          <w:sz w:val="20"/>
          <w:szCs w:val="20"/>
        </w:rPr>
        <w:t>On Januar</w:t>
      </w:r>
      <w:r>
        <w:rPr>
          <w:rFonts w:eastAsia="Times New Roman"/>
          <w:color w:val="000000"/>
          <w:sz w:val="20"/>
          <w:szCs w:val="20"/>
        </w:rPr>
        <w:t>y 27, 2023, Electric Utility filed a request with the PAPUC to increase its annual base distribution revenues by $11 million. On September 21, 2023, the PAPUC issued a final order approving a settlement providing for a $9 million annual base distribution r</w:t>
      </w:r>
      <w:r>
        <w:rPr>
          <w:rFonts w:eastAsia="Times New Roman"/>
          <w:color w:val="000000"/>
          <w:sz w:val="20"/>
          <w:szCs w:val="20"/>
        </w:rPr>
        <w:t xml:space="preserve">ate increase for Electric Utility, effective October 1, 2023. </w:t>
      </w:r>
    </w:p>
    <w:p w:rsidR="00000000" w:rsidRDefault="00AC31B9">
      <w:pPr>
        <w:jc w:val="both"/>
        <w:divId w:val="1120536398"/>
        <w:rPr>
          <w:rFonts w:eastAsia="Times New Roman"/>
        </w:rPr>
      </w:pPr>
      <w:r>
        <w:rPr>
          <w:rFonts w:eastAsia="Times New Roman"/>
          <w:color w:val="000000"/>
          <w:sz w:val="20"/>
          <w:szCs w:val="20"/>
        </w:rPr>
        <w:t>On January 28, 2022, PA Gas Utility filed a request with the PAPUC to increase its base operating revenues for residential, commercial and industrial customers by $83 million annually. On Septe</w:t>
      </w:r>
      <w:r>
        <w:rPr>
          <w:rFonts w:eastAsia="Times New Roman"/>
          <w:color w:val="000000"/>
          <w:sz w:val="20"/>
          <w:szCs w:val="20"/>
        </w:rPr>
        <w:t>mber 15, 2022, the PAPUC issued a final order approving a settlement providing for a $49 million annual base distribution rate increase for PA Gas Utility, through a phased approach, with $38 million beginning October 29, 2022 and an additional $11 million</w:t>
      </w:r>
      <w:r>
        <w:rPr>
          <w:rFonts w:eastAsia="Times New Roman"/>
          <w:color w:val="000000"/>
          <w:sz w:val="20"/>
          <w:szCs w:val="20"/>
        </w:rPr>
        <w:t xml:space="preserve"> beginning October 1, 2023. In accordance with the terms of the final order, PA Gas Utility will not be permitted to file a rate case prior to January 1, 2024. </w:t>
      </w:r>
    </w:p>
    <w:p w:rsidR="00000000" w:rsidRDefault="00AC31B9">
      <w:pPr>
        <w:jc w:val="center"/>
        <w:divId w:val="1396079395"/>
        <w:rPr>
          <w:rFonts w:eastAsia="Times New Roman"/>
        </w:rPr>
      </w:pPr>
      <w:r>
        <w:rPr>
          <w:rFonts w:eastAsia="Times New Roman"/>
          <w:color w:val="000000"/>
          <w:sz w:val="20"/>
          <w:szCs w:val="20"/>
        </w:rPr>
        <w:t>64</w:t>
      </w:r>
    </w:p>
    <w:p w:rsidR="00000000" w:rsidRDefault="00AC31B9">
      <w:pPr>
        <w:rPr>
          <w:rFonts w:eastAsia="Times New Roman"/>
        </w:rPr>
      </w:pPr>
      <w:r>
        <w:rPr>
          <w:rFonts w:eastAsia="Times New Roman"/>
        </w:rPr>
        <w:pict>
          <v:rect id="_x0000_i1091" style="width:0;height:1.5pt" o:hralign="center" o:hrstd="t" o:hr="t" fillcolor="#a0a0a0" stroked="f"/>
        </w:pict>
      </w:r>
    </w:p>
    <w:p w:rsidR="00000000" w:rsidRDefault="00AC31B9">
      <w:pPr>
        <w:divId w:val="864370774"/>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divId w:val="1934318875"/>
        <w:rPr>
          <w:rFonts w:eastAsia="Times New Roman"/>
        </w:rPr>
      </w:pPr>
      <w:r>
        <w:rPr>
          <w:rFonts w:eastAsia="Times New Roman"/>
          <w:color w:val="000000"/>
          <w:sz w:val="20"/>
          <w:szCs w:val="20"/>
        </w:rPr>
        <w:t>Also in accordance with the terms of the final order, PA Gas Utility was authorized to implement a weather normalization adjustment rider as a five-year pilot program beginning on November 1, 2022. Under this rider, when weather deviat</w:t>
      </w:r>
      <w:r>
        <w:rPr>
          <w:rFonts w:eastAsia="Times New Roman"/>
          <w:color w:val="000000"/>
          <w:sz w:val="20"/>
          <w:szCs w:val="20"/>
        </w:rPr>
        <w:t>es from normal by more than 3%, residential and small commercial customer billings for distribution services are adjusted monthly for weather related impacts exceeding the 3% threshold. Additionally, under the terms of the final order, PA Gas Utility was a</w:t>
      </w:r>
      <w:r>
        <w:rPr>
          <w:rFonts w:eastAsia="Times New Roman"/>
          <w:color w:val="000000"/>
          <w:sz w:val="20"/>
          <w:szCs w:val="20"/>
        </w:rPr>
        <w:t>uthorized to implement a DSIC once its total property, plant and equipment less accumulated depreciation reached $3,368 million (which threshold was achieved in September 2022).</w:t>
      </w:r>
    </w:p>
    <w:p w:rsidR="00000000" w:rsidRDefault="00AC31B9">
      <w:pPr>
        <w:jc w:val="both"/>
        <w:divId w:val="1746495164"/>
        <w:rPr>
          <w:rFonts w:eastAsia="Times New Roman"/>
        </w:rPr>
      </w:pPr>
      <w:r>
        <w:rPr>
          <w:rFonts w:eastAsia="Times New Roman"/>
          <w:color w:val="000000"/>
          <w:sz w:val="20"/>
          <w:szCs w:val="20"/>
        </w:rPr>
        <w:t>On February 8, 2021, Electric Utility filed a request with the PAPUC to increa</w:t>
      </w:r>
      <w:r>
        <w:rPr>
          <w:rFonts w:eastAsia="Times New Roman"/>
          <w:color w:val="000000"/>
          <w:sz w:val="20"/>
          <w:szCs w:val="20"/>
        </w:rPr>
        <w:t>se its annual base distribution revenues by $9 million. On October 28, 2021, the PAPUC issued a final order approving a settlement that permitted Electric Utility, effective November 9, 2021, to increase its base distribution revenues by $6 million.</w:t>
      </w:r>
    </w:p>
    <w:p w:rsidR="00000000" w:rsidRDefault="00AC31B9">
      <w:pPr>
        <w:jc w:val="both"/>
        <w:divId w:val="1321888342"/>
        <w:rPr>
          <w:rFonts w:eastAsia="Times New Roman"/>
        </w:rPr>
      </w:pPr>
      <w:r>
        <w:rPr>
          <w:rFonts w:eastAsia="Times New Roman"/>
          <w:b/>
          <w:bCs/>
          <w:i/>
          <w:iCs/>
          <w:color w:val="000000"/>
          <w:sz w:val="20"/>
          <w:szCs w:val="20"/>
        </w:rPr>
        <w:t>Mounta</w:t>
      </w:r>
      <w:r>
        <w:rPr>
          <w:rFonts w:eastAsia="Times New Roman"/>
          <w:b/>
          <w:bCs/>
          <w:i/>
          <w:iCs/>
          <w:color w:val="000000"/>
          <w:sz w:val="20"/>
          <w:szCs w:val="20"/>
        </w:rPr>
        <w:t>ineer.</w:t>
      </w:r>
      <w:r>
        <w:rPr>
          <w:rFonts w:eastAsia="Times New Roman"/>
          <w:color w:val="000000"/>
          <w:sz w:val="20"/>
          <w:szCs w:val="20"/>
        </w:rPr>
        <w:t xml:space="preserve"> On July 31, 2023, Mountaineer submitted its 2023 IREP filing to the WVPSC requesting recovery of $10 million, an increase of $6 million, for costs associated with capital investments after December 31, 2022, that total $131 million, including $67 mi</w:t>
      </w:r>
      <w:r>
        <w:rPr>
          <w:rFonts w:eastAsia="Times New Roman"/>
          <w:color w:val="000000"/>
          <w:sz w:val="20"/>
          <w:szCs w:val="20"/>
        </w:rPr>
        <w:t>llion in calendar year 2024. With new base rates expected to be effective January 1, 2024, revenues from IREP rates would decrease by $12 million. The filing included capital investments totaling $383 million over the 2024 - 2028 period.</w:t>
      </w:r>
    </w:p>
    <w:p w:rsidR="00000000" w:rsidRDefault="00AC31B9">
      <w:pPr>
        <w:jc w:val="both"/>
        <w:divId w:val="470683072"/>
        <w:rPr>
          <w:rFonts w:eastAsia="Times New Roman"/>
        </w:rPr>
      </w:pPr>
      <w:r>
        <w:rPr>
          <w:rFonts w:eastAsia="Times New Roman"/>
          <w:color w:val="000000"/>
          <w:sz w:val="20"/>
          <w:szCs w:val="20"/>
        </w:rPr>
        <w:t xml:space="preserve">On March 6, 2023, </w:t>
      </w:r>
      <w:r>
        <w:rPr>
          <w:rFonts w:eastAsia="Times New Roman"/>
          <w:color w:val="000000"/>
          <w:sz w:val="20"/>
          <w:szCs w:val="20"/>
        </w:rPr>
        <w:t>Mountaineer submitted a base rate case filing with the WVPSC seeking a net revenue increase of $20 million, which consisted of an increase in base rates of $38 million and a decrease in the IREP rates of $18 million annually to be effective on April 5, 202</w:t>
      </w:r>
      <w:r>
        <w:rPr>
          <w:rFonts w:eastAsia="Times New Roman"/>
          <w:color w:val="000000"/>
          <w:sz w:val="20"/>
          <w:szCs w:val="20"/>
        </w:rPr>
        <w:t>3. On March 31, 2023, the WVPSC suspended the effective date of the requested rate change increase until January 1, 2024 to allow for a full review of the filing. On October 6, 2023, Mountaineer filed a joint stipulation and agreement for settlement of the</w:t>
      </w:r>
      <w:r>
        <w:rPr>
          <w:rFonts w:eastAsia="Times New Roman"/>
          <w:color w:val="000000"/>
          <w:sz w:val="20"/>
          <w:szCs w:val="20"/>
        </w:rPr>
        <w:t xml:space="preserve"> base rate case, which included a $14 million net revenue increase. An order from the Commission is expected in December and new rates will take effect on January 1, 2024. </w:t>
      </w:r>
    </w:p>
    <w:p w:rsidR="00000000" w:rsidRDefault="00AC31B9">
      <w:pPr>
        <w:jc w:val="both"/>
        <w:divId w:val="2041008065"/>
        <w:rPr>
          <w:rFonts w:eastAsia="Times New Roman"/>
        </w:rPr>
      </w:pPr>
      <w:r>
        <w:rPr>
          <w:rFonts w:eastAsia="Times New Roman"/>
          <w:color w:val="000000"/>
          <w:sz w:val="20"/>
          <w:szCs w:val="20"/>
        </w:rPr>
        <w:t>On July 29, 2022, Mountaineer submitted its 2022 IREP filing to the WVPSC requestin</w:t>
      </w:r>
      <w:r>
        <w:rPr>
          <w:rFonts w:eastAsia="Times New Roman"/>
          <w:color w:val="000000"/>
          <w:sz w:val="20"/>
          <w:szCs w:val="20"/>
        </w:rPr>
        <w:t>g recovery of costs associated with capital investments totaling $354 million over the 2023 - 2027 period, including $64 million in calendar year 2023. On November 16, 2022, Mountaineer and the intervening parties submitted a joint stipulation and agreemen</w:t>
      </w:r>
      <w:r>
        <w:rPr>
          <w:rFonts w:eastAsia="Times New Roman"/>
          <w:color w:val="000000"/>
          <w:sz w:val="20"/>
          <w:szCs w:val="20"/>
        </w:rPr>
        <w:t xml:space="preserve">t for settlement to the WVPSC requesting approval of 2023 IREP revenue of $22 million to be charged effective January 1, 2023, which includes the recovery of a $1 million under-recovery of 2021 IREP revenue. On December 21, 2022, the WVPSC issued an order </w:t>
      </w:r>
      <w:r>
        <w:rPr>
          <w:rFonts w:eastAsia="Times New Roman"/>
          <w:color w:val="000000"/>
          <w:sz w:val="20"/>
          <w:szCs w:val="20"/>
        </w:rPr>
        <w:t>approving the joint stipulation and agreement for settlement as filed.</w:t>
      </w:r>
    </w:p>
    <w:p w:rsidR="00000000" w:rsidRDefault="00AC31B9">
      <w:pPr>
        <w:jc w:val="both"/>
        <w:divId w:val="968244371"/>
        <w:rPr>
          <w:rFonts w:eastAsia="Times New Roman"/>
        </w:rPr>
      </w:pPr>
      <w:r>
        <w:rPr>
          <w:rFonts w:eastAsia="Times New Roman"/>
          <w:b/>
          <w:bCs/>
          <w:color w:val="000000"/>
          <w:sz w:val="20"/>
          <w:szCs w:val="20"/>
        </w:rPr>
        <w:t>Other Matters</w:t>
      </w:r>
    </w:p>
    <w:p w:rsidR="00000000" w:rsidRDefault="00AC31B9">
      <w:pPr>
        <w:jc w:val="both"/>
        <w:divId w:val="1595898524"/>
        <w:rPr>
          <w:rFonts w:eastAsia="Times New Roman"/>
        </w:rPr>
      </w:pPr>
      <w:r>
        <w:rPr>
          <w:rFonts w:eastAsia="Times New Roman"/>
          <w:b/>
          <w:bCs/>
          <w:i/>
          <w:iCs/>
          <w:color w:val="000000"/>
          <w:sz w:val="20"/>
          <w:szCs w:val="20"/>
        </w:rPr>
        <w:t>West Reading, Pennsylvania Explosion</w:t>
      </w:r>
      <w:r>
        <w:rPr>
          <w:rFonts w:eastAsia="Times New Roman"/>
          <w:b/>
          <w:bCs/>
          <w:color w:val="000000"/>
          <w:sz w:val="20"/>
          <w:szCs w:val="20"/>
        </w:rPr>
        <w:t>.</w:t>
      </w:r>
      <w:r>
        <w:rPr>
          <w:rFonts w:eastAsia="Times New Roman"/>
          <w:color w:val="000000"/>
          <w:sz w:val="20"/>
          <w:szCs w:val="20"/>
        </w:rPr>
        <w:t xml:space="preserve"> On March 24, 2023, an explosion occurred in West Reading, Pennsylvania which resulted in seven fatalities, significant injuries to el</w:t>
      </w:r>
      <w:r>
        <w:rPr>
          <w:rFonts w:eastAsia="Times New Roman"/>
          <w:color w:val="000000"/>
          <w:sz w:val="20"/>
          <w:szCs w:val="20"/>
        </w:rPr>
        <w:t>even others, and extensive property damage to buildings owned by R.M. Palmer, a local chocolate manufacturer, and other neighboring structures. The NTSB and the PAPUC are investigating the West Reading incident. On July 18, 2023, the NTSB issued an Investi</w:t>
      </w:r>
      <w:r>
        <w:rPr>
          <w:rFonts w:eastAsia="Times New Roman"/>
          <w:color w:val="000000"/>
          <w:sz w:val="20"/>
          <w:szCs w:val="20"/>
        </w:rPr>
        <w:t>gative Update in its ongoing investigation. The report identifies a fracture in a retired UGI gas service tee and a fracture in a nearby steam system, but it does not address causation of the fractures or the explosion. The NTSB investigative team includes</w:t>
      </w:r>
      <w:r>
        <w:rPr>
          <w:rFonts w:eastAsia="Times New Roman"/>
          <w:color w:val="000000"/>
          <w:sz w:val="20"/>
          <w:szCs w:val="20"/>
        </w:rPr>
        <w:t xml:space="preserve"> representatives from the Company, the PAPUC, the local fire department and the Pipeline and Hazardous Materials Safety Administration. The Company is cooperating with the investigation. The NTSB may invite other parties to participate. In September 2023, </w:t>
      </w:r>
      <w:r>
        <w:rPr>
          <w:rFonts w:eastAsia="Times New Roman"/>
          <w:color w:val="000000"/>
          <w:sz w:val="20"/>
          <w:szCs w:val="20"/>
        </w:rPr>
        <w:t>OSHA closed their investigation of this matter, without any finding pertaining to UGI Utilities.</w:t>
      </w:r>
    </w:p>
    <w:p w:rsidR="00000000" w:rsidRDefault="00AC31B9">
      <w:pPr>
        <w:jc w:val="both"/>
        <w:divId w:val="1887334228"/>
        <w:rPr>
          <w:rFonts w:eastAsia="Times New Roman"/>
        </w:rPr>
      </w:pPr>
      <w:r>
        <w:rPr>
          <w:rFonts w:eastAsia="Times New Roman"/>
          <w:color w:val="000000"/>
          <w:sz w:val="20"/>
          <w:szCs w:val="20"/>
        </w:rPr>
        <w:t>While the investigation into this incident is still underway and the cause of the explosion has not been determined, the Company has received claims as a resul</w:t>
      </w:r>
      <w:r>
        <w:rPr>
          <w:rFonts w:eastAsia="Times New Roman"/>
          <w:color w:val="000000"/>
          <w:sz w:val="20"/>
          <w:szCs w:val="20"/>
        </w:rPr>
        <w:t>t of the explosion and is involved in lawsuits relative to the incident. The Company maintains liability insurance for personal injury, property and casualty damages and believes that third-party claims associated with the explosion, in excess of the Compa</w:t>
      </w:r>
      <w:r>
        <w:rPr>
          <w:rFonts w:eastAsia="Times New Roman"/>
          <w:color w:val="000000"/>
          <w:sz w:val="20"/>
          <w:szCs w:val="20"/>
        </w:rPr>
        <w:t>ny’s deductible, are recoverable through the Company’s insurance. The Company cannot predict the result of these pending or future claims and legal actions at this time.</w:t>
      </w:r>
    </w:p>
    <w:p w:rsidR="00000000" w:rsidRDefault="00AC31B9">
      <w:pPr>
        <w:jc w:val="both"/>
        <w:divId w:val="421999374"/>
        <w:rPr>
          <w:rFonts w:eastAsia="Times New Roman"/>
        </w:rPr>
      </w:pPr>
      <w:r>
        <w:rPr>
          <w:rFonts w:eastAsia="Times New Roman"/>
          <w:color w:val="000000"/>
          <w:sz w:val="20"/>
          <w:szCs w:val="20"/>
        </w:rPr>
        <w:t>Regarding these pending claims and legal actions, the Company does not believe, at thi</w:t>
      </w:r>
      <w:r>
        <w:rPr>
          <w:rFonts w:eastAsia="Times New Roman"/>
          <w:color w:val="000000"/>
          <w:sz w:val="20"/>
          <w:szCs w:val="20"/>
        </w:rPr>
        <w:t>s early stage, that there is sufficient information available to reasonably estimate a range of loss, if any, or conclude that the final outcome of these matters will or will not have a material effect on our financial statements.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Market Risk Disclosures</w:t>
      </w:r>
    </w:p>
    <w:p w:rsidR="00000000" w:rsidRDefault="00AC31B9">
      <w:pPr>
        <w:jc w:val="both"/>
        <w:rPr>
          <w:rFonts w:eastAsia="Times New Roman"/>
        </w:rPr>
      </w:pPr>
    </w:p>
    <w:p w:rsidR="00000000" w:rsidRDefault="00AC31B9">
      <w:pPr>
        <w:jc w:val="both"/>
        <w:divId w:val="793056199"/>
        <w:rPr>
          <w:rFonts w:eastAsia="Times New Roman"/>
        </w:rPr>
      </w:pPr>
      <w:r>
        <w:rPr>
          <w:rFonts w:eastAsia="Times New Roman"/>
          <w:color w:val="000000"/>
          <w:sz w:val="20"/>
          <w:szCs w:val="20"/>
        </w:rPr>
        <w:t>Our primary market risk exposures are (1) commodity price risk; (2) interest rate risk; and (3) foreign currency exchange rate risk. Although we use derivative financial and commodity instruments to reduce market price risk associated with forecasted tr</w:t>
      </w:r>
      <w:r>
        <w:rPr>
          <w:rFonts w:eastAsia="Times New Roman"/>
          <w:color w:val="000000"/>
          <w:sz w:val="20"/>
          <w:szCs w:val="20"/>
        </w:rPr>
        <w:t>ansactions, we do not use derivative financial and commodity instruments for speculative or trading purposes.</w:t>
      </w:r>
    </w:p>
    <w:p w:rsidR="00000000" w:rsidRDefault="00AC31B9">
      <w:pPr>
        <w:jc w:val="center"/>
        <w:divId w:val="1191140989"/>
        <w:rPr>
          <w:rFonts w:eastAsia="Times New Roman"/>
        </w:rPr>
      </w:pPr>
      <w:r>
        <w:rPr>
          <w:rFonts w:eastAsia="Times New Roman"/>
          <w:color w:val="000000"/>
          <w:sz w:val="20"/>
          <w:szCs w:val="20"/>
        </w:rPr>
        <w:t>65</w:t>
      </w:r>
    </w:p>
    <w:p w:rsidR="00000000" w:rsidRDefault="00AC31B9">
      <w:pPr>
        <w:rPr>
          <w:rFonts w:eastAsia="Times New Roman"/>
        </w:rPr>
      </w:pPr>
      <w:r>
        <w:rPr>
          <w:rFonts w:eastAsia="Times New Roman"/>
        </w:rPr>
        <w:pict>
          <v:rect id="_x0000_i1092" style="width:0;height:1.5pt" o:hralign="center" o:hrstd="t" o:hr="t" fillcolor="#a0a0a0" stroked="f"/>
        </w:pict>
      </w:r>
    </w:p>
    <w:p w:rsidR="00000000" w:rsidRDefault="00AC31B9">
      <w:pPr>
        <w:divId w:val="364870256"/>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divId w:val="674039384"/>
        <w:rPr>
          <w:rFonts w:eastAsia="Times New Roman"/>
        </w:rPr>
      </w:pPr>
      <w:r>
        <w:rPr>
          <w:rFonts w:eastAsia="Times New Roman"/>
          <w:b/>
          <w:bCs/>
          <w:color w:val="000000"/>
          <w:sz w:val="20"/>
          <w:szCs w:val="20"/>
        </w:rPr>
        <w:t>Commodity Price Risk</w:t>
      </w:r>
    </w:p>
    <w:p w:rsidR="00000000" w:rsidRDefault="00AC31B9">
      <w:pPr>
        <w:jc w:val="both"/>
        <w:rPr>
          <w:rFonts w:eastAsia="Times New Roman"/>
        </w:rPr>
      </w:pPr>
      <w:r>
        <w:rPr>
          <w:rFonts w:eastAsia="Times New Roman"/>
          <w:color w:val="000000"/>
          <w:sz w:val="20"/>
          <w:szCs w:val="20"/>
        </w:rPr>
        <w:t xml:space="preserve">The risk associated with fluctuations in the prices the Partnership and our UGI International operations pay for LPG is principally a result of market forces reflecting changes in supply and demand for LPG and other energy commodities. Their profitability </w:t>
      </w:r>
      <w:r>
        <w:rPr>
          <w:rFonts w:eastAsia="Times New Roman"/>
          <w:color w:val="000000"/>
          <w:sz w:val="20"/>
          <w:szCs w:val="20"/>
        </w:rPr>
        <w:t>is sensitive to changes in LPG supply costs. Increases in supply costs are generally passed on to customers. The Partnership and UGI International may not, however, always be able to pass through product cost increases fully or on a timely basis, particula</w:t>
      </w:r>
      <w:r>
        <w:rPr>
          <w:rFonts w:eastAsia="Times New Roman"/>
          <w:color w:val="000000"/>
          <w:sz w:val="20"/>
          <w:szCs w:val="20"/>
        </w:rPr>
        <w:t>rly when product costs rise rapidly. In order to reduce the volatility of LPG market price risk, the Partnership uses contracts for the forward purchase or sale of propane, propane fixed-price supply agreements and over-the-counter derivative commodity ins</w:t>
      </w:r>
      <w:r>
        <w:rPr>
          <w:rFonts w:eastAsia="Times New Roman"/>
          <w:color w:val="000000"/>
          <w:sz w:val="20"/>
          <w:szCs w:val="20"/>
        </w:rPr>
        <w:t xml:space="preserve">truments including price swap and option contracts. Our UGI International operations use over-the-counter derivative commodity instruments and may from time to time enter into other derivative contracts, similar to those used by the Partnership, to reduce </w:t>
      </w:r>
      <w:r>
        <w:rPr>
          <w:rFonts w:eastAsia="Times New Roman"/>
          <w:color w:val="000000"/>
          <w:sz w:val="20"/>
          <w:szCs w:val="20"/>
        </w:rPr>
        <w:t xml:space="preserve">market risk associated with a portion of their LPG purchases. Over-the-counter derivative commodity instruments used to economically hedge forecasted purchases of LPG are generally settled at expiration of the contract.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Utilities’ tariffs contain clause</w:t>
      </w:r>
      <w:r>
        <w:rPr>
          <w:rFonts w:eastAsia="Times New Roman"/>
          <w:color w:val="000000"/>
          <w:sz w:val="20"/>
          <w:szCs w:val="20"/>
        </w:rPr>
        <w:t>s that permit recovery of all prudently incurred costs of natural gas it sells to its retail core-market customers, including the cost of financial instruments used to hedge purchased gas costs. The recovery clauses provide for periodic adjustments for the</w:t>
      </w:r>
      <w:r>
        <w:rPr>
          <w:rFonts w:eastAsia="Times New Roman"/>
          <w:color w:val="000000"/>
          <w:sz w:val="20"/>
          <w:szCs w:val="20"/>
        </w:rPr>
        <w:t xml:space="preserve"> difference between the total amounts actually billed to customers through PGC and PGA rates and the recoverable costs incurred. Because of this ratemaking mechanism, there is limited commodity price risk associated with our Utilities operations. PA Gas Ut</w:t>
      </w:r>
      <w:r>
        <w:rPr>
          <w:rFonts w:eastAsia="Times New Roman"/>
          <w:color w:val="000000"/>
          <w:sz w:val="20"/>
          <w:szCs w:val="20"/>
        </w:rPr>
        <w:t>ility uses derivative financial instruments, including natural gas futures and option contracts traded on the NYMEX, to reduce volatility in the cost of gas it purchases for its retail core-market customers. The cost of these derivative financial instrumen</w:t>
      </w:r>
      <w:r>
        <w:rPr>
          <w:rFonts w:eastAsia="Times New Roman"/>
          <w:color w:val="000000"/>
          <w:sz w:val="20"/>
          <w:szCs w:val="20"/>
        </w:rPr>
        <w:t xml:space="preserve">ts, net of any associated gains or losses, is included in PA Gas Utility's PGC recovery mechanism.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order to manage market price risk relating to substantially all of Midstream &amp; Marketing’s fixed-price sale contracts for physical natural gas and elec</w:t>
      </w:r>
      <w:r>
        <w:rPr>
          <w:rFonts w:eastAsia="Times New Roman"/>
          <w:color w:val="000000"/>
          <w:sz w:val="20"/>
          <w:szCs w:val="20"/>
        </w:rPr>
        <w:t xml:space="preserve">tricity, Midstream &amp; Marketing enters into NYMEX, ICE and over-the-counter natural gas and electricity futures and option contracts, and natural gas basis swap contracts or enters into fixed-price supply arrangements. Midstream &amp; Marketing also uses NYMEX </w:t>
      </w:r>
      <w:r>
        <w:rPr>
          <w:rFonts w:eastAsia="Times New Roman"/>
          <w:color w:val="000000"/>
          <w:sz w:val="20"/>
          <w:szCs w:val="20"/>
        </w:rPr>
        <w:t>and over-the-counter electricity futures contracts to economically hedge a portion of its anticipated sales of electricity from its electricity generation facilities. Although Midstream &amp; Marketing’s fixed-price supply arrangements mitigate significant ris</w:t>
      </w:r>
      <w:r>
        <w:rPr>
          <w:rFonts w:eastAsia="Times New Roman"/>
          <w:color w:val="000000"/>
          <w:sz w:val="20"/>
          <w:szCs w:val="20"/>
        </w:rPr>
        <w:t>ks associated with its fixed-price sales contracts, should any of the suppliers under these arrangements fail to perform, increases, if any, in the cost of replacement natural gas or electricity would adversely impact Midstream &amp; Marketing’s results. Any v</w:t>
      </w:r>
      <w:r>
        <w:rPr>
          <w:rFonts w:eastAsia="Times New Roman"/>
          <w:color w:val="000000"/>
          <w:sz w:val="20"/>
          <w:szCs w:val="20"/>
        </w:rPr>
        <w:t>olume deviations from the amounts forecasted under fixed-price requirement sale contracts, would introduce price risks, which could adversely impact Midstream &amp; Marketing’s results. In order to reduce this risk of supplier nonperformance, Midstream &amp; Marke</w:t>
      </w:r>
      <w:r>
        <w:rPr>
          <w:rFonts w:eastAsia="Times New Roman"/>
          <w:color w:val="000000"/>
          <w:sz w:val="20"/>
          <w:szCs w:val="20"/>
        </w:rPr>
        <w:t>ting has diversified its purchases across a number of suppliers. UGI International’s natural gas and electricity marketing businesses also use natural gas and electricity futures and forward contracts to economically hedge market risk associated with a sub</w:t>
      </w:r>
      <w:r>
        <w:rPr>
          <w:rFonts w:eastAsia="Times New Roman"/>
          <w:color w:val="000000"/>
          <w:sz w:val="20"/>
          <w:szCs w:val="20"/>
        </w:rPr>
        <w:t xml:space="preserve">stantial portion of anticipated volumes under fixed-price sales and purchase contracts. See Note 5 to Consolidated Financial Statements regarding recent transactions related to UGI International’s energy marketing business.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Midstream &amp; Marketing has ent</w:t>
      </w:r>
      <w:r>
        <w:rPr>
          <w:rFonts w:eastAsia="Times New Roman"/>
          <w:color w:val="000000"/>
          <w:sz w:val="20"/>
          <w:szCs w:val="20"/>
        </w:rPr>
        <w:t>ered into fixed-price sales agreements for a portion of the electricity expected to be generated by its electric generation assets. In the event that these generation assets would not be able to produce all of the electricity needed to supply electricity u</w:t>
      </w:r>
      <w:r>
        <w:rPr>
          <w:rFonts w:eastAsia="Times New Roman"/>
          <w:color w:val="000000"/>
          <w:sz w:val="20"/>
          <w:szCs w:val="20"/>
        </w:rPr>
        <w:t>nder these agreements, Midstream &amp; Marketing would be required to purchase electricity on the spot market or under contract with other electricity suppliers. Accordingly, increases in the cost of replacement power could negatively impact Midstream &amp; Market</w:t>
      </w:r>
      <w:r>
        <w:rPr>
          <w:rFonts w:eastAsia="Times New Roman"/>
          <w:color w:val="000000"/>
          <w:sz w:val="20"/>
          <w:szCs w:val="20"/>
        </w:rPr>
        <w:t>ing’s results.</w:t>
      </w:r>
    </w:p>
    <w:p w:rsidR="00000000" w:rsidRDefault="00AC31B9">
      <w:pPr>
        <w:jc w:val="both"/>
        <w:rPr>
          <w:rFonts w:eastAsia="Times New Roman"/>
        </w:rPr>
      </w:pPr>
    </w:p>
    <w:p w:rsidR="00000000" w:rsidRDefault="00AC31B9">
      <w:pPr>
        <w:jc w:val="both"/>
        <w:divId w:val="2021736057"/>
        <w:rPr>
          <w:rFonts w:eastAsia="Times New Roman"/>
        </w:rPr>
      </w:pPr>
      <w:r>
        <w:rPr>
          <w:rFonts w:eastAsia="Times New Roman"/>
          <w:b/>
          <w:bCs/>
          <w:color w:val="000000"/>
          <w:sz w:val="20"/>
          <w:szCs w:val="20"/>
        </w:rPr>
        <w:t>Interest Rate Risk</w:t>
      </w:r>
    </w:p>
    <w:p w:rsidR="00000000" w:rsidRDefault="00AC31B9">
      <w:pPr>
        <w:jc w:val="both"/>
        <w:rPr>
          <w:rFonts w:eastAsia="Times New Roman"/>
        </w:rPr>
      </w:pPr>
      <w:r>
        <w:rPr>
          <w:rFonts w:eastAsia="Times New Roman"/>
          <w:color w:val="000000"/>
          <w:sz w:val="20"/>
          <w:szCs w:val="20"/>
        </w:rPr>
        <w:t>We have both fixed-rate and variable-rate debt. Changes in interest rates impact the cash flows of variable-rate debt but generally do not impact their fair value. Conversely, changes in interest rates impact the fair va</w:t>
      </w:r>
      <w:r>
        <w:rPr>
          <w:rFonts w:eastAsia="Times New Roman"/>
          <w:color w:val="000000"/>
          <w:sz w:val="20"/>
          <w:szCs w:val="20"/>
        </w:rPr>
        <w:t>lue of fixed-rate debt but do not impact their cash flows.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Our variable-rate debt at September 30, 2023, includes revolving credit facility borrowings and variable-rate term loans at UGI International, Utilities, Energy Services and UGI Corporation. Thes</w:t>
      </w:r>
      <w:r>
        <w:rPr>
          <w:rFonts w:eastAsia="Times New Roman"/>
          <w:color w:val="000000"/>
          <w:sz w:val="20"/>
          <w:szCs w:val="20"/>
        </w:rPr>
        <w:t>e debt agreements have interest rates that are generally indexed to short-term market interest rates. We have entered into pay-fixed, receive-variable interest rate swap agreements on all or a significant portion of the term loans’ principal balances and a</w:t>
      </w:r>
      <w:r>
        <w:rPr>
          <w:rFonts w:eastAsia="Times New Roman"/>
          <w:color w:val="000000"/>
          <w:sz w:val="20"/>
          <w:szCs w:val="20"/>
        </w:rPr>
        <w:t>ll or a significant portion of the term loans’ tenor. We have designated these interest rate swaps as cash flow hedges. At September 30, 2023, combined borrowings outstanding under variable-rate debt agreements, excluding the previously mentioned effective</w:t>
      </w:r>
      <w:r>
        <w:rPr>
          <w:rFonts w:eastAsia="Times New Roman"/>
          <w:color w:val="000000"/>
          <w:sz w:val="20"/>
          <w:szCs w:val="20"/>
        </w:rPr>
        <w:t>ly fixed-rate debt, totaled $1,272 million. Based upon average borrowings outstanding under variable-rate borrowings (excluding effectively fixed-rate term loan debt), an increase in short-term interest rates of 100 basis points (1%) would have increased o</w:t>
      </w:r>
      <w:r>
        <w:rPr>
          <w:rFonts w:eastAsia="Times New Roman"/>
          <w:color w:val="000000"/>
          <w:sz w:val="20"/>
          <w:szCs w:val="20"/>
        </w:rPr>
        <w:t>ur Fiscal 2023 interest expense by approximately $12 million. The remainder of our debt outstanding is subject to fixed rates of interest. A 100 basis point increase in market interest rates would result in decreases in the fair value of this fixed-rate de</w:t>
      </w:r>
      <w:r>
        <w:rPr>
          <w:rFonts w:eastAsia="Times New Roman"/>
          <w:color w:val="000000"/>
          <w:sz w:val="20"/>
          <w:szCs w:val="20"/>
        </w:rPr>
        <w:t xml:space="preserve">bt of approximately $160 million </w:t>
      </w:r>
    </w:p>
    <w:p w:rsidR="00000000" w:rsidRDefault="00AC31B9">
      <w:pPr>
        <w:jc w:val="center"/>
        <w:divId w:val="1037046016"/>
        <w:rPr>
          <w:rFonts w:eastAsia="Times New Roman"/>
        </w:rPr>
      </w:pPr>
      <w:r>
        <w:rPr>
          <w:rFonts w:eastAsia="Times New Roman"/>
          <w:color w:val="000000"/>
          <w:sz w:val="20"/>
          <w:szCs w:val="20"/>
        </w:rPr>
        <w:t>66</w:t>
      </w:r>
    </w:p>
    <w:p w:rsidR="00000000" w:rsidRDefault="00AC31B9">
      <w:pPr>
        <w:rPr>
          <w:rFonts w:eastAsia="Times New Roman"/>
        </w:rPr>
      </w:pPr>
      <w:r>
        <w:rPr>
          <w:rFonts w:eastAsia="Times New Roman"/>
        </w:rPr>
        <w:pict>
          <v:rect id="_x0000_i1093" style="width:0;height:1.5pt" o:hralign="center" o:hrstd="t" o:hr="t" fillcolor="#a0a0a0" stroked="f"/>
        </w:pict>
      </w:r>
    </w:p>
    <w:p w:rsidR="00000000" w:rsidRDefault="00AC31B9">
      <w:pPr>
        <w:divId w:val="1874540011"/>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at September 30, 2023. A 100 basis point decrease in market interest rates would result in increases in the fair value of this fixed-rate debt o</w:t>
      </w:r>
      <w:r>
        <w:rPr>
          <w:rFonts w:eastAsia="Times New Roman"/>
          <w:color w:val="000000"/>
          <w:sz w:val="20"/>
          <w:szCs w:val="20"/>
        </w:rPr>
        <w:t>f approximately $220 million at September 30, 2023.</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Long-term debt associated with our domestic businesses is typically issued at fixed rates of interest based upon market rates for debt with similar terms and credit ratings. As these long-term debt issu</w:t>
      </w:r>
      <w:r>
        <w:rPr>
          <w:rFonts w:eastAsia="Times New Roman"/>
          <w:color w:val="000000"/>
          <w:sz w:val="20"/>
          <w:szCs w:val="20"/>
        </w:rPr>
        <w:t>es mature, we may refinance such debt with new debt having interest rates reflecting then-current market conditions. In order to reduce interest rate risk associated with near- to medium-term forecasted issuances of fixed rate debt, from time to time we en</w:t>
      </w:r>
      <w:r>
        <w:rPr>
          <w:rFonts w:eastAsia="Times New Roman"/>
          <w:color w:val="000000"/>
          <w:sz w:val="20"/>
          <w:szCs w:val="20"/>
        </w:rPr>
        <w:t>ter into IRPAs.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Foreign Currency Exchange Rate Risk</w:t>
      </w:r>
    </w:p>
    <w:p w:rsidR="00000000" w:rsidRDefault="00AC31B9">
      <w:pPr>
        <w:jc w:val="both"/>
        <w:divId w:val="290356631"/>
        <w:rPr>
          <w:rFonts w:eastAsia="Times New Roman"/>
        </w:rPr>
      </w:pPr>
      <w:r>
        <w:rPr>
          <w:rFonts w:eastAsia="Times New Roman"/>
          <w:color w:val="000000"/>
          <w:sz w:val="20"/>
          <w:szCs w:val="20"/>
        </w:rPr>
        <w:t>Our primary currency exchange rate risk is associated with the USD versus the euro and, to a lesser extent, the USD versus the British pound sterling. The USD value of our foreign currency denominated a</w:t>
      </w:r>
      <w:r>
        <w:rPr>
          <w:rFonts w:eastAsia="Times New Roman"/>
          <w:color w:val="000000"/>
          <w:sz w:val="20"/>
          <w:szCs w:val="20"/>
        </w:rPr>
        <w:t>ssets and liabilities will fluctuate with changes in the associated foreign currency exchange rates. From time to time, we use derivative instruments to hedge portions of our net investments in foreign subsidiaries, including anticipated foreign currency d</w:t>
      </w:r>
      <w:r>
        <w:rPr>
          <w:rFonts w:eastAsia="Times New Roman"/>
          <w:color w:val="000000"/>
          <w:sz w:val="20"/>
          <w:szCs w:val="20"/>
        </w:rPr>
        <w:t xml:space="preserve">enominated dividends. Gains or losses on these net investment hedges remain in AOCI until such foreign operations are sold or liquidated. With respect to our net investments in our UGI International operations, a 10% decline in the value of the associated </w:t>
      </w:r>
      <w:r>
        <w:rPr>
          <w:rFonts w:eastAsia="Times New Roman"/>
          <w:color w:val="000000"/>
          <w:sz w:val="20"/>
          <w:szCs w:val="20"/>
        </w:rPr>
        <w:t xml:space="preserve">foreign currencies versus the USD would reduce their aggregate net book value at September 30, 2023, by approximately $70 million, which amount would be reflected in other comprehensive income. We have designated certain euro-denominated borrowings as net </w:t>
      </w:r>
      <w:r>
        <w:rPr>
          <w:rFonts w:eastAsia="Times New Roman"/>
          <w:color w:val="000000"/>
          <w:sz w:val="20"/>
          <w:szCs w:val="20"/>
        </w:rPr>
        <w:t xml:space="preserve">investment hedges. </w:t>
      </w:r>
    </w:p>
    <w:p w:rsidR="00000000" w:rsidRDefault="00AC31B9">
      <w:pPr>
        <w:jc w:val="both"/>
        <w:divId w:val="831065425"/>
        <w:rPr>
          <w:rFonts w:eastAsia="Times New Roman"/>
        </w:rPr>
      </w:pPr>
      <w:r>
        <w:rPr>
          <w:rFonts w:eastAsia="Times New Roman"/>
          <w:color w:val="000000"/>
          <w:sz w:val="20"/>
          <w:szCs w:val="20"/>
        </w:rPr>
        <w:t>In order to reduce the volatility in net income associated with our foreign operations, principally as a result of changes in the USD exchange rate between the euro and British pound sterling, we enter into forward foreign currency exch</w:t>
      </w:r>
      <w:r>
        <w:rPr>
          <w:rFonts w:eastAsia="Times New Roman"/>
          <w:color w:val="000000"/>
          <w:sz w:val="20"/>
          <w:szCs w:val="20"/>
        </w:rPr>
        <w:t>ange contracts. We layer in these foreign currency exchange contracts over a multi-year period to eventually equal approximately 90% of anticipated UGI International foreign currency earnings before income taxes.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Derivative Instrument Credit Risk</w:t>
      </w:r>
    </w:p>
    <w:p w:rsidR="00000000" w:rsidRDefault="00AC31B9">
      <w:pPr>
        <w:jc w:val="both"/>
        <w:divId w:val="1694258995"/>
        <w:rPr>
          <w:rFonts w:eastAsia="Times New Roman"/>
        </w:rPr>
      </w:pPr>
      <w:r>
        <w:rPr>
          <w:rFonts w:eastAsia="Times New Roman"/>
          <w:color w:val="000000"/>
          <w:sz w:val="20"/>
          <w:szCs w:val="20"/>
        </w:rPr>
        <w:t xml:space="preserve">We are </w:t>
      </w:r>
      <w:r>
        <w:rPr>
          <w:rFonts w:eastAsia="Times New Roman"/>
          <w:color w:val="000000"/>
          <w:sz w:val="20"/>
          <w:szCs w:val="20"/>
        </w:rPr>
        <w:t>exposed to risk of loss in the event of nonperformance by our derivative instrument counterparties. Our derivative instrument counterparties principally comprise large energy companies and major U.S. and international financial institutions. We maintain cr</w:t>
      </w:r>
      <w:r>
        <w:rPr>
          <w:rFonts w:eastAsia="Times New Roman"/>
          <w:color w:val="000000"/>
          <w:sz w:val="20"/>
          <w:szCs w:val="20"/>
        </w:rPr>
        <w:t>edit policies with regard to our counterparties that we believe reduce overall credit risk. These policies include evaluating and monitoring our counterparties’ financial condition, including their credit ratings, and entering into agreements with counterp</w:t>
      </w:r>
      <w:r>
        <w:rPr>
          <w:rFonts w:eastAsia="Times New Roman"/>
          <w:color w:val="000000"/>
          <w:sz w:val="20"/>
          <w:szCs w:val="20"/>
        </w:rPr>
        <w:t xml:space="preserve">arties that govern credit limits or entering into netting agreements that allow for offsetting counterparty receivable and payable balances for certain financial transactions, as deemed appropriate. </w:t>
      </w:r>
    </w:p>
    <w:p w:rsidR="00000000" w:rsidRDefault="00AC31B9">
      <w:pPr>
        <w:jc w:val="both"/>
        <w:divId w:val="1489325336"/>
        <w:rPr>
          <w:rFonts w:eastAsia="Times New Roman"/>
        </w:rPr>
      </w:pPr>
      <w:r>
        <w:rPr>
          <w:rFonts w:eastAsia="Times New Roman"/>
          <w:color w:val="000000"/>
          <w:sz w:val="20"/>
          <w:szCs w:val="20"/>
        </w:rPr>
        <w:t>We have concentrations of credit risk associated with de</w:t>
      </w:r>
      <w:r>
        <w:rPr>
          <w:rFonts w:eastAsia="Times New Roman"/>
          <w:color w:val="000000"/>
          <w:sz w:val="20"/>
          <w:szCs w:val="20"/>
        </w:rPr>
        <w:t>rivative instruments and we evaluate the creditworthiness of our derivative counterparties on an ongoing basis. As of September 30, 2023, the maximum amount of loss, based upon the gross fair values of the derivative instruments, we would incur if these co</w:t>
      </w:r>
      <w:r>
        <w:rPr>
          <w:rFonts w:eastAsia="Times New Roman"/>
          <w:color w:val="000000"/>
          <w:sz w:val="20"/>
          <w:szCs w:val="20"/>
        </w:rPr>
        <w:t>unterparties failed to perform according to the terms of their contracts was $298 million. In general, many of our over-the-counter derivative instruments and all exchange contracts call for the posting of collateral by the counterparty or by the Company i</w:t>
      </w:r>
      <w:r>
        <w:rPr>
          <w:rFonts w:eastAsia="Times New Roman"/>
          <w:color w:val="000000"/>
          <w:sz w:val="20"/>
          <w:szCs w:val="20"/>
        </w:rPr>
        <w:t>n the forms of letters of credit, parental guarantees or cash. At September 30, 2023, we had received cash collateral from derivative instrument counterparties totaling $40 million. In addition, we may have offsetting derivative liabilities and certain acc</w:t>
      </w:r>
      <w:r>
        <w:rPr>
          <w:rFonts w:eastAsia="Times New Roman"/>
          <w:color w:val="000000"/>
          <w:sz w:val="20"/>
          <w:szCs w:val="20"/>
        </w:rPr>
        <w:t>ounts payable balances with certain of these counterparties, which further mitigates the previously mentioned maximum amount of losses. Certain of the Partnership’s derivative contracts have credit-risk-related contingent features that may require the post</w:t>
      </w:r>
      <w:r>
        <w:rPr>
          <w:rFonts w:eastAsia="Times New Roman"/>
          <w:color w:val="000000"/>
          <w:sz w:val="20"/>
          <w:szCs w:val="20"/>
        </w:rPr>
        <w:t>ing of additional collateral in the event of a downgrade of the Partnership’s debt rating. At September 30, 2023, if the credit-risk-related contingent features were triggered, the amount of collateral required to be posted would not be material.</w:t>
      </w:r>
    </w:p>
    <w:p w:rsidR="00000000" w:rsidRDefault="00AC31B9">
      <w:pPr>
        <w:jc w:val="both"/>
        <w:divId w:val="920142641"/>
        <w:rPr>
          <w:rFonts w:eastAsia="Times New Roman"/>
        </w:rPr>
      </w:pPr>
      <w:r>
        <w:rPr>
          <w:rFonts w:eastAsia="Times New Roman"/>
          <w:color w:val="000000"/>
          <w:sz w:val="20"/>
          <w:szCs w:val="20"/>
        </w:rPr>
        <w:t>The follo</w:t>
      </w:r>
      <w:r>
        <w:rPr>
          <w:rFonts w:eastAsia="Times New Roman"/>
          <w:color w:val="000000"/>
          <w:sz w:val="20"/>
          <w:szCs w:val="20"/>
        </w:rPr>
        <w:t xml:space="preserve">wing table summarizes the fair values of unsettled market risk sensitive derivative instrument assets (liabilities) held at September 30, 2023 and changes in their fair values due to market risks. Certain of UGI Utilities’ commodity derivative instruments </w:t>
      </w:r>
      <w:r>
        <w:rPr>
          <w:rFonts w:eastAsia="Times New Roman"/>
          <w:color w:val="000000"/>
          <w:sz w:val="20"/>
          <w:szCs w:val="20"/>
        </w:rPr>
        <w:t>are excluded from the table below because any associated net gains or losses are refundable to or recoverable from customers in accordance with UGI Utilities ratemaking.</w:t>
      </w:r>
    </w:p>
    <w:tbl>
      <w:tblPr>
        <w:tblW w:w="4985" w:type="pct"/>
        <w:tblCellMar>
          <w:top w:w="15" w:type="dxa"/>
          <w:left w:w="15" w:type="dxa"/>
          <w:bottom w:w="15" w:type="dxa"/>
          <w:right w:w="15" w:type="dxa"/>
        </w:tblCellMar>
        <w:tblLook w:val="04A0" w:firstRow="1" w:lastRow="0" w:firstColumn="1" w:lastColumn="0" w:noHBand="0" w:noVBand="1"/>
      </w:tblPr>
      <w:tblGrid>
        <w:gridCol w:w="39"/>
        <w:gridCol w:w="6080"/>
        <w:gridCol w:w="38"/>
        <w:gridCol w:w="36"/>
        <w:gridCol w:w="36"/>
        <w:gridCol w:w="36"/>
        <w:gridCol w:w="121"/>
        <w:gridCol w:w="796"/>
        <w:gridCol w:w="37"/>
        <w:gridCol w:w="36"/>
        <w:gridCol w:w="36"/>
        <w:gridCol w:w="36"/>
        <w:gridCol w:w="121"/>
        <w:gridCol w:w="796"/>
        <w:gridCol w:w="37"/>
      </w:tblGrid>
      <w:tr w:rsidR="00000000">
        <w:tc>
          <w:tcPr>
            <w:tcW w:w="50" w:type="pct"/>
            <w:vAlign w:val="center"/>
            <w:hideMark/>
          </w:tcPr>
          <w:p w:rsidR="00000000" w:rsidRDefault="00AC31B9">
            <w:pPr>
              <w:jc w:val="both"/>
              <w:rPr>
                <w:rFonts w:eastAsia="Times New Roman"/>
              </w:rPr>
            </w:pPr>
          </w:p>
        </w:tc>
        <w:tc>
          <w:tcPr>
            <w:tcW w:w="369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Asset (Liability)</w:t>
            </w:r>
          </w:p>
        </w:tc>
      </w:tr>
      <w:tr w:rsidR="00000000">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Change in</w:t>
            </w:r>
            <w:r>
              <w:rPr>
                <w:rFonts w:eastAsia="Times New Roman"/>
                <w:color w:val="000000"/>
                <w:sz w:val="20"/>
                <w:szCs w:val="20"/>
              </w:rPr>
              <w:br/>
              <w:t>Fair Value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September 30, 2023</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Commodity price risk (1)</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(148)</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Interest rate risk (2)</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Foreign currency exchange rate risk (3)</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ind w:hanging="360"/>
        <w:jc w:val="both"/>
        <w:rPr>
          <w:rFonts w:eastAsia="Times New Roman"/>
        </w:rPr>
      </w:pPr>
      <w:r>
        <w:rPr>
          <w:rFonts w:eastAsia="Times New Roman"/>
          <w:color w:val="000000"/>
          <w:sz w:val="20"/>
          <w:szCs w:val="20"/>
        </w:rPr>
        <w:t>(1)</w:t>
      </w:r>
      <w:r>
        <w:rPr>
          <w:rFonts w:eastAsia="Times New Roman"/>
          <w:color w:val="000000"/>
          <w:sz w:val="20"/>
          <w:szCs w:val="20"/>
        </w:rPr>
        <w:t>Change in fair value represents a 10% adverse change in the market prices of certain commodities</w:t>
      </w:r>
    </w:p>
    <w:p w:rsidR="00000000" w:rsidRDefault="00AC31B9">
      <w:pPr>
        <w:ind w:hanging="360"/>
        <w:jc w:val="both"/>
        <w:rPr>
          <w:rFonts w:eastAsia="Times New Roman"/>
        </w:rPr>
      </w:pPr>
      <w:r>
        <w:rPr>
          <w:rFonts w:eastAsia="Times New Roman"/>
          <w:color w:val="000000"/>
          <w:sz w:val="20"/>
          <w:szCs w:val="20"/>
        </w:rPr>
        <w:t>(2)</w:t>
      </w:r>
      <w:r>
        <w:rPr>
          <w:rFonts w:eastAsia="Times New Roman"/>
          <w:color w:val="000000"/>
          <w:sz w:val="20"/>
          <w:szCs w:val="20"/>
        </w:rPr>
        <w:t>Change in fair value represents a 50 basis point adverse change in prevailing market interest rates</w:t>
      </w:r>
    </w:p>
    <w:p w:rsidR="00000000" w:rsidRDefault="00AC31B9">
      <w:pPr>
        <w:jc w:val="center"/>
        <w:divId w:val="1342927498"/>
        <w:rPr>
          <w:rFonts w:eastAsia="Times New Roman"/>
        </w:rPr>
      </w:pPr>
      <w:r>
        <w:rPr>
          <w:rFonts w:eastAsia="Times New Roman"/>
          <w:color w:val="000000"/>
          <w:sz w:val="20"/>
          <w:szCs w:val="20"/>
        </w:rPr>
        <w:t>67</w:t>
      </w:r>
    </w:p>
    <w:p w:rsidR="00000000" w:rsidRDefault="00AC31B9">
      <w:pPr>
        <w:rPr>
          <w:rFonts w:eastAsia="Times New Roman"/>
        </w:rPr>
      </w:pPr>
      <w:r>
        <w:rPr>
          <w:rFonts w:eastAsia="Times New Roman"/>
        </w:rPr>
        <w:pict>
          <v:rect id="_x0000_i1094" style="width:0;height:1.5pt" o:hralign="center" o:hrstd="t" o:hr="t" fillcolor="#a0a0a0" stroked="f"/>
        </w:pict>
      </w:r>
    </w:p>
    <w:p w:rsidR="00000000" w:rsidRDefault="00AC31B9">
      <w:pPr>
        <w:divId w:val="1235050637"/>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ind w:hanging="360"/>
        <w:jc w:val="both"/>
        <w:rPr>
          <w:rFonts w:eastAsia="Times New Roman"/>
        </w:rPr>
      </w:pPr>
      <w:r>
        <w:rPr>
          <w:rFonts w:eastAsia="Times New Roman"/>
          <w:color w:val="000000"/>
          <w:sz w:val="20"/>
          <w:szCs w:val="20"/>
        </w:rPr>
        <w:t>(3)Change in fair value represents a 10%</w:t>
      </w:r>
      <w:r>
        <w:rPr>
          <w:rFonts w:eastAsia="Times New Roman"/>
          <w:color w:val="000000"/>
          <w:sz w:val="20"/>
          <w:szCs w:val="20"/>
        </w:rPr>
        <w:t xml:space="preserve"> adverse change in the value of the Euro and the British pound sterling versus the USD.</w:t>
      </w:r>
    </w:p>
    <w:p w:rsidR="00000000" w:rsidRDefault="00AC31B9">
      <w:pPr>
        <w:divId w:val="1800148108"/>
        <w:rPr>
          <w:rFonts w:eastAsia="Times New Roman"/>
        </w:rPr>
      </w:pPr>
    </w:p>
    <w:p w:rsidR="00000000" w:rsidRDefault="00AC31B9">
      <w:pPr>
        <w:jc w:val="both"/>
        <w:rPr>
          <w:rFonts w:eastAsia="Times New Roman"/>
        </w:rPr>
      </w:pPr>
      <w:r>
        <w:rPr>
          <w:rFonts w:eastAsia="Times New Roman"/>
          <w:b/>
          <w:bCs/>
          <w:color w:val="000000"/>
          <w:sz w:val="20"/>
          <w:szCs w:val="20"/>
          <w:u w:val="single"/>
        </w:rPr>
        <w:t>Critical Accounting Policies and Estimates</w:t>
      </w:r>
    </w:p>
    <w:p w:rsidR="00000000" w:rsidRDefault="00AC31B9">
      <w:pPr>
        <w:jc w:val="both"/>
        <w:divId w:val="1070075110"/>
        <w:rPr>
          <w:rFonts w:eastAsia="Times New Roman"/>
        </w:rPr>
      </w:pPr>
      <w:r>
        <w:rPr>
          <w:rFonts w:eastAsia="Times New Roman"/>
          <w:color w:val="000000"/>
          <w:sz w:val="20"/>
          <w:szCs w:val="20"/>
        </w:rPr>
        <w:t>The accounting policies and estimates discussed in this section are those that we consider to be the most critical to an un</w:t>
      </w:r>
      <w:r>
        <w:rPr>
          <w:rFonts w:eastAsia="Times New Roman"/>
          <w:color w:val="000000"/>
          <w:sz w:val="20"/>
          <w:szCs w:val="20"/>
        </w:rPr>
        <w:t xml:space="preserve">derstanding of our financial statements because they involve significant judgments and uncertainties. The application of these accounting policies and estimates necessarily requires management’s most subjective or complex judgments regarding estimates and </w:t>
      </w:r>
      <w:r>
        <w:rPr>
          <w:rFonts w:eastAsia="Times New Roman"/>
          <w:color w:val="000000"/>
          <w:sz w:val="20"/>
          <w:szCs w:val="20"/>
        </w:rPr>
        <w:t xml:space="preserve">projected outcomes of future events. Changes in these policies and estimates could have a material effect on our financial statements. Management has reviewed these critical accounting policies, and the estimates and assumptions associated with them, with </w:t>
      </w:r>
      <w:r>
        <w:rPr>
          <w:rFonts w:eastAsia="Times New Roman"/>
          <w:color w:val="000000"/>
          <w:sz w:val="20"/>
          <w:szCs w:val="20"/>
        </w:rPr>
        <w:t>the Company’s Audit Committee. Also, see Note 2 to Consolidated Financial Statements which discusses our significant accounting policies.</w:t>
      </w:r>
    </w:p>
    <w:p w:rsidR="00000000" w:rsidRDefault="00AC31B9">
      <w:pPr>
        <w:jc w:val="both"/>
        <w:divId w:val="1885941402"/>
        <w:rPr>
          <w:rFonts w:eastAsia="Times New Roman"/>
        </w:rPr>
      </w:pPr>
      <w:r>
        <w:rPr>
          <w:rFonts w:eastAsia="Times New Roman"/>
          <w:b/>
          <w:bCs/>
          <w:color w:val="000000"/>
          <w:sz w:val="20"/>
          <w:szCs w:val="20"/>
        </w:rPr>
        <w:t>Goodwill Impairment Evaluation.</w:t>
      </w:r>
      <w:r>
        <w:rPr>
          <w:rFonts w:eastAsia="Times New Roman"/>
          <w:color w:val="000000"/>
          <w:sz w:val="20"/>
          <w:szCs w:val="20"/>
        </w:rPr>
        <w:t xml:space="preserve"> Our goodwill is the result of business acquisitions. We do not amortize goodwill, but </w:t>
      </w:r>
      <w:r>
        <w:rPr>
          <w:rFonts w:eastAsia="Times New Roman"/>
          <w:color w:val="000000"/>
          <w:sz w:val="20"/>
          <w:szCs w:val="20"/>
        </w:rPr>
        <w:t>test it at least annually for impairment at the reporting unit level. A reporting unit is an operating segment, or one level below an operating segment (a component), if it constitutes a business for which discrete financial information is available and re</w:t>
      </w:r>
      <w:r>
        <w:rPr>
          <w:rFonts w:eastAsia="Times New Roman"/>
          <w:color w:val="000000"/>
          <w:sz w:val="20"/>
          <w:szCs w:val="20"/>
        </w:rPr>
        <w:t>gularly reviewed by segment management. Components are aggregated into a single reporting unit if they have similar economic characteristics. A reporting unit with goodwill is required to perform an impairment test annually or whenever events or circumstan</w:t>
      </w:r>
      <w:r>
        <w:rPr>
          <w:rFonts w:eastAsia="Times New Roman"/>
          <w:color w:val="000000"/>
          <w:sz w:val="20"/>
          <w:szCs w:val="20"/>
        </w:rPr>
        <w:t>ces indicate that the value of goodwill may be impaired.</w:t>
      </w:r>
    </w:p>
    <w:p w:rsidR="00000000" w:rsidRDefault="00AC31B9">
      <w:pPr>
        <w:jc w:val="both"/>
        <w:divId w:val="1327635299"/>
        <w:rPr>
          <w:rFonts w:eastAsia="Times New Roman"/>
        </w:rPr>
      </w:pPr>
      <w:r>
        <w:rPr>
          <w:rFonts w:eastAsia="Times New Roman"/>
          <w:color w:val="000000"/>
          <w:sz w:val="20"/>
          <w:szCs w:val="20"/>
        </w:rPr>
        <w:t>For certain of our reporting units with goodwill, we assess qualitative factors to determine whether it is more likely than not that the fair value of such reporting unit is less than its carrying am</w:t>
      </w:r>
      <w:r>
        <w:rPr>
          <w:rFonts w:eastAsia="Times New Roman"/>
          <w:color w:val="000000"/>
          <w:sz w:val="20"/>
          <w:szCs w:val="20"/>
        </w:rPr>
        <w:t>ount. For our other reporting units with goodwill, we bypass the qualitative assessment and perform the quantitative assessment by comparing the fair values of the reporting units with their carrying amounts, including goodwill. We determine fair values ge</w:t>
      </w:r>
      <w:r>
        <w:rPr>
          <w:rFonts w:eastAsia="Times New Roman"/>
          <w:color w:val="000000"/>
          <w:sz w:val="20"/>
          <w:szCs w:val="20"/>
        </w:rPr>
        <w:t>nerally based on a weighting of income and market approaches. For purposes of the income approach, fair values are determined based upon the present value of the reporting unit’s estimated future cash flows, including an estimate of the reporting unit’s te</w:t>
      </w:r>
      <w:r>
        <w:rPr>
          <w:rFonts w:eastAsia="Times New Roman"/>
          <w:color w:val="000000"/>
          <w:sz w:val="20"/>
          <w:szCs w:val="20"/>
        </w:rPr>
        <w:t>rminal value based upon these cash flows, discounted at appropriate risk-adjusted rates. We use our internal forecasts to estimate future cash flows, which may include estimates of long-term future growth rates based upon our most recent reviews of the lon</w:t>
      </w:r>
      <w:r>
        <w:rPr>
          <w:rFonts w:eastAsia="Times New Roman"/>
          <w:color w:val="000000"/>
          <w:sz w:val="20"/>
          <w:szCs w:val="20"/>
        </w:rPr>
        <w:t>g-term outlook for each reporting unit. Cash flow estimates used to establish fair values under our income approach involve management judgments based on a broad range of information and historical results. In addition, external economic and competitive co</w:t>
      </w:r>
      <w:r>
        <w:rPr>
          <w:rFonts w:eastAsia="Times New Roman"/>
          <w:color w:val="000000"/>
          <w:sz w:val="20"/>
          <w:szCs w:val="20"/>
        </w:rPr>
        <w:t>nditions can influence future performance. For purposes of the market approach, we use valuation multiples for companies comparable to our reporting units. The market approach requires judgment to determine the appropriate valuation multiples. If the carry</w:t>
      </w:r>
      <w:r>
        <w:rPr>
          <w:rFonts w:eastAsia="Times New Roman"/>
          <w:color w:val="000000"/>
          <w:sz w:val="20"/>
          <w:szCs w:val="20"/>
        </w:rPr>
        <w:t xml:space="preserve">ing amount of a reporting unit exceeds its fair value, an impairment loss is recognized in an amount equal to such excess but not to exceed the total amount of the goodwill of the reporting unit. </w:t>
      </w:r>
    </w:p>
    <w:p w:rsidR="00000000" w:rsidRDefault="00AC31B9">
      <w:pPr>
        <w:jc w:val="both"/>
        <w:divId w:val="1154298513"/>
        <w:rPr>
          <w:rFonts w:eastAsia="Times New Roman"/>
        </w:rPr>
      </w:pPr>
      <w:r>
        <w:rPr>
          <w:rFonts w:eastAsia="Times New Roman"/>
          <w:color w:val="000000"/>
          <w:sz w:val="20"/>
          <w:szCs w:val="20"/>
        </w:rPr>
        <w:t>During the third quarter of Fiscal 2023, the Company identi</w:t>
      </w:r>
      <w:r>
        <w:rPr>
          <w:rFonts w:eastAsia="Times New Roman"/>
          <w:color w:val="000000"/>
          <w:sz w:val="20"/>
          <w:szCs w:val="20"/>
        </w:rPr>
        <w:t xml:space="preserve">fied interim impairment indicators related to goodwill within the AmeriGas Propane reporting unit: (1) AmeriGas Partners issued $500 million of Senior Notes at an interest rate of 9.375%, which was significantly higher than the interest rates on the other </w:t>
      </w:r>
      <w:r>
        <w:rPr>
          <w:rFonts w:eastAsia="Times New Roman"/>
          <w:color w:val="000000"/>
          <w:sz w:val="20"/>
          <w:szCs w:val="20"/>
        </w:rPr>
        <w:t>AmeriGas Propane debt obligations; and (2) financial projections for the AmeriGas Propane reporting unit were reduced significantly compared to previous forecasts following declines in gross margins and customer retention and higher operating expenses. The</w:t>
      </w:r>
      <w:r>
        <w:rPr>
          <w:rFonts w:eastAsia="Times New Roman"/>
          <w:color w:val="000000"/>
          <w:sz w:val="20"/>
          <w:szCs w:val="20"/>
        </w:rPr>
        <w:t xml:space="preserve"> Company concluded that these events constituted triggering events that indicate that the AmeriGas Propane goodwill may be impaired and, as such, performed an interim impairment test of its goodwill as of May 31, 2023. </w:t>
      </w:r>
    </w:p>
    <w:p w:rsidR="00000000" w:rsidRDefault="00AC31B9">
      <w:pPr>
        <w:divId w:val="1873882270"/>
        <w:rPr>
          <w:rFonts w:eastAsia="Times New Roman"/>
        </w:rPr>
      </w:pPr>
    </w:p>
    <w:p w:rsidR="00000000" w:rsidRDefault="00AC31B9">
      <w:pPr>
        <w:jc w:val="both"/>
        <w:rPr>
          <w:rFonts w:eastAsia="Times New Roman"/>
        </w:rPr>
      </w:pPr>
      <w:r>
        <w:rPr>
          <w:rFonts w:eastAsia="Times New Roman"/>
          <w:color w:val="000000"/>
          <w:sz w:val="20"/>
          <w:szCs w:val="20"/>
        </w:rPr>
        <w:t>Using level 3 inputs, we performed</w:t>
      </w:r>
      <w:r>
        <w:rPr>
          <w:rFonts w:eastAsia="Times New Roman"/>
          <w:color w:val="000000"/>
          <w:sz w:val="20"/>
          <w:szCs w:val="20"/>
        </w:rPr>
        <w:t xml:space="preserve"> a quantitative assessment of the AmeriGas Propane reporting unit using a weighting of the income and market approaches to determine its fair value. With respect to the income approach, management used a discounted cash flow (“DCF”) method, using unobserva</w:t>
      </w:r>
      <w:r>
        <w:rPr>
          <w:rFonts w:eastAsia="Times New Roman"/>
          <w:color w:val="000000"/>
          <w:sz w:val="20"/>
          <w:szCs w:val="20"/>
        </w:rPr>
        <w:t>ble inputs. The significant assumptions in our DCF model include projected EBITDA and a discount rate (and estimates in the discount rate inputs). With respect to the market approach, management used recent transaction market multiples for similar companie</w:t>
      </w:r>
      <w:r>
        <w:rPr>
          <w:rFonts w:eastAsia="Times New Roman"/>
          <w:color w:val="000000"/>
          <w:sz w:val="20"/>
          <w:szCs w:val="20"/>
        </w:rPr>
        <w:t>s in the U.S. The resulting estimates of fair value from the income approach and the market approach were then weighted equally in determining the overall estimated fair value of AmeriGas Propane.</w:t>
      </w:r>
    </w:p>
    <w:p w:rsidR="00000000" w:rsidRDefault="00AC31B9">
      <w:pPr>
        <w:divId w:val="1336348205"/>
        <w:rPr>
          <w:rFonts w:eastAsia="Times New Roman"/>
        </w:rPr>
      </w:pPr>
    </w:p>
    <w:p w:rsidR="00000000" w:rsidRDefault="00AC31B9">
      <w:pPr>
        <w:jc w:val="both"/>
        <w:rPr>
          <w:rFonts w:eastAsia="Times New Roman"/>
        </w:rPr>
      </w:pPr>
      <w:r>
        <w:rPr>
          <w:rFonts w:eastAsia="Times New Roman"/>
          <w:color w:val="000000"/>
          <w:sz w:val="20"/>
          <w:szCs w:val="20"/>
        </w:rPr>
        <w:t xml:space="preserve">Based on our evaluation, the estimated fair value of the </w:t>
      </w:r>
      <w:r>
        <w:rPr>
          <w:rFonts w:eastAsia="Times New Roman"/>
          <w:color w:val="000000"/>
          <w:sz w:val="20"/>
          <w:szCs w:val="20"/>
        </w:rPr>
        <w:t>AmeriGas Propane reporting unit was determined to be less than its carrying value. As a result, the Company recorded a non-cash pre-tax goodwill impairment charge of $656 million, included in “Impairment of goodwill” on the Fiscal 2023 Consolidated Stateme</w:t>
      </w:r>
      <w:r>
        <w:rPr>
          <w:rFonts w:eastAsia="Times New Roman"/>
          <w:color w:val="000000"/>
          <w:sz w:val="20"/>
          <w:szCs w:val="20"/>
        </w:rPr>
        <w:t xml:space="preserve">nt of Income, to reduce the carrying value of AmeriGas Propane to its fair value. The Company calculated the deferred tax effect using the simultaneous equation method.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The performance of the AmeriGas Propane reporting unit and the potential for future </w:t>
      </w:r>
      <w:r>
        <w:rPr>
          <w:rFonts w:eastAsia="Times New Roman"/>
          <w:color w:val="000000"/>
          <w:sz w:val="20"/>
          <w:szCs w:val="20"/>
        </w:rPr>
        <w:t>developments in the global economic environment, including the prospect of higher interest rates, introduces a heightened risk for additional impairment in the AmeriGas Propane reporting unit. If there is continued deterioration in the results of operation</w:t>
      </w:r>
      <w:r>
        <w:rPr>
          <w:rFonts w:eastAsia="Times New Roman"/>
          <w:color w:val="000000"/>
          <w:sz w:val="20"/>
          <w:szCs w:val="20"/>
        </w:rPr>
        <w:t xml:space="preserve">s, a portion or all of the </w:t>
      </w:r>
    </w:p>
    <w:p w:rsidR="00000000" w:rsidRDefault="00AC31B9">
      <w:pPr>
        <w:jc w:val="center"/>
        <w:divId w:val="1465582949"/>
        <w:rPr>
          <w:rFonts w:eastAsia="Times New Roman"/>
        </w:rPr>
      </w:pPr>
      <w:r>
        <w:rPr>
          <w:rFonts w:eastAsia="Times New Roman"/>
          <w:color w:val="000000"/>
          <w:sz w:val="20"/>
          <w:szCs w:val="20"/>
        </w:rPr>
        <w:t>68</w:t>
      </w:r>
    </w:p>
    <w:p w:rsidR="00000000" w:rsidRDefault="00AC31B9">
      <w:pPr>
        <w:rPr>
          <w:rFonts w:eastAsia="Times New Roman"/>
        </w:rPr>
      </w:pPr>
      <w:r>
        <w:rPr>
          <w:rFonts w:eastAsia="Times New Roman"/>
        </w:rPr>
        <w:pict>
          <v:rect id="_x0000_i1095" style="width:0;height:1.5pt" o:hralign="center" o:hrstd="t" o:hr="t" fillcolor="#a0a0a0" stroked="f"/>
        </w:pict>
      </w:r>
    </w:p>
    <w:p w:rsidR="00000000" w:rsidRDefault="00AC31B9">
      <w:pPr>
        <w:divId w:val="659962812"/>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remaining recorded goodwill for the AmeriGas Propane reporting unit, which was $1.3 billion as of September 30, 2023, could be subject to furthe</w:t>
      </w:r>
      <w:r>
        <w:rPr>
          <w:rFonts w:eastAsia="Times New Roman"/>
          <w:color w:val="000000"/>
          <w:sz w:val="20"/>
          <w:szCs w:val="20"/>
        </w:rPr>
        <w:t>r impairment.</w:t>
      </w:r>
    </w:p>
    <w:p w:rsidR="00000000" w:rsidRDefault="00AC31B9">
      <w:pPr>
        <w:jc w:val="both"/>
        <w:divId w:val="1704164533"/>
        <w:rPr>
          <w:rFonts w:eastAsia="Times New Roman"/>
        </w:rPr>
      </w:pPr>
      <w:r>
        <w:rPr>
          <w:rFonts w:eastAsia="Times New Roman"/>
          <w:color w:val="000000"/>
          <w:sz w:val="20"/>
          <w:szCs w:val="20"/>
        </w:rPr>
        <w:t>With respect to UGI International's Fiscal 2023 goodwill impairment test, the Company bypassed the qualitative assessment and performed a quantitative assessment. Such assessment used a weighting of income and market approaches to determine f</w:t>
      </w:r>
      <w:r>
        <w:rPr>
          <w:rFonts w:eastAsia="Times New Roman"/>
          <w:color w:val="000000"/>
          <w:sz w:val="20"/>
          <w:szCs w:val="20"/>
        </w:rPr>
        <w:t>air value. With respect to the income approach, management used a discounted cash flow (“DCF”) method, using unobservable inputs. The significant assumptions in our DCF model include projected EBITDA, and a discount rate (and estimates in the discount rate</w:t>
      </w:r>
      <w:r>
        <w:rPr>
          <w:rFonts w:eastAsia="Times New Roman"/>
          <w:color w:val="000000"/>
          <w:sz w:val="20"/>
          <w:szCs w:val="20"/>
        </w:rPr>
        <w:t xml:space="preserve"> inputs). With respect to the market approach, management used recent transaction market multiples for similar companies. Based on our evaluation, we determined that UGI International’s fair value exceeded its carrying value by approximately 10%. While the</w:t>
      </w:r>
      <w:r>
        <w:rPr>
          <w:rFonts w:eastAsia="Times New Roman"/>
          <w:color w:val="000000"/>
          <w:sz w:val="20"/>
          <w:szCs w:val="20"/>
        </w:rPr>
        <w:t xml:space="preserve"> Company believes that its judgments used in the quantitative assessment of UGI International’s fair value are reasonable based upon currently available facts and circumstances, if UGI International were not able to achieve its anticipated results and/or i</w:t>
      </w:r>
      <w:r>
        <w:rPr>
          <w:rFonts w:eastAsia="Times New Roman"/>
          <w:color w:val="000000"/>
          <w:sz w:val="20"/>
          <w:szCs w:val="20"/>
        </w:rPr>
        <w:t>f its discount rate were to increase, its fair value would be adversely affected, which may result in an impairment. There is approximately $911 million of goodwill in this reporting unit as of September 30, 2023. The Company will continue to monitor its r</w:t>
      </w:r>
      <w:r>
        <w:rPr>
          <w:rFonts w:eastAsia="Times New Roman"/>
          <w:color w:val="000000"/>
          <w:sz w:val="20"/>
          <w:szCs w:val="20"/>
        </w:rPr>
        <w:t>eporting units and related goodwill for any possible future non-cash impairment charges.</w:t>
      </w:r>
    </w:p>
    <w:p w:rsidR="00000000" w:rsidRDefault="00AC31B9">
      <w:pPr>
        <w:jc w:val="both"/>
        <w:divId w:val="1257440918"/>
        <w:rPr>
          <w:rFonts w:eastAsia="Times New Roman"/>
        </w:rPr>
      </w:pPr>
      <w:r>
        <w:rPr>
          <w:rFonts w:eastAsia="Times New Roman"/>
          <w:color w:val="000000"/>
          <w:sz w:val="20"/>
          <w:szCs w:val="20"/>
        </w:rPr>
        <w:t xml:space="preserve">As of September 30, 2023, our goodwill totaled $3,027 million. Except for the previously mentioned impairment charge of $656 million at the AmeriGas Propane reporting </w:t>
      </w:r>
      <w:r>
        <w:rPr>
          <w:rFonts w:eastAsia="Times New Roman"/>
          <w:color w:val="000000"/>
          <w:sz w:val="20"/>
          <w:szCs w:val="20"/>
        </w:rPr>
        <w:t>unit, no other impairments of goodwill were recognized in Fiscal 2023 and Fiscal 2022.</w:t>
      </w:r>
    </w:p>
    <w:p w:rsidR="00000000" w:rsidRDefault="00AC31B9">
      <w:pPr>
        <w:jc w:val="both"/>
        <w:divId w:val="924534917"/>
        <w:rPr>
          <w:rFonts w:eastAsia="Times New Roman"/>
        </w:rPr>
      </w:pPr>
      <w:r>
        <w:rPr>
          <w:rFonts w:eastAsia="Times New Roman"/>
          <w:b/>
          <w:bCs/>
          <w:color w:val="000000"/>
          <w:sz w:val="20"/>
          <w:szCs w:val="20"/>
        </w:rPr>
        <w:t>Impairment of Long-Lived Assets.</w:t>
      </w:r>
      <w:r>
        <w:rPr>
          <w:rFonts w:eastAsia="Times New Roman"/>
          <w:color w:val="000000"/>
          <w:sz w:val="20"/>
          <w:szCs w:val="20"/>
        </w:rPr>
        <w:t xml:space="preserve"> An impairment test for long-lived assets (or an asset group) is required when circumstances indicate that such assets may be impaired. I</w:t>
      </w:r>
      <w:r>
        <w:rPr>
          <w:rFonts w:eastAsia="Times New Roman"/>
          <w:color w:val="000000"/>
          <w:sz w:val="20"/>
          <w:szCs w:val="20"/>
        </w:rPr>
        <w:t>f it is determined that a triggering event has occurred, we perform a recoverability test based upon estimated undiscounted cash flow projections expected to be realized over the remaining useful life of the long-lived asset. If the undiscounted cash flows</w:t>
      </w:r>
      <w:r>
        <w:rPr>
          <w:rFonts w:eastAsia="Times New Roman"/>
          <w:color w:val="000000"/>
          <w:sz w:val="20"/>
          <w:szCs w:val="20"/>
        </w:rPr>
        <w:t xml:space="preserve"> used in the recoverability test are less than the long-lived asset's carrying amount, we determine its fair value. If the fair value is determined to be less than its carrying amount, the long-lived asset is reduced to its estimated fair value and an impa</w:t>
      </w:r>
      <w:r>
        <w:rPr>
          <w:rFonts w:eastAsia="Times New Roman"/>
          <w:color w:val="000000"/>
          <w:sz w:val="20"/>
          <w:szCs w:val="20"/>
        </w:rPr>
        <w:t>irment loss is recognized in an amount equal to such shortfall. When determining whether a long-lived asset has been impaired, management groups assets at the lowest level that has identifiable cash flows that are independent of other assets. Performing an</w:t>
      </w:r>
      <w:r>
        <w:rPr>
          <w:rFonts w:eastAsia="Times New Roman"/>
          <w:color w:val="000000"/>
          <w:sz w:val="20"/>
          <w:szCs w:val="20"/>
        </w:rPr>
        <w:t xml:space="preserve"> impairment test on long-lived assets involves judgment in areas such as identifying when a triggering event requiring evaluation occurs; identifying and grouping assets; and, if the undiscounted cash flows used in the recoverability test are less than the</w:t>
      </w:r>
      <w:r>
        <w:rPr>
          <w:rFonts w:eastAsia="Times New Roman"/>
          <w:color w:val="000000"/>
          <w:sz w:val="20"/>
          <w:szCs w:val="20"/>
        </w:rPr>
        <w:t xml:space="preserve"> long-lived asset's carrying amount, determining the fair value of the long-lived asset. Although cash flow estimates are based upon relevant information at the time the estimates are made, estimates of future cash flows are by nature highly uncertain and </w:t>
      </w:r>
      <w:r>
        <w:rPr>
          <w:rFonts w:eastAsia="Times New Roman"/>
          <w:color w:val="000000"/>
          <w:sz w:val="20"/>
          <w:szCs w:val="20"/>
        </w:rPr>
        <w:t xml:space="preserve">contemplate factors that change over time such as the expected use of the asset including future production and sales volumes, expected fluctuations in prices of commodities and expected proceeds from disposition. </w:t>
      </w:r>
    </w:p>
    <w:p w:rsidR="00000000" w:rsidRDefault="00AC31B9">
      <w:pPr>
        <w:jc w:val="both"/>
        <w:divId w:val="1032610053"/>
        <w:rPr>
          <w:rFonts w:eastAsia="Times New Roman"/>
        </w:rPr>
      </w:pPr>
      <w:r>
        <w:rPr>
          <w:rFonts w:eastAsia="Times New Roman"/>
          <w:color w:val="000000"/>
          <w:sz w:val="20"/>
          <w:szCs w:val="20"/>
        </w:rPr>
        <w:t>The impairment of AmeriGas Propane’s good</w:t>
      </w:r>
      <w:r>
        <w:rPr>
          <w:rFonts w:eastAsia="Times New Roman"/>
          <w:color w:val="000000"/>
          <w:sz w:val="20"/>
          <w:szCs w:val="20"/>
        </w:rPr>
        <w:t>will during the quarter ended June 30, 2023, was determined to be a triggering event requiring an interim impairment analysis of AmeriGas Propane’s long-lived and definite lived intangible assets. Accordingly, the Company performed a recoverability test of</w:t>
      </w:r>
      <w:r>
        <w:rPr>
          <w:rFonts w:eastAsia="Times New Roman"/>
          <w:color w:val="000000"/>
          <w:sz w:val="20"/>
          <w:szCs w:val="20"/>
        </w:rPr>
        <w:t xml:space="preserve"> AmeriGas Propane’s long-lived assets, including right-of-use (“ROU”) assets and definite lived intangible assets, as of May 31, 2023, using estimated undiscounted cash flow projections expected to be generated over the remaining useful life of the primary</w:t>
      </w:r>
      <w:r>
        <w:rPr>
          <w:rFonts w:eastAsia="Times New Roman"/>
          <w:color w:val="000000"/>
          <w:sz w:val="20"/>
          <w:szCs w:val="20"/>
        </w:rPr>
        <w:t xml:space="preserve"> asset of the asset group at the lowest level with identifiable cash flows that are independent of other assets. Based on the recoverability test performed, we determined that (1) AmeriGas Propane’s long-lived assets, including ROU assets and definite live</w:t>
      </w:r>
      <w:r>
        <w:rPr>
          <w:rFonts w:eastAsia="Times New Roman"/>
          <w:color w:val="000000"/>
          <w:sz w:val="20"/>
          <w:szCs w:val="20"/>
        </w:rPr>
        <w:t>d intangible assets, were recoverable and, as such, no impairment charges were recorded; and (2) no adjustments to the remaining useful lives were necessary.</w:t>
      </w:r>
    </w:p>
    <w:p w:rsidR="00000000" w:rsidRDefault="00AC31B9">
      <w:pPr>
        <w:jc w:val="both"/>
        <w:divId w:val="432481363"/>
        <w:rPr>
          <w:rFonts w:eastAsia="Times New Roman"/>
        </w:rPr>
      </w:pPr>
      <w:r>
        <w:rPr>
          <w:rFonts w:eastAsia="Times New Roman"/>
          <w:color w:val="000000"/>
          <w:sz w:val="20"/>
          <w:szCs w:val="20"/>
        </w:rPr>
        <w:t>No material provisions for impairments of long-lived assets were recorded during Fiscal 2023 and F</w:t>
      </w:r>
      <w:r>
        <w:rPr>
          <w:rFonts w:eastAsia="Times New Roman"/>
          <w:color w:val="000000"/>
          <w:sz w:val="20"/>
          <w:szCs w:val="20"/>
        </w:rPr>
        <w:t>iscal 2022.</w:t>
      </w:r>
    </w:p>
    <w:p w:rsidR="00000000" w:rsidRDefault="00AC31B9">
      <w:pPr>
        <w:jc w:val="both"/>
        <w:divId w:val="167869365"/>
        <w:rPr>
          <w:rFonts w:eastAsia="Times New Roman"/>
        </w:rPr>
      </w:pPr>
      <w:r>
        <w:rPr>
          <w:rFonts w:eastAsia="Times New Roman"/>
          <w:b/>
          <w:bCs/>
          <w:color w:val="000000"/>
          <w:sz w:val="20"/>
          <w:szCs w:val="20"/>
        </w:rPr>
        <w:t>Loss Contingencies and Environmental Remediation Liabilities.</w:t>
      </w:r>
      <w:r>
        <w:rPr>
          <w:rFonts w:eastAsia="Times New Roman"/>
          <w:color w:val="000000"/>
          <w:sz w:val="20"/>
          <w:szCs w:val="20"/>
        </w:rPr>
        <w:t xml:space="preserve"> We are involved in litigation that arises in the normal course of business, and we are subject to risk of loss for general, automobile and product liability and workers’ compensation</w:t>
      </w:r>
      <w:r>
        <w:rPr>
          <w:rFonts w:eastAsia="Times New Roman"/>
          <w:color w:val="000000"/>
          <w:sz w:val="20"/>
          <w:szCs w:val="20"/>
        </w:rPr>
        <w:t xml:space="preserve"> claims for which we obtain insurance coverage subject to self-insured retentions or deductibles. We are also subject to environmental laws and regulations intended to mitigate or remove the effects of past operations and improve or maintain the quality of</w:t>
      </w:r>
      <w:r>
        <w:rPr>
          <w:rFonts w:eastAsia="Times New Roman"/>
          <w:color w:val="000000"/>
          <w:sz w:val="20"/>
          <w:szCs w:val="20"/>
        </w:rPr>
        <w:t xml:space="preserve"> the environment. These laws and regulations require the removal or remedy of the effect on the environment of the disposal or release of certain specified hazardous substances at current or former operating sites.</w:t>
      </w:r>
    </w:p>
    <w:p w:rsidR="00000000" w:rsidRDefault="00AC31B9">
      <w:pPr>
        <w:jc w:val="both"/>
        <w:divId w:val="27536204"/>
        <w:rPr>
          <w:rFonts w:eastAsia="Times New Roman"/>
        </w:rPr>
      </w:pPr>
      <w:r>
        <w:rPr>
          <w:rFonts w:eastAsia="Times New Roman"/>
          <w:color w:val="000000"/>
          <w:sz w:val="20"/>
          <w:szCs w:val="20"/>
        </w:rPr>
        <w:t xml:space="preserve">We establish reserves for loss contingencies including pending litigation, and for pending and incurred but not reported claims associated with general and product liability, automobile and workers’ compensation when it is probable that a liability exists </w:t>
      </w:r>
      <w:r>
        <w:rPr>
          <w:rFonts w:eastAsia="Times New Roman"/>
          <w:color w:val="000000"/>
          <w:sz w:val="20"/>
          <w:szCs w:val="20"/>
        </w:rPr>
        <w:t>and the amount or range of amounts related to such liability can be reasonably estimated. When no amount within a range of possible loss is a better estimate than any other amount within the range, liabilities recorded are based upon the low end of the ran</w:t>
      </w:r>
      <w:r>
        <w:rPr>
          <w:rFonts w:eastAsia="Times New Roman"/>
          <w:color w:val="000000"/>
          <w:sz w:val="20"/>
          <w:szCs w:val="20"/>
        </w:rPr>
        <w:t xml:space="preserve">ge. With respect to unasserted claims arising from unreported incidents, we may use the work of specialists to estimate the ultimate losses to be incurred using actuarially determined loss development factors applied to actual claims data. </w:t>
      </w:r>
    </w:p>
    <w:p w:rsidR="00000000" w:rsidRDefault="00AC31B9">
      <w:pPr>
        <w:jc w:val="center"/>
        <w:divId w:val="523134285"/>
        <w:rPr>
          <w:rFonts w:eastAsia="Times New Roman"/>
        </w:rPr>
      </w:pPr>
      <w:r>
        <w:rPr>
          <w:rFonts w:eastAsia="Times New Roman"/>
          <w:color w:val="000000"/>
          <w:sz w:val="20"/>
          <w:szCs w:val="20"/>
        </w:rPr>
        <w:t>69</w:t>
      </w:r>
    </w:p>
    <w:p w:rsidR="00000000" w:rsidRDefault="00AC31B9">
      <w:pPr>
        <w:rPr>
          <w:rFonts w:eastAsia="Times New Roman"/>
        </w:rPr>
      </w:pPr>
      <w:r>
        <w:rPr>
          <w:rFonts w:eastAsia="Times New Roman"/>
        </w:rPr>
        <w:pict>
          <v:rect id="_x0000_i1096" style="width:0;height:1.5pt" o:hralign="center" o:hrstd="t" o:hr="t" fillcolor="#a0a0a0" stroked="f"/>
        </w:pict>
      </w:r>
    </w:p>
    <w:p w:rsidR="00000000" w:rsidRDefault="00AC31B9">
      <w:pPr>
        <w:divId w:val="1119880077"/>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divId w:val="1055010537"/>
        <w:rPr>
          <w:rFonts w:eastAsia="Times New Roman"/>
        </w:rPr>
      </w:pPr>
      <w:r>
        <w:rPr>
          <w:rFonts w:eastAsia="Times New Roman"/>
          <w:color w:val="000000"/>
          <w:sz w:val="20"/>
          <w:szCs w:val="20"/>
        </w:rPr>
        <w:t>The likelihood of a loss with respect to a particular loss contingency is often difficult to predict. In addition, a reasonable estimate of the loss, or a r</w:t>
      </w:r>
      <w:r>
        <w:rPr>
          <w:rFonts w:eastAsia="Times New Roman"/>
          <w:color w:val="000000"/>
          <w:sz w:val="20"/>
          <w:szCs w:val="20"/>
        </w:rPr>
        <w:t>ange of possible loss, may not be practicable based upon the information available and the potential effects of future events and decisions by third parties that will determine the ultimate resolution of the loss contingency. Reasonable estimates involve m</w:t>
      </w:r>
      <w:r>
        <w:rPr>
          <w:rFonts w:eastAsia="Times New Roman"/>
          <w:color w:val="000000"/>
          <w:sz w:val="20"/>
          <w:szCs w:val="20"/>
        </w:rPr>
        <w:t>anagement judgments based on a broad range of information and prior experience. For litigation and pending claims including those covered by insurance policies, the analysis of probable loss is performed on a case by case basis and includes an evaluation o</w:t>
      </w:r>
      <w:r>
        <w:rPr>
          <w:rFonts w:eastAsia="Times New Roman"/>
          <w:color w:val="000000"/>
          <w:sz w:val="20"/>
          <w:szCs w:val="20"/>
        </w:rPr>
        <w:t>f the nature of the claim, the procedural status of the matter, the probability or likelihood of success in prosecuting or defending the claim, the information available with respect to the claim, the opinions and views of outside counsel and other advisor</w:t>
      </w:r>
      <w:r>
        <w:rPr>
          <w:rFonts w:eastAsia="Times New Roman"/>
          <w:color w:val="000000"/>
          <w:sz w:val="20"/>
          <w:szCs w:val="20"/>
        </w:rPr>
        <w:t>s, and past experience in similar matters. These judgments are reviewed quarterly as more information is received, and the amounts reserved are updated as necessary. Our estimated reserves for loss contingencies and for pending and incurred but not reporte</w:t>
      </w:r>
      <w:r>
        <w:rPr>
          <w:rFonts w:eastAsia="Times New Roman"/>
          <w:color w:val="000000"/>
          <w:sz w:val="20"/>
          <w:szCs w:val="20"/>
        </w:rPr>
        <w:t>d claims associated with general and product liability, automobile and workers’ compensation may differ materially from the ultimate liability and such reserves may change materially as more information becomes available and estimated reserves are adjusted</w:t>
      </w:r>
      <w:r>
        <w:rPr>
          <w:rFonts w:eastAsia="Times New Roman"/>
          <w:color w:val="000000"/>
          <w:sz w:val="20"/>
          <w:szCs w:val="20"/>
        </w:rPr>
        <w:t>.</w:t>
      </w:r>
    </w:p>
    <w:p w:rsidR="00000000" w:rsidRDefault="00AC31B9">
      <w:pPr>
        <w:jc w:val="both"/>
        <w:divId w:val="662005429"/>
        <w:rPr>
          <w:rFonts w:eastAsia="Times New Roman"/>
        </w:rPr>
      </w:pPr>
      <w:r>
        <w:rPr>
          <w:rFonts w:eastAsia="Times New Roman"/>
          <w:color w:val="000000"/>
          <w:sz w:val="20"/>
          <w:szCs w:val="20"/>
        </w:rPr>
        <w:t>We accrue reserves for environmental remediation when assessments indicate that it is probable a liability has been incurred and an amount can be reasonably estimated. Amounts recorded as environmental liabilities on the Consolidated Balance Sheets repre</w:t>
      </w:r>
      <w:r>
        <w:rPr>
          <w:rFonts w:eastAsia="Times New Roman"/>
          <w:color w:val="000000"/>
          <w:sz w:val="20"/>
          <w:szCs w:val="20"/>
        </w:rPr>
        <w:t>sent our best estimate of costs expected to be incurred or, if no best estimate can be made, the minimum liability associated with a range of expected environmental investigation and remediation costs. These estimates are based upon a number of factors inc</w:t>
      </w:r>
      <w:r>
        <w:rPr>
          <w:rFonts w:eastAsia="Times New Roman"/>
          <w:color w:val="000000"/>
          <w:sz w:val="20"/>
          <w:szCs w:val="20"/>
        </w:rPr>
        <w:t>luding whether the company will be responsible for such remediation, the scope and cost of the remediation work to be performed, the portion of costs that will be shared with other potentially responsible parties, the timing of the remediation and possible</w:t>
      </w:r>
      <w:r>
        <w:rPr>
          <w:rFonts w:eastAsia="Times New Roman"/>
          <w:color w:val="000000"/>
          <w:sz w:val="20"/>
          <w:szCs w:val="20"/>
        </w:rPr>
        <w:t xml:space="preserve"> impact of changes in technology, and the regulations and requirements of local governmental authorities. Our estimated reserves for environmental remediation may differ materially from the ultimate liability and such reserves may change materially as more</w:t>
      </w:r>
      <w:r>
        <w:rPr>
          <w:rFonts w:eastAsia="Times New Roman"/>
          <w:color w:val="000000"/>
          <w:sz w:val="20"/>
          <w:szCs w:val="20"/>
        </w:rPr>
        <w:t xml:space="preserve"> information becomes available and estimated reserves are adjusted. PA Gas Utility receives ratemaking recognition of environmental investigation and remediation costs associated with its in-state environmental sites.  This ratemaking recognition balances </w:t>
      </w:r>
      <w:r>
        <w:rPr>
          <w:rFonts w:eastAsia="Times New Roman"/>
          <w:color w:val="000000"/>
          <w:sz w:val="20"/>
          <w:szCs w:val="20"/>
        </w:rPr>
        <w:t>the accumulated difference between historical costs and rate recoveries with an estimate of future costs associated with the sites.</w:t>
      </w:r>
    </w:p>
    <w:p w:rsidR="00000000" w:rsidRDefault="00AC31B9">
      <w:pPr>
        <w:jc w:val="both"/>
        <w:divId w:val="1323048487"/>
        <w:rPr>
          <w:rFonts w:eastAsia="Times New Roman"/>
        </w:rPr>
      </w:pPr>
      <w:r>
        <w:rPr>
          <w:rFonts w:eastAsia="Times New Roman"/>
          <w:b/>
          <w:bCs/>
          <w:color w:val="000000"/>
          <w:sz w:val="20"/>
          <w:szCs w:val="20"/>
        </w:rPr>
        <w:t>Regulatory Assets and Liabilities.</w:t>
      </w:r>
      <w:r>
        <w:rPr>
          <w:rFonts w:eastAsia="Times New Roman"/>
          <w:color w:val="000000"/>
          <w:sz w:val="20"/>
          <w:szCs w:val="20"/>
        </w:rPr>
        <w:t xml:space="preserve"> The accounting for our rate regulated gas and electric utility businesses differs from th</w:t>
      </w:r>
      <w:r>
        <w:rPr>
          <w:rFonts w:eastAsia="Times New Roman"/>
          <w:color w:val="000000"/>
          <w:sz w:val="20"/>
          <w:szCs w:val="20"/>
        </w:rPr>
        <w:t>e accounting for nonregulated operations in that these businesses are required to reflect the effects of rate regulation in the consolidated financial statements. Regulatory practices that assign costs to accounting periods may differ from accounting metho</w:t>
      </w:r>
      <w:r>
        <w:rPr>
          <w:rFonts w:eastAsia="Times New Roman"/>
          <w:color w:val="000000"/>
          <w:sz w:val="20"/>
          <w:szCs w:val="20"/>
        </w:rPr>
        <w:t>ds generally applied by nonregulated businesses. When it is probable that regulators will permit the recovery of current costs through future rates charged to customers, these costs that otherwise would be expensed by nonregulated companies are deferred as</w:t>
      </w:r>
      <w:r>
        <w:rPr>
          <w:rFonts w:eastAsia="Times New Roman"/>
          <w:color w:val="000000"/>
          <w:sz w:val="20"/>
          <w:szCs w:val="20"/>
        </w:rPr>
        <w:t xml:space="preserve"> regulatory assets. Similarly, regulatory liabilities are recognized when it is probable that regulators will require customer refunds through future rates or when revenue is collected from customers for expenditures that have yet to be incurred. We contin</w:t>
      </w:r>
      <w:r>
        <w:rPr>
          <w:rFonts w:eastAsia="Times New Roman"/>
          <w:color w:val="000000"/>
          <w:sz w:val="20"/>
          <w:szCs w:val="20"/>
        </w:rPr>
        <w:t>ually assess whether the regulatory assets are probable of future recovery by evaluating the regulatory environment, recent rate orders and public statements issued by the PAPUC, WVPSC and MDPSC, and discussions with regulatory authorities and legal counse</w:t>
      </w:r>
      <w:r>
        <w:rPr>
          <w:rFonts w:eastAsia="Times New Roman"/>
          <w:color w:val="000000"/>
          <w:sz w:val="20"/>
          <w:szCs w:val="20"/>
        </w:rPr>
        <w:t>l. If future recovery of regulatory assets ceases to be probable, the elimination of those regulatory assets would adversely impact our results of operations and cash flows. As of September 30, 2023, our regulatory assets and regulatory liabilities totaled</w:t>
      </w:r>
      <w:r>
        <w:rPr>
          <w:rFonts w:eastAsia="Times New Roman"/>
          <w:color w:val="000000"/>
          <w:sz w:val="20"/>
          <w:szCs w:val="20"/>
        </w:rPr>
        <w:t xml:space="preserve"> $347 million and $366 million, respectively. For additional information on regulatory assets and liabilities, see Notes 2 and 9 to Consolidated Financial Statements.</w:t>
      </w:r>
    </w:p>
    <w:p w:rsidR="00000000" w:rsidRDefault="00AC31B9">
      <w:pPr>
        <w:jc w:val="both"/>
        <w:divId w:val="1450130217"/>
        <w:rPr>
          <w:rFonts w:eastAsia="Times New Roman"/>
        </w:rPr>
      </w:pPr>
      <w:r>
        <w:rPr>
          <w:rFonts w:eastAsia="Times New Roman"/>
          <w:b/>
          <w:bCs/>
          <w:color w:val="000000"/>
          <w:sz w:val="20"/>
          <w:szCs w:val="20"/>
        </w:rPr>
        <w:t>Income Taxes.</w:t>
      </w:r>
      <w:r>
        <w:rPr>
          <w:rFonts w:eastAsia="Times New Roman"/>
          <w:color w:val="000000"/>
          <w:sz w:val="20"/>
          <w:szCs w:val="20"/>
        </w:rPr>
        <w:t xml:space="preserve"> We use the asset and liability method of accounting for income taxes. We re</w:t>
      </w:r>
      <w:r>
        <w:rPr>
          <w:rFonts w:eastAsia="Times New Roman"/>
          <w:color w:val="000000"/>
          <w:sz w:val="20"/>
          <w:szCs w:val="20"/>
        </w:rPr>
        <w:t>cognize the tax benefits from income tax positions that have a greater than more likely than not likelihood of being sustained upon examination by the taxing authorities.</w:t>
      </w:r>
      <w:r>
        <w:rPr>
          <w:rFonts w:eastAsia="Times New Roman"/>
          <w:color w:val="000000"/>
        </w:rPr>
        <w:t xml:space="preserve"> </w:t>
      </w:r>
      <w:r>
        <w:rPr>
          <w:rFonts w:eastAsia="Times New Roman"/>
          <w:color w:val="000000"/>
          <w:sz w:val="20"/>
          <w:szCs w:val="20"/>
        </w:rPr>
        <w:t xml:space="preserve">A liability is recorded for uncertain tax positions where it is more likely than not </w:t>
      </w:r>
      <w:r>
        <w:rPr>
          <w:rFonts w:eastAsia="Times New Roman"/>
          <w:color w:val="000000"/>
          <w:sz w:val="20"/>
          <w:szCs w:val="20"/>
        </w:rPr>
        <w:t>the position may not be sustained based on its technical merits. We use assumptions, judgments and estimates to determine our current provision for income taxes. We also use assumptions, judgments and estimates to determine our deferred tax assets and liab</w:t>
      </w:r>
      <w:r>
        <w:rPr>
          <w:rFonts w:eastAsia="Times New Roman"/>
          <w:color w:val="000000"/>
          <w:sz w:val="20"/>
          <w:szCs w:val="20"/>
        </w:rPr>
        <w:t xml:space="preserve">ilities and any valuation allowance to be recorded against a deferred tax asset. The interpretation of tax laws involves uncertainty since tax authorities may interpret the laws differently. Our assumptions, judgments and estimates relative to the current </w:t>
      </w:r>
      <w:r>
        <w:rPr>
          <w:rFonts w:eastAsia="Times New Roman"/>
          <w:color w:val="000000"/>
          <w:sz w:val="20"/>
          <w:szCs w:val="20"/>
        </w:rPr>
        <w:t>provision for income tax give consideration to current tax laws, our interpretation of current tax laws and possible outcomes of current and future audits conducted by foreign and domestic tax authorities. Changes in tax law or our interpretation thereof a</w:t>
      </w:r>
      <w:r>
        <w:rPr>
          <w:rFonts w:eastAsia="Times New Roman"/>
          <w:color w:val="000000"/>
          <w:sz w:val="20"/>
          <w:szCs w:val="20"/>
        </w:rPr>
        <w:t>nd the resolution of current and future tax audits could significantly impact the amounts provided for income taxes in our consolidated financial statements. Our assumptions, judgments and estimates relative to the amount of deferred income taxes take into</w:t>
      </w:r>
      <w:r>
        <w:rPr>
          <w:rFonts w:eastAsia="Times New Roman"/>
          <w:color w:val="000000"/>
          <w:sz w:val="20"/>
          <w:szCs w:val="20"/>
        </w:rPr>
        <w:t xml:space="preserve"> account estimates of the amount of future taxable income. Actual taxable income or future estimates of taxable income could render our current assumptions, judgments and estimates inaccurate. Changes in the assumptions, judgments and estimates mentioned a</w:t>
      </w:r>
      <w:r>
        <w:rPr>
          <w:rFonts w:eastAsia="Times New Roman"/>
          <w:color w:val="000000"/>
          <w:sz w:val="20"/>
          <w:szCs w:val="20"/>
        </w:rPr>
        <w:t>bove could cause our actual income tax obligations to differ significantly from our estimates. As of September 30, 2023, our net deferred tax liabilities totaled $871 million.</w:t>
      </w:r>
    </w:p>
    <w:p w:rsidR="00000000" w:rsidRDefault="00AC31B9">
      <w:pPr>
        <w:jc w:val="both"/>
        <w:divId w:val="869803646"/>
        <w:rPr>
          <w:rFonts w:eastAsia="Times New Roman"/>
        </w:rPr>
      </w:pPr>
      <w:r>
        <w:rPr>
          <w:rFonts w:eastAsia="Times New Roman"/>
          <w:b/>
          <w:bCs/>
          <w:color w:val="000000"/>
          <w:sz w:val="20"/>
          <w:szCs w:val="20"/>
        </w:rPr>
        <w:t xml:space="preserve">Business Combination Purchase Price Allocations. </w:t>
      </w:r>
      <w:r>
        <w:rPr>
          <w:rFonts w:eastAsia="Times New Roman"/>
          <w:color w:val="000000"/>
          <w:sz w:val="20"/>
          <w:szCs w:val="20"/>
        </w:rPr>
        <w:t xml:space="preserve">From time to time, the Company </w:t>
      </w:r>
      <w:r>
        <w:rPr>
          <w:rFonts w:eastAsia="Times New Roman"/>
          <w:color w:val="000000"/>
          <w:sz w:val="20"/>
          <w:szCs w:val="20"/>
        </w:rPr>
        <w:t xml:space="preserve">enters into material business combinations. The purchase price is allocated to the various assets acquired and liabilities assumed at their estimated fair value as of the acquisition date with the residual of the purchase price allocated to goodwill. From </w:t>
      </w:r>
      <w:r>
        <w:rPr>
          <w:rFonts w:eastAsia="Times New Roman"/>
          <w:color w:val="000000"/>
          <w:sz w:val="20"/>
          <w:szCs w:val="20"/>
        </w:rPr>
        <w:t xml:space="preserve">time to time, we engage third-party </w:t>
      </w:r>
    </w:p>
    <w:p w:rsidR="00000000" w:rsidRDefault="00AC31B9">
      <w:pPr>
        <w:jc w:val="center"/>
        <w:divId w:val="1259369152"/>
        <w:rPr>
          <w:rFonts w:eastAsia="Times New Roman"/>
        </w:rPr>
      </w:pPr>
      <w:r>
        <w:rPr>
          <w:rFonts w:eastAsia="Times New Roman"/>
          <w:color w:val="000000"/>
          <w:sz w:val="20"/>
          <w:szCs w:val="20"/>
        </w:rPr>
        <w:t>70</w:t>
      </w:r>
    </w:p>
    <w:p w:rsidR="00000000" w:rsidRDefault="00AC31B9">
      <w:pPr>
        <w:rPr>
          <w:rFonts w:eastAsia="Times New Roman"/>
        </w:rPr>
      </w:pPr>
      <w:r>
        <w:rPr>
          <w:rFonts w:eastAsia="Times New Roman"/>
        </w:rPr>
        <w:pict>
          <v:rect id="_x0000_i1097" style="width:0;height:1.5pt" o:hralign="center" o:hrstd="t" o:hr="t" fillcolor="#a0a0a0" stroked="f"/>
        </w:pict>
      </w:r>
    </w:p>
    <w:p w:rsidR="00000000" w:rsidRDefault="00AC31B9">
      <w:pPr>
        <w:divId w:val="213389809"/>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divId w:val="1410731827"/>
        <w:rPr>
          <w:rFonts w:eastAsia="Times New Roman"/>
        </w:rPr>
      </w:pPr>
      <w:r>
        <w:rPr>
          <w:rFonts w:eastAsia="Times New Roman"/>
          <w:color w:val="000000"/>
          <w:sz w:val="20"/>
          <w:szCs w:val="20"/>
        </w:rPr>
        <w:t>valuation ex</w:t>
      </w:r>
      <w:r>
        <w:rPr>
          <w:rFonts w:eastAsia="Times New Roman"/>
          <w:color w:val="000000"/>
          <w:sz w:val="20"/>
          <w:szCs w:val="20"/>
        </w:rPr>
        <w:t>perts to assist us in determining the fair values of certain assets acquired and liabilities assumed. Such valuations require management to make significant judgments, estimates and assumptions especially with respect to intangible assets. Management makes</w:t>
      </w:r>
      <w:r>
        <w:rPr>
          <w:rFonts w:eastAsia="Times New Roman"/>
          <w:color w:val="000000"/>
          <w:sz w:val="20"/>
          <w:szCs w:val="20"/>
        </w:rPr>
        <w:t xml:space="preserve"> estimates of fair value based upon assumptions it believes to be reasonable. These estimates are based upon historical experience and information obtained from the management of the acquired companies and are inherently uncertain. Critical estimates in va</w:t>
      </w:r>
      <w:r>
        <w:rPr>
          <w:rFonts w:eastAsia="Times New Roman"/>
          <w:color w:val="000000"/>
          <w:sz w:val="20"/>
          <w:szCs w:val="20"/>
        </w:rPr>
        <w:t>luing certain of the intangible assets include, but are not limited to, discount rates and expected future cash flows from and the economic lives of customer relationships, trade names, existing technology, and other intangible assets. Unanticipated events</w:t>
      </w:r>
      <w:r>
        <w:rPr>
          <w:rFonts w:eastAsia="Times New Roman"/>
          <w:color w:val="000000"/>
          <w:sz w:val="20"/>
          <w:szCs w:val="20"/>
        </w:rPr>
        <w:t xml:space="preserve"> and circumstances may occur, which may affect the accuracy or validity of such assumptions or estimates. The allocation of the purchase price may be modified up to one year after the acquisition date, under certain circumstances, as more information is ob</w:t>
      </w:r>
      <w:r>
        <w:rPr>
          <w:rFonts w:eastAsia="Times New Roman"/>
          <w:color w:val="000000"/>
          <w:sz w:val="20"/>
          <w:szCs w:val="20"/>
        </w:rPr>
        <w:t>tained about the fair value of assets acquired and liabilities assumed.</w:t>
      </w:r>
    </w:p>
    <w:p w:rsidR="00000000" w:rsidRDefault="00AC31B9">
      <w:pPr>
        <w:divId w:val="629944961"/>
        <w:rPr>
          <w:rFonts w:eastAsia="Times New Roman"/>
        </w:rPr>
      </w:pPr>
    </w:p>
    <w:p w:rsidR="00000000" w:rsidRDefault="00AC31B9">
      <w:pPr>
        <w:jc w:val="both"/>
        <w:rPr>
          <w:rFonts w:eastAsia="Times New Roman"/>
        </w:rPr>
      </w:pPr>
      <w:r>
        <w:rPr>
          <w:rFonts w:eastAsia="Times New Roman"/>
          <w:b/>
          <w:bCs/>
          <w:color w:val="000000"/>
          <w:sz w:val="20"/>
          <w:szCs w:val="20"/>
          <w:u w:val="single"/>
        </w:rPr>
        <w:t>Recently Issued Accounting Pronouncements</w:t>
      </w:r>
    </w:p>
    <w:p w:rsidR="00000000" w:rsidRDefault="00AC31B9">
      <w:pPr>
        <w:jc w:val="both"/>
        <w:divId w:val="400568704"/>
        <w:rPr>
          <w:rFonts w:eastAsia="Times New Roman"/>
        </w:rPr>
      </w:pPr>
      <w:r>
        <w:rPr>
          <w:rFonts w:eastAsia="Times New Roman"/>
          <w:color w:val="000000"/>
          <w:sz w:val="20"/>
          <w:szCs w:val="20"/>
        </w:rPr>
        <w:t>See Note 3 to Consolidated Financial Statements for a discussion of the effects of recently issued accounting guidance.</w:t>
      </w:r>
    </w:p>
    <w:p w:rsidR="00000000" w:rsidRDefault="00AC31B9">
      <w:pPr>
        <w:jc w:val="both"/>
        <w:rPr>
          <w:rFonts w:eastAsia="Times New Roman"/>
        </w:rPr>
      </w:pPr>
    </w:p>
    <w:p w:rsidR="00000000" w:rsidRDefault="00AC31B9">
      <w:pPr>
        <w:ind w:hanging="900"/>
        <w:divId w:val="258949907"/>
        <w:rPr>
          <w:rFonts w:eastAsia="Times New Roman"/>
        </w:rPr>
      </w:pPr>
      <w:r>
        <w:rPr>
          <w:rFonts w:eastAsia="Times New Roman"/>
          <w:b/>
          <w:bCs/>
          <w:color w:val="000000"/>
          <w:sz w:val="20"/>
          <w:szCs w:val="20"/>
        </w:rPr>
        <w:t>ITEM 7A. QUANTITAT</w:t>
      </w:r>
      <w:r>
        <w:rPr>
          <w:rFonts w:eastAsia="Times New Roman"/>
          <w:b/>
          <w:bCs/>
          <w:color w:val="000000"/>
          <w:sz w:val="20"/>
          <w:szCs w:val="20"/>
        </w:rPr>
        <w:t>IVE AND QUALITATIVE DISCLOSURES ABOUT MARKET RISK</w:t>
      </w:r>
    </w:p>
    <w:p w:rsidR="00000000" w:rsidRDefault="00AC31B9">
      <w:pPr>
        <w:jc w:val="both"/>
        <w:divId w:val="1521317366"/>
        <w:rPr>
          <w:rFonts w:eastAsia="Times New Roman"/>
        </w:rPr>
      </w:pPr>
      <w:r>
        <w:rPr>
          <w:rFonts w:eastAsia="Times New Roman"/>
          <w:color w:val="000000"/>
          <w:sz w:val="20"/>
          <w:szCs w:val="20"/>
        </w:rPr>
        <w:t>“Quantitative and Qualitative Disclosures About Market Risk” are contained in Item 7 - Management’s Discussion and Analysis of Financial Condition and Results of Operations under the caption “Market Risk Di</w:t>
      </w:r>
      <w:r>
        <w:rPr>
          <w:rFonts w:eastAsia="Times New Roman"/>
          <w:color w:val="000000"/>
          <w:sz w:val="20"/>
          <w:szCs w:val="20"/>
        </w:rPr>
        <w:t>sclosures” and are incorporated by reference.</w:t>
      </w:r>
    </w:p>
    <w:p w:rsidR="00000000" w:rsidRDefault="00AC31B9">
      <w:pPr>
        <w:divId w:val="149834420"/>
        <w:rPr>
          <w:rFonts w:eastAsia="Times New Roman"/>
        </w:rPr>
      </w:pPr>
    </w:p>
    <w:p w:rsidR="00000000" w:rsidRDefault="00AC31B9">
      <w:pPr>
        <w:ind w:hanging="810"/>
        <w:divId w:val="1824347960"/>
        <w:rPr>
          <w:rFonts w:eastAsia="Times New Roman"/>
        </w:rPr>
      </w:pPr>
      <w:r>
        <w:rPr>
          <w:rFonts w:eastAsia="Times New Roman"/>
          <w:b/>
          <w:bCs/>
          <w:color w:val="000000"/>
          <w:sz w:val="20"/>
          <w:szCs w:val="20"/>
        </w:rPr>
        <w:t>ITEM 8.FINANCIAL STATEMENTS AND SUPPLEMENTARY DATA</w:t>
      </w:r>
    </w:p>
    <w:p w:rsidR="00000000" w:rsidRDefault="00AC31B9">
      <w:pPr>
        <w:jc w:val="both"/>
        <w:divId w:val="483205737"/>
        <w:rPr>
          <w:rFonts w:eastAsia="Times New Roman"/>
        </w:rPr>
      </w:pPr>
      <w:r>
        <w:rPr>
          <w:rFonts w:eastAsia="Times New Roman"/>
          <w:color w:val="000000"/>
          <w:sz w:val="20"/>
          <w:szCs w:val="20"/>
        </w:rPr>
        <w:t>Management’s Annual Report on Internal Control Over Financial Reporting included in Item 9A and the financial statements and financial statement schedules re</w:t>
      </w:r>
      <w:r>
        <w:rPr>
          <w:rFonts w:eastAsia="Times New Roman"/>
          <w:color w:val="000000"/>
          <w:sz w:val="20"/>
          <w:szCs w:val="20"/>
        </w:rPr>
        <w:t xml:space="preserve">ferred to in the Index contained on page </w:t>
      </w:r>
      <w:hyperlink w:anchor="ic92dd05487854a4eaece953328045c39_136" w:history="1">
        <w:r>
          <w:rPr>
            <w:rStyle w:val="a3"/>
            <w:rFonts w:eastAsia="Times New Roman"/>
            <w:color w:val="000000"/>
            <w:sz w:val="20"/>
            <w:szCs w:val="20"/>
            <w:u w:val="none"/>
          </w:rPr>
          <w:t>F-2</w:t>
        </w:r>
      </w:hyperlink>
      <w:r>
        <w:rPr>
          <w:rFonts w:eastAsia="Times New Roman"/>
          <w:color w:val="000000"/>
          <w:sz w:val="20"/>
          <w:szCs w:val="20"/>
        </w:rPr>
        <w:t xml:space="preserve"> of this Report are incorporated herein by reference.</w:t>
      </w:r>
    </w:p>
    <w:p w:rsidR="00000000" w:rsidRDefault="00AC31B9">
      <w:pPr>
        <w:jc w:val="both"/>
        <w:rPr>
          <w:rFonts w:eastAsia="Times New Roman"/>
        </w:rPr>
      </w:pPr>
    </w:p>
    <w:p w:rsidR="00000000" w:rsidRDefault="00AC31B9">
      <w:pPr>
        <w:ind w:hanging="810"/>
        <w:divId w:val="555166450"/>
        <w:rPr>
          <w:rFonts w:eastAsia="Times New Roman"/>
        </w:rPr>
      </w:pPr>
      <w:r>
        <w:rPr>
          <w:rFonts w:eastAsia="Times New Roman"/>
          <w:b/>
          <w:bCs/>
          <w:color w:val="000000"/>
          <w:sz w:val="20"/>
          <w:szCs w:val="20"/>
        </w:rPr>
        <w:t>ITEM 9.CHANGES IN AND DISAGREEMENTS WITH ACCOUNTANTS ON ACCOUNTING AND FINANCIAL DISCLOSURE</w:t>
      </w:r>
    </w:p>
    <w:p w:rsidR="00000000" w:rsidRDefault="00AC31B9">
      <w:pPr>
        <w:jc w:val="both"/>
        <w:divId w:val="506478293"/>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AC31B9">
      <w:pPr>
        <w:jc w:val="both"/>
        <w:rPr>
          <w:rFonts w:eastAsia="Times New Roman"/>
        </w:rPr>
      </w:pPr>
    </w:p>
    <w:p w:rsidR="00000000" w:rsidRDefault="00AC31B9">
      <w:pPr>
        <w:ind w:hanging="900"/>
        <w:divId w:val="523978890"/>
        <w:rPr>
          <w:rFonts w:eastAsia="Times New Roman"/>
        </w:rPr>
      </w:pPr>
      <w:r>
        <w:rPr>
          <w:rFonts w:eastAsia="Times New Roman"/>
          <w:b/>
          <w:bCs/>
          <w:color w:val="000000"/>
          <w:sz w:val="20"/>
          <w:szCs w:val="20"/>
        </w:rPr>
        <w:t>ITEM 9A. CONTROLS AND PROCEDURES</w:t>
      </w:r>
    </w:p>
    <w:p w:rsidR="00000000" w:rsidRDefault="00AC31B9">
      <w:pPr>
        <w:divId w:val="98960936"/>
        <w:rPr>
          <w:rFonts w:eastAsia="Times New Roman"/>
        </w:rPr>
      </w:pPr>
    </w:p>
    <w:p w:rsidR="00000000" w:rsidRDefault="00AC31B9">
      <w:pPr>
        <w:ind w:hanging="360"/>
        <w:jc w:val="both"/>
        <w:divId w:val="1107771554"/>
        <w:rPr>
          <w:rFonts w:eastAsia="Times New Roman"/>
        </w:rPr>
      </w:pPr>
      <w:r>
        <w:rPr>
          <w:rFonts w:eastAsia="Times New Roman"/>
          <w:color w:val="000000"/>
          <w:sz w:val="20"/>
          <w:szCs w:val="20"/>
        </w:rPr>
        <w:t>(a)</w:t>
      </w:r>
      <w:r>
        <w:rPr>
          <w:rFonts w:eastAsia="Times New Roman"/>
          <w:color w:val="000000"/>
          <w:sz w:val="20"/>
          <w:szCs w:val="20"/>
        </w:rPr>
        <w:t xml:space="preserve">The Company's disclosure controls and procedures are designed to provide reasonable assurance that the information required to be disclosed by the Company in reports filed or submitted under the Securities Exchange Act of 1934, as amended is (i) recorded, </w:t>
      </w:r>
      <w:r>
        <w:rPr>
          <w:rFonts w:eastAsia="Times New Roman"/>
          <w:color w:val="000000"/>
          <w:sz w:val="20"/>
          <w:szCs w:val="20"/>
        </w:rPr>
        <w:t>processed, summarized, and reported within the time periods specified in the SEC’s rules and forms, and (ii) accumulated and communicated to our management, including the Chief Executive Officer and Chief Financial Officer, as appropriate to allow timely d</w:t>
      </w:r>
      <w:r>
        <w:rPr>
          <w:rFonts w:eastAsia="Times New Roman"/>
          <w:color w:val="000000"/>
          <w:sz w:val="20"/>
          <w:szCs w:val="20"/>
        </w:rPr>
        <w:t xml:space="preserve">ecisions regarding required disclosure. The Company's management, with the participation of the Company’s Chief Executive Officer and Chief Financial Officer, evaluated the effectiveness of the Company's disclosure controls and procedures as of the end of </w:t>
      </w:r>
      <w:r>
        <w:rPr>
          <w:rFonts w:eastAsia="Times New Roman"/>
          <w:color w:val="000000"/>
          <w:sz w:val="20"/>
          <w:szCs w:val="20"/>
        </w:rPr>
        <w:t>the period covered by this report. Based on that evaluation, the Chief Executive Officer and Chief Financial Officer concluded that the Company's disclosure controls and procedures, as of September 30, 2023, were effective at the reasonable assurance level</w:t>
      </w:r>
      <w:r>
        <w:rPr>
          <w:rFonts w:eastAsia="Times New Roman"/>
          <w:color w:val="000000"/>
          <w:sz w:val="20"/>
          <w:szCs w:val="20"/>
        </w:rPr>
        <w:t>.</w:t>
      </w:r>
    </w:p>
    <w:p w:rsidR="00000000" w:rsidRDefault="00AC31B9">
      <w:pPr>
        <w:jc w:val="both"/>
        <w:divId w:val="621348217"/>
        <w:rPr>
          <w:rFonts w:eastAsia="Times New Roman"/>
        </w:rPr>
      </w:pPr>
    </w:p>
    <w:p w:rsidR="00000000" w:rsidRDefault="00AC31B9">
      <w:pPr>
        <w:ind w:hanging="360"/>
        <w:jc w:val="both"/>
        <w:divId w:val="1847089653"/>
        <w:rPr>
          <w:rFonts w:eastAsia="Times New Roman"/>
        </w:rPr>
      </w:pPr>
      <w:r>
        <w:rPr>
          <w:rFonts w:eastAsia="Times New Roman"/>
          <w:color w:val="000000"/>
          <w:sz w:val="20"/>
          <w:szCs w:val="20"/>
        </w:rPr>
        <w:t>(b)</w:t>
      </w:r>
      <w:r>
        <w:rPr>
          <w:rFonts w:eastAsia="Times New Roman"/>
          <w:b/>
          <w:bCs/>
          <w:color w:val="000000"/>
          <w:sz w:val="20"/>
          <w:szCs w:val="20"/>
        </w:rPr>
        <w:t>Management’s Annual Report on Internal Control over Financial Reporting</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Management is responsible for establishing and maintaining adequate internal control over financial reporting for the Company, as such term is defined in Rule 13a-15(f) of the</w:t>
      </w:r>
      <w:r>
        <w:rPr>
          <w:rFonts w:eastAsia="Times New Roman"/>
          <w:color w:val="000000"/>
          <w:sz w:val="20"/>
          <w:szCs w:val="20"/>
        </w:rPr>
        <w:t xml:space="preserve"> Securities Exchange Act of 1934, as amended. In order to evaluate the effectiveness of internal control over financial reporting, as required by Section 404 of the Sarbanes-Oxley Act of 2002, management has conducted an assessment, including testing, of t</w:t>
      </w:r>
      <w:r>
        <w:rPr>
          <w:rFonts w:eastAsia="Times New Roman"/>
          <w:color w:val="000000"/>
          <w:sz w:val="20"/>
          <w:szCs w:val="20"/>
        </w:rPr>
        <w:t>he Company’s internal control over financial reporting as of September 30, 2023, based on criteria established in Internal Control - Integrated Framework (2013) issued by the Committee of Sponsoring Organizations of the Treadway Commission (the “COSO crite</w:t>
      </w:r>
      <w:r>
        <w:rPr>
          <w:rFonts w:eastAsia="Times New Roman"/>
          <w:color w:val="000000"/>
          <w:sz w:val="20"/>
          <w:szCs w:val="20"/>
        </w:rPr>
        <w:t xml:space="preserve">ria”).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Internal control over financial reporting refers to the process, designed under the supervision and with the participation of management, including our Chief Executive Officer and our Chief Financial Officer, and effected by the Company’s Board o</w:t>
      </w:r>
      <w:r>
        <w:rPr>
          <w:rFonts w:eastAsia="Times New Roman"/>
          <w:color w:val="000000"/>
          <w:sz w:val="20"/>
          <w:szCs w:val="20"/>
        </w:rPr>
        <w:t>f Directors, to provide reasonable, but not absolute, assurance regarding the reliability of financial reporting and the preparation of financial statements for external purposes in accordance with GAAP and includes policies and procedures that (1) pertain</w:t>
      </w:r>
      <w:r>
        <w:rPr>
          <w:rFonts w:eastAsia="Times New Roman"/>
          <w:color w:val="000000"/>
          <w:sz w:val="20"/>
          <w:szCs w:val="20"/>
        </w:rPr>
        <w:t xml:space="preserve"> to the maintenance of records that, in reasonable detail, accurately and fairly reflect the transactions and dispositions of the assets of the Company; (2) provide reasonable assurance that transactions are recorded as necessary to permit preparation of f</w:t>
      </w:r>
      <w:r>
        <w:rPr>
          <w:rFonts w:eastAsia="Times New Roman"/>
          <w:color w:val="000000"/>
          <w:sz w:val="20"/>
          <w:szCs w:val="20"/>
        </w:rPr>
        <w:t xml:space="preserve">inancial statements in accordance with generally accepted accounting principles, and that receipts </w:t>
      </w:r>
    </w:p>
    <w:p w:rsidR="00000000" w:rsidRDefault="00AC31B9">
      <w:pPr>
        <w:jc w:val="center"/>
        <w:divId w:val="543638468"/>
        <w:rPr>
          <w:rFonts w:eastAsia="Times New Roman"/>
        </w:rPr>
      </w:pPr>
      <w:r>
        <w:rPr>
          <w:rFonts w:eastAsia="Times New Roman"/>
          <w:color w:val="000000"/>
          <w:sz w:val="20"/>
          <w:szCs w:val="20"/>
        </w:rPr>
        <w:t>71</w:t>
      </w:r>
    </w:p>
    <w:p w:rsidR="00000000" w:rsidRDefault="00AC31B9">
      <w:pPr>
        <w:rPr>
          <w:rFonts w:eastAsia="Times New Roman"/>
        </w:rPr>
      </w:pPr>
      <w:r>
        <w:rPr>
          <w:rFonts w:eastAsia="Times New Roman"/>
        </w:rPr>
        <w:pict>
          <v:rect id="_x0000_i1098" style="width:0;height:1.5pt" o:hralign="center" o:hrstd="t" o:hr="t" fillcolor="#a0a0a0" stroked="f"/>
        </w:pict>
      </w:r>
    </w:p>
    <w:p w:rsidR="00000000" w:rsidRDefault="00AC31B9">
      <w:pPr>
        <w:divId w:val="304822992"/>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color w:val="000000"/>
          <w:sz w:val="20"/>
          <w:szCs w:val="20"/>
        </w:rPr>
        <w:t>and expenditures of the Company are bein</w:t>
      </w:r>
      <w:r>
        <w:rPr>
          <w:rFonts w:eastAsia="Times New Roman"/>
          <w:color w:val="000000"/>
          <w:sz w:val="20"/>
          <w:szCs w:val="20"/>
        </w:rPr>
        <w:t xml:space="preserve">g made only in accordance with authorizations of management and directors of the Company; and (3) provide reasonable assurance regarding prevention or timely detection of unauthorized acquisition, use or disposition of the Company’s assets that could have </w:t>
      </w:r>
      <w:r>
        <w:rPr>
          <w:rFonts w:eastAsia="Times New Roman"/>
          <w:color w:val="000000"/>
          <w:sz w:val="20"/>
          <w:szCs w:val="20"/>
        </w:rPr>
        <w:t>a material effect on the financial statements.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due t</w:t>
      </w:r>
      <w:r>
        <w:rPr>
          <w:rFonts w:eastAsia="Times New Roman"/>
          <w:color w:val="000000"/>
          <w:sz w:val="20"/>
          <w:szCs w:val="20"/>
        </w:rPr>
        <w:t>o changing conditions, or the degree of compliance with the policies or procedures may deteriorate.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Based on its assessment, management has concluded that the Company’s internal control over financial reporting was effective as of September 30, 2023, bas</w:t>
      </w:r>
      <w:r>
        <w:rPr>
          <w:rFonts w:eastAsia="Times New Roman"/>
          <w:color w:val="000000"/>
          <w:sz w:val="20"/>
          <w:szCs w:val="20"/>
        </w:rPr>
        <w:t xml:space="preserve">ed on the COSO criteria. The Company’s independent registered public accounting firm, Ernst &amp; Young LLP, has issued an attestation report on the effectiveness of the Company’s internal control over financial reporting as of September 30, 2023. This report </w:t>
      </w:r>
      <w:r>
        <w:rPr>
          <w:rFonts w:eastAsia="Times New Roman"/>
          <w:color w:val="000000"/>
          <w:sz w:val="20"/>
          <w:szCs w:val="20"/>
        </w:rPr>
        <w:t>is set forth below.</w:t>
      </w:r>
    </w:p>
    <w:p w:rsidR="00000000" w:rsidRDefault="00AC31B9">
      <w:pPr>
        <w:jc w:val="both"/>
        <w:divId w:val="97725434"/>
        <w:rPr>
          <w:rFonts w:eastAsia="Times New Roman"/>
        </w:rPr>
      </w:pPr>
    </w:p>
    <w:p w:rsidR="00000000" w:rsidRDefault="00AC31B9">
      <w:pPr>
        <w:ind w:hanging="360"/>
        <w:jc w:val="both"/>
        <w:divId w:val="725106324"/>
        <w:rPr>
          <w:rFonts w:eastAsia="Times New Roman"/>
        </w:rPr>
      </w:pPr>
      <w:r>
        <w:rPr>
          <w:rFonts w:eastAsia="Times New Roman"/>
          <w:color w:val="000000"/>
          <w:sz w:val="20"/>
          <w:szCs w:val="20"/>
        </w:rPr>
        <w:t>(c)During the most recent fiscal quarter, no change in the Company’s internal control over financial reporting occurred that has materially affected, or is reasonably likely to materially affect, the Company’s internal control over fi</w:t>
      </w:r>
      <w:r>
        <w:rPr>
          <w:rFonts w:eastAsia="Times New Roman"/>
          <w:color w:val="000000"/>
          <w:sz w:val="20"/>
          <w:szCs w:val="20"/>
        </w:rPr>
        <w:t>nancial reporting.</w:t>
      </w:r>
    </w:p>
    <w:p w:rsidR="00000000" w:rsidRDefault="00AC31B9">
      <w:pPr>
        <w:jc w:val="both"/>
        <w:rPr>
          <w:rFonts w:eastAsia="Times New Roman"/>
        </w:rPr>
      </w:pPr>
    </w:p>
    <w:p w:rsidR="00000000" w:rsidRDefault="00AC31B9">
      <w:pPr>
        <w:jc w:val="both"/>
        <w:rPr>
          <w:rFonts w:eastAsia="Times New Roman"/>
        </w:rPr>
      </w:pPr>
    </w:p>
    <w:p w:rsidR="00000000" w:rsidRDefault="00AC31B9">
      <w:pPr>
        <w:jc w:val="both"/>
        <w:divId w:val="1518618934"/>
        <w:rPr>
          <w:rFonts w:eastAsia="Times New Roman"/>
        </w:rPr>
      </w:pPr>
    </w:p>
    <w:p w:rsidR="00000000" w:rsidRDefault="00AC31B9">
      <w:pPr>
        <w:jc w:val="center"/>
        <w:divId w:val="1116095608"/>
        <w:rPr>
          <w:rFonts w:eastAsia="Times New Roman"/>
        </w:rPr>
      </w:pPr>
    </w:p>
    <w:p w:rsidR="00000000" w:rsidRDefault="00AC31B9">
      <w:pPr>
        <w:jc w:val="center"/>
        <w:divId w:val="1248348646"/>
        <w:rPr>
          <w:rFonts w:eastAsia="Times New Roman"/>
        </w:rPr>
      </w:pPr>
    </w:p>
    <w:p w:rsidR="00000000" w:rsidRDefault="00AC31B9">
      <w:pPr>
        <w:jc w:val="center"/>
        <w:divId w:val="586575624"/>
        <w:rPr>
          <w:rFonts w:eastAsia="Times New Roman"/>
        </w:rPr>
      </w:pPr>
      <w:r>
        <w:rPr>
          <w:rFonts w:eastAsia="Times New Roman"/>
          <w:color w:val="000000"/>
          <w:sz w:val="20"/>
          <w:szCs w:val="20"/>
        </w:rPr>
        <w:t>72</w:t>
      </w:r>
    </w:p>
    <w:p w:rsidR="00000000" w:rsidRDefault="00AC31B9">
      <w:pPr>
        <w:rPr>
          <w:rFonts w:eastAsia="Times New Roman"/>
        </w:rPr>
      </w:pPr>
      <w:r>
        <w:rPr>
          <w:rFonts w:eastAsia="Times New Roman"/>
        </w:rPr>
        <w:pict>
          <v:rect id="_x0000_i1099" style="width:0;height:1.5pt" o:hralign="center" o:hrstd="t" o:hr="t" fillcolor="#a0a0a0" stroked="f"/>
        </w:pict>
      </w:r>
    </w:p>
    <w:p w:rsidR="00000000" w:rsidRDefault="00AC31B9">
      <w:pPr>
        <w:divId w:val="1948076052"/>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center"/>
        <w:divId w:val="1151751821"/>
        <w:rPr>
          <w:rFonts w:eastAsia="Times New Roman"/>
        </w:rPr>
      </w:pPr>
    </w:p>
    <w:p w:rsidR="00000000" w:rsidRDefault="00AC31B9">
      <w:pPr>
        <w:jc w:val="center"/>
        <w:divId w:val="123156927"/>
        <w:rPr>
          <w:rFonts w:eastAsia="Times New Roman"/>
        </w:rPr>
      </w:pPr>
    </w:p>
    <w:p w:rsidR="00000000" w:rsidRDefault="00AC31B9">
      <w:pPr>
        <w:jc w:val="center"/>
        <w:rPr>
          <w:rFonts w:eastAsia="Times New Roman"/>
        </w:rPr>
      </w:pPr>
      <w:r>
        <w:rPr>
          <w:rFonts w:eastAsia="Times New Roman"/>
          <w:b/>
          <w:bCs/>
          <w:color w:val="000000"/>
          <w:sz w:val="20"/>
          <w:szCs w:val="20"/>
        </w:rPr>
        <w:t>Report of Independent Registered Public Accounting Firm</w:t>
      </w:r>
    </w:p>
    <w:p w:rsidR="00000000" w:rsidRDefault="00AC31B9">
      <w:pPr>
        <w:jc w:val="center"/>
        <w:rPr>
          <w:rFonts w:eastAsia="Times New Roman"/>
        </w:rPr>
      </w:pPr>
    </w:p>
    <w:p w:rsidR="00000000" w:rsidRDefault="00AC31B9">
      <w:pPr>
        <w:jc w:val="both"/>
        <w:rPr>
          <w:rFonts w:eastAsia="Times New Roman"/>
        </w:rPr>
      </w:pPr>
      <w:r>
        <w:rPr>
          <w:rFonts w:eastAsia="Times New Roman"/>
          <w:color w:val="333333"/>
          <w:sz w:val="20"/>
          <w:szCs w:val="20"/>
        </w:rPr>
        <w:t>To the Stockholders and the Board of Directors of UGI Corporation</w:t>
      </w:r>
    </w:p>
    <w:p w:rsidR="00000000" w:rsidRDefault="00AC31B9">
      <w:pPr>
        <w:jc w:val="both"/>
        <w:rPr>
          <w:rFonts w:eastAsia="Times New Roman"/>
        </w:rPr>
      </w:pPr>
    </w:p>
    <w:p w:rsidR="00000000" w:rsidRDefault="00AC31B9">
      <w:pPr>
        <w:jc w:val="both"/>
        <w:divId w:val="1679429148"/>
        <w:rPr>
          <w:rFonts w:eastAsia="Times New Roman"/>
        </w:rPr>
      </w:pPr>
      <w:r>
        <w:rPr>
          <w:rFonts w:eastAsia="Times New Roman"/>
          <w:b/>
          <w:bCs/>
          <w:color w:val="333333"/>
          <w:sz w:val="20"/>
          <w:szCs w:val="20"/>
        </w:rPr>
        <w:t>Opinion on Internal Control Over Financial Reporting</w:t>
      </w:r>
    </w:p>
    <w:p w:rsidR="00000000" w:rsidRDefault="00AC31B9">
      <w:pPr>
        <w:jc w:val="both"/>
        <w:divId w:val="1413159734"/>
        <w:rPr>
          <w:rFonts w:eastAsia="Times New Roman"/>
        </w:rPr>
      </w:pPr>
      <w:r>
        <w:rPr>
          <w:rFonts w:eastAsia="Times New Roman"/>
          <w:color w:val="333333"/>
          <w:sz w:val="20"/>
          <w:szCs w:val="20"/>
        </w:rPr>
        <w:t>We have audited UGI Corporation and subsidiaries’ internal control over finan</w:t>
      </w:r>
      <w:r>
        <w:rPr>
          <w:rFonts w:eastAsia="Times New Roman"/>
          <w:color w:val="333333"/>
          <w:sz w:val="20"/>
          <w:szCs w:val="20"/>
        </w:rPr>
        <w:t>cial reporting as of September 30, 2023, based on criteria established in Internal Control—Integrated Framework issued by the Committee of Sponsoring Organizations of the Treadway Commission (2013 framework) (the COSO criteria). In our opinion, UGI Corpora</w:t>
      </w:r>
      <w:r>
        <w:rPr>
          <w:rFonts w:eastAsia="Times New Roman"/>
          <w:color w:val="333333"/>
          <w:sz w:val="20"/>
          <w:szCs w:val="20"/>
        </w:rPr>
        <w:t>tion and subsidiaries (the Company) maintained, in all material respects, effective internal control over financial reporting as of September 30, 2023, based on the COSO criteria.</w:t>
      </w:r>
    </w:p>
    <w:p w:rsidR="00000000" w:rsidRDefault="00AC31B9">
      <w:pPr>
        <w:jc w:val="both"/>
        <w:divId w:val="2066367540"/>
        <w:rPr>
          <w:rFonts w:eastAsia="Times New Roman"/>
        </w:rPr>
      </w:pPr>
      <w:r>
        <w:rPr>
          <w:rFonts w:eastAsia="Times New Roman"/>
          <w:color w:val="333333"/>
          <w:sz w:val="20"/>
          <w:szCs w:val="20"/>
        </w:rPr>
        <w:t>We also have audited, in accordance with the standards of the Public Company</w:t>
      </w:r>
      <w:r>
        <w:rPr>
          <w:rFonts w:eastAsia="Times New Roman"/>
          <w:color w:val="333333"/>
          <w:sz w:val="20"/>
          <w:szCs w:val="20"/>
        </w:rPr>
        <w:t xml:space="preserve"> Accounting Oversight Board (United States) (PCAOB), the consolidated balance sheets of the Company as of September 30, 2023 and 2022, the related consolidated statements of income, comprehensive income, changes in equity and cash flows for each of the thr</w:t>
      </w:r>
      <w:r>
        <w:rPr>
          <w:rFonts w:eastAsia="Times New Roman"/>
          <w:color w:val="333333"/>
          <w:sz w:val="20"/>
          <w:szCs w:val="20"/>
        </w:rPr>
        <w:t>ee years in the period ended September 30, 2023, and the related notes and the financial statement schedules listed in the Index at Item 15(a) and our report dated November 28, 2023 expressed an unqualified opinion thereon.</w:t>
      </w:r>
    </w:p>
    <w:p w:rsidR="00000000" w:rsidRDefault="00AC31B9">
      <w:pPr>
        <w:jc w:val="both"/>
        <w:divId w:val="136148750"/>
        <w:rPr>
          <w:rFonts w:eastAsia="Times New Roman"/>
        </w:rPr>
      </w:pPr>
      <w:r>
        <w:rPr>
          <w:rFonts w:eastAsia="Times New Roman"/>
          <w:b/>
          <w:bCs/>
          <w:color w:val="333333"/>
          <w:sz w:val="20"/>
          <w:szCs w:val="20"/>
        </w:rPr>
        <w:t>Basis for Opinion</w:t>
      </w:r>
    </w:p>
    <w:p w:rsidR="00000000" w:rsidRDefault="00AC31B9">
      <w:pPr>
        <w:jc w:val="both"/>
        <w:divId w:val="244535399"/>
        <w:rPr>
          <w:rFonts w:eastAsia="Times New Roman"/>
        </w:rPr>
      </w:pPr>
      <w:r>
        <w:rPr>
          <w:rFonts w:eastAsia="Times New Roman"/>
          <w:color w:val="333333"/>
          <w:sz w:val="20"/>
          <w:szCs w:val="20"/>
        </w:rPr>
        <w:t xml:space="preserve">The Company’s </w:t>
      </w:r>
      <w:r>
        <w:rPr>
          <w:rFonts w:eastAsia="Times New Roman"/>
          <w:color w:val="333333"/>
          <w:sz w:val="20"/>
          <w:szCs w:val="20"/>
        </w:rPr>
        <w:t>management is responsible for maintaining effective internal control over financial reporting and for its assessment of the effectiveness of internal control over financial reporting included in the accompanying Management’s Annual Report on Internal Contr</w:t>
      </w:r>
      <w:r>
        <w:rPr>
          <w:rFonts w:eastAsia="Times New Roman"/>
          <w:color w:val="333333"/>
          <w:sz w:val="20"/>
          <w:szCs w:val="20"/>
        </w:rPr>
        <w:t>ol over Financial Reporting. Our responsibility is to express an opinion on the Company’s internal control over financial reporting based on our audit. We are a public accounting firm registered with the PCAOB and are required to be independent with respec</w:t>
      </w:r>
      <w:r>
        <w:rPr>
          <w:rFonts w:eastAsia="Times New Roman"/>
          <w:color w:val="333333"/>
          <w:sz w:val="20"/>
          <w:szCs w:val="20"/>
        </w:rPr>
        <w:t xml:space="preserve">t to the Company in accordance with the U.S. federal securities laws and the applicable rules and regulations of the Securities and Exchange Commission and the PCAOB. </w:t>
      </w:r>
    </w:p>
    <w:p w:rsidR="00000000" w:rsidRDefault="00AC31B9">
      <w:pPr>
        <w:jc w:val="both"/>
        <w:divId w:val="749932316"/>
        <w:rPr>
          <w:rFonts w:eastAsia="Times New Roman"/>
        </w:rPr>
      </w:pPr>
      <w:r>
        <w:rPr>
          <w:rFonts w:eastAsia="Times New Roman"/>
          <w:color w:val="333333"/>
          <w:sz w:val="20"/>
          <w:szCs w:val="20"/>
        </w:rPr>
        <w:t>We conducted our audit in accordance with the standards of the PCAOB. Those standards re</w:t>
      </w:r>
      <w:r>
        <w:rPr>
          <w:rFonts w:eastAsia="Times New Roman"/>
          <w:color w:val="333333"/>
          <w:sz w:val="20"/>
          <w:szCs w:val="20"/>
        </w:rPr>
        <w:t xml:space="preserve">quire that we plan and perform the audit to obtain reasonable assurance about whether effective internal control over financial reporting was maintained in all material respects. </w:t>
      </w:r>
    </w:p>
    <w:p w:rsidR="00000000" w:rsidRDefault="00AC31B9">
      <w:pPr>
        <w:jc w:val="both"/>
        <w:divId w:val="821119430"/>
        <w:rPr>
          <w:rFonts w:eastAsia="Times New Roman"/>
        </w:rPr>
      </w:pPr>
      <w:r>
        <w:rPr>
          <w:rFonts w:eastAsia="Times New Roman"/>
          <w:color w:val="333333"/>
          <w:sz w:val="20"/>
          <w:szCs w:val="20"/>
        </w:rPr>
        <w:t>Our audit included obtaining an understanding of internal control over finan</w:t>
      </w:r>
      <w:r>
        <w:rPr>
          <w:rFonts w:eastAsia="Times New Roman"/>
          <w:color w:val="333333"/>
          <w:sz w:val="20"/>
          <w:szCs w:val="20"/>
        </w:rPr>
        <w:t>cial reporting, assessing the risk that a material weakness exists, testing and evaluating the design and operating effectiveness of internal control based on the assessed risk, and performing such other procedures as we considered necessary in the circums</w:t>
      </w:r>
      <w:r>
        <w:rPr>
          <w:rFonts w:eastAsia="Times New Roman"/>
          <w:color w:val="333333"/>
          <w:sz w:val="20"/>
          <w:szCs w:val="20"/>
        </w:rPr>
        <w:t xml:space="preserve">tances. We believe that our audit provides a reasonable basis for our opinion. </w:t>
      </w:r>
    </w:p>
    <w:p w:rsidR="00000000" w:rsidRDefault="00AC31B9">
      <w:pPr>
        <w:jc w:val="both"/>
        <w:divId w:val="1171145723"/>
        <w:rPr>
          <w:rFonts w:eastAsia="Times New Roman"/>
        </w:rPr>
      </w:pPr>
      <w:r>
        <w:rPr>
          <w:rFonts w:eastAsia="Times New Roman"/>
          <w:b/>
          <w:bCs/>
          <w:color w:val="333333"/>
          <w:sz w:val="20"/>
          <w:szCs w:val="20"/>
        </w:rPr>
        <w:t xml:space="preserve">Definition and Limitations of Internal Control Over Financial Reporting </w:t>
      </w:r>
    </w:p>
    <w:p w:rsidR="00000000" w:rsidRDefault="00AC31B9">
      <w:pPr>
        <w:jc w:val="both"/>
        <w:divId w:val="395708201"/>
        <w:rPr>
          <w:rFonts w:eastAsia="Times New Roman"/>
        </w:rPr>
      </w:pPr>
      <w:r>
        <w:rPr>
          <w:rFonts w:eastAsia="Times New Roman"/>
          <w:color w:val="333333"/>
          <w:sz w:val="20"/>
          <w:szCs w:val="20"/>
        </w:rPr>
        <w:t>A company’s internal control over financial reporting is a process designed to provide reasonable assur</w:t>
      </w:r>
      <w:r>
        <w:rPr>
          <w:rFonts w:eastAsia="Times New Roman"/>
          <w:color w:val="333333"/>
          <w:sz w:val="20"/>
          <w:szCs w:val="20"/>
        </w:rPr>
        <w:t>ance regarding the reliability of financial reporting and the preparation of financial statements for external purposes in accordance with generally accepted accounting principles. A company’s internal control over financial reporting includes those polici</w:t>
      </w:r>
      <w:r>
        <w:rPr>
          <w:rFonts w:eastAsia="Times New Roman"/>
          <w:color w:val="333333"/>
          <w:sz w:val="20"/>
          <w:szCs w:val="20"/>
        </w:rPr>
        <w:t>es and procedures that (1) pertain to the maintenance of records that, in reasonable detail, accurately and fairly reflect the transactions and dispositions of the assets of the company; (2) provide reasonable assurance that transactions are recorded as ne</w:t>
      </w:r>
      <w:r>
        <w:rPr>
          <w:rFonts w:eastAsia="Times New Roman"/>
          <w:color w:val="333333"/>
          <w:sz w:val="20"/>
          <w:szCs w:val="20"/>
        </w:rPr>
        <w:t>cessary to permit preparation of financial statements in accordance with generally accepted accounting principles, and that receipts and expenditures of the company are being made only in accordance with authorizations of management and directors of the co</w:t>
      </w:r>
      <w:r>
        <w:rPr>
          <w:rFonts w:eastAsia="Times New Roman"/>
          <w:color w:val="333333"/>
          <w:sz w:val="20"/>
          <w:szCs w:val="20"/>
        </w:rPr>
        <w:t xml:space="preserve">mpany; and (3) provide reasonable assurance regarding prevention or timely detection of unauthorized acquisition, use, or disposition of the company’s assets that could have a material effect on the financial statements. </w:t>
      </w:r>
    </w:p>
    <w:p w:rsidR="00000000" w:rsidRDefault="00AC31B9">
      <w:pPr>
        <w:jc w:val="both"/>
        <w:divId w:val="962810302"/>
        <w:rPr>
          <w:rFonts w:eastAsia="Times New Roman"/>
        </w:rPr>
      </w:pPr>
      <w:r>
        <w:rPr>
          <w:rFonts w:eastAsia="Times New Roman"/>
          <w:color w:val="333333"/>
          <w:sz w:val="20"/>
          <w:szCs w:val="20"/>
        </w:rPr>
        <w:t>Because of its inherent limitation</w:t>
      </w:r>
      <w:r>
        <w:rPr>
          <w:rFonts w:eastAsia="Times New Roman"/>
          <w:color w:val="333333"/>
          <w:sz w:val="20"/>
          <w:szCs w:val="20"/>
        </w:rPr>
        <w:t>s, internal control over financial reporting may not prevent or detect misstatements. Also, projections of any evaluation of effectiveness to future periods are subject to the risk that controls may become inadequate because of changes in conditions, or th</w:t>
      </w:r>
      <w:r>
        <w:rPr>
          <w:rFonts w:eastAsia="Times New Roman"/>
          <w:color w:val="333333"/>
          <w:sz w:val="20"/>
          <w:szCs w:val="20"/>
        </w:rPr>
        <w:t xml:space="preserve">at the degree of compliance with the policies or procedures may deteriorate. </w:t>
      </w:r>
    </w:p>
    <w:p w:rsidR="00000000" w:rsidRDefault="00AC31B9">
      <w:pPr>
        <w:divId w:val="2081512287"/>
        <w:rPr>
          <w:rFonts w:eastAsia="Times New Roman"/>
        </w:rPr>
      </w:pPr>
    </w:p>
    <w:p w:rsidR="00000000" w:rsidRDefault="00AC31B9">
      <w:pPr>
        <w:divId w:val="1822187394"/>
        <w:rPr>
          <w:rFonts w:eastAsia="Times New Roman"/>
        </w:rPr>
      </w:pPr>
      <w:r>
        <w:rPr>
          <w:rFonts w:eastAsia="Times New Roman"/>
          <w:color w:val="333333"/>
          <w:sz w:val="20"/>
          <w:szCs w:val="20"/>
        </w:rPr>
        <w:t>/s/ Ernst &amp; Young LLP</w:t>
      </w:r>
    </w:p>
    <w:p w:rsidR="00000000" w:rsidRDefault="00AC31B9">
      <w:pPr>
        <w:divId w:val="573471080"/>
        <w:rPr>
          <w:rFonts w:eastAsia="Times New Roman"/>
        </w:rPr>
      </w:pPr>
      <w:r>
        <w:rPr>
          <w:rFonts w:eastAsia="Times New Roman"/>
          <w:color w:val="333333"/>
          <w:sz w:val="20"/>
          <w:szCs w:val="20"/>
        </w:rPr>
        <w:t>Philadelphia, Pennsylvania</w:t>
      </w:r>
    </w:p>
    <w:p w:rsidR="00000000" w:rsidRDefault="00AC31B9">
      <w:pPr>
        <w:divId w:val="1050301706"/>
        <w:rPr>
          <w:rFonts w:eastAsia="Times New Roman"/>
        </w:rPr>
      </w:pPr>
      <w:r>
        <w:rPr>
          <w:rFonts w:eastAsia="Times New Roman"/>
          <w:color w:val="333333"/>
          <w:sz w:val="20"/>
          <w:szCs w:val="20"/>
        </w:rPr>
        <w:t>November 28, 2023</w:t>
      </w:r>
    </w:p>
    <w:p w:rsidR="00000000" w:rsidRDefault="00AC31B9">
      <w:pPr>
        <w:divId w:val="175466109"/>
        <w:rPr>
          <w:rFonts w:eastAsia="Times New Roman"/>
        </w:rPr>
      </w:pPr>
    </w:p>
    <w:p w:rsidR="00000000" w:rsidRDefault="00AC31B9">
      <w:pPr>
        <w:jc w:val="center"/>
        <w:divId w:val="1873224804"/>
        <w:rPr>
          <w:rFonts w:eastAsia="Times New Roman"/>
        </w:rPr>
      </w:pPr>
      <w:r>
        <w:rPr>
          <w:rFonts w:eastAsia="Times New Roman"/>
          <w:color w:val="000000"/>
          <w:sz w:val="20"/>
          <w:szCs w:val="20"/>
        </w:rPr>
        <w:t>73</w:t>
      </w:r>
    </w:p>
    <w:p w:rsidR="00000000" w:rsidRDefault="00AC31B9">
      <w:pPr>
        <w:rPr>
          <w:rFonts w:eastAsia="Times New Roman"/>
        </w:rPr>
      </w:pPr>
      <w:r>
        <w:rPr>
          <w:rFonts w:eastAsia="Times New Roman"/>
        </w:rPr>
        <w:pict>
          <v:rect id="_x0000_i1100" style="width:0;height:1.5pt" o:hralign="center" o:hrstd="t" o:hr="t" fillcolor="#a0a0a0" stroked="f"/>
        </w:pict>
      </w:r>
    </w:p>
    <w:p w:rsidR="00000000" w:rsidRDefault="00AC31B9">
      <w:pPr>
        <w:divId w:val="1261454060"/>
        <w:rPr>
          <w:rFonts w:eastAsia="Times New Roman"/>
        </w:rPr>
      </w:pPr>
      <w:hyperlink w:anchor="ic92dd05487854a4eaece953328045c39_7" w:history="1">
        <w:r>
          <w:rPr>
            <w:rStyle w:val="a3"/>
            <w:rFonts w:eastAsia="Times New Roman"/>
            <w:b/>
            <w:bCs/>
            <w:sz w:val="20"/>
            <w:szCs w:val="20"/>
          </w:rPr>
          <w:t>Table of C</w:t>
        </w:r>
        <w:r>
          <w:rPr>
            <w:rStyle w:val="a3"/>
            <w:rFonts w:eastAsia="Times New Roman"/>
            <w:b/>
            <w:bCs/>
            <w:sz w:val="20"/>
            <w:szCs w:val="20"/>
          </w:rPr>
          <w:t>ontents</w:t>
        </w:r>
      </w:hyperlink>
    </w:p>
    <w:p w:rsidR="00000000" w:rsidRDefault="00AC31B9">
      <w:pPr>
        <w:ind w:hanging="900"/>
        <w:divId w:val="671110170"/>
        <w:rPr>
          <w:rFonts w:eastAsia="Times New Roman"/>
        </w:rPr>
      </w:pPr>
      <w:r>
        <w:rPr>
          <w:rFonts w:eastAsia="Times New Roman"/>
          <w:b/>
          <w:bCs/>
          <w:color w:val="000000"/>
          <w:sz w:val="20"/>
          <w:szCs w:val="20"/>
        </w:rPr>
        <w:t>ITEM 9B. OTHER INFORMATION</w:t>
      </w:r>
    </w:p>
    <w:p w:rsidR="00000000" w:rsidRDefault="00AC31B9">
      <w:pPr>
        <w:jc w:val="both"/>
        <w:rPr>
          <w:rFonts w:eastAsia="Times New Roman"/>
        </w:rPr>
      </w:pPr>
      <w:r>
        <w:rPr>
          <w:rFonts w:eastAsia="Times New Roman"/>
          <w:color w:val="000000"/>
          <w:sz w:val="20"/>
          <w:szCs w:val="20"/>
        </w:rPr>
        <w:t>During the three months ended September 30, 2023, no director or officer of the Company adopted or terminated a “Rule 10b5-1 trading arrangement” or “</w:t>
      </w:r>
      <w:r>
        <w:rPr>
          <w:rFonts w:eastAsia="Times New Roman"/>
          <w:color w:val="000000"/>
          <w:sz w:val="20"/>
          <w:szCs w:val="20"/>
        </w:rPr>
        <w:t xml:space="preserve">non-Rule 10b5-1 trading arrangement,” as each term is defined in Item 408(a) of Regulation-S-K. Further, during the three months ended September 30, 2023, the Company did not adopt or terminate a “Rule 10b5-1 trading arrangement” as defined in Item 408(a) </w:t>
      </w:r>
      <w:r>
        <w:rPr>
          <w:rFonts w:eastAsia="Times New Roman"/>
          <w:color w:val="000000"/>
          <w:sz w:val="20"/>
          <w:szCs w:val="20"/>
        </w:rPr>
        <w:t>of Regulation-S-K.</w:t>
      </w:r>
    </w:p>
    <w:p w:rsidR="00000000" w:rsidRDefault="00AC31B9">
      <w:pPr>
        <w:divId w:val="2102068222"/>
        <w:rPr>
          <w:rFonts w:eastAsia="Times New Roman"/>
        </w:rPr>
      </w:pPr>
    </w:p>
    <w:p w:rsidR="00000000" w:rsidRDefault="00AC31B9">
      <w:pPr>
        <w:ind w:hanging="900"/>
        <w:divId w:val="853761579"/>
        <w:rPr>
          <w:rFonts w:eastAsia="Times New Roman"/>
        </w:rPr>
      </w:pPr>
      <w:r>
        <w:rPr>
          <w:rFonts w:eastAsia="Times New Roman"/>
          <w:b/>
          <w:bCs/>
          <w:color w:val="000000"/>
          <w:sz w:val="20"/>
          <w:szCs w:val="20"/>
        </w:rPr>
        <w:t>ITEM 9C. DISCLOSURE REGARDING FOREIGN JURISDICTIONS THAT PREVENT INSPECTIONS</w:t>
      </w:r>
    </w:p>
    <w:p w:rsidR="00000000" w:rsidRDefault="00AC31B9">
      <w:pPr>
        <w:divId w:val="732435900"/>
        <w:rPr>
          <w:rFonts w:eastAsia="Times New Roman"/>
        </w:rPr>
      </w:pPr>
      <w:r>
        <w:rPr>
          <w:rFonts w:eastAsia="Times New Roman"/>
          <w:color w:val="000000"/>
          <w:sz w:val="20"/>
          <w:szCs w:val="20"/>
        </w:rPr>
        <w:t>Not Applicable</w:t>
      </w:r>
    </w:p>
    <w:p w:rsidR="00000000" w:rsidRDefault="00AC31B9">
      <w:pPr>
        <w:jc w:val="center"/>
        <w:divId w:val="1848130624"/>
        <w:rPr>
          <w:rFonts w:eastAsia="Times New Roman"/>
        </w:rPr>
      </w:pPr>
      <w:r>
        <w:rPr>
          <w:rFonts w:eastAsia="Times New Roman"/>
          <w:color w:val="000000"/>
          <w:sz w:val="20"/>
          <w:szCs w:val="20"/>
        </w:rPr>
        <w:t>74</w:t>
      </w:r>
    </w:p>
    <w:p w:rsidR="00000000" w:rsidRDefault="00AC31B9">
      <w:pPr>
        <w:rPr>
          <w:rFonts w:eastAsia="Times New Roman"/>
        </w:rPr>
      </w:pPr>
      <w:r>
        <w:rPr>
          <w:rFonts w:eastAsia="Times New Roman"/>
        </w:rPr>
        <w:pict>
          <v:rect id="_x0000_i1101" style="width:0;height:1.5pt" o:hralign="center" o:hrstd="t" o:hr="t" fillcolor="#a0a0a0" stroked="f"/>
        </w:pict>
      </w:r>
    </w:p>
    <w:p w:rsidR="00000000" w:rsidRDefault="00AC31B9">
      <w:pPr>
        <w:divId w:val="92751918"/>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b/>
          <w:bCs/>
          <w:color w:val="000000"/>
          <w:sz w:val="20"/>
          <w:szCs w:val="20"/>
        </w:rPr>
        <w:t>PART III:</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ITEMS 10 THROUGH 14.</w:t>
      </w:r>
    </w:p>
    <w:p w:rsidR="00000000" w:rsidRDefault="00AC31B9">
      <w:pPr>
        <w:divId w:val="1741977151"/>
        <w:rPr>
          <w:rFonts w:eastAsia="Times New Roman"/>
        </w:rPr>
      </w:pPr>
    </w:p>
    <w:p w:rsidR="00000000" w:rsidRDefault="00AC31B9">
      <w:pPr>
        <w:jc w:val="both"/>
        <w:rPr>
          <w:rFonts w:eastAsia="Times New Roman"/>
        </w:rPr>
      </w:pPr>
      <w:r>
        <w:rPr>
          <w:rFonts w:eastAsia="Times New Roman"/>
          <w:color w:val="000000"/>
          <w:sz w:val="20"/>
          <w:szCs w:val="20"/>
        </w:rPr>
        <w:t>In accordance with General Instruction G(3), and except as set forth below, the information required by Items</w:t>
      </w:r>
      <w:r>
        <w:rPr>
          <w:rFonts w:eastAsia="Times New Roman"/>
          <w:color w:val="000000"/>
          <w:sz w:val="20"/>
          <w:szCs w:val="20"/>
        </w:rPr>
        <w:t xml:space="preserve"> 10, 11, 12, 13 and 14 is incorporated in this Report by reference to the following portions of UGI’s Proxy Statement, which will be filed with the SEC by December 31, 2023.</w:t>
      </w:r>
    </w:p>
    <w:tbl>
      <w:tblPr>
        <w:tblW w:w="4985" w:type="pct"/>
        <w:tblCellMar>
          <w:top w:w="15" w:type="dxa"/>
          <w:left w:w="15" w:type="dxa"/>
          <w:bottom w:w="15" w:type="dxa"/>
          <w:right w:w="15" w:type="dxa"/>
        </w:tblCellMar>
        <w:tblLook w:val="04A0" w:firstRow="1" w:lastRow="0" w:firstColumn="1" w:lastColumn="0" w:noHBand="0" w:noVBand="1"/>
      </w:tblPr>
      <w:tblGrid>
        <w:gridCol w:w="72"/>
        <w:gridCol w:w="693"/>
        <w:gridCol w:w="36"/>
        <w:gridCol w:w="63"/>
        <w:gridCol w:w="3592"/>
        <w:gridCol w:w="37"/>
        <w:gridCol w:w="36"/>
        <w:gridCol w:w="36"/>
        <w:gridCol w:w="36"/>
        <w:gridCol w:w="51"/>
        <w:gridCol w:w="3593"/>
        <w:gridCol w:w="36"/>
      </w:tblGrid>
      <w:tr w:rsidR="00000000">
        <w:trPr>
          <w:divId w:val="1670526785"/>
        </w:trPr>
        <w:tc>
          <w:tcPr>
            <w:tcW w:w="50" w:type="pct"/>
            <w:vAlign w:val="center"/>
            <w:hideMark/>
          </w:tcPr>
          <w:p w:rsidR="00000000" w:rsidRDefault="00AC31B9">
            <w:pPr>
              <w:jc w:val="both"/>
              <w:rPr>
                <w:rFonts w:eastAsia="Times New Roman"/>
              </w:rPr>
            </w:pPr>
          </w:p>
        </w:tc>
        <w:tc>
          <w:tcPr>
            <w:tcW w:w="43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21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21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670526785"/>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b/>
                <w:bCs/>
                <w:color w:val="000000"/>
                <w:sz w:val="20"/>
                <w:szCs w:val="20"/>
              </w:rPr>
              <w:t>Information</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b/>
                <w:bCs/>
                <w:color w:val="000000"/>
                <w:sz w:val="20"/>
                <w:szCs w:val="20"/>
              </w:rPr>
              <w:t>Captions of Proxy Statement</w:t>
            </w:r>
            <w:r>
              <w:rPr>
                <w:rFonts w:eastAsia="Times New Roman"/>
                <w:b/>
                <w:bCs/>
                <w:color w:val="000000"/>
                <w:sz w:val="20"/>
                <w:szCs w:val="20"/>
              </w:rPr>
              <w:br/>
              <w:t>Incorporated by Reference</w:t>
            </w:r>
          </w:p>
        </w:tc>
      </w:tr>
      <w:tr w:rsidR="00000000">
        <w:trPr>
          <w:divId w:val="1670526785"/>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Item 10.</w:t>
            </w:r>
          </w:p>
        </w:tc>
        <w:tc>
          <w:tcPr>
            <w:tcW w:w="0" w:type="auto"/>
            <w:gridSpan w:val="3"/>
            <w:tcBorders>
              <w:top w:val="single" w:sz="8" w:space="0" w:color="000000"/>
            </w:tcBorders>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Directors, Executive Officers and Corporate Governance</w:t>
            </w:r>
          </w:p>
        </w:tc>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C31B9">
            <w:pPr>
              <w:spacing w:after="100"/>
              <w:divId w:val="2067097781"/>
              <w:rPr>
                <w:rFonts w:eastAsia="Times New Roman"/>
              </w:rPr>
            </w:pPr>
            <w:r>
              <w:rPr>
                <w:rFonts w:eastAsia="Times New Roman"/>
                <w:color w:val="000000"/>
                <w:sz w:val="20"/>
                <w:szCs w:val="20"/>
              </w:rPr>
              <w:t>Election of Directors - Nominees; Corporate Governance; Report of the Audit Committee of the Board of Directors</w:t>
            </w:r>
          </w:p>
        </w:tc>
      </w:tr>
      <w:tr w:rsidR="00000000">
        <w:trPr>
          <w:divId w:val="1670526785"/>
          <w:trHeight w:val="60"/>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670526785"/>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The Code of Business Conduct and Ethics is available without charge on the Company’s website, www.ugicorp.com under the capt</w:t>
            </w:r>
            <w:r>
              <w:rPr>
                <w:rFonts w:eastAsia="Times New Roman"/>
                <w:color w:val="000000"/>
                <w:sz w:val="20"/>
                <w:szCs w:val="20"/>
              </w:rPr>
              <w:t>ion “Company - Leadership and Governance - Governance Documents”, or by writing to Director, Investor Relations, UGI Corporation, P. O. Box 858, Valley Forge, PA 19482. We will disclose on the Company’s website any waiver from or amendment to the Code of B</w:t>
            </w:r>
            <w:r>
              <w:rPr>
                <w:rFonts w:eastAsia="Times New Roman"/>
                <w:color w:val="000000"/>
                <w:sz w:val="20"/>
                <w:szCs w:val="20"/>
              </w:rPr>
              <w:t>usiness Conduct and Ethics that applies to the Company’s principal executive officer, principal financial officer, principal accounting officer or controller or persons performing similar functions and that relates to any element of the code of ethics defi</w:t>
            </w:r>
            <w:r>
              <w:rPr>
                <w:rFonts w:eastAsia="Times New Roman"/>
                <w:color w:val="000000"/>
                <w:sz w:val="20"/>
                <w:szCs w:val="20"/>
              </w:rPr>
              <w:t>nition in Item 406(b) of Regulations S-K.</w:t>
            </w:r>
          </w:p>
        </w:tc>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 </w:t>
            </w:r>
          </w:p>
        </w:tc>
      </w:tr>
      <w:tr w:rsidR="00000000">
        <w:trPr>
          <w:divId w:val="1670526785"/>
          <w:trHeight w:val="60"/>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670526785"/>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Item 11.</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Executive Compensation</w:t>
            </w:r>
          </w:p>
        </w:tc>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Compensation of Directors; Report of the Compensation and Management Development Committee of the Board of Directors; Compensation Discussion and Analysis; Compensation of Executive Officers; Compensation Committee Interlocks and Insider Participation</w:t>
            </w:r>
          </w:p>
        </w:tc>
      </w:tr>
      <w:tr w:rsidR="00000000">
        <w:trPr>
          <w:divId w:val="1670526785"/>
          <w:trHeight w:val="60"/>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670526785"/>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Item 12.</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Security Ownership of Certain Beneficial Owners and Management and Related Stockholder Matters</w:t>
            </w:r>
          </w:p>
        </w:tc>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Securities Ownership of Certain Beneficial Owners</w:t>
            </w:r>
          </w:p>
        </w:tc>
      </w:tr>
      <w:tr w:rsidR="00000000">
        <w:trPr>
          <w:divId w:val="1670526785"/>
          <w:trHeight w:val="60"/>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670526785"/>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Item 13.</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Certain Relationships and Related Transactions, and Director Independence</w:t>
            </w:r>
          </w:p>
        </w:tc>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 xml:space="preserve">Corporate Governance - Director Independence; Corporate Governance - Board and Committee Structure; Corporate Governance - Selection of Board Candidates; Policy for Approval of </w:t>
            </w:r>
            <w:r>
              <w:rPr>
                <w:rFonts w:eastAsia="Times New Roman"/>
                <w:color w:val="000000"/>
                <w:sz w:val="20"/>
                <w:szCs w:val="20"/>
              </w:rPr>
              <w:t>Related Person Transactions</w:t>
            </w:r>
          </w:p>
        </w:tc>
      </w:tr>
      <w:tr w:rsidR="00000000">
        <w:trPr>
          <w:divId w:val="1670526785"/>
          <w:trHeight w:val="60"/>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670526785"/>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Item 14.</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Principal Accounting Fees and Services</w:t>
            </w:r>
          </w:p>
        </w:tc>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Our Independent Registered Public Accounting Firm</w:t>
            </w:r>
          </w:p>
        </w:tc>
      </w:tr>
    </w:tbl>
    <w:p w:rsidR="00000000" w:rsidRDefault="00AC31B9">
      <w:pPr>
        <w:jc w:val="center"/>
        <w:divId w:val="1583954932"/>
        <w:rPr>
          <w:rFonts w:eastAsia="Times New Roman"/>
        </w:rPr>
      </w:pPr>
      <w:r>
        <w:rPr>
          <w:rFonts w:eastAsia="Times New Roman"/>
          <w:color w:val="000000"/>
          <w:sz w:val="20"/>
          <w:szCs w:val="20"/>
        </w:rPr>
        <w:t>75</w:t>
      </w:r>
    </w:p>
    <w:p w:rsidR="00000000" w:rsidRDefault="00AC31B9">
      <w:pPr>
        <w:rPr>
          <w:rFonts w:eastAsia="Times New Roman"/>
        </w:rPr>
      </w:pPr>
      <w:r>
        <w:rPr>
          <w:rFonts w:eastAsia="Times New Roman"/>
        </w:rPr>
        <w:pict>
          <v:rect id="_x0000_i1102" style="width:0;height:1.5pt" o:hralign="center" o:hrstd="t" o:hr="t" fillcolor="#a0a0a0" stroked="f"/>
        </w:pict>
      </w:r>
    </w:p>
    <w:p w:rsidR="00000000" w:rsidRDefault="00AC31B9">
      <w:pPr>
        <w:divId w:val="934170977"/>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divId w:val="1351494156"/>
        <w:rPr>
          <w:rFonts w:eastAsia="Times New Roman"/>
        </w:rPr>
      </w:pPr>
      <w:r>
        <w:rPr>
          <w:rFonts w:eastAsia="Times New Roman"/>
          <w:b/>
          <w:bCs/>
          <w:i/>
          <w:iCs/>
          <w:color w:val="000000"/>
          <w:sz w:val="20"/>
          <w:szCs w:val="20"/>
        </w:rPr>
        <w:t xml:space="preserve">Equity Compensation Table </w:t>
      </w:r>
    </w:p>
    <w:p w:rsidR="00000000" w:rsidRDefault="00AC31B9">
      <w:pPr>
        <w:divId w:val="747387962"/>
        <w:rPr>
          <w:rFonts w:eastAsia="Times New Roman"/>
        </w:rPr>
      </w:pPr>
    </w:p>
    <w:p w:rsidR="00000000" w:rsidRDefault="00AC31B9">
      <w:pPr>
        <w:divId w:val="233979361"/>
        <w:rPr>
          <w:rFonts w:eastAsia="Times New Roman"/>
        </w:rPr>
      </w:pPr>
      <w:r>
        <w:rPr>
          <w:rFonts w:eastAsia="Times New Roman"/>
          <w:color w:val="000000"/>
          <w:sz w:val="20"/>
          <w:szCs w:val="20"/>
        </w:rPr>
        <w:t xml:space="preserve">The following table sets forth information as of the end of Fiscal 2023 with respect to compensation plans under which our equity securities are authorized for issuance. </w:t>
      </w:r>
    </w:p>
    <w:tbl>
      <w:tblPr>
        <w:tblW w:w="4985" w:type="pct"/>
        <w:tblCellMar>
          <w:top w:w="15" w:type="dxa"/>
          <w:left w:w="15" w:type="dxa"/>
          <w:bottom w:w="15" w:type="dxa"/>
          <w:right w:w="15" w:type="dxa"/>
        </w:tblCellMar>
        <w:tblLook w:val="04A0" w:firstRow="1" w:lastRow="0" w:firstColumn="1" w:lastColumn="0" w:noHBand="0" w:noVBand="1"/>
      </w:tblPr>
      <w:tblGrid>
        <w:gridCol w:w="58"/>
        <w:gridCol w:w="1646"/>
        <w:gridCol w:w="37"/>
        <w:gridCol w:w="36"/>
        <w:gridCol w:w="36"/>
        <w:gridCol w:w="36"/>
        <w:gridCol w:w="52"/>
        <w:gridCol w:w="1569"/>
        <w:gridCol w:w="36"/>
        <w:gridCol w:w="75"/>
        <w:gridCol w:w="192"/>
        <w:gridCol w:w="36"/>
        <w:gridCol w:w="121"/>
        <w:gridCol w:w="1426"/>
        <w:gridCol w:w="36"/>
        <w:gridCol w:w="70"/>
        <w:gridCol w:w="203"/>
        <w:gridCol w:w="36"/>
        <w:gridCol w:w="60"/>
        <w:gridCol w:w="2181"/>
        <w:gridCol w:w="36"/>
        <w:gridCol w:w="78"/>
        <w:gridCol w:w="189"/>
        <w:gridCol w:w="36"/>
      </w:tblGrid>
      <w:tr w:rsidR="00000000">
        <w:trPr>
          <w:divId w:val="1958173126"/>
        </w:trPr>
        <w:tc>
          <w:tcPr>
            <w:tcW w:w="50" w:type="pct"/>
            <w:vAlign w:val="center"/>
            <w:hideMark/>
          </w:tcPr>
          <w:p w:rsidR="00000000" w:rsidRDefault="00AC31B9">
            <w:pPr>
              <w:rPr>
                <w:rFonts w:eastAsia="Times New Roman"/>
              </w:rPr>
            </w:pPr>
          </w:p>
        </w:tc>
        <w:tc>
          <w:tcPr>
            <w:tcW w:w="100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96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2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88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4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33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2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958173126"/>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Plan category</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b/>
                <w:bCs/>
                <w:color w:val="000000"/>
                <w:sz w:val="20"/>
                <w:szCs w:val="20"/>
              </w:rPr>
              <w:t>Number of securities to be</w:t>
            </w:r>
            <w:r>
              <w:rPr>
                <w:rFonts w:eastAsia="Times New Roman"/>
                <w:b/>
                <w:bCs/>
                <w:color w:val="000000"/>
                <w:sz w:val="20"/>
                <w:szCs w:val="20"/>
              </w:rPr>
              <w:br/>
              <w:t>issued upon exercise of</w:t>
            </w:r>
            <w:r>
              <w:rPr>
                <w:rFonts w:eastAsia="Times New Roman"/>
                <w:b/>
                <w:bCs/>
                <w:color w:val="000000"/>
                <w:sz w:val="20"/>
                <w:szCs w:val="20"/>
              </w:rPr>
              <w:br/>
              <w:t>outstanding options,</w:t>
            </w:r>
            <w:r>
              <w:rPr>
                <w:rFonts w:eastAsia="Times New Roman"/>
                <w:b/>
                <w:bCs/>
                <w:color w:val="000000"/>
                <w:sz w:val="20"/>
                <w:szCs w:val="20"/>
              </w:rPr>
              <w:br/>
              <w:t>warrants and rights</w:t>
            </w:r>
            <w:r>
              <w:rPr>
                <w:rFonts w:eastAsia="Times New Roman"/>
                <w:b/>
                <w:bCs/>
                <w:color w:val="000000"/>
                <w:sz w:val="20"/>
                <w:szCs w:val="20"/>
              </w:rPr>
              <w:br/>
              <w:t>(a)</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b/>
                <w:bCs/>
                <w:color w:val="000000"/>
                <w:sz w:val="20"/>
                <w:szCs w:val="20"/>
              </w:rPr>
              <w:t>Weighted average</w:t>
            </w:r>
            <w:r>
              <w:rPr>
                <w:rFonts w:eastAsia="Times New Roman"/>
                <w:b/>
                <w:bCs/>
                <w:color w:val="000000"/>
                <w:sz w:val="20"/>
                <w:szCs w:val="20"/>
              </w:rPr>
              <w:br/>
              <w:t>exercise price of</w:t>
            </w:r>
            <w:r>
              <w:rPr>
                <w:rFonts w:eastAsia="Times New Roman"/>
                <w:b/>
                <w:bCs/>
                <w:color w:val="000000"/>
                <w:sz w:val="20"/>
                <w:szCs w:val="20"/>
              </w:rPr>
              <w:br/>
              <w:t>outstanding options,</w:t>
            </w:r>
            <w:r>
              <w:rPr>
                <w:rFonts w:eastAsia="Times New Roman"/>
                <w:b/>
                <w:bCs/>
                <w:color w:val="000000"/>
                <w:sz w:val="20"/>
                <w:szCs w:val="20"/>
              </w:rPr>
              <w:br/>
              <w:t>warrants and rights</w:t>
            </w:r>
            <w:r>
              <w:rPr>
                <w:rFonts w:eastAsia="Times New Roman"/>
                <w:b/>
                <w:bCs/>
                <w:color w:val="000000"/>
                <w:sz w:val="20"/>
                <w:szCs w:val="20"/>
              </w:rPr>
              <w:br/>
              <w:t>(b)</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b/>
                <w:bCs/>
                <w:color w:val="000000"/>
                <w:sz w:val="20"/>
                <w:szCs w:val="20"/>
              </w:rPr>
              <w:t>Number of securities</w:t>
            </w:r>
            <w:r>
              <w:rPr>
                <w:rFonts w:eastAsia="Times New Roman"/>
                <w:b/>
                <w:bCs/>
                <w:color w:val="000000"/>
                <w:sz w:val="20"/>
                <w:szCs w:val="20"/>
              </w:rPr>
              <w:br/>
              <w:t>remaining available for future</w:t>
            </w:r>
            <w:r>
              <w:rPr>
                <w:rFonts w:eastAsia="Times New Roman"/>
                <w:b/>
                <w:bCs/>
                <w:color w:val="000000"/>
                <w:sz w:val="20"/>
                <w:szCs w:val="20"/>
              </w:rPr>
              <w:br/>
              <w:t>issuance under e</w:t>
            </w:r>
            <w:r>
              <w:rPr>
                <w:rFonts w:eastAsia="Times New Roman"/>
                <w:b/>
                <w:bCs/>
                <w:color w:val="000000"/>
                <w:sz w:val="20"/>
                <w:szCs w:val="20"/>
              </w:rPr>
              <w:t>quity</w:t>
            </w:r>
            <w:r>
              <w:rPr>
                <w:rFonts w:eastAsia="Times New Roman"/>
                <w:b/>
                <w:bCs/>
                <w:color w:val="000000"/>
                <w:sz w:val="20"/>
                <w:szCs w:val="20"/>
              </w:rPr>
              <w:br/>
              <w:t>compensation plans</w:t>
            </w:r>
            <w:r>
              <w:rPr>
                <w:rFonts w:eastAsia="Times New Roman"/>
                <w:b/>
                <w:bCs/>
                <w:color w:val="000000"/>
                <w:sz w:val="20"/>
                <w:szCs w:val="20"/>
              </w:rPr>
              <w:br/>
              <w:t>(excluding securities reflected</w:t>
            </w:r>
            <w:r>
              <w:rPr>
                <w:rFonts w:eastAsia="Times New Roman"/>
                <w:b/>
                <w:bCs/>
                <w:color w:val="000000"/>
                <w:sz w:val="20"/>
                <w:szCs w:val="20"/>
              </w:rPr>
              <w:br/>
              <w:t>in column (a)) (c)</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r>
      <w:tr w:rsidR="00000000">
        <w:trPr>
          <w:divId w:val="195817312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divId w:val="1996258702"/>
              <w:rPr>
                <w:rFonts w:eastAsia="Times New Roman"/>
              </w:rPr>
            </w:pPr>
            <w:r>
              <w:rPr>
                <w:rFonts w:eastAsia="Times New Roman"/>
                <w:color w:val="000000"/>
                <w:sz w:val="20"/>
                <w:szCs w:val="20"/>
              </w:rPr>
              <w:t>Equity compensation plans approved by security holders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8,358,125 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42.58 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16,014,039 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(2)</w:t>
            </w:r>
          </w:p>
        </w:tc>
      </w:tr>
      <w:tr w:rsidR="00000000">
        <w:trPr>
          <w:divId w:val="195817312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1,502,253 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r>
      <w:tr w:rsidR="00000000">
        <w:trPr>
          <w:divId w:val="195817312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divId w:val="1374884869"/>
              <w:rPr>
                <w:rFonts w:eastAsia="Times New Roman"/>
              </w:rPr>
            </w:pPr>
            <w:r>
              <w:rPr>
                <w:rFonts w:eastAsia="Times New Roman"/>
                <w:color w:val="000000"/>
                <w:sz w:val="20"/>
                <w:szCs w:val="20"/>
              </w:rPr>
              <w:t>Equity compensation plans not approved by security holders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95817312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ind w:hanging="180"/>
              <w:divId w:val="446389807"/>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ind w:hanging="18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9,860,378 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42.58 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bl>
    <w:p w:rsidR="00000000" w:rsidRDefault="00AC31B9">
      <w:pPr>
        <w:divId w:val="534734104"/>
        <w:rPr>
          <w:rFonts w:eastAsia="Times New Roman"/>
        </w:rPr>
      </w:pPr>
    </w:p>
    <w:p w:rsidR="00000000" w:rsidRDefault="00AC31B9">
      <w:pPr>
        <w:ind w:hanging="360"/>
        <w:divId w:val="32465686"/>
        <w:rPr>
          <w:rFonts w:eastAsia="Times New Roman"/>
        </w:rPr>
      </w:pPr>
      <w:r>
        <w:rPr>
          <w:rFonts w:eastAsia="Times New Roman"/>
          <w:color w:val="000000"/>
          <w:sz w:val="20"/>
          <w:szCs w:val="20"/>
        </w:rPr>
        <w:t>(1)Represents 8,358,125 stock options under the UGI Corporation 2021 Incentive Award Plan, which supersedes and replaces the UGI Corporation 2013 Omnibus Incentive Compensation Plan. The UGI Corporation 2021 Incentive Award Plan was approved by shar</w:t>
      </w:r>
      <w:r>
        <w:rPr>
          <w:rFonts w:eastAsia="Times New Roman"/>
          <w:color w:val="000000"/>
          <w:sz w:val="20"/>
          <w:szCs w:val="20"/>
        </w:rPr>
        <w:t>eholders on January 29, 2021.</w:t>
      </w:r>
    </w:p>
    <w:p w:rsidR="00000000" w:rsidRDefault="00AC31B9">
      <w:pPr>
        <w:ind w:hanging="360"/>
        <w:jc w:val="both"/>
        <w:rPr>
          <w:rFonts w:eastAsia="Times New Roman"/>
        </w:rPr>
      </w:pPr>
      <w:r>
        <w:rPr>
          <w:rFonts w:eastAsia="Times New Roman"/>
          <w:color w:val="000000"/>
          <w:sz w:val="20"/>
          <w:szCs w:val="20"/>
        </w:rPr>
        <w:t>(2)Represents securities remaining for issuance under the UGI Corporation 2021 Incentive Award Plan. The UGI Corporation 2021 Incentive Award Plan uses a share pool under which each share issued pursuant to a stock option or s</w:t>
      </w:r>
      <w:r>
        <w:rPr>
          <w:rFonts w:eastAsia="Times New Roman"/>
          <w:color w:val="000000"/>
          <w:sz w:val="20"/>
          <w:szCs w:val="20"/>
        </w:rPr>
        <w:t xml:space="preserve">tock appreciation right reduces the number of shares available by one share, and each share issued pursuant to awards other than stock options or stock appreciation rights reduces the number of shares available by three (3) shares. </w:t>
      </w:r>
    </w:p>
    <w:p w:rsidR="00000000" w:rsidRDefault="00AC31B9">
      <w:pPr>
        <w:ind w:hanging="360"/>
        <w:jc w:val="both"/>
        <w:divId w:val="1836799765"/>
        <w:rPr>
          <w:rFonts w:eastAsia="Times New Roman"/>
        </w:rPr>
      </w:pPr>
      <w:r>
        <w:rPr>
          <w:rFonts w:eastAsia="Times New Roman"/>
          <w:color w:val="000000"/>
          <w:sz w:val="20"/>
          <w:szCs w:val="20"/>
        </w:rPr>
        <w:t>(3)</w:t>
      </w:r>
      <w:r>
        <w:rPr>
          <w:rFonts w:eastAsia="Times New Roman"/>
          <w:color w:val="000000"/>
          <w:sz w:val="20"/>
          <w:szCs w:val="20"/>
        </w:rPr>
        <w:t xml:space="preserve">Represents 1,502,253 restricted stock units under the UGI Corporation 2021 Incentive Award Plan. </w:t>
      </w:r>
    </w:p>
    <w:p w:rsidR="00000000" w:rsidRDefault="00AC31B9">
      <w:pPr>
        <w:ind w:hanging="360"/>
        <w:jc w:val="both"/>
        <w:divId w:val="1675840868"/>
        <w:rPr>
          <w:rFonts w:eastAsia="Times New Roman"/>
        </w:rPr>
      </w:pPr>
      <w:r>
        <w:rPr>
          <w:rFonts w:eastAsia="Times New Roman"/>
          <w:color w:val="000000"/>
          <w:sz w:val="20"/>
          <w:szCs w:val="20"/>
        </w:rPr>
        <w:t>(4)Weighted-average exercise price of outstanding options; excludes restricted stock units.</w:t>
      </w:r>
    </w:p>
    <w:p w:rsidR="00000000" w:rsidRDefault="00AC31B9">
      <w:pPr>
        <w:jc w:val="both"/>
        <w:divId w:val="646595979"/>
        <w:rPr>
          <w:rFonts w:eastAsia="Times New Roman"/>
        </w:rPr>
      </w:pPr>
      <w:r>
        <w:rPr>
          <w:rFonts w:eastAsia="Times New Roman"/>
          <w:color w:val="000000"/>
          <w:sz w:val="20"/>
          <w:szCs w:val="20"/>
        </w:rPr>
        <w:t>The information concerning the Company’s executive officers requir</w:t>
      </w:r>
      <w:r>
        <w:rPr>
          <w:rFonts w:eastAsia="Times New Roman"/>
          <w:color w:val="000000"/>
          <w:sz w:val="20"/>
          <w:szCs w:val="20"/>
        </w:rPr>
        <w:t>ed by Item 10 is set forth below.</w:t>
      </w:r>
    </w:p>
    <w:p w:rsidR="00000000" w:rsidRDefault="00AC31B9">
      <w:pPr>
        <w:jc w:val="center"/>
        <w:divId w:val="302394219"/>
        <w:rPr>
          <w:rFonts w:eastAsia="Times New Roman"/>
        </w:rPr>
      </w:pPr>
      <w:r>
        <w:rPr>
          <w:rFonts w:eastAsia="Times New Roman"/>
          <w:b/>
          <w:bCs/>
          <w:color w:val="000000"/>
          <w:sz w:val="20"/>
          <w:szCs w:val="20"/>
        </w:rPr>
        <w:t>EXECUTIVE OFFICERS</w:t>
      </w:r>
    </w:p>
    <w:tbl>
      <w:tblPr>
        <w:tblW w:w="4904" w:type="pct"/>
        <w:jc w:val="center"/>
        <w:tblCellMar>
          <w:top w:w="15" w:type="dxa"/>
          <w:left w:w="15" w:type="dxa"/>
          <w:bottom w:w="15" w:type="dxa"/>
          <w:right w:w="15" w:type="dxa"/>
        </w:tblCellMar>
        <w:tblLook w:val="04A0" w:firstRow="1" w:lastRow="0" w:firstColumn="1" w:lastColumn="0" w:noHBand="0" w:noVBand="1"/>
      </w:tblPr>
      <w:tblGrid>
        <w:gridCol w:w="53"/>
        <w:gridCol w:w="1813"/>
        <w:gridCol w:w="36"/>
        <w:gridCol w:w="36"/>
        <w:gridCol w:w="36"/>
        <w:gridCol w:w="36"/>
        <w:gridCol w:w="82"/>
        <w:gridCol w:w="284"/>
        <w:gridCol w:w="36"/>
        <w:gridCol w:w="36"/>
        <w:gridCol w:w="36"/>
        <w:gridCol w:w="36"/>
        <w:gridCol w:w="39"/>
        <w:gridCol w:w="5551"/>
        <w:gridCol w:w="37"/>
      </w:tblGrid>
      <w:tr w:rsidR="00000000">
        <w:trPr>
          <w:jc w:val="center"/>
        </w:trPr>
        <w:tc>
          <w:tcPr>
            <w:tcW w:w="50" w:type="pct"/>
            <w:vAlign w:val="center"/>
            <w:hideMark/>
          </w:tcPr>
          <w:p w:rsidR="00000000" w:rsidRDefault="00AC31B9">
            <w:pPr>
              <w:jc w:val="center"/>
              <w:rPr>
                <w:rFonts w:eastAsia="Times New Roman"/>
              </w:rPr>
            </w:pPr>
          </w:p>
        </w:tc>
        <w:tc>
          <w:tcPr>
            <w:tcW w:w="11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7"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7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7"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45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Name</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b/>
                <w:bCs/>
                <w:color w:val="000000"/>
                <w:sz w:val="20"/>
                <w:szCs w:val="20"/>
              </w:rPr>
              <w:t>Age</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b/>
                <w:bCs/>
                <w:color w:val="000000"/>
                <w:sz w:val="20"/>
                <w:szCs w:val="20"/>
              </w:rPr>
              <w:t>Position</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Roger Perreault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C31B9">
            <w:pPr>
              <w:spacing w:after="100"/>
              <w:jc w:val="center"/>
              <w:rPr>
                <w:rFonts w:eastAsia="Times New Roman"/>
              </w:rPr>
            </w:pPr>
            <w:r>
              <w:rPr>
                <w:rFonts w:eastAsia="Times New Roman"/>
                <w:color w:val="000000"/>
                <w:sz w:val="20"/>
                <w:szCs w:val="20"/>
              </w:rPr>
              <w:t>59</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President and Chief Executive Officer</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Sean P. O’Brien</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jc w:val="center"/>
              <w:rPr>
                <w:rFonts w:eastAsia="Times New Roman"/>
              </w:rPr>
            </w:pPr>
            <w:r>
              <w:rPr>
                <w:rFonts w:eastAsia="Times New Roman"/>
                <w:color w:val="000000"/>
                <w:sz w:val="20"/>
                <w:szCs w:val="20"/>
              </w:rPr>
              <w:t>54</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Chief Financial Officer</w:t>
            </w: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Robert F. Beard, Jr.</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jc w:val="center"/>
              <w:rPr>
                <w:rFonts w:eastAsia="Times New Roman"/>
              </w:rPr>
            </w:pPr>
            <w:r>
              <w:rPr>
                <w:rFonts w:eastAsia="Times New Roman"/>
                <w:color w:val="000000"/>
                <w:sz w:val="20"/>
                <w:szCs w:val="20"/>
              </w:rPr>
              <w:t>58</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divId w:val="1323310885"/>
              <w:rPr>
                <w:rFonts w:eastAsia="Times New Roman"/>
              </w:rPr>
            </w:pPr>
            <w:r>
              <w:rPr>
                <w:rFonts w:eastAsia="Times New Roman"/>
                <w:color w:val="000000"/>
                <w:sz w:val="20"/>
                <w:szCs w:val="20"/>
              </w:rPr>
              <w:t xml:space="preserve">Chief Operations Officer of UGI Corporation, President, AmeriGas Propane, Inc. and Chief Executive Officer of UGI Utilities, Inc. </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John Koerwer</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jc w:val="center"/>
              <w:rPr>
                <w:rFonts w:eastAsia="Times New Roman"/>
              </w:rPr>
            </w:pPr>
            <w:r>
              <w:rPr>
                <w:rFonts w:eastAsia="Times New Roman"/>
                <w:color w:val="000000"/>
                <w:sz w:val="20"/>
                <w:szCs w:val="20"/>
              </w:rPr>
              <w:t>63</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Chief Information Officer</w:t>
            </w: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Kathleen Shea Ballay</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jc w:val="center"/>
              <w:rPr>
                <w:rFonts w:eastAsia="Times New Roman"/>
              </w:rPr>
            </w:pPr>
            <w:r>
              <w:rPr>
                <w:rFonts w:eastAsia="Times New Roman"/>
                <w:color w:val="000000"/>
                <w:sz w:val="20"/>
                <w:szCs w:val="20"/>
              </w:rPr>
              <w:t>58</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jc w:val="both"/>
              <w:rPr>
                <w:rFonts w:eastAsia="Times New Roman"/>
              </w:rPr>
            </w:pPr>
            <w:r>
              <w:rPr>
                <w:rFonts w:eastAsia="Times New Roman"/>
                <w:color w:val="000000"/>
                <w:sz w:val="20"/>
                <w:szCs w:val="20"/>
              </w:rPr>
              <w:t>General Counsel and Chief Legal Officer</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Jean Felix Tematio Dontsop</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jc w:val="center"/>
              <w:rPr>
                <w:rFonts w:eastAsia="Times New Roman"/>
              </w:rPr>
            </w:pPr>
            <w:r>
              <w:rPr>
                <w:rFonts w:eastAsia="Times New Roman"/>
                <w:color w:val="000000"/>
                <w:sz w:val="20"/>
                <w:szCs w:val="20"/>
              </w:rPr>
              <w:t>47</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Vice President - Chief Accounting Officer and Corporate Controller</w:t>
            </w: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Judy A. Zagorski</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jc w:val="center"/>
              <w:rPr>
                <w:rFonts w:eastAsia="Times New Roman"/>
              </w:rPr>
            </w:pPr>
            <w:r>
              <w:rPr>
                <w:rFonts w:eastAsia="Times New Roman"/>
                <w:color w:val="000000"/>
                <w:sz w:val="20"/>
                <w:szCs w:val="20"/>
              </w:rPr>
              <w:t>60</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Chief Human Resources Officer</w:t>
            </w:r>
          </w:p>
        </w:tc>
      </w:tr>
    </w:tbl>
    <w:p w:rsidR="00000000" w:rsidRDefault="00AC31B9">
      <w:pPr>
        <w:divId w:val="2066028195"/>
        <w:rPr>
          <w:rFonts w:eastAsia="Times New Roman"/>
        </w:rPr>
      </w:pPr>
    </w:p>
    <w:p w:rsidR="00000000" w:rsidRDefault="00AC31B9">
      <w:pPr>
        <w:divId w:val="73749559"/>
        <w:rPr>
          <w:rFonts w:eastAsia="Times New Roman"/>
        </w:rPr>
      </w:pPr>
      <w:r>
        <w:rPr>
          <w:rFonts w:eastAsia="Times New Roman"/>
          <w:color w:val="000000"/>
          <w:sz w:val="20"/>
          <w:szCs w:val="20"/>
        </w:rPr>
        <w:t xml:space="preserve">All officers are elected for a one-year term at the organizational meeting of the Board of Directors held each year. </w:t>
      </w:r>
    </w:p>
    <w:p w:rsidR="00000000" w:rsidRDefault="00AC31B9">
      <w:pPr>
        <w:divId w:val="1762603240"/>
        <w:rPr>
          <w:rFonts w:eastAsia="Times New Roman"/>
        </w:rPr>
      </w:pPr>
    </w:p>
    <w:p w:rsidR="00000000" w:rsidRDefault="00AC31B9">
      <w:pPr>
        <w:divId w:val="1524249826"/>
        <w:rPr>
          <w:rFonts w:eastAsia="Times New Roman"/>
        </w:rPr>
      </w:pPr>
      <w:r>
        <w:rPr>
          <w:rFonts w:eastAsia="Times New Roman"/>
          <w:color w:val="000000"/>
          <w:sz w:val="20"/>
          <w:szCs w:val="20"/>
        </w:rPr>
        <w:t>There are no family relationships between any of the officers or between any of the officers and any of the directors.</w:t>
      </w:r>
    </w:p>
    <w:p w:rsidR="00000000" w:rsidRDefault="00AC31B9">
      <w:pPr>
        <w:divId w:val="1514294661"/>
        <w:rPr>
          <w:rFonts w:eastAsia="Times New Roman"/>
        </w:rPr>
      </w:pPr>
    </w:p>
    <w:p w:rsidR="00000000" w:rsidRDefault="00AC31B9">
      <w:pPr>
        <w:jc w:val="both"/>
        <w:rPr>
          <w:rFonts w:eastAsia="Times New Roman"/>
        </w:rPr>
      </w:pPr>
      <w:r>
        <w:rPr>
          <w:rFonts w:eastAsia="Times New Roman"/>
          <w:color w:val="000000"/>
          <w:sz w:val="20"/>
          <w:szCs w:val="20"/>
          <w:u w:val="single"/>
        </w:rPr>
        <w:t>Roger Perreault</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Mr. Perreault is a Director and President and Chief Executive Officer of UGI Corporation (since 2021). Mr. Perreault previously served as Executive Vice President, Global LPG (2018 to 2021) and President - UGI International, LLC (2015 to 2021). Prior to</w:t>
      </w:r>
      <w:r>
        <w:rPr>
          <w:rFonts w:eastAsia="Times New Roman"/>
          <w:color w:val="000000"/>
          <w:sz w:val="20"/>
          <w:szCs w:val="20"/>
        </w:rPr>
        <w:t xml:space="preserve"> joining UGI Corporation, Mr. Perreault held various positions at Air Liquide, an industrial gases company he joined in 1994, and served in various leadership positions from 2008 to 2014, including in a global role as President, Large Industries with inter</w:t>
      </w:r>
      <w:r>
        <w:rPr>
          <w:rFonts w:eastAsia="Times New Roman"/>
          <w:color w:val="000000"/>
          <w:sz w:val="20"/>
          <w:szCs w:val="20"/>
        </w:rPr>
        <w:t>national responsibilities and, prior to that, in a role with responsibility for Air Liquide’s North American large industries business. Prior to joining Air Liquide, Mr. Perreault was a chemical engineer and operations manager with I.C.I. in Quebec, Canada</w:t>
      </w:r>
      <w:r>
        <w:rPr>
          <w:rFonts w:eastAsia="Times New Roman"/>
          <w:color w:val="000000"/>
          <w:sz w:val="20"/>
          <w:szCs w:val="20"/>
        </w:rPr>
        <w:t xml:space="preserve">. </w:t>
      </w:r>
    </w:p>
    <w:p w:rsidR="00000000" w:rsidRDefault="00AC31B9">
      <w:pPr>
        <w:jc w:val="center"/>
        <w:divId w:val="67730333"/>
        <w:rPr>
          <w:rFonts w:eastAsia="Times New Roman"/>
        </w:rPr>
      </w:pPr>
      <w:r>
        <w:rPr>
          <w:rFonts w:eastAsia="Times New Roman"/>
          <w:color w:val="000000"/>
          <w:sz w:val="20"/>
          <w:szCs w:val="20"/>
        </w:rPr>
        <w:t>76</w:t>
      </w:r>
    </w:p>
    <w:p w:rsidR="00000000" w:rsidRDefault="00AC31B9">
      <w:pPr>
        <w:rPr>
          <w:rFonts w:eastAsia="Times New Roman"/>
        </w:rPr>
      </w:pPr>
      <w:r>
        <w:rPr>
          <w:rFonts w:eastAsia="Times New Roman"/>
        </w:rPr>
        <w:pict>
          <v:rect id="_x0000_i1103" style="width:0;height:1.5pt" o:hralign="center" o:hrstd="t" o:hr="t" fillcolor="#a0a0a0" stroked="f"/>
        </w:pict>
      </w:r>
    </w:p>
    <w:p w:rsidR="00000000" w:rsidRDefault="00AC31B9">
      <w:pPr>
        <w:divId w:val="1998149300"/>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u w:val="single"/>
        </w:rPr>
        <w:t>Sean P. O’Brien</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Mr. O’</w:t>
      </w:r>
      <w:r>
        <w:rPr>
          <w:rFonts w:eastAsia="Times New Roman"/>
          <w:color w:val="000000"/>
          <w:sz w:val="20"/>
          <w:szCs w:val="20"/>
        </w:rPr>
        <w:t>Brien is Chief Financial Officer of UGI Corporation (since 2023). Prior to joining UGI Corporation, Mr. O’Brien held various leadership positions at DCP Midstream, which he joined in 2009, including Group Vice President and Chief Financial Officer (2012 to</w:t>
      </w:r>
      <w:r>
        <w:rPr>
          <w:rFonts w:eastAsia="Times New Roman"/>
          <w:color w:val="000000"/>
          <w:sz w:val="20"/>
          <w:szCs w:val="20"/>
        </w:rPr>
        <w:t xml:space="preserve"> 2023), Senior Vice President, Treasurer (2011 to 2012) and Vice President, Financial Planning and Analysis (2009 to 2011). Prior to joining DCP Midstream, Mr. O’Brien served in financial roles of increasing responsibility at Duke Energy, including Divisio</w:t>
      </w:r>
      <w:r>
        <w:rPr>
          <w:rFonts w:eastAsia="Times New Roman"/>
          <w:color w:val="000000"/>
          <w:sz w:val="20"/>
          <w:szCs w:val="20"/>
        </w:rPr>
        <w:t xml:space="preserve">nal Chief Financial Officer, Commercial Business (2006 to 2009), and Vice President and Controller, Duke Energy Generation Services (2005 to 2006). Mr. O’Brien is a certified public accountant with over 25 years of financial experience and energy industry </w:t>
      </w:r>
      <w:r>
        <w:rPr>
          <w:rFonts w:eastAsia="Times New Roman"/>
          <w:color w:val="000000"/>
          <w:sz w:val="20"/>
          <w:szCs w:val="20"/>
        </w:rPr>
        <w:t>experience.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u w:val="single"/>
        </w:rPr>
        <w:t>Robert F. Beard, Jr.</w:t>
      </w:r>
      <w:r>
        <w:rPr>
          <w:rFonts w:eastAsia="Times New Roman"/>
          <w:color w:val="000000"/>
          <w:sz w:val="20"/>
          <w:szCs w:val="20"/>
        </w:rPr>
        <w:t xml:space="preserve">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Mr. Beard is Chief Operations Officer of UGI Corporation (since 2022), President, AmeriGas Propane, Inc. (since 2023) and Chief Executive Officer of UGI Utilities, Inc. (since 2011). He joined UGI in 2008 and most rece</w:t>
      </w:r>
      <w:r>
        <w:rPr>
          <w:rFonts w:eastAsia="Times New Roman"/>
          <w:color w:val="000000"/>
          <w:sz w:val="20"/>
          <w:szCs w:val="20"/>
        </w:rPr>
        <w:t>ntly served as Executive Vice President, Natural Gas, Global Engineering &amp; Construction and Procurement of UGI Corporation (2021-2022)</w:t>
      </w:r>
      <w:r>
        <w:rPr>
          <w:rFonts w:eastAsia="Times New Roman"/>
          <w:color w:val="FF0000"/>
          <w:sz w:val="20"/>
          <w:szCs w:val="20"/>
        </w:rPr>
        <w:t xml:space="preserve"> </w:t>
      </w:r>
      <w:r>
        <w:rPr>
          <w:rFonts w:eastAsia="Times New Roman"/>
          <w:color w:val="000000"/>
          <w:sz w:val="20"/>
          <w:szCs w:val="20"/>
        </w:rPr>
        <w:t>and Chief Executive Officer of Mountaineer Gas Company (2021-2022). Prior, he was Executive Vice President, Natural Gas o</w:t>
      </w:r>
      <w:r>
        <w:rPr>
          <w:rFonts w:eastAsia="Times New Roman"/>
          <w:color w:val="000000"/>
          <w:sz w:val="20"/>
          <w:szCs w:val="20"/>
        </w:rPr>
        <w:t>f UGI Corporation (2018-2021) and previously served as President (2011- 2020), Vice President - Marketing, Rates and Gas Supply (2010-2011) and Vice President - Southern Region (2008-2010) of UGI Utilities, Inc. Before joining UGI, Mr. Beard served as Vice</w:t>
      </w:r>
      <w:r>
        <w:rPr>
          <w:rFonts w:eastAsia="Times New Roman"/>
          <w:color w:val="000000"/>
          <w:sz w:val="20"/>
          <w:szCs w:val="20"/>
        </w:rPr>
        <w:t xml:space="preserve"> President - Operations and Engineering of PPL Gas Utilities Corporation (2006-2008) and as Director - Operations and Engineering of PPL Gas Utilities Corporation (2002-2006).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u w:val="single"/>
        </w:rPr>
        <w:t>John Koerwer</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Mr. Koerwer is the Chief Information Officer of UGI Corporatio</w:t>
      </w:r>
      <w:r>
        <w:rPr>
          <w:rFonts w:eastAsia="Times New Roman"/>
          <w:color w:val="000000"/>
          <w:sz w:val="20"/>
          <w:szCs w:val="20"/>
        </w:rPr>
        <w:t>n (since 2020). Mr. Koerwer joined UGI as Vice President, Information Technology, for UGI International in 2016 and later was named Group CIO for UGI Corporation, responsible for the global IT strategy, operations, products and services to support both the</w:t>
      </w:r>
      <w:r>
        <w:rPr>
          <w:rFonts w:eastAsia="Times New Roman"/>
          <w:color w:val="000000"/>
          <w:sz w:val="20"/>
          <w:szCs w:val="20"/>
        </w:rPr>
        <w:t xml:space="preserve"> domestic and international businesses units. Over a 30-year career in Information Technology, Mr. Koerwer has demonstrated leadership in leading transformations and aligning strategy and performance with diverse, global teams. Previously, Mr. Koerwer serv</w:t>
      </w:r>
      <w:r>
        <w:rPr>
          <w:rFonts w:eastAsia="Times New Roman"/>
          <w:color w:val="000000"/>
          <w:sz w:val="20"/>
          <w:szCs w:val="20"/>
        </w:rPr>
        <w:t xml:space="preserve">ed in multiple IT/IS leadership roles for The Linde Group, a multi-national industrial gas company based in Munich, Germany. </w:t>
      </w:r>
    </w:p>
    <w:p w:rsidR="00000000" w:rsidRDefault="00AC31B9">
      <w:pPr>
        <w:jc w:val="both"/>
        <w:rPr>
          <w:rFonts w:eastAsia="Times New Roman"/>
        </w:rPr>
      </w:pPr>
    </w:p>
    <w:p w:rsidR="00000000" w:rsidRDefault="00AC31B9">
      <w:pPr>
        <w:divId w:val="1512603643"/>
        <w:rPr>
          <w:rFonts w:eastAsia="Times New Roman"/>
        </w:rPr>
      </w:pPr>
      <w:r>
        <w:rPr>
          <w:rFonts w:eastAsia="Times New Roman"/>
          <w:color w:val="000000"/>
          <w:sz w:val="20"/>
          <w:szCs w:val="20"/>
          <w:u w:val="single"/>
        </w:rPr>
        <w:t>Kathleen Shea Ballay</w:t>
      </w:r>
    </w:p>
    <w:p w:rsidR="00000000" w:rsidRDefault="00AC31B9">
      <w:pPr>
        <w:divId w:val="1934972090"/>
        <w:rPr>
          <w:rFonts w:eastAsia="Times New Roman"/>
        </w:rPr>
      </w:pPr>
    </w:p>
    <w:p w:rsidR="00000000" w:rsidRDefault="00AC31B9">
      <w:pPr>
        <w:jc w:val="both"/>
        <w:rPr>
          <w:rFonts w:eastAsia="Times New Roman"/>
        </w:rPr>
      </w:pPr>
      <w:r>
        <w:rPr>
          <w:rFonts w:eastAsia="Times New Roman"/>
          <w:color w:val="000000"/>
          <w:sz w:val="20"/>
          <w:szCs w:val="20"/>
        </w:rPr>
        <w:t xml:space="preserve">Ms. Shea Ballay is the General Counsel and Chief Legal Officer of UGI Corporation (since 2023). Prior to </w:t>
      </w:r>
      <w:r>
        <w:rPr>
          <w:rFonts w:eastAsia="Times New Roman"/>
          <w:color w:val="000000"/>
          <w:sz w:val="20"/>
          <w:szCs w:val="20"/>
        </w:rPr>
        <w:t>joining UGI Corporation, Ms. Shea Ballay served as General Counsel, Secretary and Chief Compliance Officer at Lotus Midstream, LLC, an independent energy company focused on the development of midstream infrastructure and distribution (2018 to 2023). Ms. Sh</w:t>
      </w:r>
      <w:r>
        <w:rPr>
          <w:rFonts w:eastAsia="Times New Roman"/>
          <w:color w:val="000000"/>
          <w:sz w:val="20"/>
          <w:szCs w:val="20"/>
        </w:rPr>
        <w:t>ea Ballay also served in various positions at Sunoco, including as Senior Vice President, General Counsel and Corporate Secretary at Sunoco Logistics Partners L.P. (2010 to 2017), and Deputy General Counsel, Assistant General Counsel &amp; Chief Commercial Cou</w:t>
      </w:r>
      <w:r>
        <w:rPr>
          <w:rFonts w:eastAsia="Times New Roman"/>
          <w:color w:val="000000"/>
          <w:sz w:val="20"/>
          <w:szCs w:val="20"/>
        </w:rPr>
        <w:t>nsel &amp; Chair, Corporate Transactions and Securities Group at Sunoco, Inc. (2005 to 2010). Prior to joining Sunoco, she spent 12 years as a Partner, Of Counsel and Associate at the law firm of Pepper Hamilton LLP (1993 to 2005).</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u w:val="single"/>
        </w:rPr>
        <w:t>Jean Felix Tematio Dontsop</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Mr. Tematio Dontsop is the Vice President, Chief Accounting Officer and Controller of UGI Corporation (since 2021). Mr. Tematio Dontsop most recently served as Vice President of Internal Audit for West Pharmaceuticals Services, Inc. in Exton, Pennsylvan</w:t>
      </w:r>
      <w:r>
        <w:rPr>
          <w:rFonts w:eastAsia="Times New Roman"/>
          <w:color w:val="000000"/>
          <w:sz w:val="20"/>
          <w:szCs w:val="20"/>
        </w:rPr>
        <w:t>ia (2020 to 2021). Previously, he held several roles of increasing responsibility over 15 years with PricewaterhouseCoopers, based in Philadelphia, Pennsylvania and Paris, France, including Audit Director (2019 to 2020) and Audit Senior Manager (2011 to 20</w:t>
      </w:r>
      <w:r>
        <w:rPr>
          <w:rFonts w:eastAsia="Times New Roman"/>
          <w:color w:val="000000"/>
          <w:sz w:val="20"/>
          <w:szCs w:val="20"/>
        </w:rPr>
        <w:t xml:space="preserve">19). Mr. Tematio Dontsop also worked earlier in his career as an auditor for KPMG, based in Paris.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u w:val="single"/>
        </w:rPr>
        <w:t>Judy A. Zagorski</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Ms. Zagorski is the Chief Human Resources Officer of UGI Corporation (since 2020). Previously, Ms. Zagorski served as Executive Vice Pr</w:t>
      </w:r>
      <w:r>
        <w:rPr>
          <w:rFonts w:eastAsia="Times New Roman"/>
          <w:color w:val="000000"/>
          <w:sz w:val="20"/>
          <w:szCs w:val="20"/>
        </w:rPr>
        <w:t>esident, Global Human Resources &amp; CHRO at Church &amp; Dwight, a major manufacturer of household products headquartered in Ewing, New Jersey (2017 to 2020). Prior to joining Church &amp; Dwight, Ms. Zagorski held the positions of Senior Vice President - Human Reso</w:t>
      </w:r>
      <w:r>
        <w:rPr>
          <w:rFonts w:eastAsia="Times New Roman"/>
          <w:color w:val="000000"/>
          <w:sz w:val="20"/>
          <w:szCs w:val="20"/>
        </w:rPr>
        <w:t xml:space="preserve">urces and Vice President - Human Resources, Development and Strategy at BASF (2011 to 2017). </w:t>
      </w:r>
    </w:p>
    <w:p w:rsidR="00000000" w:rsidRDefault="00AC31B9">
      <w:pPr>
        <w:divId w:val="2142141870"/>
        <w:rPr>
          <w:rFonts w:eastAsia="Times New Roman"/>
        </w:rPr>
      </w:pPr>
    </w:p>
    <w:p w:rsidR="00000000" w:rsidRDefault="00AC31B9">
      <w:pPr>
        <w:jc w:val="both"/>
        <w:rPr>
          <w:rFonts w:eastAsia="Times New Roman"/>
        </w:rPr>
      </w:pPr>
    </w:p>
    <w:p w:rsidR="00000000" w:rsidRDefault="00AC31B9">
      <w:pPr>
        <w:jc w:val="center"/>
        <w:divId w:val="628169238"/>
        <w:rPr>
          <w:rFonts w:eastAsia="Times New Roman"/>
        </w:rPr>
      </w:pPr>
      <w:r>
        <w:rPr>
          <w:rFonts w:eastAsia="Times New Roman"/>
          <w:color w:val="000000"/>
          <w:sz w:val="20"/>
          <w:szCs w:val="20"/>
        </w:rPr>
        <w:t>77</w:t>
      </w:r>
    </w:p>
    <w:p w:rsidR="00000000" w:rsidRDefault="00AC31B9">
      <w:pPr>
        <w:rPr>
          <w:rFonts w:eastAsia="Times New Roman"/>
        </w:rPr>
      </w:pPr>
      <w:r>
        <w:rPr>
          <w:rFonts w:eastAsia="Times New Roman"/>
        </w:rPr>
        <w:pict>
          <v:rect id="_x0000_i1104" style="width:0;height:1.5pt" o:hralign="center" o:hrstd="t" o:hr="t" fillcolor="#a0a0a0" stroked="f"/>
        </w:pict>
      </w:r>
    </w:p>
    <w:p w:rsidR="00000000" w:rsidRDefault="00AC31B9">
      <w:pPr>
        <w:divId w:val="337924222"/>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PART IV:</w:t>
      </w:r>
    </w:p>
    <w:p w:rsidR="00000000" w:rsidRDefault="00AC31B9">
      <w:pPr>
        <w:jc w:val="both"/>
        <w:rPr>
          <w:rFonts w:eastAsia="Times New Roman"/>
        </w:rPr>
      </w:pPr>
    </w:p>
    <w:p w:rsidR="00000000" w:rsidRDefault="00AC31B9">
      <w:pPr>
        <w:ind w:hanging="900"/>
        <w:divId w:val="780412754"/>
        <w:rPr>
          <w:rFonts w:eastAsia="Times New Roman"/>
        </w:rPr>
      </w:pPr>
      <w:r>
        <w:rPr>
          <w:rFonts w:eastAsia="Times New Roman"/>
          <w:b/>
          <w:bCs/>
          <w:color w:val="000000"/>
          <w:sz w:val="20"/>
          <w:szCs w:val="20"/>
        </w:rPr>
        <w:t>ITEM 15.</w:t>
      </w:r>
      <w:r>
        <w:rPr>
          <w:rFonts w:eastAsia="Times New Roman"/>
          <w:b/>
          <w:bCs/>
          <w:color w:val="000000"/>
          <w:sz w:val="20"/>
          <w:szCs w:val="20"/>
        </w:rPr>
        <w:t>EXHIBITS AND FINANCIAL STATEMENT SCHEDULES</w:t>
      </w:r>
    </w:p>
    <w:p w:rsidR="00000000" w:rsidRDefault="00AC31B9">
      <w:pPr>
        <w:ind w:hanging="360"/>
        <w:jc w:val="both"/>
        <w:rPr>
          <w:rFonts w:eastAsia="Times New Roman"/>
        </w:rPr>
      </w:pPr>
      <w:r>
        <w:rPr>
          <w:rFonts w:eastAsia="Times New Roman"/>
          <w:b/>
          <w:bCs/>
          <w:color w:val="000000"/>
          <w:sz w:val="20"/>
          <w:szCs w:val="20"/>
        </w:rPr>
        <w:t>(a)Documents filed as part of this report:</w:t>
      </w:r>
    </w:p>
    <w:p w:rsidR="00000000" w:rsidRDefault="00AC31B9">
      <w:pPr>
        <w:jc w:val="both"/>
        <w:rPr>
          <w:rFonts w:eastAsia="Times New Roman"/>
        </w:rPr>
      </w:pPr>
    </w:p>
    <w:p w:rsidR="00000000" w:rsidRDefault="00AC31B9">
      <w:pPr>
        <w:ind w:hanging="540"/>
        <w:jc w:val="both"/>
        <w:rPr>
          <w:rFonts w:eastAsia="Times New Roman"/>
        </w:rPr>
      </w:pPr>
      <w:r>
        <w:rPr>
          <w:rFonts w:eastAsia="Times New Roman"/>
          <w:b/>
          <w:bCs/>
          <w:color w:val="000000"/>
          <w:sz w:val="20"/>
          <w:szCs w:val="20"/>
        </w:rPr>
        <w:t>(1)Financial Statements:</w:t>
      </w:r>
    </w:p>
    <w:p w:rsidR="00000000" w:rsidRDefault="00AC31B9">
      <w:pPr>
        <w:ind w:firstLine="1260"/>
        <w:divId w:val="1986352306"/>
        <w:rPr>
          <w:rFonts w:eastAsia="Times New Roman"/>
        </w:rPr>
      </w:pPr>
      <w:r>
        <w:rPr>
          <w:rFonts w:eastAsia="Times New Roman"/>
          <w:color w:val="000000"/>
          <w:sz w:val="20"/>
          <w:szCs w:val="20"/>
        </w:rPr>
        <w:t>Included under Item 8 are the following financial statements and supplementary data:</w:t>
      </w:r>
    </w:p>
    <w:p w:rsidR="00000000" w:rsidRDefault="00AC31B9">
      <w:pPr>
        <w:ind w:firstLine="1440"/>
        <w:divId w:val="1469086959"/>
        <w:rPr>
          <w:rFonts w:eastAsia="Times New Roman"/>
        </w:rPr>
      </w:pPr>
      <w:r>
        <w:rPr>
          <w:rFonts w:eastAsia="Times New Roman"/>
          <w:color w:val="000000"/>
          <w:sz w:val="20"/>
          <w:szCs w:val="20"/>
        </w:rPr>
        <w:t>Management’s Annual Report on Consolidated Financial State</w:t>
      </w:r>
      <w:r>
        <w:rPr>
          <w:rFonts w:eastAsia="Times New Roman"/>
          <w:color w:val="000000"/>
          <w:sz w:val="20"/>
          <w:szCs w:val="20"/>
        </w:rPr>
        <w:t>ments and Schedules</w:t>
      </w:r>
    </w:p>
    <w:p w:rsidR="00000000" w:rsidRDefault="00AC31B9">
      <w:pPr>
        <w:divId w:val="2103715559"/>
        <w:rPr>
          <w:rFonts w:eastAsia="Times New Roman"/>
        </w:rPr>
      </w:pPr>
      <w:r>
        <w:rPr>
          <w:rFonts w:eastAsia="Times New Roman"/>
          <w:color w:val="000000"/>
          <w:sz w:val="20"/>
          <w:szCs w:val="20"/>
        </w:rPr>
        <w:t>Report of Independent Registered Public Accounting Firm (PCAOB ID:42) (on Consolidated Financial Statements and Schedules)</w:t>
      </w:r>
    </w:p>
    <w:p w:rsidR="00000000" w:rsidRDefault="00AC31B9">
      <w:pPr>
        <w:ind w:firstLine="1440"/>
        <w:divId w:val="293602530"/>
        <w:rPr>
          <w:rFonts w:eastAsia="Times New Roman"/>
        </w:rPr>
      </w:pPr>
      <w:r>
        <w:rPr>
          <w:rFonts w:eastAsia="Times New Roman"/>
          <w:color w:val="000000"/>
          <w:sz w:val="20"/>
          <w:szCs w:val="20"/>
        </w:rPr>
        <w:t xml:space="preserve">Consolidated Balance Sheets as of September 30, 2023 and 2022 </w:t>
      </w:r>
    </w:p>
    <w:p w:rsidR="00000000" w:rsidRDefault="00AC31B9">
      <w:pPr>
        <w:ind w:firstLine="1440"/>
        <w:divId w:val="1306549694"/>
        <w:rPr>
          <w:rFonts w:eastAsia="Times New Roman"/>
        </w:rPr>
      </w:pPr>
      <w:r>
        <w:rPr>
          <w:rFonts w:eastAsia="Times New Roman"/>
          <w:color w:val="000000"/>
          <w:sz w:val="20"/>
          <w:szCs w:val="20"/>
        </w:rPr>
        <w:t xml:space="preserve">Consolidated Statements of Income for the years ended September 30, 2023, 2022 and 2021 </w:t>
      </w:r>
    </w:p>
    <w:p w:rsidR="00000000" w:rsidRDefault="00AC31B9">
      <w:pPr>
        <w:ind w:firstLine="1440"/>
        <w:divId w:val="1801918029"/>
        <w:rPr>
          <w:rFonts w:eastAsia="Times New Roman"/>
        </w:rPr>
      </w:pPr>
      <w:r>
        <w:rPr>
          <w:rFonts w:eastAsia="Times New Roman"/>
          <w:color w:val="000000"/>
          <w:sz w:val="20"/>
          <w:szCs w:val="20"/>
        </w:rPr>
        <w:t xml:space="preserve">Consolidated Statements of Comprehensive Income for the years ended September 30, 2023, 2022 and 2021 </w:t>
      </w:r>
    </w:p>
    <w:p w:rsidR="00000000" w:rsidRDefault="00AC31B9">
      <w:pPr>
        <w:ind w:firstLine="1440"/>
        <w:divId w:val="359164149"/>
        <w:rPr>
          <w:rFonts w:eastAsia="Times New Roman"/>
        </w:rPr>
      </w:pPr>
      <w:r>
        <w:rPr>
          <w:rFonts w:eastAsia="Times New Roman"/>
          <w:color w:val="000000"/>
          <w:sz w:val="20"/>
          <w:szCs w:val="20"/>
        </w:rPr>
        <w:t>Consolidated Statements of Cash Flows for the years ended Septem</w:t>
      </w:r>
      <w:r>
        <w:rPr>
          <w:rFonts w:eastAsia="Times New Roman"/>
          <w:color w:val="000000"/>
          <w:sz w:val="20"/>
          <w:szCs w:val="20"/>
        </w:rPr>
        <w:t xml:space="preserve">ber 30, 2023, 2022 and 2021 </w:t>
      </w:r>
    </w:p>
    <w:p w:rsidR="00000000" w:rsidRDefault="00AC31B9">
      <w:pPr>
        <w:ind w:firstLine="1440"/>
        <w:divId w:val="367686819"/>
        <w:rPr>
          <w:rFonts w:eastAsia="Times New Roman"/>
        </w:rPr>
      </w:pPr>
      <w:r>
        <w:rPr>
          <w:rFonts w:eastAsia="Times New Roman"/>
          <w:color w:val="000000"/>
          <w:sz w:val="20"/>
          <w:szCs w:val="20"/>
        </w:rPr>
        <w:t xml:space="preserve">Consolidated Statements of Changes in Equity for the years ended September 30, 2023, 2022 and 2021 </w:t>
      </w:r>
    </w:p>
    <w:p w:rsidR="00000000" w:rsidRDefault="00AC31B9">
      <w:pPr>
        <w:ind w:firstLine="1440"/>
        <w:divId w:val="1152714230"/>
        <w:rPr>
          <w:rFonts w:eastAsia="Times New Roman"/>
        </w:rPr>
      </w:pPr>
      <w:r>
        <w:rPr>
          <w:rFonts w:eastAsia="Times New Roman"/>
          <w:color w:val="000000"/>
          <w:sz w:val="20"/>
          <w:szCs w:val="20"/>
        </w:rPr>
        <w:t>Notes to Consolidated Financial Statements</w:t>
      </w:r>
    </w:p>
    <w:p w:rsidR="00000000" w:rsidRDefault="00AC31B9">
      <w:pPr>
        <w:divId w:val="1243685887"/>
        <w:rPr>
          <w:rFonts w:eastAsia="Times New Roman"/>
        </w:rPr>
      </w:pPr>
    </w:p>
    <w:p w:rsidR="00000000" w:rsidRDefault="00AC31B9">
      <w:pPr>
        <w:ind w:hanging="540"/>
        <w:jc w:val="both"/>
        <w:rPr>
          <w:rFonts w:eastAsia="Times New Roman"/>
        </w:rPr>
      </w:pPr>
      <w:r>
        <w:rPr>
          <w:rFonts w:eastAsia="Times New Roman"/>
          <w:b/>
          <w:bCs/>
          <w:color w:val="000000"/>
          <w:sz w:val="20"/>
          <w:szCs w:val="20"/>
        </w:rPr>
        <w:t>(2)Financial Statement Schedules:</w:t>
      </w:r>
    </w:p>
    <w:p w:rsidR="00000000" w:rsidRDefault="00AC31B9">
      <w:pPr>
        <w:jc w:val="both"/>
        <w:divId w:val="290012829"/>
        <w:rPr>
          <w:rFonts w:eastAsia="Times New Roman"/>
        </w:rPr>
      </w:pPr>
      <w:r>
        <w:rPr>
          <w:rFonts w:eastAsia="Times New Roman"/>
          <w:b/>
          <w:bCs/>
          <w:color w:val="000000"/>
          <w:sz w:val="20"/>
          <w:szCs w:val="20"/>
        </w:rPr>
        <w:t xml:space="preserve">I — </w:t>
      </w:r>
      <w:r>
        <w:rPr>
          <w:rFonts w:eastAsia="Times New Roman"/>
          <w:color w:val="000000"/>
          <w:sz w:val="20"/>
          <w:szCs w:val="20"/>
        </w:rPr>
        <w:t>Condensed Financial Information of Registran</w:t>
      </w:r>
      <w:r>
        <w:rPr>
          <w:rFonts w:eastAsia="Times New Roman"/>
          <w:color w:val="000000"/>
          <w:sz w:val="20"/>
          <w:szCs w:val="20"/>
        </w:rPr>
        <w:t>t (Parent Company)</w:t>
      </w:r>
    </w:p>
    <w:p w:rsidR="00000000" w:rsidRDefault="00AC31B9">
      <w:pPr>
        <w:jc w:val="both"/>
        <w:divId w:val="865754006"/>
        <w:rPr>
          <w:rFonts w:eastAsia="Times New Roman"/>
        </w:rPr>
      </w:pPr>
      <w:r>
        <w:rPr>
          <w:rFonts w:eastAsia="Times New Roman"/>
          <w:b/>
          <w:bCs/>
          <w:color w:val="000000"/>
          <w:sz w:val="20"/>
          <w:szCs w:val="20"/>
        </w:rPr>
        <w:t xml:space="preserve">II — </w:t>
      </w:r>
      <w:r>
        <w:rPr>
          <w:rFonts w:eastAsia="Times New Roman"/>
          <w:color w:val="000000"/>
          <w:sz w:val="20"/>
          <w:szCs w:val="20"/>
        </w:rPr>
        <w:t>Valuation and Qualifying Accounts for the years ended September 30, 2023, 2022 and 2021</w:t>
      </w:r>
    </w:p>
    <w:p w:rsidR="00000000" w:rsidRDefault="00AC31B9">
      <w:pPr>
        <w:jc w:val="both"/>
        <w:divId w:val="814177276"/>
        <w:rPr>
          <w:rFonts w:eastAsia="Times New Roman"/>
        </w:rPr>
      </w:pPr>
      <w:r>
        <w:rPr>
          <w:rFonts w:eastAsia="Times New Roman"/>
          <w:color w:val="000000"/>
          <w:sz w:val="20"/>
          <w:szCs w:val="20"/>
        </w:rPr>
        <w:t>We have omitted all other financial statement schedules because the required information is (1) not present; (2) not present in amounts sufficie</w:t>
      </w:r>
      <w:r>
        <w:rPr>
          <w:rFonts w:eastAsia="Times New Roman"/>
          <w:color w:val="000000"/>
          <w:sz w:val="20"/>
          <w:szCs w:val="20"/>
        </w:rPr>
        <w:t>nt to require submission of the schedule; or (3) included elsewhere in the financial statements or related notes.</w:t>
      </w:r>
    </w:p>
    <w:p w:rsidR="00000000" w:rsidRDefault="00AC31B9">
      <w:pPr>
        <w:divId w:val="109130151"/>
        <w:rPr>
          <w:rFonts w:eastAsia="Times New Roman"/>
        </w:rPr>
      </w:pPr>
    </w:p>
    <w:p w:rsidR="00000000" w:rsidRDefault="00AC31B9">
      <w:pPr>
        <w:ind w:hanging="540"/>
        <w:jc w:val="both"/>
        <w:rPr>
          <w:rFonts w:eastAsia="Times New Roman"/>
        </w:rPr>
      </w:pPr>
      <w:r>
        <w:rPr>
          <w:rFonts w:eastAsia="Times New Roman"/>
          <w:b/>
          <w:bCs/>
          <w:color w:val="000000"/>
          <w:sz w:val="20"/>
          <w:szCs w:val="20"/>
        </w:rPr>
        <w:t xml:space="preserve">(3)List of Exhibits: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The exhibits filed as part of this report are as follows (exhibits incorporated by reference are set forth with the </w:t>
      </w:r>
      <w:r>
        <w:rPr>
          <w:rFonts w:eastAsia="Times New Roman"/>
          <w:color w:val="000000"/>
          <w:sz w:val="20"/>
          <w:szCs w:val="20"/>
        </w:rPr>
        <w:t>name of the registrant, the type of report and registration number or last date of the period for which it was filed, and the exhibit number in such filing):</w:t>
      </w:r>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7"/>
        <w:gridCol w:w="55"/>
        <w:gridCol w:w="1693"/>
        <w:gridCol w:w="36"/>
        <w:gridCol w:w="58"/>
        <w:gridCol w:w="548"/>
        <w:gridCol w:w="38"/>
        <w:gridCol w:w="58"/>
        <w:gridCol w:w="549"/>
        <w:gridCol w:w="37"/>
        <w:gridCol w:w="57"/>
        <w:gridCol w:w="696"/>
        <w:gridCol w:w="36"/>
      </w:tblGrid>
      <w:tr w:rsidR="00000000">
        <w:trPr>
          <w:jc w:val="center"/>
        </w:trPr>
        <w:tc>
          <w:tcPr>
            <w:tcW w:w="50" w:type="pct"/>
            <w:vAlign w:val="center"/>
            <w:hideMark/>
          </w:tcPr>
          <w:p w:rsidR="00000000" w:rsidRDefault="00AC31B9">
            <w:pPr>
              <w:jc w:val="both"/>
              <w:rPr>
                <w:rFonts w:eastAsia="Times New Roman"/>
              </w:rPr>
            </w:pPr>
          </w:p>
        </w:tc>
        <w:tc>
          <w:tcPr>
            <w:tcW w:w="7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4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21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Borders>
              <w:top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3.1</w:t>
            </w:r>
          </w:p>
        </w:tc>
        <w:tc>
          <w:tcPr>
            <w:tcW w:w="0" w:type="auto"/>
            <w:gridSpan w:val="3"/>
            <w:tcBorders>
              <w:top w:val="single" w:sz="8" w:space="0" w:color="000000"/>
            </w:tcBorders>
            <w:tcMar>
              <w:top w:w="30" w:type="dxa"/>
              <w:left w:w="20" w:type="dxa"/>
              <w:bottom w:w="30" w:type="dxa"/>
              <w:right w:w="20" w:type="dxa"/>
            </w:tcMar>
            <w:hideMark/>
          </w:tcPr>
          <w:p w:rsidR="00000000" w:rsidRDefault="00AC31B9">
            <w:pPr>
              <w:spacing w:after="100"/>
              <w:divId w:val="1795520071"/>
              <w:rPr>
                <w:rFonts w:eastAsia="Times New Roman"/>
              </w:rPr>
            </w:pPr>
            <w:hyperlink r:id="rId6" w:history="1">
              <w:r>
                <w:rPr>
                  <w:rStyle w:val="a3"/>
                  <w:rFonts w:eastAsia="Times New Roman"/>
                  <w:sz w:val="20"/>
                  <w:szCs w:val="20"/>
                </w:rPr>
                <w:t>(Second) Amended and Restated Articles of Incorporation of the Company as amended through June 6, 2005.</w:t>
              </w:r>
            </w:hyperlink>
          </w:p>
        </w:tc>
        <w:tc>
          <w:tcPr>
            <w:tcW w:w="0" w:type="auto"/>
            <w:gridSpan w:val="3"/>
            <w:tcBorders>
              <w:top w:val="single" w:sz="8" w:space="0" w:color="000000"/>
            </w:tcBorders>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Borders>
              <w:top w:val="single" w:sz="8" w:space="0" w:color="000000"/>
            </w:tcBorders>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 (6/30/05)</w:t>
            </w:r>
          </w:p>
        </w:tc>
        <w:tc>
          <w:tcPr>
            <w:tcW w:w="0" w:type="auto"/>
            <w:gridSpan w:val="3"/>
            <w:tcBorders>
              <w:top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3.1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AC31B9">
            <w:pPr>
              <w:spacing w:after="100"/>
              <w:divId w:val="668944399"/>
              <w:rPr>
                <w:rFonts w:eastAsia="Times New Roman"/>
              </w:rPr>
            </w:pPr>
            <w:hyperlink r:id="rId7" w:history="1">
              <w:r>
                <w:rPr>
                  <w:rStyle w:val="a3"/>
                  <w:rFonts w:eastAsia="Times New Roman"/>
                  <w:sz w:val="20"/>
                  <w:szCs w:val="20"/>
                </w:rPr>
                <w:t>Articles of Amendment to the Amended and Restated Articles of Incorporation of UGI Corporation.</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(7/29/14)</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3.1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hideMark/>
          </w:tcPr>
          <w:p w:rsidR="00000000" w:rsidRDefault="00AC31B9">
            <w:pPr>
              <w:spacing w:after="100"/>
              <w:divId w:val="1927957242"/>
              <w:rPr>
                <w:rFonts w:eastAsia="Times New Roman"/>
              </w:rPr>
            </w:pPr>
            <w:hyperlink r:id="rId8" w:history="1">
              <w:r>
                <w:rPr>
                  <w:rStyle w:val="a3"/>
                  <w:rFonts w:eastAsia="Times New Roman"/>
                  <w:sz w:val="20"/>
                  <w:szCs w:val="20"/>
                </w:rPr>
                <w:t>Amended and Restated Bylaws of UGI Corporation, effective as of May 3, 2023.</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0" w:type="dxa"/>
              <w:bottom w:w="30" w:type="dxa"/>
              <w:right w:w="200" w:type="dxa"/>
            </w:tcMar>
            <w:hideMark/>
          </w:tcPr>
          <w:p w:rsidR="00000000" w:rsidRDefault="00AC31B9">
            <w:pPr>
              <w:spacing w:after="100"/>
              <w:jc w:val="center"/>
              <w:rPr>
                <w:rFonts w:eastAsia="Times New Roman"/>
              </w:rPr>
            </w:pPr>
            <w:r>
              <w:rPr>
                <w:rFonts w:eastAsia="Times New Roman"/>
                <w:color w:val="000000"/>
                <w:sz w:val="20"/>
                <w:szCs w:val="20"/>
              </w:rPr>
              <w:t>Form 8-K (5/3/23)</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3.1</w:t>
            </w:r>
          </w:p>
        </w:tc>
      </w:tr>
    </w:tbl>
    <w:p w:rsidR="00000000" w:rsidRDefault="00AC31B9">
      <w:pPr>
        <w:jc w:val="center"/>
        <w:divId w:val="186451339"/>
        <w:rPr>
          <w:rFonts w:eastAsia="Times New Roman"/>
        </w:rPr>
      </w:pPr>
      <w:r>
        <w:rPr>
          <w:rFonts w:eastAsia="Times New Roman"/>
          <w:color w:val="000000"/>
          <w:sz w:val="20"/>
          <w:szCs w:val="20"/>
        </w:rPr>
        <w:t>78</w:t>
      </w:r>
    </w:p>
    <w:p w:rsidR="00000000" w:rsidRDefault="00AC31B9">
      <w:pPr>
        <w:rPr>
          <w:rFonts w:eastAsia="Times New Roman"/>
        </w:rPr>
      </w:pPr>
      <w:r>
        <w:rPr>
          <w:rFonts w:eastAsia="Times New Roman"/>
        </w:rPr>
        <w:pict>
          <v:rect id="_x0000_i1105" style="width:0;height:1.5pt" o:hralign="center" o:hrstd="t" o:hr="t" fillcolor="#a0a0a0" stroked="f"/>
        </w:pict>
      </w:r>
    </w:p>
    <w:p w:rsidR="00000000" w:rsidRDefault="00AC31B9">
      <w:pPr>
        <w:divId w:val="1998996427"/>
        <w:rPr>
          <w:rFonts w:eastAsia="Times New Roman"/>
        </w:rPr>
      </w:pPr>
      <w:hyperlink w:anchor="ic92dd05487854a4eaece953328045c3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7"/>
        <w:gridCol w:w="55"/>
        <w:gridCol w:w="1693"/>
        <w:gridCol w:w="36"/>
        <w:gridCol w:w="56"/>
        <w:gridCol w:w="550"/>
        <w:gridCol w:w="38"/>
        <w:gridCol w:w="56"/>
        <w:gridCol w:w="551"/>
        <w:gridCol w:w="37"/>
        <w:gridCol w:w="57"/>
        <w:gridCol w:w="696"/>
        <w:gridCol w:w="36"/>
      </w:tblGrid>
      <w:tr w:rsidR="00000000">
        <w:trPr>
          <w:jc w:val="center"/>
        </w:trPr>
        <w:tc>
          <w:tcPr>
            <w:tcW w:w="50" w:type="pct"/>
            <w:vAlign w:val="center"/>
            <w:hideMark/>
          </w:tcPr>
          <w:p w:rsidR="00000000" w:rsidRDefault="00AC31B9">
            <w:pPr>
              <w:rPr>
                <w:rFonts w:eastAsia="Times New Roman"/>
              </w:rPr>
            </w:pPr>
          </w:p>
        </w:tc>
        <w:tc>
          <w:tcPr>
            <w:tcW w:w="7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4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21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3.4</w:t>
            </w:r>
          </w:p>
        </w:tc>
        <w:tc>
          <w:tcPr>
            <w:tcW w:w="0" w:type="auto"/>
            <w:gridSpan w:val="3"/>
            <w:tcMar>
              <w:top w:w="30" w:type="dxa"/>
              <w:left w:w="20" w:type="dxa"/>
              <w:bottom w:w="30" w:type="dxa"/>
              <w:right w:w="20" w:type="dxa"/>
            </w:tcMar>
            <w:hideMark/>
          </w:tcPr>
          <w:p w:rsidR="00000000" w:rsidRDefault="00AC31B9">
            <w:pPr>
              <w:spacing w:after="100"/>
              <w:divId w:val="1814909438"/>
              <w:rPr>
                <w:rFonts w:eastAsia="Times New Roman"/>
              </w:rPr>
            </w:pPr>
            <w:hyperlink r:id="rId9" w:history="1">
              <w:r>
                <w:rPr>
                  <w:rStyle w:val="a3"/>
                  <w:rFonts w:eastAsia="Times New Roman"/>
                  <w:sz w:val="20"/>
                  <w:szCs w:val="20"/>
                </w:rPr>
                <w:t>Statement with Respect to Shares of the Company with respect to the Convertible Preferred Stock, filed with the Secretary of the Commonwealth of Pennsylv</w:t>
              </w:r>
              <w:r>
                <w:rPr>
                  <w:rStyle w:val="a3"/>
                  <w:rFonts w:eastAsia="Times New Roman"/>
                  <w:sz w:val="20"/>
                  <w:szCs w:val="20"/>
                </w:rPr>
                <w:t>ania and effective on May 25, 2021.</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3.1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3.5</w:t>
            </w:r>
          </w:p>
        </w:tc>
        <w:tc>
          <w:tcPr>
            <w:tcW w:w="0" w:type="auto"/>
            <w:gridSpan w:val="3"/>
            <w:tcMar>
              <w:top w:w="30" w:type="dxa"/>
              <w:left w:w="20" w:type="dxa"/>
              <w:bottom w:w="30" w:type="dxa"/>
              <w:right w:w="20" w:type="dxa"/>
            </w:tcMar>
            <w:hideMark/>
          </w:tcPr>
          <w:p w:rsidR="00000000" w:rsidRDefault="00AC31B9">
            <w:pPr>
              <w:spacing w:after="100"/>
              <w:divId w:val="682167803"/>
              <w:rPr>
                <w:rFonts w:eastAsia="Times New Roman"/>
              </w:rPr>
            </w:pPr>
            <w:hyperlink r:id="rId10" w:history="1">
              <w:r>
                <w:rPr>
                  <w:rStyle w:val="a3"/>
                  <w:rFonts w:eastAsia="Times New Roman"/>
                  <w:sz w:val="20"/>
                  <w:szCs w:val="20"/>
                </w:rPr>
                <w:t>Statement with Respect to Shares of the Company with respect to the Ser</w:t>
              </w:r>
              <w:r>
                <w:rPr>
                  <w:rStyle w:val="a3"/>
                  <w:rFonts w:eastAsia="Times New Roman"/>
                  <w:sz w:val="20"/>
                  <w:szCs w:val="20"/>
                </w:rPr>
                <w:t>ies B Preferred Stock, filed with the Secretary of the Commonwealth of Pennsylvania and effective on May 25, 2021.</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3.2</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Instruments defining the rights of security holders, including indentures. (The Company agrees to furnish to the Commission upon request a copy of any instrument defining the rights of holders of long-term debt not required to be filed pursuant to Item 601</w:t>
            </w:r>
            <w:r>
              <w:rPr>
                <w:rFonts w:eastAsia="Times New Roman"/>
                <w:color w:val="000000"/>
                <w:sz w:val="20"/>
                <w:szCs w:val="20"/>
              </w:rPr>
              <w:t>(b)(4) of Regulation S-K).</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4.2</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The description of the Company’s Common Stock contained in the Company’</w:t>
            </w:r>
            <w:r>
              <w:rPr>
                <w:rFonts w:eastAsia="Times New Roman"/>
                <w:color w:val="000000"/>
                <w:sz w:val="20"/>
                <w:szCs w:val="20"/>
              </w:rPr>
              <w:t>s registration statement filed under the Securities Exchange Act of 1934, as amended.</w:t>
            </w:r>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8-B/A (4/17/96)</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3.(4)</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4.3</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UGI Corporation’</w:t>
            </w:r>
            <w:r>
              <w:rPr>
                <w:rFonts w:eastAsia="Times New Roman"/>
                <w:color w:val="000000"/>
                <w:sz w:val="20"/>
                <w:szCs w:val="20"/>
              </w:rPr>
              <w:t>s (Second) Amended and Restated Articles of Incorporation, as amended, and Bylaws referred to in 3.1, 3.2, and 3.3 above.</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4.4</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Indenture, dated as of August 1, 1993, by and between UGI Utilities, Inc., as Issuer, and U.S. Bank National Association, as successor trustee, incorporated by reference to the Registration Statement on Form S-3 filed on April 8, 1994.</w:t>
            </w:r>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 xml:space="preserve">Registration Statement No. 33-77514 </w:t>
            </w:r>
            <w:r>
              <w:rPr>
                <w:rFonts w:eastAsia="Times New Roman"/>
                <w:color w:val="000000"/>
                <w:sz w:val="20"/>
                <w:szCs w:val="20"/>
              </w:rPr>
              <w:br/>
              <w:t>(4/8/94)</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4(c)</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4.5</w:t>
            </w:r>
          </w:p>
        </w:tc>
        <w:tc>
          <w:tcPr>
            <w:tcW w:w="0" w:type="auto"/>
            <w:gridSpan w:val="3"/>
            <w:tcMar>
              <w:top w:w="30" w:type="dxa"/>
              <w:left w:w="20" w:type="dxa"/>
              <w:bottom w:w="30" w:type="dxa"/>
              <w:right w:w="20" w:type="dxa"/>
            </w:tcMar>
            <w:hideMark/>
          </w:tcPr>
          <w:p w:rsidR="00000000" w:rsidRDefault="00AC31B9">
            <w:pPr>
              <w:spacing w:after="100"/>
              <w:divId w:val="1862089939"/>
              <w:rPr>
                <w:rFonts w:eastAsia="Times New Roman"/>
              </w:rPr>
            </w:pPr>
            <w:hyperlink r:id="rId11" w:history="1">
              <w:r>
                <w:rPr>
                  <w:rStyle w:val="a3"/>
                  <w:rFonts w:eastAsia="Times New Roman"/>
                  <w:sz w:val="20"/>
                  <w:szCs w:val="20"/>
                </w:rPr>
                <w:t>Supplemental Indenture, dated as of September 15, 2006, by and between UGI Utilities, Inc., as Is</w:t>
              </w:r>
              <w:r>
                <w:rPr>
                  <w:rStyle w:val="a3"/>
                  <w:rFonts w:eastAsia="Times New Roman"/>
                  <w:sz w:val="20"/>
                  <w:szCs w:val="20"/>
                </w:rPr>
                <w:t>suer, and U.S. Bank National Association, successor trustee to Wachovia Bank, National Association.</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(9/12/06)</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4.2</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4.6</w:t>
            </w:r>
          </w:p>
        </w:tc>
        <w:tc>
          <w:tcPr>
            <w:tcW w:w="0" w:type="auto"/>
            <w:gridSpan w:val="3"/>
            <w:tcMar>
              <w:top w:w="30" w:type="dxa"/>
              <w:left w:w="20" w:type="dxa"/>
              <w:bottom w:w="30" w:type="dxa"/>
              <w:right w:w="20" w:type="dxa"/>
            </w:tcMar>
            <w:hideMark/>
          </w:tcPr>
          <w:p w:rsidR="00000000" w:rsidRDefault="00AC31B9">
            <w:pPr>
              <w:spacing w:after="100"/>
              <w:divId w:val="318927006"/>
              <w:rPr>
                <w:rFonts w:eastAsia="Times New Roman"/>
              </w:rPr>
            </w:pPr>
            <w:hyperlink r:id="rId12" w:history="1">
              <w:r>
                <w:rPr>
                  <w:rStyle w:val="a3"/>
                  <w:rFonts w:eastAsia="Times New Roman"/>
                  <w:sz w:val="20"/>
                  <w:szCs w:val="20"/>
                </w:rPr>
                <w:t xml:space="preserve">Form of Note Purchase Agreement dated October 30, 2013 between the Company and the purchasers listed as signatories thereto. </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(10/30/13)</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w:t>
            </w:r>
          </w:p>
        </w:tc>
      </w:tr>
    </w:tbl>
    <w:p w:rsidR="00000000" w:rsidRDefault="00AC31B9">
      <w:pPr>
        <w:jc w:val="center"/>
        <w:divId w:val="1317340559"/>
        <w:rPr>
          <w:rFonts w:eastAsia="Times New Roman"/>
        </w:rPr>
      </w:pPr>
      <w:r>
        <w:rPr>
          <w:rFonts w:eastAsia="Times New Roman"/>
          <w:color w:val="000000"/>
          <w:sz w:val="20"/>
          <w:szCs w:val="20"/>
        </w:rPr>
        <w:t>79</w:t>
      </w:r>
    </w:p>
    <w:p w:rsidR="00000000" w:rsidRDefault="00AC31B9">
      <w:pPr>
        <w:rPr>
          <w:rFonts w:eastAsia="Times New Roman"/>
        </w:rPr>
      </w:pPr>
      <w:r>
        <w:rPr>
          <w:rFonts w:eastAsia="Times New Roman"/>
        </w:rPr>
        <w:pict>
          <v:rect id="_x0000_i1106" style="width:0;height:1.5pt" o:hralign="center" o:hrstd="t" o:hr="t" fillcolor="#a0a0a0" stroked="f"/>
        </w:pict>
      </w:r>
    </w:p>
    <w:p w:rsidR="00000000" w:rsidRDefault="00AC31B9">
      <w:pPr>
        <w:divId w:val="1346322434"/>
        <w:rPr>
          <w:rFonts w:eastAsia="Times New Roman"/>
        </w:rPr>
      </w:pPr>
      <w:hyperlink w:anchor="ic92dd05487854a4eaece953328045c3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9"/>
        <w:gridCol w:w="55"/>
        <w:gridCol w:w="1693"/>
        <w:gridCol w:w="36"/>
        <w:gridCol w:w="55"/>
        <w:gridCol w:w="550"/>
        <w:gridCol w:w="38"/>
        <w:gridCol w:w="55"/>
        <w:gridCol w:w="551"/>
        <w:gridCol w:w="37"/>
        <w:gridCol w:w="57"/>
        <w:gridCol w:w="696"/>
        <w:gridCol w:w="36"/>
      </w:tblGrid>
      <w:tr w:rsidR="00000000">
        <w:trPr>
          <w:jc w:val="center"/>
        </w:trPr>
        <w:tc>
          <w:tcPr>
            <w:tcW w:w="50" w:type="pct"/>
            <w:vAlign w:val="center"/>
            <w:hideMark/>
          </w:tcPr>
          <w:p w:rsidR="00000000" w:rsidRDefault="00AC31B9">
            <w:pPr>
              <w:rPr>
                <w:rFonts w:eastAsia="Times New Roman"/>
              </w:rPr>
            </w:pPr>
          </w:p>
        </w:tc>
        <w:tc>
          <w:tcPr>
            <w:tcW w:w="7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4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21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4.7</w:t>
            </w:r>
          </w:p>
        </w:tc>
        <w:tc>
          <w:tcPr>
            <w:tcW w:w="0" w:type="auto"/>
            <w:gridSpan w:val="3"/>
            <w:tcMar>
              <w:top w:w="30" w:type="dxa"/>
              <w:left w:w="20" w:type="dxa"/>
              <w:bottom w:w="30" w:type="dxa"/>
              <w:right w:w="20" w:type="dxa"/>
            </w:tcMar>
            <w:hideMark/>
          </w:tcPr>
          <w:p w:rsidR="00000000" w:rsidRDefault="00AC31B9">
            <w:pPr>
              <w:spacing w:after="100"/>
              <w:divId w:val="653536047"/>
              <w:rPr>
                <w:rFonts w:eastAsia="Times New Roman"/>
              </w:rPr>
            </w:pPr>
            <w:hyperlink r:id="rId13" w:history="1">
              <w:r>
                <w:rPr>
                  <w:rStyle w:val="a3"/>
                  <w:rFonts w:eastAsia="Times New Roman"/>
                  <w:sz w:val="20"/>
                  <w:szCs w:val="20"/>
                </w:rPr>
                <w:t>Note Purchase Agreement dated April 22, 2016 between the Company and the purchasers listed as signatories thereto.</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(4/28/16)</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4.8</w:t>
            </w:r>
          </w:p>
        </w:tc>
        <w:tc>
          <w:tcPr>
            <w:tcW w:w="0" w:type="auto"/>
            <w:gridSpan w:val="3"/>
            <w:tcMar>
              <w:top w:w="30" w:type="dxa"/>
              <w:left w:w="20" w:type="dxa"/>
              <w:bottom w:w="30" w:type="dxa"/>
              <w:right w:w="20" w:type="dxa"/>
            </w:tcMar>
            <w:vAlign w:val="bottom"/>
            <w:hideMark/>
          </w:tcPr>
          <w:p w:rsidR="00000000" w:rsidRDefault="00AC31B9">
            <w:pPr>
              <w:spacing w:after="100"/>
              <w:divId w:val="898857364"/>
              <w:rPr>
                <w:rFonts w:eastAsia="Times New Roman"/>
              </w:rPr>
            </w:pPr>
            <w:hyperlink r:id="rId14" w:history="1">
              <w:r>
                <w:rPr>
                  <w:rStyle w:val="a3"/>
                  <w:rFonts w:eastAsia="Times New Roman"/>
                  <w:sz w:val="20"/>
                  <w:szCs w:val="20"/>
                </w:rPr>
                <w:t>Indenture, dated as of June 27, 2016, among AmeriGas Partners, L.P., AmeriGas Finance Corp., and U.S. Bank National Association, as trustee.</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 xml:space="preserve">AmeriGas </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(6/27/16)</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4.9</w:t>
            </w:r>
          </w:p>
        </w:tc>
        <w:tc>
          <w:tcPr>
            <w:tcW w:w="0" w:type="auto"/>
            <w:gridSpan w:val="3"/>
            <w:tcMar>
              <w:top w:w="30" w:type="dxa"/>
              <w:left w:w="20" w:type="dxa"/>
              <w:bottom w:w="30" w:type="dxa"/>
              <w:right w:w="20" w:type="dxa"/>
            </w:tcMar>
            <w:vAlign w:val="bottom"/>
            <w:hideMark/>
          </w:tcPr>
          <w:p w:rsidR="00000000" w:rsidRDefault="00AC31B9">
            <w:pPr>
              <w:spacing w:after="100"/>
              <w:divId w:val="1394082013"/>
              <w:rPr>
                <w:rFonts w:eastAsia="Times New Roman"/>
              </w:rPr>
            </w:pPr>
            <w:hyperlink r:id="rId15" w:history="1">
              <w:r>
                <w:rPr>
                  <w:rStyle w:val="a3"/>
                  <w:rFonts w:eastAsia="Times New Roman"/>
                  <w:sz w:val="20"/>
                  <w:szCs w:val="20"/>
                </w:rPr>
                <w:t>First Supplemental Indenture, dated as of June 27, 2016, among AmeriGas Partners, L.P., AmeriGas Financ</w:t>
              </w:r>
              <w:r>
                <w:rPr>
                  <w:rStyle w:val="a3"/>
                  <w:rFonts w:eastAsia="Times New Roman"/>
                  <w:sz w:val="20"/>
                  <w:szCs w:val="20"/>
                </w:rPr>
                <w:t xml:space="preserve">e Corp., and U.S. Bank National Association, as trustee. </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(6/27/16)</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4.2</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4.10</w:t>
            </w:r>
          </w:p>
        </w:tc>
        <w:tc>
          <w:tcPr>
            <w:tcW w:w="0" w:type="auto"/>
            <w:gridSpan w:val="3"/>
            <w:tcMar>
              <w:top w:w="30" w:type="dxa"/>
              <w:left w:w="20" w:type="dxa"/>
              <w:bottom w:w="30" w:type="dxa"/>
              <w:right w:w="20" w:type="dxa"/>
            </w:tcMar>
            <w:hideMark/>
          </w:tcPr>
          <w:p w:rsidR="00000000" w:rsidRDefault="00AC31B9">
            <w:pPr>
              <w:spacing w:after="100"/>
              <w:divId w:val="899364838"/>
              <w:rPr>
                <w:rFonts w:eastAsia="Times New Roman"/>
              </w:rPr>
            </w:pPr>
            <w:hyperlink r:id="rId16" w:history="1">
              <w:r>
                <w:rPr>
                  <w:rStyle w:val="a3"/>
                  <w:rFonts w:eastAsia="Times New Roman"/>
                  <w:sz w:val="20"/>
                  <w:szCs w:val="20"/>
                </w:rPr>
                <w:t>Second Supplemental Indenture, dated as of December 28, 2016, among AmeriGas Partners, L.P., AmeriGas Finance Corp., and U.S. Bank National Association, as tr</w:t>
              </w:r>
              <w:r>
                <w:rPr>
                  <w:rStyle w:val="a3"/>
                  <w:rFonts w:eastAsia="Times New Roman"/>
                  <w:sz w:val="20"/>
                  <w:szCs w:val="20"/>
                </w:rPr>
                <w:t>ustee (including form of global note).</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(12/28/16)</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4.11</w:t>
            </w:r>
          </w:p>
        </w:tc>
        <w:tc>
          <w:tcPr>
            <w:tcW w:w="0" w:type="auto"/>
            <w:gridSpan w:val="3"/>
            <w:tcMar>
              <w:top w:w="30" w:type="dxa"/>
              <w:left w:w="20" w:type="dxa"/>
              <w:bottom w:w="30" w:type="dxa"/>
              <w:right w:w="20" w:type="dxa"/>
            </w:tcMar>
            <w:hideMark/>
          </w:tcPr>
          <w:p w:rsidR="00000000" w:rsidRDefault="00AC31B9">
            <w:pPr>
              <w:spacing w:after="100"/>
              <w:divId w:val="263272337"/>
              <w:rPr>
                <w:rFonts w:eastAsia="Times New Roman"/>
              </w:rPr>
            </w:pPr>
            <w:hyperlink r:id="rId17" w:history="1">
              <w:r>
                <w:rPr>
                  <w:rStyle w:val="a3"/>
                  <w:rFonts w:eastAsia="Times New Roman"/>
                  <w:sz w:val="20"/>
                  <w:szCs w:val="20"/>
                </w:rPr>
                <w:t>Third Supplemental Indenture, dated as of February 13, 2017, among AmeriGas Partners, L.P., AmeriGas Finance Corp., and U.S. Bank National Association, as tru</w:t>
              </w:r>
              <w:r>
                <w:rPr>
                  <w:rStyle w:val="a3"/>
                  <w:rFonts w:eastAsia="Times New Roman"/>
                  <w:sz w:val="20"/>
                  <w:szCs w:val="20"/>
                </w:rPr>
                <w:t>stee (including form of global note).</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(2/13/17)</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4.12</w:t>
            </w:r>
          </w:p>
        </w:tc>
        <w:tc>
          <w:tcPr>
            <w:tcW w:w="0" w:type="auto"/>
            <w:gridSpan w:val="3"/>
            <w:tcMar>
              <w:top w:w="30" w:type="dxa"/>
              <w:left w:w="20" w:type="dxa"/>
              <w:bottom w:w="30" w:type="dxa"/>
              <w:right w:w="20" w:type="dxa"/>
            </w:tcMar>
            <w:hideMark/>
          </w:tcPr>
          <w:p w:rsidR="00000000" w:rsidRDefault="00AC31B9">
            <w:pPr>
              <w:spacing w:after="100"/>
              <w:divId w:val="1094982653"/>
              <w:rPr>
                <w:rFonts w:eastAsia="Times New Roman"/>
              </w:rPr>
            </w:pPr>
            <w:hyperlink r:id="rId18" w:history="1">
              <w:r>
                <w:rPr>
                  <w:rStyle w:val="a3"/>
                  <w:rFonts w:eastAsia="Times New Roman"/>
                  <w:sz w:val="20"/>
                  <w:szCs w:val="20"/>
                </w:rPr>
                <w:t>Indenture, dated as of October 25, 2018, by and among International, the guarantors named therein, U.S. Bank National Association, as trustee, Elavon Fina</w:t>
              </w:r>
              <w:r>
                <w:rPr>
                  <w:rStyle w:val="a3"/>
                  <w:rFonts w:eastAsia="Times New Roman"/>
                  <w:sz w:val="20"/>
                  <w:szCs w:val="20"/>
                </w:rPr>
                <w:t>ncial Services DAC, as registrar and transfer agent, and Elavon Financial Services DAC, UK Branch, as paying agent (including the form of Note).</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(10/25/18)</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4.13</w:t>
            </w:r>
          </w:p>
        </w:tc>
        <w:tc>
          <w:tcPr>
            <w:tcW w:w="0" w:type="auto"/>
            <w:gridSpan w:val="3"/>
            <w:tcMar>
              <w:top w:w="30" w:type="dxa"/>
              <w:left w:w="20" w:type="dxa"/>
              <w:bottom w:w="30" w:type="dxa"/>
              <w:right w:w="20" w:type="dxa"/>
            </w:tcMar>
            <w:hideMark/>
          </w:tcPr>
          <w:p w:rsidR="00000000" w:rsidRDefault="00AC31B9">
            <w:pPr>
              <w:spacing w:after="100"/>
              <w:divId w:val="1278104254"/>
              <w:rPr>
                <w:rFonts w:eastAsia="Times New Roman"/>
              </w:rPr>
            </w:pPr>
            <w:hyperlink r:id="rId19" w:history="1">
              <w:r>
                <w:rPr>
                  <w:rStyle w:val="a3"/>
                  <w:rFonts w:eastAsia="Times New Roman"/>
                  <w:sz w:val="20"/>
                  <w:szCs w:val="20"/>
                </w:rPr>
                <w:t>Indenture, dated as of December 7, 2021, by and among UGI International, LLC, the guarantors named therein, U.S. Bank National Association, as trustee, Elavon F</w:t>
              </w:r>
              <w:r>
                <w:rPr>
                  <w:rStyle w:val="a3"/>
                  <w:rFonts w:eastAsia="Times New Roman"/>
                  <w:sz w:val="20"/>
                  <w:szCs w:val="20"/>
                </w:rPr>
                <w:t>inancial Services DAC, as registrar and transfer agent, and Elavon Financial Services DAC, UK Branch, as paying agent (including the form of Note).</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(12/7/21)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w:t>
            </w:r>
          </w:p>
        </w:tc>
      </w:tr>
    </w:tbl>
    <w:p w:rsidR="00000000" w:rsidRDefault="00AC31B9">
      <w:pPr>
        <w:jc w:val="center"/>
        <w:divId w:val="1016688817"/>
        <w:rPr>
          <w:rFonts w:eastAsia="Times New Roman"/>
        </w:rPr>
      </w:pPr>
      <w:r>
        <w:rPr>
          <w:rFonts w:eastAsia="Times New Roman"/>
          <w:color w:val="000000"/>
          <w:sz w:val="20"/>
          <w:szCs w:val="20"/>
        </w:rPr>
        <w:t>80</w:t>
      </w:r>
    </w:p>
    <w:p w:rsidR="00000000" w:rsidRDefault="00AC31B9">
      <w:pPr>
        <w:rPr>
          <w:rFonts w:eastAsia="Times New Roman"/>
        </w:rPr>
      </w:pPr>
      <w:r>
        <w:rPr>
          <w:rFonts w:eastAsia="Times New Roman"/>
        </w:rPr>
        <w:pict>
          <v:rect id="_x0000_i1107" style="width:0;height:1.5pt" o:hralign="center" o:hrstd="t" o:hr="t" fillcolor="#a0a0a0" stroked="f"/>
        </w:pict>
      </w:r>
    </w:p>
    <w:p w:rsidR="00000000" w:rsidRDefault="00AC31B9">
      <w:pPr>
        <w:divId w:val="1291786114"/>
        <w:rPr>
          <w:rFonts w:eastAsia="Times New Roman"/>
        </w:rPr>
      </w:pPr>
      <w:hyperlink w:anchor="ic92dd05487854a4eaece953328045c3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8"/>
        <w:gridCol w:w="55"/>
        <w:gridCol w:w="1693"/>
        <w:gridCol w:w="36"/>
        <w:gridCol w:w="55"/>
        <w:gridCol w:w="550"/>
        <w:gridCol w:w="38"/>
        <w:gridCol w:w="56"/>
        <w:gridCol w:w="551"/>
        <w:gridCol w:w="37"/>
        <w:gridCol w:w="57"/>
        <w:gridCol w:w="696"/>
        <w:gridCol w:w="36"/>
      </w:tblGrid>
      <w:tr w:rsidR="00000000">
        <w:trPr>
          <w:jc w:val="center"/>
        </w:trPr>
        <w:tc>
          <w:tcPr>
            <w:tcW w:w="50" w:type="pct"/>
            <w:vAlign w:val="center"/>
            <w:hideMark/>
          </w:tcPr>
          <w:p w:rsidR="00000000" w:rsidRDefault="00AC31B9">
            <w:pPr>
              <w:rPr>
                <w:rFonts w:eastAsia="Times New Roman"/>
              </w:rPr>
            </w:pPr>
          </w:p>
        </w:tc>
        <w:tc>
          <w:tcPr>
            <w:tcW w:w="7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4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21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4.14</w:t>
            </w:r>
          </w:p>
        </w:tc>
        <w:tc>
          <w:tcPr>
            <w:tcW w:w="0" w:type="auto"/>
            <w:gridSpan w:val="3"/>
            <w:tcMar>
              <w:top w:w="30" w:type="dxa"/>
              <w:left w:w="20" w:type="dxa"/>
              <w:bottom w:w="30" w:type="dxa"/>
              <w:right w:w="20" w:type="dxa"/>
            </w:tcMar>
            <w:hideMark/>
          </w:tcPr>
          <w:p w:rsidR="00000000" w:rsidRDefault="00AC31B9">
            <w:pPr>
              <w:spacing w:after="100"/>
              <w:divId w:val="426343656"/>
              <w:rPr>
                <w:rFonts w:eastAsia="Times New Roman"/>
              </w:rPr>
            </w:pPr>
            <w:hyperlink r:id="rId20" w:history="1">
              <w:r>
                <w:rPr>
                  <w:rStyle w:val="a3"/>
                  <w:rFonts w:eastAsia="Times New Roman"/>
                  <w:sz w:val="20"/>
                  <w:szCs w:val="20"/>
                </w:rPr>
                <w:t>Indenture, dated as of May 31, 2023, by and among AmeriGas Partners, L.P. and AmeriGas Finance Corp. (the Issuers) and U.S. Bank Trust Company, Nationa</w:t>
              </w:r>
              <w:r>
                <w:rPr>
                  <w:rStyle w:val="a3"/>
                  <w:rFonts w:eastAsia="Times New Roman"/>
                  <w:sz w:val="20"/>
                  <w:szCs w:val="20"/>
                </w:rPr>
                <w:t>l Association, as trustee (including the form of 2028 Notes).</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(5/31/23)</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4.15</w:t>
            </w:r>
          </w:p>
        </w:tc>
        <w:tc>
          <w:tcPr>
            <w:tcW w:w="0" w:type="auto"/>
            <w:gridSpan w:val="3"/>
            <w:tcMar>
              <w:top w:w="30" w:type="dxa"/>
              <w:left w:w="20" w:type="dxa"/>
              <w:bottom w:w="30" w:type="dxa"/>
              <w:right w:w="20" w:type="dxa"/>
            </w:tcMar>
            <w:vAlign w:val="bottom"/>
            <w:hideMark/>
          </w:tcPr>
          <w:p w:rsidR="00000000" w:rsidRDefault="00AC31B9">
            <w:pPr>
              <w:spacing w:after="100"/>
              <w:divId w:val="1844591995"/>
              <w:rPr>
                <w:rFonts w:eastAsia="Times New Roman"/>
              </w:rPr>
            </w:pPr>
            <w:hyperlink r:id="rId21" w:history="1">
              <w:r>
                <w:rPr>
                  <w:rStyle w:val="a3"/>
                  <w:rFonts w:eastAsia="Times New Roman"/>
                  <w:sz w:val="20"/>
                  <w:szCs w:val="20"/>
                </w:rPr>
                <w:t>Form of Note Purchase Agreement dated December 21, 2018 between the Company and the purchasers listed as signatories thereto.</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 (12/31/18)</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4.16</w:t>
            </w:r>
          </w:p>
        </w:tc>
        <w:tc>
          <w:tcPr>
            <w:tcW w:w="0" w:type="auto"/>
            <w:gridSpan w:val="3"/>
            <w:tcMar>
              <w:top w:w="30" w:type="dxa"/>
              <w:left w:w="20" w:type="dxa"/>
              <w:bottom w:w="30" w:type="dxa"/>
              <w:right w:w="20" w:type="dxa"/>
            </w:tcMar>
            <w:vAlign w:val="bottom"/>
            <w:hideMark/>
          </w:tcPr>
          <w:p w:rsidR="00000000" w:rsidRDefault="00AC31B9">
            <w:pPr>
              <w:spacing w:after="100"/>
              <w:divId w:val="879971580"/>
              <w:rPr>
                <w:rFonts w:eastAsia="Times New Roman"/>
              </w:rPr>
            </w:pPr>
            <w:hyperlink r:id="rId22" w:history="1">
              <w:r>
                <w:rPr>
                  <w:rStyle w:val="a3"/>
                  <w:rFonts w:eastAsia="Times New Roman"/>
                  <w:sz w:val="20"/>
                  <w:szCs w:val="20"/>
                </w:rPr>
                <w:t>Note Purchase Agreement, dated as of March 19, 2020, by and among the Company and the purchasers listed as signatories thereto.</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(3/19/20)</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4.17</w:t>
            </w:r>
          </w:p>
        </w:tc>
        <w:tc>
          <w:tcPr>
            <w:tcW w:w="0" w:type="auto"/>
            <w:gridSpan w:val="3"/>
            <w:tcMar>
              <w:top w:w="30" w:type="dxa"/>
              <w:left w:w="20" w:type="dxa"/>
              <w:bottom w:w="30" w:type="dxa"/>
              <w:right w:w="20" w:type="dxa"/>
            </w:tcMar>
            <w:vAlign w:val="bottom"/>
            <w:hideMark/>
          </w:tcPr>
          <w:p w:rsidR="00000000" w:rsidRDefault="00AC31B9">
            <w:pPr>
              <w:spacing w:after="100"/>
              <w:divId w:val="124351694"/>
              <w:rPr>
                <w:rFonts w:eastAsia="Times New Roman"/>
              </w:rPr>
            </w:pPr>
            <w:hyperlink r:id="rId23" w:history="1">
              <w:r>
                <w:rPr>
                  <w:rStyle w:val="a3"/>
                  <w:rFonts w:eastAsia="Times New Roman"/>
                  <w:sz w:val="20"/>
                  <w:szCs w:val="20"/>
                </w:rPr>
                <w:t>Note Purchase Agreement, dated May 7, 2021, by and among UGI Utilities, Inc. and the purchasers listed as signatorie</w:t>
              </w:r>
              <w:r>
                <w:rPr>
                  <w:rStyle w:val="a3"/>
                  <w:rFonts w:eastAsia="Times New Roman"/>
                  <w:sz w:val="20"/>
                  <w:szCs w:val="20"/>
                </w:rPr>
                <w:t>s thereto.</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(5/4/21)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4.18</w:t>
            </w:r>
          </w:p>
        </w:tc>
        <w:tc>
          <w:tcPr>
            <w:tcW w:w="0" w:type="auto"/>
            <w:gridSpan w:val="3"/>
            <w:tcMar>
              <w:top w:w="30" w:type="dxa"/>
              <w:left w:w="20" w:type="dxa"/>
              <w:bottom w:w="30" w:type="dxa"/>
              <w:right w:w="20" w:type="dxa"/>
            </w:tcMar>
            <w:hideMark/>
          </w:tcPr>
          <w:p w:rsidR="00000000" w:rsidRDefault="00AC31B9">
            <w:pPr>
              <w:spacing w:after="100"/>
              <w:divId w:val="830216321"/>
              <w:rPr>
                <w:rFonts w:eastAsia="Times New Roman"/>
              </w:rPr>
            </w:pPr>
            <w:hyperlink r:id="rId24" w:history="1">
              <w:r>
                <w:rPr>
                  <w:rStyle w:val="a3"/>
                  <w:rFonts w:eastAsia="Times New Roman"/>
                  <w:sz w:val="20"/>
                  <w:szCs w:val="20"/>
                </w:rPr>
                <w:t>Note Purchase Agreement, dated June 30, 2022, by and among UGI Utilities, Inc. and the purchasers listed as signatories thereto.</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(6/30/22)</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4.19</w:t>
            </w:r>
          </w:p>
        </w:tc>
        <w:tc>
          <w:tcPr>
            <w:tcW w:w="0" w:type="auto"/>
            <w:gridSpan w:val="3"/>
            <w:tcMar>
              <w:top w:w="30" w:type="dxa"/>
              <w:left w:w="20" w:type="dxa"/>
              <w:bottom w:w="30" w:type="dxa"/>
              <w:right w:w="20" w:type="dxa"/>
            </w:tcMar>
            <w:hideMark/>
          </w:tcPr>
          <w:p w:rsidR="00000000" w:rsidRDefault="00AC31B9">
            <w:pPr>
              <w:spacing w:after="100"/>
              <w:divId w:val="548418097"/>
              <w:rPr>
                <w:rFonts w:eastAsia="Times New Roman"/>
              </w:rPr>
            </w:pPr>
            <w:hyperlink r:id="rId25" w:history="1">
              <w:r>
                <w:rPr>
                  <w:rStyle w:val="a3"/>
                  <w:rFonts w:eastAsia="Times New Roman"/>
                  <w:sz w:val="20"/>
                  <w:szCs w:val="20"/>
                </w:rPr>
                <w:t xml:space="preserve">Note Purchase Agreement, dated June 30, 2022, by and among Mountaineer Gas Company and the purchasers listed as signatories thereto. </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(6/30/22)</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4.2</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*4.20</w:t>
            </w:r>
          </w:p>
        </w:tc>
        <w:tc>
          <w:tcPr>
            <w:tcW w:w="0" w:type="auto"/>
            <w:gridSpan w:val="3"/>
            <w:tcMar>
              <w:top w:w="30" w:type="dxa"/>
              <w:left w:w="20" w:type="dxa"/>
              <w:bottom w:w="30" w:type="dxa"/>
              <w:right w:w="20" w:type="dxa"/>
            </w:tcMar>
            <w:hideMark/>
          </w:tcPr>
          <w:p w:rsidR="00000000" w:rsidRDefault="00AC31B9">
            <w:pPr>
              <w:spacing w:after="100"/>
              <w:divId w:val="184952498"/>
              <w:rPr>
                <w:rFonts w:eastAsia="Times New Roman"/>
              </w:rPr>
            </w:pPr>
            <w:hyperlink r:id="rId26" w:history="1">
              <w:r>
                <w:rPr>
                  <w:rStyle w:val="a3"/>
                  <w:rFonts w:eastAsia="Times New Roman"/>
                  <w:sz w:val="20"/>
                  <w:szCs w:val="20"/>
                </w:rPr>
                <w:t>Acknowledgement, dated as of October 23, 2023, to the Note Purchase Agreement, dated as of June 30, 2022, by and among Mountaineer Gas Company, Teachers Insurance and Annuity Association of America and The Lin</w:t>
              </w:r>
              <w:r>
                <w:rPr>
                  <w:rStyle w:val="a3"/>
                  <w:rFonts w:eastAsia="Times New Roman"/>
                  <w:sz w:val="20"/>
                  <w:szCs w:val="20"/>
                </w:rPr>
                <w:t>coln National Life Insurance Company.</w:t>
              </w:r>
            </w:hyperlink>
            <w:r>
              <w:rPr>
                <w:rFonts w:eastAsia="Times New Roman"/>
                <w:color w:val="000000"/>
                <w:sz w:val="20"/>
                <w:szCs w:val="20"/>
              </w:rPr>
              <w:t xml:space="preserve">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4.21</w:t>
            </w:r>
          </w:p>
        </w:tc>
        <w:tc>
          <w:tcPr>
            <w:tcW w:w="0" w:type="auto"/>
            <w:gridSpan w:val="3"/>
            <w:tcMar>
              <w:top w:w="30" w:type="dxa"/>
              <w:left w:w="20" w:type="dxa"/>
              <w:bottom w:w="30" w:type="dxa"/>
              <w:right w:w="20" w:type="dxa"/>
            </w:tcMar>
            <w:vAlign w:val="bottom"/>
            <w:hideMark/>
          </w:tcPr>
          <w:p w:rsidR="00000000" w:rsidRDefault="00AC31B9">
            <w:pPr>
              <w:spacing w:after="100"/>
              <w:divId w:val="332071884"/>
              <w:rPr>
                <w:rFonts w:eastAsia="Times New Roman"/>
              </w:rPr>
            </w:pPr>
            <w:hyperlink r:id="rId27" w:history="1">
              <w:r>
                <w:rPr>
                  <w:rStyle w:val="a3"/>
                  <w:rFonts w:eastAsia="Times New Roman"/>
                  <w:sz w:val="20"/>
                  <w:szCs w:val="20"/>
                </w:rPr>
                <w:t>Purchase Contract and Pledge Agreement, dated May 25, 2021, between the Company and U.S. Ban</w:t>
              </w:r>
              <w:r>
                <w:rPr>
                  <w:rStyle w:val="a3"/>
                  <w:rFonts w:eastAsia="Times New Roman"/>
                  <w:sz w:val="20"/>
                  <w:szCs w:val="20"/>
                </w:rPr>
                <w:t>k National Association, as purchase contract agent, collateral agent, custodial agent and securities intermediary.</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4.22</w:t>
            </w:r>
          </w:p>
        </w:tc>
        <w:tc>
          <w:tcPr>
            <w:tcW w:w="0" w:type="auto"/>
            <w:gridSpan w:val="3"/>
            <w:tcMar>
              <w:top w:w="30" w:type="dxa"/>
              <w:left w:w="20" w:type="dxa"/>
              <w:bottom w:w="30" w:type="dxa"/>
              <w:right w:w="20" w:type="dxa"/>
            </w:tcMar>
            <w:vAlign w:val="bottom"/>
            <w:hideMark/>
          </w:tcPr>
          <w:p w:rsidR="00000000" w:rsidRDefault="00AC31B9">
            <w:pPr>
              <w:spacing w:after="100"/>
              <w:divId w:val="620842396"/>
              <w:rPr>
                <w:rFonts w:eastAsia="Times New Roman"/>
              </w:rPr>
            </w:pPr>
            <w:hyperlink r:id="rId28" w:history="1">
              <w:r>
                <w:rPr>
                  <w:rStyle w:val="a3"/>
                  <w:rFonts w:eastAsia="Times New Roman"/>
                  <w:sz w:val="20"/>
                  <w:szCs w:val="20"/>
                </w:rPr>
                <w:t>Form of Corporate Unit (included as Exhibit A to Exhibit 4.</w:t>
              </w:r>
            </w:hyperlink>
            <w:hyperlink r:id="rId29" w:history="1">
              <w:r>
                <w:rPr>
                  <w:rStyle w:val="a3"/>
                  <w:rFonts w:eastAsia="Times New Roman"/>
                  <w:sz w:val="20"/>
                  <w:szCs w:val="20"/>
                </w:rPr>
                <w:t>2</w:t>
              </w:r>
            </w:hyperlink>
            <w:hyperlink r:id="rId30" w:history="1">
              <w:r>
                <w:rPr>
                  <w:rStyle w:val="a3"/>
                  <w:rFonts w:eastAsia="Times New Roman"/>
                  <w:sz w:val="20"/>
                  <w:szCs w:val="20"/>
                </w:rPr>
                <w:t>1</w:t>
              </w:r>
            </w:hyperlink>
            <w:hyperlink r:id="rId31" w:history="1">
              <w:r>
                <w:rPr>
                  <w:rStyle w:val="a3"/>
                  <w:rFonts w:eastAsia="Times New Roman"/>
                  <w:sz w:val="20"/>
                  <w:szCs w:val="20"/>
                </w:rPr>
                <w:t xml:space="preserve"> </w:t>
              </w:r>
            </w:hyperlink>
            <w:hyperlink r:id="rId32" w:history="1">
              <w:r>
                <w:rPr>
                  <w:rStyle w:val="a3"/>
                  <w:rFonts w:eastAsia="Times New Roman"/>
                  <w:sz w:val="20"/>
                  <w:szCs w:val="20"/>
                </w:rPr>
                <w:t>hereto).</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4.2</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4.23</w:t>
            </w:r>
          </w:p>
        </w:tc>
        <w:tc>
          <w:tcPr>
            <w:tcW w:w="0" w:type="auto"/>
            <w:gridSpan w:val="3"/>
            <w:tcMar>
              <w:top w:w="30" w:type="dxa"/>
              <w:left w:w="20" w:type="dxa"/>
              <w:bottom w:w="30" w:type="dxa"/>
              <w:right w:w="20" w:type="dxa"/>
            </w:tcMar>
            <w:vAlign w:val="bottom"/>
            <w:hideMark/>
          </w:tcPr>
          <w:p w:rsidR="00000000" w:rsidRDefault="00AC31B9">
            <w:pPr>
              <w:spacing w:after="100"/>
              <w:divId w:val="1992324148"/>
              <w:rPr>
                <w:rFonts w:eastAsia="Times New Roman"/>
              </w:rPr>
            </w:pPr>
            <w:hyperlink r:id="rId33" w:history="1">
              <w:r>
                <w:rPr>
                  <w:rStyle w:val="a3"/>
                  <w:rFonts w:eastAsia="Times New Roman"/>
                  <w:sz w:val="20"/>
                  <w:szCs w:val="20"/>
                </w:rPr>
                <w:t>Form of Treasury Unit (included as Exhibit B to Exhibit 4.</w:t>
              </w:r>
            </w:hyperlink>
            <w:hyperlink r:id="rId34" w:history="1">
              <w:r>
                <w:rPr>
                  <w:rStyle w:val="a3"/>
                  <w:rFonts w:eastAsia="Times New Roman"/>
                  <w:sz w:val="20"/>
                  <w:szCs w:val="20"/>
                </w:rPr>
                <w:t>2</w:t>
              </w:r>
            </w:hyperlink>
            <w:hyperlink r:id="rId35" w:history="1">
              <w:r>
                <w:rPr>
                  <w:rStyle w:val="a3"/>
                  <w:rFonts w:eastAsia="Times New Roman"/>
                  <w:sz w:val="20"/>
                  <w:szCs w:val="20"/>
                </w:rPr>
                <w:t>1</w:t>
              </w:r>
            </w:hyperlink>
            <w:hyperlink r:id="rId36" w:history="1">
              <w:r>
                <w:rPr>
                  <w:rStyle w:val="a3"/>
                  <w:rFonts w:eastAsia="Times New Roman"/>
                  <w:sz w:val="20"/>
                  <w:szCs w:val="20"/>
                </w:rPr>
                <w:t xml:space="preserve"> hereto).</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4.3</w:t>
            </w:r>
          </w:p>
        </w:tc>
      </w:tr>
    </w:tbl>
    <w:p w:rsidR="00000000" w:rsidRDefault="00AC31B9">
      <w:pPr>
        <w:jc w:val="center"/>
        <w:divId w:val="1365595708"/>
        <w:rPr>
          <w:rFonts w:eastAsia="Times New Roman"/>
        </w:rPr>
      </w:pPr>
      <w:r>
        <w:rPr>
          <w:rFonts w:eastAsia="Times New Roman"/>
          <w:color w:val="000000"/>
          <w:sz w:val="20"/>
          <w:szCs w:val="20"/>
        </w:rPr>
        <w:t>81</w:t>
      </w:r>
    </w:p>
    <w:p w:rsidR="00000000" w:rsidRDefault="00AC31B9">
      <w:pPr>
        <w:rPr>
          <w:rFonts w:eastAsia="Times New Roman"/>
        </w:rPr>
      </w:pPr>
      <w:r>
        <w:rPr>
          <w:rFonts w:eastAsia="Times New Roman"/>
        </w:rPr>
        <w:pict>
          <v:rect id="_x0000_i1108" style="width:0;height:1.5pt" o:hralign="center" o:hrstd="t" o:hr="t" fillcolor="#a0a0a0" stroked="f"/>
        </w:pict>
      </w:r>
    </w:p>
    <w:p w:rsidR="00000000" w:rsidRDefault="00AC31B9">
      <w:pPr>
        <w:divId w:val="498083003"/>
        <w:rPr>
          <w:rFonts w:eastAsia="Times New Roman"/>
        </w:rPr>
      </w:pPr>
      <w:hyperlink w:anchor="ic92dd05487854a4eaece953328045c3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8"/>
        <w:gridCol w:w="55"/>
        <w:gridCol w:w="1985"/>
        <w:gridCol w:w="39"/>
        <w:gridCol w:w="55"/>
        <w:gridCol w:w="1693"/>
        <w:gridCol w:w="36"/>
        <w:gridCol w:w="55"/>
        <w:gridCol w:w="550"/>
        <w:gridCol w:w="37"/>
        <w:gridCol w:w="56"/>
        <w:gridCol w:w="551"/>
        <w:gridCol w:w="36"/>
        <w:gridCol w:w="57"/>
        <w:gridCol w:w="696"/>
        <w:gridCol w:w="36"/>
      </w:tblGrid>
      <w:tr w:rsidR="00000000">
        <w:trPr>
          <w:jc w:val="center"/>
        </w:trPr>
        <w:tc>
          <w:tcPr>
            <w:tcW w:w="50" w:type="pct"/>
            <w:vAlign w:val="center"/>
            <w:hideMark/>
          </w:tcPr>
          <w:p w:rsidR="00000000" w:rsidRDefault="00AC31B9">
            <w:pPr>
              <w:rPr>
                <w:rFonts w:eastAsia="Times New Roman"/>
              </w:rPr>
            </w:pPr>
          </w:p>
        </w:tc>
        <w:tc>
          <w:tcPr>
            <w:tcW w:w="7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4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21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4.24</w:t>
            </w:r>
          </w:p>
        </w:tc>
        <w:tc>
          <w:tcPr>
            <w:tcW w:w="0" w:type="auto"/>
            <w:gridSpan w:val="3"/>
            <w:tcMar>
              <w:top w:w="30" w:type="dxa"/>
              <w:left w:w="20" w:type="dxa"/>
              <w:bottom w:w="30" w:type="dxa"/>
              <w:right w:w="20" w:type="dxa"/>
            </w:tcMar>
            <w:vAlign w:val="bottom"/>
            <w:hideMark/>
          </w:tcPr>
          <w:p w:rsidR="00000000" w:rsidRDefault="00AC31B9">
            <w:pPr>
              <w:spacing w:after="100"/>
              <w:divId w:val="1514759145"/>
              <w:rPr>
                <w:rFonts w:eastAsia="Times New Roman"/>
              </w:rPr>
            </w:pPr>
            <w:hyperlink r:id="rId37" w:history="1">
              <w:r>
                <w:rPr>
                  <w:rStyle w:val="a3"/>
                  <w:rFonts w:eastAsia="Times New Roman"/>
                  <w:sz w:val="20"/>
                  <w:szCs w:val="20"/>
                </w:rPr>
                <w:t>Form of Cash Settled Unit (included as Exhibit C to Exhibit 4.</w:t>
              </w:r>
            </w:hyperlink>
            <w:hyperlink r:id="rId38" w:history="1">
              <w:r>
                <w:rPr>
                  <w:rStyle w:val="a3"/>
                  <w:rFonts w:eastAsia="Times New Roman"/>
                  <w:sz w:val="20"/>
                  <w:szCs w:val="20"/>
                </w:rPr>
                <w:t>2</w:t>
              </w:r>
            </w:hyperlink>
            <w:hyperlink r:id="rId39" w:history="1">
              <w:r>
                <w:rPr>
                  <w:rStyle w:val="a3"/>
                  <w:rFonts w:eastAsia="Times New Roman"/>
                  <w:sz w:val="20"/>
                  <w:szCs w:val="20"/>
                </w:rPr>
                <w:t>1</w:t>
              </w:r>
            </w:hyperlink>
            <w:hyperlink r:id="rId40" w:history="1">
              <w:r>
                <w:rPr>
                  <w:rStyle w:val="a3"/>
                  <w:rFonts w:eastAsia="Times New Roman"/>
                  <w:sz w:val="20"/>
                  <w:szCs w:val="20"/>
                </w:rPr>
                <w:t xml:space="preserve"> hereto).</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4.4</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4.25</w:t>
            </w:r>
          </w:p>
        </w:tc>
        <w:tc>
          <w:tcPr>
            <w:tcW w:w="0" w:type="auto"/>
            <w:gridSpan w:val="3"/>
            <w:tcMar>
              <w:top w:w="30" w:type="dxa"/>
              <w:left w:w="20" w:type="dxa"/>
              <w:bottom w:w="30" w:type="dxa"/>
              <w:right w:w="20" w:type="dxa"/>
            </w:tcMar>
            <w:vAlign w:val="bottom"/>
            <w:hideMark/>
          </w:tcPr>
          <w:p w:rsidR="00000000" w:rsidRDefault="00AC31B9">
            <w:pPr>
              <w:spacing w:after="100"/>
              <w:divId w:val="405954276"/>
              <w:rPr>
                <w:rFonts w:eastAsia="Times New Roman"/>
              </w:rPr>
            </w:pPr>
            <w:hyperlink r:id="rId41" w:history="1">
              <w:r>
                <w:rPr>
                  <w:rStyle w:val="a3"/>
                  <w:rFonts w:eastAsia="Times New Roman"/>
                  <w:sz w:val="20"/>
                  <w:szCs w:val="20"/>
                </w:rPr>
                <w:t>Form of Series A Cumulative Perpetual Convertible Preferred Stock Certificate.</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4.5</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4.26</w:t>
            </w:r>
          </w:p>
        </w:tc>
        <w:tc>
          <w:tcPr>
            <w:tcW w:w="0" w:type="auto"/>
            <w:gridSpan w:val="3"/>
            <w:tcMar>
              <w:top w:w="30" w:type="dxa"/>
              <w:left w:w="20" w:type="dxa"/>
              <w:bottom w:w="30" w:type="dxa"/>
              <w:right w:w="20" w:type="dxa"/>
            </w:tcMar>
            <w:vAlign w:val="bottom"/>
            <w:hideMark/>
          </w:tcPr>
          <w:p w:rsidR="00000000" w:rsidRDefault="00AC31B9">
            <w:pPr>
              <w:spacing w:after="100"/>
              <w:divId w:val="138965908"/>
              <w:rPr>
                <w:rFonts w:eastAsia="Times New Roman"/>
              </w:rPr>
            </w:pPr>
            <w:hyperlink r:id="rId42" w:history="1">
              <w:r>
                <w:rPr>
                  <w:rStyle w:val="a3"/>
                  <w:rFonts w:eastAsia="Times New Roman"/>
                  <w:sz w:val="20"/>
                  <w:szCs w:val="20"/>
                </w:rPr>
                <w:t xml:space="preserve">Form of Series B Cumulative </w:t>
              </w:r>
              <w:r>
                <w:rPr>
                  <w:rStyle w:val="a3"/>
                  <w:rFonts w:eastAsia="Times New Roman"/>
                  <w:sz w:val="20"/>
                  <w:szCs w:val="20"/>
                </w:rPr>
                <w:t>Perpetual Preferred Stock Certificate.</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4.6</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4.27</w:t>
            </w:r>
          </w:p>
        </w:tc>
        <w:tc>
          <w:tcPr>
            <w:tcW w:w="0" w:type="auto"/>
            <w:gridSpan w:val="3"/>
            <w:tcMar>
              <w:top w:w="30" w:type="dxa"/>
              <w:left w:w="20" w:type="dxa"/>
              <w:bottom w:w="30" w:type="dxa"/>
              <w:right w:w="20" w:type="dxa"/>
            </w:tcMar>
            <w:vAlign w:val="bottom"/>
            <w:hideMark/>
          </w:tcPr>
          <w:p w:rsidR="00000000" w:rsidRDefault="00AC31B9">
            <w:pPr>
              <w:spacing w:after="100"/>
              <w:divId w:val="699403014"/>
              <w:rPr>
                <w:rFonts w:eastAsia="Times New Roman"/>
              </w:rPr>
            </w:pPr>
            <w:hyperlink r:id="rId43" w:history="1">
              <w:r>
                <w:rPr>
                  <w:rStyle w:val="a3"/>
                  <w:rFonts w:eastAsia="Times New Roman"/>
                  <w:sz w:val="20"/>
                  <w:szCs w:val="20"/>
                </w:rPr>
                <w:t>Description of the Registrant’s Securities Registered Pursuant to Section 12 of the Securities Exchange Act of 1934.</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10-K (9/30/21</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4.22</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hideMark/>
          </w:tcPr>
          <w:p w:rsidR="00000000" w:rsidRDefault="00AC31B9">
            <w:pPr>
              <w:spacing w:after="100"/>
              <w:divId w:val="1932471495"/>
              <w:rPr>
                <w:rFonts w:eastAsia="Times New Roman"/>
              </w:rPr>
            </w:pPr>
            <w:hyperlink r:id="rId44" w:history="1">
              <w:r>
                <w:rPr>
                  <w:rStyle w:val="a3"/>
                  <w:rFonts w:eastAsia="Times New Roman"/>
                  <w:sz w:val="20"/>
                  <w:szCs w:val="20"/>
                </w:rPr>
                <w:t>UGI Corporation 2004 Omnibus Equity Compensation Plan Amended and Restated as of September 5, 2014.</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(9/30/16)</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10.25</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w:t>
            </w:r>
          </w:p>
        </w:tc>
        <w:tc>
          <w:tcPr>
            <w:tcW w:w="0" w:type="auto"/>
            <w:gridSpan w:val="3"/>
            <w:tcMar>
              <w:top w:w="30" w:type="dxa"/>
              <w:left w:w="20" w:type="dxa"/>
              <w:bottom w:w="30" w:type="dxa"/>
              <w:right w:w="20" w:type="dxa"/>
            </w:tcMar>
            <w:hideMark/>
          </w:tcPr>
          <w:p w:rsidR="00000000" w:rsidRDefault="00AC31B9">
            <w:pPr>
              <w:spacing w:after="100"/>
              <w:divId w:val="1734156380"/>
              <w:rPr>
                <w:rFonts w:eastAsia="Times New Roman"/>
              </w:rPr>
            </w:pPr>
            <w:hyperlink r:id="rId45" w:history="1">
              <w:r>
                <w:rPr>
                  <w:rStyle w:val="a3"/>
                  <w:rFonts w:eastAsia="Times New Roman"/>
                  <w:sz w:val="20"/>
                  <w:szCs w:val="20"/>
                </w:rPr>
                <w:t>UGI Corporation 2004 Omnibus Equity Compensation Plan Amended and Restated as of September 5, 2014 - Terms and Conditions as effective January 1, 201</w:t>
              </w:r>
              <w:r>
                <w:rPr>
                  <w:rStyle w:val="a3"/>
                  <w:rFonts w:eastAsia="Times New Roman"/>
                  <w:sz w:val="20"/>
                  <w:szCs w:val="20"/>
                </w:rPr>
                <w:t>6.</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(9/30/16)</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10.26</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w:t>
            </w:r>
          </w:p>
        </w:tc>
        <w:tc>
          <w:tcPr>
            <w:tcW w:w="0" w:type="auto"/>
            <w:gridSpan w:val="3"/>
            <w:tcMar>
              <w:top w:w="30" w:type="dxa"/>
              <w:left w:w="20" w:type="dxa"/>
              <w:bottom w:w="30" w:type="dxa"/>
              <w:right w:w="20" w:type="dxa"/>
            </w:tcMar>
            <w:hideMark/>
          </w:tcPr>
          <w:p w:rsidR="00000000" w:rsidRDefault="00AC31B9">
            <w:pPr>
              <w:spacing w:after="100"/>
              <w:divId w:val="2080441450"/>
              <w:rPr>
                <w:rFonts w:eastAsia="Times New Roman"/>
              </w:rPr>
            </w:pPr>
            <w:hyperlink r:id="rId46" w:history="1">
              <w:r>
                <w:rPr>
                  <w:rStyle w:val="a3"/>
                  <w:rFonts w:eastAsia="Times New Roman"/>
                  <w:sz w:val="20"/>
                  <w:szCs w:val="20"/>
                </w:rPr>
                <w:t>UGI Corporation 2009 Deferral Plan, as Amended and Restated effective June 15, 2017.</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 (6/30/17)</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10.6</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hideMark/>
          </w:tcPr>
          <w:p w:rsidR="00000000" w:rsidRDefault="00AC31B9">
            <w:pPr>
              <w:spacing w:after="100"/>
              <w:divId w:val="1806194335"/>
              <w:rPr>
                <w:rFonts w:eastAsia="Times New Roman"/>
              </w:rPr>
            </w:pPr>
            <w:hyperlink r:id="rId47" w:history="1">
              <w:r>
                <w:rPr>
                  <w:rStyle w:val="a3"/>
                  <w:rFonts w:eastAsia="Times New Roman"/>
                  <w:sz w:val="20"/>
                  <w:szCs w:val="20"/>
                </w:rPr>
                <w:t>UGI Corporation 2009 Supplemental Executive Retirement Plan for New Employees, as Amended and Restated as of June 15, 2017.</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r>
            <w:r>
              <w:rPr>
                <w:rFonts w:eastAsia="Times New Roman"/>
                <w:color w:val="000000"/>
                <w:sz w:val="20"/>
                <w:szCs w:val="20"/>
              </w:rPr>
              <w:t>(6/30/17)</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10.5**</w:t>
            </w:r>
          </w:p>
        </w:tc>
        <w:tc>
          <w:tcPr>
            <w:tcW w:w="0" w:type="auto"/>
            <w:gridSpan w:val="3"/>
            <w:tcMar>
              <w:top w:w="30" w:type="dxa"/>
              <w:left w:w="20" w:type="dxa"/>
              <w:bottom w:w="30" w:type="dxa"/>
              <w:right w:w="20" w:type="dxa"/>
            </w:tcMar>
            <w:hideMark/>
          </w:tcPr>
          <w:p w:rsidR="00000000" w:rsidRDefault="00AC31B9">
            <w:pPr>
              <w:spacing w:after="100"/>
              <w:divId w:val="721557580"/>
              <w:rPr>
                <w:rFonts w:eastAsia="Times New Roman"/>
              </w:rPr>
            </w:pPr>
            <w:hyperlink r:id="rId48" w:history="1">
              <w:r>
                <w:rPr>
                  <w:rStyle w:val="a3"/>
                  <w:rFonts w:eastAsia="Times New Roman"/>
                  <w:sz w:val="20"/>
                  <w:szCs w:val="20"/>
                </w:rPr>
                <w:t>UGI Corporation 2013 Omnibus Incentive Compensation Plan, effective as of September 5, 2014.</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w:t>
            </w:r>
            <w:r>
              <w:rPr>
                <w:rFonts w:eastAsia="Times New Roman"/>
                <w:color w:val="000000"/>
                <w:sz w:val="20"/>
                <w:szCs w:val="20"/>
              </w:rPr>
              <w:t>16)</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10.30</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10.6**</w:t>
            </w:r>
          </w:p>
        </w:tc>
        <w:tc>
          <w:tcPr>
            <w:tcW w:w="0" w:type="auto"/>
            <w:gridSpan w:val="3"/>
            <w:tcMar>
              <w:top w:w="30" w:type="dxa"/>
              <w:left w:w="20" w:type="dxa"/>
              <w:bottom w:w="30" w:type="dxa"/>
              <w:right w:w="20" w:type="dxa"/>
            </w:tcMar>
            <w:vAlign w:val="bottom"/>
            <w:hideMark/>
          </w:tcPr>
          <w:p w:rsidR="00000000" w:rsidRDefault="00AC31B9">
            <w:pPr>
              <w:spacing w:after="100"/>
              <w:divId w:val="424420784"/>
              <w:rPr>
                <w:rFonts w:eastAsia="Times New Roman"/>
              </w:rPr>
            </w:pPr>
            <w:hyperlink r:id="rId49" w:history="1">
              <w:r>
                <w:rPr>
                  <w:rStyle w:val="a3"/>
                  <w:rFonts w:eastAsia="Times New Roman"/>
                  <w:sz w:val="20"/>
                  <w:szCs w:val="20"/>
                </w:rPr>
                <w:t>UGI Corporation 2013 Omnibus Incentive Compensation Plan, Terms and Conditions for Non-Employee Directors, effective January 1, 2019.</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 (3/31/19)</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10.6</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10.7**</w:t>
            </w:r>
          </w:p>
        </w:tc>
        <w:tc>
          <w:tcPr>
            <w:tcW w:w="0" w:type="auto"/>
            <w:gridSpan w:val="3"/>
            <w:tcMar>
              <w:top w:w="30" w:type="dxa"/>
              <w:left w:w="20" w:type="dxa"/>
              <w:bottom w:w="30" w:type="dxa"/>
              <w:right w:w="20" w:type="dxa"/>
            </w:tcMar>
            <w:vAlign w:val="bottom"/>
            <w:hideMark/>
          </w:tcPr>
          <w:p w:rsidR="00000000" w:rsidRDefault="00AC31B9">
            <w:pPr>
              <w:spacing w:after="100"/>
              <w:divId w:val="1720670887"/>
              <w:rPr>
                <w:rFonts w:eastAsia="Times New Roman"/>
              </w:rPr>
            </w:pPr>
            <w:hyperlink r:id="rId50" w:history="1">
              <w:r>
                <w:rPr>
                  <w:rStyle w:val="a3"/>
                  <w:rFonts w:eastAsia="Times New Roman"/>
                  <w:sz w:val="20"/>
                  <w:szCs w:val="20"/>
                </w:rPr>
                <w:t>UGI Corporation Supplemental Executive Retirement Plan and Supplemental Savings Plan, as Amended and Restated effective April 1, 2015.</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(9/30/17)</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10.26</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10.8**</w:t>
            </w:r>
          </w:p>
        </w:tc>
        <w:tc>
          <w:tcPr>
            <w:tcW w:w="0" w:type="auto"/>
            <w:gridSpan w:val="3"/>
            <w:tcMar>
              <w:top w:w="30" w:type="dxa"/>
              <w:left w:w="20" w:type="dxa"/>
              <w:bottom w:w="30" w:type="dxa"/>
              <w:right w:w="20" w:type="dxa"/>
            </w:tcMar>
            <w:vAlign w:val="bottom"/>
            <w:hideMark/>
          </w:tcPr>
          <w:p w:rsidR="00000000" w:rsidRDefault="00AC31B9">
            <w:pPr>
              <w:spacing w:after="100"/>
              <w:divId w:val="1534920459"/>
              <w:rPr>
                <w:rFonts w:eastAsia="Times New Roman"/>
              </w:rPr>
            </w:pPr>
            <w:hyperlink r:id="rId51" w:history="1">
              <w:r>
                <w:rPr>
                  <w:rStyle w:val="a3"/>
                  <w:rFonts w:eastAsia="Times New Roman"/>
                  <w:sz w:val="20"/>
                  <w:szCs w:val="20"/>
                </w:rPr>
                <w:t>UGI Corporation Executive Annual Bonus Plan as amended November 15, 2018</w:t>
              </w:r>
            </w:hyperlink>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 (3/31/19)</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10.7</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10.9**</w:t>
            </w:r>
          </w:p>
        </w:tc>
        <w:tc>
          <w:tcPr>
            <w:tcW w:w="0" w:type="auto"/>
            <w:gridSpan w:val="3"/>
            <w:tcMar>
              <w:top w:w="30" w:type="dxa"/>
              <w:left w:w="20" w:type="dxa"/>
              <w:bottom w:w="30" w:type="dxa"/>
              <w:right w:w="20" w:type="dxa"/>
            </w:tcMar>
            <w:hideMark/>
          </w:tcPr>
          <w:p w:rsidR="00000000" w:rsidRDefault="00AC31B9">
            <w:pPr>
              <w:spacing w:after="100"/>
              <w:divId w:val="855776783"/>
              <w:rPr>
                <w:rFonts w:eastAsia="Times New Roman"/>
              </w:rPr>
            </w:pPr>
            <w:hyperlink r:id="rId52" w:history="1">
              <w:r>
                <w:rPr>
                  <w:rStyle w:val="a3"/>
                  <w:rFonts w:eastAsia="Times New Roman"/>
                  <w:sz w:val="20"/>
                  <w:szCs w:val="20"/>
                </w:rPr>
                <w:t>UGI Corporation 2021 Incentive Award Plan.</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S-8</w:t>
            </w:r>
            <w:r>
              <w:rPr>
                <w:rFonts w:eastAsia="Times New Roman"/>
                <w:color w:val="000000"/>
                <w:sz w:val="20"/>
                <w:szCs w:val="20"/>
              </w:rPr>
              <w:br/>
              <w:t>(2/4/21)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4.4</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10.10**</w:t>
            </w:r>
          </w:p>
        </w:tc>
        <w:tc>
          <w:tcPr>
            <w:tcW w:w="0" w:type="auto"/>
            <w:gridSpan w:val="3"/>
            <w:tcMar>
              <w:top w:w="30" w:type="dxa"/>
              <w:left w:w="20" w:type="dxa"/>
              <w:bottom w:w="30" w:type="dxa"/>
              <w:right w:w="20" w:type="dxa"/>
            </w:tcMar>
            <w:hideMark/>
          </w:tcPr>
          <w:p w:rsidR="00000000" w:rsidRDefault="00AC31B9">
            <w:pPr>
              <w:spacing w:after="100"/>
              <w:divId w:val="1156527756"/>
              <w:rPr>
                <w:rFonts w:eastAsia="Times New Roman"/>
              </w:rPr>
            </w:pPr>
            <w:hyperlink r:id="rId53" w:history="1">
              <w:r>
                <w:rPr>
                  <w:rStyle w:val="a3"/>
                  <w:rFonts w:eastAsia="Times New Roman"/>
                  <w:sz w:val="20"/>
                  <w:szCs w:val="20"/>
                </w:rPr>
                <w:t>UGI Corporation 2021 Incentive Award Plan, Terms and Conditions for Non-Employee Directors, effective February 1, 2021.</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10-K (9/30</w:t>
            </w:r>
            <w:r>
              <w:rPr>
                <w:rFonts w:eastAsia="Times New Roman"/>
                <w:color w:val="000000"/>
                <w:sz w:val="20"/>
                <w:szCs w:val="20"/>
              </w:rPr>
              <w:t>/22)</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10.10</w:t>
            </w:r>
          </w:p>
        </w:tc>
      </w:tr>
    </w:tbl>
    <w:p w:rsidR="00000000" w:rsidRDefault="00AC31B9">
      <w:pPr>
        <w:jc w:val="center"/>
        <w:divId w:val="882985063"/>
        <w:rPr>
          <w:rFonts w:eastAsia="Times New Roman"/>
        </w:rPr>
      </w:pPr>
      <w:r>
        <w:rPr>
          <w:rFonts w:eastAsia="Times New Roman"/>
          <w:color w:val="000000"/>
          <w:sz w:val="20"/>
          <w:szCs w:val="20"/>
        </w:rPr>
        <w:t>82</w:t>
      </w:r>
    </w:p>
    <w:p w:rsidR="00000000" w:rsidRDefault="00AC31B9">
      <w:pPr>
        <w:rPr>
          <w:rFonts w:eastAsia="Times New Roman"/>
        </w:rPr>
      </w:pPr>
      <w:r>
        <w:rPr>
          <w:rFonts w:eastAsia="Times New Roman"/>
        </w:rPr>
        <w:pict>
          <v:rect id="_x0000_i1109" style="width:0;height:1.5pt" o:hralign="center" o:hrstd="t" o:hr="t" fillcolor="#a0a0a0" stroked="f"/>
        </w:pict>
      </w:r>
    </w:p>
    <w:p w:rsidR="00000000" w:rsidRDefault="00AC31B9">
      <w:pPr>
        <w:divId w:val="1473906725"/>
        <w:rPr>
          <w:rFonts w:eastAsia="Times New Roman"/>
        </w:rPr>
      </w:pPr>
      <w:hyperlink w:anchor="ic92dd05487854a4eaece953328045c3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8"/>
        <w:gridCol w:w="55"/>
        <w:gridCol w:w="1985"/>
        <w:gridCol w:w="38"/>
        <w:gridCol w:w="55"/>
        <w:gridCol w:w="1693"/>
        <w:gridCol w:w="36"/>
        <w:gridCol w:w="55"/>
        <w:gridCol w:w="551"/>
        <w:gridCol w:w="37"/>
        <w:gridCol w:w="56"/>
        <w:gridCol w:w="551"/>
        <w:gridCol w:w="36"/>
        <w:gridCol w:w="57"/>
        <w:gridCol w:w="696"/>
        <w:gridCol w:w="36"/>
      </w:tblGrid>
      <w:tr w:rsidR="00000000">
        <w:trPr>
          <w:jc w:val="center"/>
        </w:trPr>
        <w:tc>
          <w:tcPr>
            <w:tcW w:w="50" w:type="pct"/>
            <w:vAlign w:val="center"/>
            <w:hideMark/>
          </w:tcPr>
          <w:p w:rsidR="00000000" w:rsidRDefault="00AC31B9">
            <w:pPr>
              <w:rPr>
                <w:rFonts w:eastAsia="Times New Roman"/>
              </w:rPr>
            </w:pPr>
          </w:p>
        </w:tc>
        <w:tc>
          <w:tcPr>
            <w:tcW w:w="7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4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21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10.11**</w:t>
            </w:r>
          </w:p>
        </w:tc>
        <w:tc>
          <w:tcPr>
            <w:tcW w:w="0" w:type="auto"/>
            <w:gridSpan w:val="3"/>
            <w:tcMar>
              <w:top w:w="30" w:type="dxa"/>
              <w:left w:w="20" w:type="dxa"/>
              <w:bottom w:w="30" w:type="dxa"/>
              <w:right w:w="20" w:type="dxa"/>
            </w:tcMar>
            <w:hideMark/>
          </w:tcPr>
          <w:p w:rsidR="00000000" w:rsidRDefault="00AC31B9">
            <w:pPr>
              <w:spacing w:after="100"/>
              <w:divId w:val="871309000"/>
              <w:rPr>
                <w:rFonts w:eastAsia="Times New Roman"/>
              </w:rPr>
            </w:pPr>
            <w:hyperlink r:id="rId54" w:history="1">
              <w:r>
                <w:rPr>
                  <w:rStyle w:val="a3"/>
                  <w:rFonts w:eastAsia="Times New Roman"/>
                  <w:sz w:val="20"/>
                  <w:szCs w:val="20"/>
                </w:rPr>
                <w:t>UGI Corporation Executive Severance Plan, as effective October 1, 2021.</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(9/29/21)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10.12**</w:t>
            </w:r>
          </w:p>
        </w:tc>
        <w:tc>
          <w:tcPr>
            <w:tcW w:w="0" w:type="auto"/>
            <w:gridSpan w:val="3"/>
            <w:tcMar>
              <w:top w:w="30" w:type="dxa"/>
              <w:left w:w="20" w:type="dxa"/>
              <w:bottom w:w="30" w:type="dxa"/>
              <w:right w:w="20" w:type="dxa"/>
            </w:tcMar>
            <w:vAlign w:val="bottom"/>
            <w:hideMark/>
          </w:tcPr>
          <w:p w:rsidR="00000000" w:rsidRDefault="00AC31B9">
            <w:pPr>
              <w:spacing w:after="100"/>
              <w:divId w:val="2140683105"/>
              <w:rPr>
                <w:rFonts w:eastAsia="Times New Roman"/>
              </w:rPr>
            </w:pPr>
            <w:hyperlink r:id="rId55" w:history="1">
              <w:r>
                <w:rPr>
                  <w:rStyle w:val="a3"/>
                  <w:rFonts w:eastAsia="Times New Roman"/>
                  <w:sz w:val="20"/>
                  <w:szCs w:val="20"/>
                </w:rPr>
                <w:t>Form of UGI Corporation 2013 Omnibus Incentive Compensation Plan, Nonqualified Stock Option Grant Letter for all US Employees.</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(3/31/21)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10.13**</w:t>
            </w:r>
          </w:p>
        </w:tc>
        <w:tc>
          <w:tcPr>
            <w:tcW w:w="0" w:type="auto"/>
            <w:gridSpan w:val="3"/>
            <w:tcMar>
              <w:top w:w="30" w:type="dxa"/>
              <w:left w:w="20" w:type="dxa"/>
              <w:bottom w:w="30" w:type="dxa"/>
              <w:right w:w="20" w:type="dxa"/>
            </w:tcMar>
            <w:vAlign w:val="bottom"/>
            <w:hideMark/>
          </w:tcPr>
          <w:p w:rsidR="00000000" w:rsidRDefault="00AC31B9">
            <w:pPr>
              <w:spacing w:after="100"/>
              <w:divId w:val="309788811"/>
              <w:rPr>
                <w:rFonts w:eastAsia="Times New Roman"/>
              </w:rPr>
            </w:pPr>
            <w:hyperlink r:id="rId56" w:history="1">
              <w:r>
                <w:rPr>
                  <w:rStyle w:val="a3"/>
                  <w:rFonts w:eastAsia="Times New Roman"/>
                  <w:sz w:val="20"/>
                  <w:szCs w:val="20"/>
                </w:rPr>
                <w:t>Form of UGI Corporation 2013 Omnibus Incentive Compensation Plan Performance Unit Grant Letter for all US Employees.</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(3/31/21)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10.14**</w:t>
            </w:r>
          </w:p>
        </w:tc>
        <w:tc>
          <w:tcPr>
            <w:tcW w:w="0" w:type="auto"/>
            <w:gridSpan w:val="3"/>
            <w:tcMar>
              <w:top w:w="30" w:type="dxa"/>
              <w:left w:w="20" w:type="dxa"/>
              <w:bottom w:w="30" w:type="dxa"/>
              <w:right w:w="20" w:type="dxa"/>
            </w:tcMar>
            <w:vAlign w:val="bottom"/>
            <w:hideMark/>
          </w:tcPr>
          <w:p w:rsidR="00000000" w:rsidRDefault="00AC31B9">
            <w:pPr>
              <w:spacing w:after="100"/>
              <w:divId w:val="1238318789"/>
              <w:rPr>
                <w:rFonts w:eastAsia="Times New Roman"/>
              </w:rPr>
            </w:pPr>
            <w:hyperlink r:id="rId57" w:history="1">
              <w:r>
                <w:rPr>
                  <w:rStyle w:val="a3"/>
                  <w:rFonts w:eastAsia="Times New Roman"/>
                  <w:sz w:val="20"/>
                  <w:szCs w:val="20"/>
                </w:rPr>
                <w:t>Form of UGI Corporation 2013 Omnibus Incentive Compensation Plan Stock Unit Grant Letter for all US Employees.</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(3/31/21)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10.15**</w:t>
            </w:r>
          </w:p>
        </w:tc>
        <w:tc>
          <w:tcPr>
            <w:tcW w:w="0" w:type="auto"/>
            <w:gridSpan w:val="3"/>
            <w:tcMar>
              <w:top w:w="30" w:type="dxa"/>
              <w:left w:w="20" w:type="dxa"/>
              <w:bottom w:w="30" w:type="dxa"/>
              <w:right w:w="20" w:type="dxa"/>
            </w:tcMar>
            <w:hideMark/>
          </w:tcPr>
          <w:p w:rsidR="00000000" w:rsidRDefault="00AC31B9">
            <w:pPr>
              <w:spacing w:after="100"/>
              <w:divId w:val="361825539"/>
              <w:rPr>
                <w:rFonts w:eastAsia="Times New Roman"/>
              </w:rPr>
            </w:pPr>
            <w:hyperlink r:id="rId58" w:history="1">
              <w:r>
                <w:rPr>
                  <w:rStyle w:val="a3"/>
                  <w:rFonts w:eastAsia="Times New Roman"/>
                  <w:sz w:val="20"/>
                  <w:szCs w:val="20"/>
                </w:rPr>
                <w:t>Form of UGI Corporation 2013 Omnibus Incentive Compensation Plan, Nonqualified Stock Option Grant Letter for Non-Employee Directors.</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(3/31/21)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10.16**</w:t>
            </w:r>
          </w:p>
        </w:tc>
        <w:tc>
          <w:tcPr>
            <w:tcW w:w="0" w:type="auto"/>
            <w:gridSpan w:val="3"/>
            <w:tcMar>
              <w:top w:w="30" w:type="dxa"/>
              <w:left w:w="20" w:type="dxa"/>
              <w:bottom w:w="30" w:type="dxa"/>
              <w:right w:w="20" w:type="dxa"/>
            </w:tcMar>
            <w:hideMark/>
          </w:tcPr>
          <w:p w:rsidR="00000000" w:rsidRDefault="00AC31B9">
            <w:pPr>
              <w:spacing w:after="100"/>
              <w:divId w:val="1476946709"/>
              <w:rPr>
                <w:rFonts w:eastAsia="Times New Roman"/>
              </w:rPr>
            </w:pPr>
            <w:hyperlink r:id="rId59" w:history="1">
              <w:r>
                <w:rPr>
                  <w:rStyle w:val="a3"/>
                  <w:rFonts w:eastAsia="Times New Roman"/>
                  <w:sz w:val="20"/>
                  <w:szCs w:val="20"/>
                </w:rPr>
                <w:t>Form of UGI Corporation 2013 Omnibus Incentive Compensation Plan Stock Unit Grant Letter for Non-Emp</w:t>
              </w:r>
              <w:r>
                <w:rPr>
                  <w:rStyle w:val="a3"/>
                  <w:rFonts w:eastAsia="Times New Roman"/>
                  <w:sz w:val="20"/>
                  <w:szCs w:val="20"/>
                </w:rPr>
                <w:t>loyee Directors.</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(3/31/21)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10.5</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10.17**</w:t>
            </w:r>
          </w:p>
        </w:tc>
        <w:tc>
          <w:tcPr>
            <w:tcW w:w="0" w:type="auto"/>
            <w:gridSpan w:val="3"/>
            <w:tcMar>
              <w:top w:w="30" w:type="dxa"/>
              <w:left w:w="20" w:type="dxa"/>
              <w:bottom w:w="30" w:type="dxa"/>
              <w:right w:w="20" w:type="dxa"/>
            </w:tcMar>
            <w:hideMark/>
          </w:tcPr>
          <w:p w:rsidR="00000000" w:rsidRDefault="00AC31B9">
            <w:pPr>
              <w:spacing w:after="100"/>
              <w:divId w:val="453641473"/>
              <w:rPr>
                <w:rFonts w:eastAsia="Times New Roman"/>
              </w:rPr>
            </w:pPr>
            <w:hyperlink r:id="rId60" w:history="1">
              <w:r>
                <w:rPr>
                  <w:rStyle w:val="a3"/>
                  <w:rFonts w:eastAsia="Times New Roman"/>
                  <w:sz w:val="20"/>
                  <w:szCs w:val="20"/>
                </w:rPr>
                <w:t>Form of UGI Corporation 2021 Incentive Award Plan Nonqualified Stock Option Grant Letter for Non-Employee Directors.</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10-K (9/30/22</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10.17</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10.18**</w:t>
            </w:r>
          </w:p>
        </w:tc>
        <w:tc>
          <w:tcPr>
            <w:tcW w:w="0" w:type="auto"/>
            <w:gridSpan w:val="3"/>
            <w:tcMar>
              <w:top w:w="30" w:type="dxa"/>
              <w:left w:w="20" w:type="dxa"/>
              <w:bottom w:w="30" w:type="dxa"/>
              <w:right w:w="20" w:type="dxa"/>
            </w:tcMar>
            <w:hideMark/>
          </w:tcPr>
          <w:p w:rsidR="00000000" w:rsidRDefault="00AC31B9">
            <w:pPr>
              <w:spacing w:after="100"/>
              <w:divId w:val="1968008065"/>
              <w:rPr>
                <w:rFonts w:eastAsia="Times New Roman"/>
              </w:rPr>
            </w:pPr>
            <w:hyperlink r:id="rId61" w:history="1">
              <w:r>
                <w:rPr>
                  <w:rStyle w:val="a3"/>
                  <w:rFonts w:eastAsia="Times New Roman"/>
                  <w:sz w:val="20"/>
                  <w:szCs w:val="20"/>
                </w:rPr>
                <w:t>Form of UGI Corporation 2021 Incentive Award Plan Restricted Stock Unit Grant Letter for Non-Employee Directors.</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10-K (9/30/22)</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10.18</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10.19**</w:t>
            </w:r>
          </w:p>
        </w:tc>
        <w:tc>
          <w:tcPr>
            <w:tcW w:w="0" w:type="auto"/>
            <w:gridSpan w:val="3"/>
            <w:tcMar>
              <w:top w:w="30" w:type="dxa"/>
              <w:left w:w="20" w:type="dxa"/>
              <w:bottom w:w="30" w:type="dxa"/>
              <w:right w:w="20" w:type="dxa"/>
            </w:tcMar>
            <w:hideMark/>
          </w:tcPr>
          <w:p w:rsidR="00000000" w:rsidRDefault="00AC31B9">
            <w:pPr>
              <w:spacing w:after="100"/>
              <w:divId w:val="1616710016"/>
              <w:rPr>
                <w:rFonts w:eastAsia="Times New Roman"/>
              </w:rPr>
            </w:pPr>
            <w:hyperlink r:id="rId62" w:history="1">
              <w:r>
                <w:rPr>
                  <w:rStyle w:val="a3"/>
                  <w:rFonts w:eastAsia="Times New Roman"/>
                  <w:sz w:val="20"/>
                  <w:szCs w:val="20"/>
                </w:rPr>
                <w:t>Form of UGI Corporation 2021 Incentive Award Plan Nonqualified Stock Option Grant Letter for all US Employees.</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10.20**</w:t>
            </w:r>
          </w:p>
        </w:tc>
        <w:tc>
          <w:tcPr>
            <w:tcW w:w="0" w:type="auto"/>
            <w:gridSpan w:val="3"/>
            <w:tcMar>
              <w:top w:w="30" w:type="dxa"/>
              <w:left w:w="20" w:type="dxa"/>
              <w:bottom w:w="30" w:type="dxa"/>
              <w:right w:w="20" w:type="dxa"/>
            </w:tcMar>
            <w:hideMark/>
          </w:tcPr>
          <w:p w:rsidR="00000000" w:rsidRDefault="00AC31B9">
            <w:pPr>
              <w:spacing w:after="100"/>
              <w:divId w:val="219948898"/>
              <w:rPr>
                <w:rFonts w:eastAsia="Times New Roman"/>
              </w:rPr>
            </w:pPr>
            <w:hyperlink r:id="rId63" w:history="1">
              <w:r>
                <w:rPr>
                  <w:rStyle w:val="a3"/>
                  <w:rFonts w:eastAsia="Times New Roman"/>
                  <w:sz w:val="20"/>
                  <w:szCs w:val="20"/>
                </w:rPr>
                <w:t>Form of UGI Corporation 2021 Incentive Award Plan Performance Unit Grant Letter for all US Employees.</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10.21**</w:t>
            </w:r>
          </w:p>
        </w:tc>
        <w:tc>
          <w:tcPr>
            <w:tcW w:w="0" w:type="auto"/>
            <w:gridSpan w:val="3"/>
            <w:tcMar>
              <w:top w:w="30" w:type="dxa"/>
              <w:left w:w="20" w:type="dxa"/>
              <w:bottom w:w="30" w:type="dxa"/>
              <w:right w:w="20" w:type="dxa"/>
            </w:tcMar>
            <w:hideMark/>
          </w:tcPr>
          <w:p w:rsidR="00000000" w:rsidRDefault="00AC31B9">
            <w:pPr>
              <w:spacing w:after="100"/>
              <w:divId w:val="1901868988"/>
              <w:rPr>
                <w:rFonts w:eastAsia="Times New Roman"/>
              </w:rPr>
            </w:pPr>
            <w:hyperlink r:id="rId64" w:history="1">
              <w:r>
                <w:rPr>
                  <w:rStyle w:val="a3"/>
                  <w:rFonts w:eastAsia="Times New Roman"/>
                  <w:sz w:val="20"/>
                  <w:szCs w:val="20"/>
                </w:rPr>
                <w:t>Form of UGI Corporation 2021 Incentive Award Plan Stock Unit Grant Letter for all US Employees.</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10.22**</w:t>
            </w:r>
          </w:p>
        </w:tc>
        <w:tc>
          <w:tcPr>
            <w:tcW w:w="0" w:type="auto"/>
            <w:gridSpan w:val="3"/>
            <w:tcMar>
              <w:top w:w="30" w:type="dxa"/>
              <w:left w:w="20" w:type="dxa"/>
              <w:bottom w:w="30" w:type="dxa"/>
              <w:right w:w="20" w:type="dxa"/>
            </w:tcMar>
            <w:hideMark/>
          </w:tcPr>
          <w:p w:rsidR="00000000" w:rsidRDefault="00AC31B9">
            <w:pPr>
              <w:spacing w:after="100"/>
              <w:divId w:val="1078092952"/>
              <w:rPr>
                <w:rFonts w:eastAsia="Times New Roman"/>
              </w:rPr>
            </w:pPr>
            <w:hyperlink r:id="rId65" w:history="1">
              <w:r>
                <w:rPr>
                  <w:rStyle w:val="a3"/>
                  <w:rFonts w:eastAsia="Times New Roman"/>
                  <w:sz w:val="20"/>
                  <w:szCs w:val="20"/>
                </w:rPr>
                <w:t>Form of UGI Corporation 2021 Incentive Award Plan Performance Unit Grant Letter for NEOs (EPS).</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 (3/31/23)</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w:t>
            </w:r>
          </w:p>
        </w:tc>
      </w:tr>
    </w:tbl>
    <w:p w:rsidR="00000000" w:rsidRDefault="00AC31B9">
      <w:pPr>
        <w:jc w:val="center"/>
        <w:divId w:val="431821178"/>
        <w:rPr>
          <w:rFonts w:eastAsia="Times New Roman"/>
        </w:rPr>
      </w:pPr>
      <w:r>
        <w:rPr>
          <w:rFonts w:eastAsia="Times New Roman"/>
          <w:color w:val="000000"/>
          <w:sz w:val="20"/>
          <w:szCs w:val="20"/>
        </w:rPr>
        <w:t>83</w:t>
      </w:r>
    </w:p>
    <w:p w:rsidR="00000000" w:rsidRDefault="00AC31B9">
      <w:pPr>
        <w:rPr>
          <w:rFonts w:eastAsia="Times New Roman"/>
        </w:rPr>
      </w:pPr>
      <w:r>
        <w:rPr>
          <w:rFonts w:eastAsia="Times New Roman"/>
        </w:rPr>
        <w:pict>
          <v:rect id="_x0000_i1110" style="width:0;height:1.5pt" o:hralign="center" o:hrstd="t" o:hr="t" fillcolor="#a0a0a0" stroked="f"/>
        </w:pict>
      </w:r>
    </w:p>
    <w:p w:rsidR="00000000" w:rsidRDefault="00AC31B9">
      <w:pPr>
        <w:divId w:val="444926157"/>
        <w:rPr>
          <w:rFonts w:eastAsia="Times New Roman"/>
        </w:rPr>
      </w:pPr>
      <w:hyperlink w:anchor="ic92dd05487854a4eaece953328045c3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9"/>
        <w:gridCol w:w="55"/>
        <w:gridCol w:w="1985"/>
        <w:gridCol w:w="38"/>
        <w:gridCol w:w="55"/>
        <w:gridCol w:w="1693"/>
        <w:gridCol w:w="36"/>
        <w:gridCol w:w="55"/>
        <w:gridCol w:w="550"/>
        <w:gridCol w:w="38"/>
        <w:gridCol w:w="55"/>
        <w:gridCol w:w="550"/>
        <w:gridCol w:w="37"/>
        <w:gridCol w:w="57"/>
        <w:gridCol w:w="696"/>
        <w:gridCol w:w="36"/>
      </w:tblGrid>
      <w:tr w:rsidR="00000000">
        <w:trPr>
          <w:jc w:val="center"/>
        </w:trPr>
        <w:tc>
          <w:tcPr>
            <w:tcW w:w="50" w:type="pct"/>
            <w:vAlign w:val="center"/>
            <w:hideMark/>
          </w:tcPr>
          <w:p w:rsidR="00000000" w:rsidRDefault="00AC31B9">
            <w:pPr>
              <w:rPr>
                <w:rFonts w:eastAsia="Times New Roman"/>
              </w:rPr>
            </w:pPr>
          </w:p>
        </w:tc>
        <w:tc>
          <w:tcPr>
            <w:tcW w:w="7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4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21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10.23**</w:t>
            </w:r>
          </w:p>
        </w:tc>
        <w:tc>
          <w:tcPr>
            <w:tcW w:w="0" w:type="auto"/>
            <w:gridSpan w:val="3"/>
            <w:tcMar>
              <w:top w:w="30" w:type="dxa"/>
              <w:left w:w="20" w:type="dxa"/>
              <w:bottom w:w="30" w:type="dxa"/>
              <w:right w:w="20" w:type="dxa"/>
            </w:tcMar>
            <w:hideMark/>
          </w:tcPr>
          <w:p w:rsidR="00000000" w:rsidRDefault="00AC31B9">
            <w:pPr>
              <w:spacing w:after="100"/>
              <w:divId w:val="1268196512"/>
              <w:rPr>
                <w:rFonts w:eastAsia="Times New Roman"/>
              </w:rPr>
            </w:pPr>
            <w:hyperlink r:id="rId66" w:history="1">
              <w:r>
                <w:rPr>
                  <w:rStyle w:val="a3"/>
                  <w:rFonts w:eastAsia="Times New Roman"/>
                  <w:sz w:val="20"/>
                  <w:szCs w:val="20"/>
                </w:rPr>
                <w:t>Form of UGI Corporation 2021 Incentive Award Plan Performance Unit Grant Letter for US Employees (TSR).</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 (3/31/23)</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10.24**</w:t>
            </w:r>
          </w:p>
        </w:tc>
        <w:tc>
          <w:tcPr>
            <w:tcW w:w="0" w:type="auto"/>
            <w:gridSpan w:val="3"/>
            <w:tcMar>
              <w:top w:w="30" w:type="dxa"/>
              <w:left w:w="20" w:type="dxa"/>
              <w:bottom w:w="30" w:type="dxa"/>
              <w:right w:w="20" w:type="dxa"/>
            </w:tcMar>
            <w:hideMark/>
          </w:tcPr>
          <w:p w:rsidR="00000000" w:rsidRDefault="00AC31B9">
            <w:pPr>
              <w:spacing w:after="100"/>
              <w:divId w:val="287855260"/>
              <w:rPr>
                <w:rFonts w:eastAsia="Times New Roman"/>
              </w:rPr>
            </w:pPr>
            <w:hyperlink r:id="rId67" w:history="1">
              <w:r>
                <w:rPr>
                  <w:rStyle w:val="a3"/>
                  <w:rFonts w:eastAsia="Times New Roman"/>
                  <w:sz w:val="20"/>
                  <w:szCs w:val="20"/>
                </w:rPr>
                <w:t>Form of Confidentiality, Non-Competition and Non-Solicitation Agreement between UGI Corporation and Mr. Roger Perreault.</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w:t>
            </w:r>
            <w:r>
              <w:rPr>
                <w:rFonts w:eastAsia="Times New Roman"/>
                <w:color w:val="000000"/>
                <w:sz w:val="20"/>
                <w:szCs w:val="20"/>
              </w:rPr>
              <w:t>30/21)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10.25**</w:t>
            </w:r>
          </w:p>
        </w:tc>
        <w:tc>
          <w:tcPr>
            <w:tcW w:w="0" w:type="auto"/>
            <w:gridSpan w:val="3"/>
            <w:tcMar>
              <w:top w:w="30" w:type="dxa"/>
              <w:left w:w="20" w:type="dxa"/>
              <w:bottom w:w="30" w:type="dxa"/>
              <w:right w:w="20" w:type="dxa"/>
            </w:tcMar>
            <w:hideMark/>
          </w:tcPr>
          <w:p w:rsidR="00000000" w:rsidRDefault="00AC31B9">
            <w:pPr>
              <w:spacing w:after="100"/>
              <w:divId w:val="1228880818"/>
              <w:rPr>
                <w:rFonts w:eastAsia="Times New Roman"/>
              </w:rPr>
            </w:pPr>
            <w:hyperlink r:id="rId68" w:history="1">
              <w:r>
                <w:rPr>
                  <w:rStyle w:val="a3"/>
                  <w:rFonts w:eastAsia="Times New Roman"/>
                  <w:sz w:val="20"/>
                  <w:szCs w:val="20"/>
                </w:rPr>
                <w:t>Form of Confidentiality, Non-Competition and Non-Solicitation Agreement between UGI Corporation and Mr. Robert F. Beard.</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 (12/31/22)</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10.26**</w:t>
            </w:r>
          </w:p>
        </w:tc>
        <w:tc>
          <w:tcPr>
            <w:tcW w:w="0" w:type="auto"/>
            <w:gridSpan w:val="3"/>
            <w:tcMar>
              <w:top w:w="30" w:type="dxa"/>
              <w:left w:w="20" w:type="dxa"/>
              <w:bottom w:w="30" w:type="dxa"/>
              <w:right w:w="20" w:type="dxa"/>
            </w:tcMar>
            <w:hideMark/>
          </w:tcPr>
          <w:p w:rsidR="00000000" w:rsidRDefault="00AC31B9">
            <w:pPr>
              <w:spacing w:after="100"/>
              <w:divId w:val="1218082354"/>
              <w:rPr>
                <w:rFonts w:eastAsia="Times New Roman"/>
              </w:rPr>
            </w:pPr>
            <w:hyperlink r:id="rId69" w:history="1">
              <w:r>
                <w:rPr>
                  <w:rStyle w:val="a3"/>
                  <w:rFonts w:eastAsia="Times New Roman"/>
                  <w:sz w:val="20"/>
                  <w:szCs w:val="20"/>
                </w:rPr>
                <w:t xml:space="preserve">Form of Confidentiality, Non-Competition and Non-Solicitation Agreement between UGI Corporation and Ms. Judy Zagorski. </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10.27**</w:t>
            </w:r>
          </w:p>
        </w:tc>
        <w:tc>
          <w:tcPr>
            <w:tcW w:w="0" w:type="auto"/>
            <w:gridSpan w:val="3"/>
            <w:tcMar>
              <w:top w:w="30" w:type="dxa"/>
              <w:left w:w="20" w:type="dxa"/>
              <w:bottom w:w="30" w:type="dxa"/>
              <w:right w:w="20" w:type="dxa"/>
            </w:tcMar>
            <w:hideMark/>
          </w:tcPr>
          <w:p w:rsidR="00000000" w:rsidRDefault="00AC31B9">
            <w:pPr>
              <w:spacing w:after="100"/>
              <w:divId w:val="14575003"/>
              <w:rPr>
                <w:rFonts w:eastAsia="Times New Roman"/>
              </w:rPr>
            </w:pPr>
            <w:hyperlink r:id="rId70" w:history="1">
              <w:r>
                <w:rPr>
                  <w:rStyle w:val="a3"/>
                  <w:rFonts w:eastAsia="Times New Roman"/>
                  <w:sz w:val="20"/>
                  <w:szCs w:val="20"/>
                </w:rPr>
                <w:t>Form of Confidentiality, Non-Competition and Non-Solicitation Agreement between UGI Corporation and Mr. Sean P. O’Brien.</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 (3/3</w:t>
            </w:r>
            <w:r>
              <w:rPr>
                <w:rFonts w:eastAsia="Times New Roman"/>
                <w:color w:val="000000"/>
                <w:sz w:val="20"/>
                <w:szCs w:val="20"/>
              </w:rPr>
              <w:t>1/23)</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*10.28**</w:t>
            </w:r>
          </w:p>
        </w:tc>
        <w:tc>
          <w:tcPr>
            <w:tcW w:w="0" w:type="auto"/>
            <w:gridSpan w:val="3"/>
            <w:tcMar>
              <w:top w:w="30" w:type="dxa"/>
              <w:left w:w="20" w:type="dxa"/>
              <w:bottom w:w="30" w:type="dxa"/>
              <w:right w:w="20" w:type="dxa"/>
            </w:tcMar>
            <w:hideMark/>
          </w:tcPr>
          <w:p w:rsidR="00000000" w:rsidRDefault="00AC31B9">
            <w:pPr>
              <w:spacing w:after="100"/>
              <w:divId w:val="453064185"/>
              <w:rPr>
                <w:rFonts w:eastAsia="Times New Roman"/>
              </w:rPr>
            </w:pPr>
            <w:hyperlink r:id="rId71" w:history="1">
              <w:r>
                <w:rPr>
                  <w:rStyle w:val="a3"/>
                  <w:rFonts w:eastAsia="Times New Roman"/>
                  <w:sz w:val="20"/>
                  <w:szCs w:val="20"/>
                </w:rPr>
                <w:t>Form of Confidentiality, Non-Competition and Non-Solicitation Agreement between UGI Corporation and Mr. John Koerwer.</w:t>
              </w:r>
            </w:hyperlink>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10.29**</w:t>
            </w:r>
          </w:p>
        </w:tc>
        <w:tc>
          <w:tcPr>
            <w:tcW w:w="0" w:type="auto"/>
            <w:gridSpan w:val="3"/>
            <w:tcMar>
              <w:top w:w="30" w:type="dxa"/>
              <w:left w:w="20" w:type="dxa"/>
              <w:bottom w:w="30" w:type="dxa"/>
              <w:right w:w="20" w:type="dxa"/>
            </w:tcMar>
            <w:hideMark/>
          </w:tcPr>
          <w:p w:rsidR="00000000" w:rsidRDefault="00AC31B9">
            <w:pPr>
              <w:spacing w:after="100"/>
              <w:divId w:val="558588085"/>
              <w:rPr>
                <w:rFonts w:eastAsia="Times New Roman"/>
              </w:rPr>
            </w:pPr>
            <w:hyperlink r:id="rId72" w:history="1">
              <w:r>
                <w:rPr>
                  <w:rStyle w:val="a3"/>
                  <w:rFonts w:eastAsia="Times New Roman"/>
                  <w:sz w:val="20"/>
                  <w:szCs w:val="20"/>
                </w:rPr>
                <w:t>Form of Change in Control Agreement between UGI Corporation and Messrs. Perreault</w:t>
              </w:r>
            </w:hyperlink>
            <w:hyperlink r:id="rId73" w:history="1">
              <w:r>
                <w:rPr>
                  <w:rStyle w:val="a3"/>
                  <w:rFonts w:eastAsia="Times New Roman"/>
                  <w:sz w:val="20"/>
                  <w:szCs w:val="20"/>
                </w:rPr>
                <w:t>, Beard, O</w:t>
              </w:r>
            </w:hyperlink>
            <w:hyperlink r:id="rId74" w:history="1">
              <w:r>
                <w:rPr>
                  <w:rStyle w:val="a3"/>
                  <w:rFonts w:eastAsia="Times New Roman"/>
                  <w:sz w:val="20"/>
                  <w:szCs w:val="20"/>
                </w:rPr>
                <w:t>’</w:t>
              </w:r>
            </w:hyperlink>
            <w:hyperlink r:id="rId75" w:history="1">
              <w:r>
                <w:rPr>
                  <w:rStyle w:val="a3"/>
                  <w:rFonts w:eastAsia="Times New Roman"/>
                  <w:sz w:val="20"/>
                  <w:szCs w:val="20"/>
                </w:rPr>
                <w:t>Brie</w:t>
              </w:r>
              <w:r>
                <w:rPr>
                  <w:rStyle w:val="a3"/>
                  <w:rFonts w:eastAsia="Times New Roman"/>
                  <w:sz w:val="20"/>
                  <w:szCs w:val="20"/>
                </w:rPr>
                <w:t>n and Koerwer</w:t>
              </w:r>
            </w:hyperlink>
            <w:hyperlink r:id="rId76" w:history="1">
              <w:r>
                <w:rPr>
                  <w:rStyle w:val="a3"/>
                  <w:rFonts w:eastAsia="Times New Roman"/>
                  <w:sz w:val="20"/>
                  <w:szCs w:val="20"/>
                </w:rPr>
                <w:t xml:space="preserve"> and </w:t>
              </w:r>
            </w:hyperlink>
            <w:hyperlink r:id="rId77" w:history="1">
              <w:r>
                <w:rPr>
                  <w:rStyle w:val="a3"/>
                  <w:rFonts w:eastAsia="Times New Roman"/>
                  <w:sz w:val="20"/>
                  <w:szCs w:val="20"/>
                </w:rPr>
                <w:t>Ms</w:t>
              </w:r>
            </w:hyperlink>
            <w:hyperlink r:id="rId78" w:history="1">
              <w:r>
                <w:rPr>
                  <w:rStyle w:val="a3"/>
                  <w:rFonts w:eastAsia="Times New Roman"/>
                  <w:sz w:val="20"/>
                  <w:szCs w:val="20"/>
                </w:rPr>
                <w:t xml:space="preserve">. </w:t>
              </w:r>
            </w:hyperlink>
            <w:hyperlink r:id="rId79" w:history="1">
              <w:r>
                <w:rPr>
                  <w:rStyle w:val="a3"/>
                  <w:rFonts w:eastAsia="Times New Roman"/>
                  <w:sz w:val="20"/>
                  <w:szCs w:val="20"/>
                </w:rPr>
                <w:t>Zagorski.</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10.32</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10.30</w:t>
            </w:r>
          </w:p>
        </w:tc>
        <w:tc>
          <w:tcPr>
            <w:tcW w:w="0" w:type="auto"/>
            <w:gridSpan w:val="3"/>
            <w:tcMar>
              <w:top w:w="30" w:type="dxa"/>
              <w:left w:w="20" w:type="dxa"/>
              <w:bottom w:w="30" w:type="dxa"/>
              <w:right w:w="20" w:type="dxa"/>
            </w:tcMar>
            <w:hideMark/>
          </w:tcPr>
          <w:p w:rsidR="00000000" w:rsidRDefault="00AC31B9">
            <w:pPr>
              <w:spacing w:after="100"/>
              <w:divId w:val="566845189"/>
              <w:rPr>
                <w:rFonts w:eastAsia="Times New Roman"/>
              </w:rPr>
            </w:pPr>
            <w:hyperlink r:id="rId80" w:history="1">
              <w:r>
                <w:rPr>
                  <w:rStyle w:val="a3"/>
                  <w:rFonts w:eastAsia="Times New Roman"/>
                  <w:sz w:val="20"/>
                  <w:szCs w:val="20"/>
                </w:rPr>
                <w:t>Form of Receivables Purchase Agreement, dated as of November 30, 2001, as amended through and including Amendment No. 18 thereto dated October 27, 2017, by and among UGI Energy Services, LLC, as servicer, Energy Services Funding Corporation,</w:t>
              </w:r>
              <w:r>
                <w:rPr>
                  <w:rStyle w:val="a3"/>
                  <w:rFonts w:eastAsia="Times New Roman"/>
                  <w:sz w:val="20"/>
                  <w:szCs w:val="20"/>
                </w:rPr>
                <w:t xml:space="preserve"> as seller, and PNC Bank, National Association, as issuer and administrator.</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(9/30/17)</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10.38</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10.31</w:t>
            </w:r>
          </w:p>
        </w:tc>
        <w:tc>
          <w:tcPr>
            <w:tcW w:w="0" w:type="auto"/>
            <w:gridSpan w:val="3"/>
            <w:tcMar>
              <w:top w:w="30" w:type="dxa"/>
              <w:left w:w="20" w:type="dxa"/>
              <w:bottom w:w="30" w:type="dxa"/>
              <w:right w:w="20" w:type="dxa"/>
            </w:tcMar>
            <w:hideMark/>
          </w:tcPr>
          <w:p w:rsidR="00000000" w:rsidRDefault="00AC31B9">
            <w:pPr>
              <w:spacing w:after="100"/>
              <w:divId w:val="1550261948"/>
              <w:rPr>
                <w:rFonts w:eastAsia="Times New Roman"/>
              </w:rPr>
            </w:pPr>
            <w:hyperlink r:id="rId81" w:history="1">
              <w:r>
                <w:rPr>
                  <w:rStyle w:val="a3"/>
                  <w:rFonts w:eastAsia="Times New Roman"/>
                  <w:sz w:val="20"/>
                  <w:szCs w:val="20"/>
                </w:rPr>
                <w:t>Amendment No. 19, dated as of October 26, 2018, to Receivables Purchase Agreement, dated as of November 30, 2001 (as amended, supplemented or modified from tim</w:t>
              </w:r>
              <w:r>
                <w:rPr>
                  <w:rStyle w:val="a3"/>
                  <w:rFonts w:eastAsia="Times New Roman"/>
                  <w:sz w:val="20"/>
                  <w:szCs w:val="20"/>
                </w:rPr>
                <w:t>e to time), by and among UGI Energy Services, LLC, as servicer,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(10/26/18)</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bl>
    <w:p w:rsidR="00000000" w:rsidRDefault="00AC31B9">
      <w:pPr>
        <w:jc w:val="center"/>
        <w:divId w:val="1310406047"/>
        <w:rPr>
          <w:rFonts w:eastAsia="Times New Roman"/>
        </w:rPr>
      </w:pPr>
      <w:r>
        <w:rPr>
          <w:rFonts w:eastAsia="Times New Roman"/>
          <w:color w:val="000000"/>
          <w:sz w:val="20"/>
          <w:szCs w:val="20"/>
        </w:rPr>
        <w:t>84</w:t>
      </w:r>
    </w:p>
    <w:p w:rsidR="00000000" w:rsidRDefault="00AC31B9">
      <w:pPr>
        <w:rPr>
          <w:rFonts w:eastAsia="Times New Roman"/>
        </w:rPr>
      </w:pPr>
      <w:r>
        <w:rPr>
          <w:rFonts w:eastAsia="Times New Roman"/>
        </w:rPr>
        <w:pict>
          <v:rect id="_x0000_i1111" style="width:0;height:1.5pt" o:hralign="center" o:hrstd="t" o:hr="t" fillcolor="#a0a0a0" stroked="f"/>
        </w:pict>
      </w:r>
    </w:p>
    <w:p w:rsidR="00000000" w:rsidRDefault="00AC31B9">
      <w:pPr>
        <w:divId w:val="1858499571"/>
        <w:rPr>
          <w:rFonts w:eastAsia="Times New Roman"/>
        </w:rPr>
      </w:pPr>
      <w:hyperlink w:anchor="ic92dd05487854a4eaece953328045c3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7"/>
        <w:gridCol w:w="55"/>
        <w:gridCol w:w="1693"/>
        <w:gridCol w:w="36"/>
        <w:gridCol w:w="56"/>
        <w:gridCol w:w="551"/>
        <w:gridCol w:w="38"/>
        <w:gridCol w:w="56"/>
        <w:gridCol w:w="551"/>
        <w:gridCol w:w="36"/>
        <w:gridCol w:w="57"/>
        <w:gridCol w:w="696"/>
        <w:gridCol w:w="36"/>
      </w:tblGrid>
      <w:tr w:rsidR="00000000">
        <w:trPr>
          <w:jc w:val="center"/>
        </w:trPr>
        <w:tc>
          <w:tcPr>
            <w:tcW w:w="50" w:type="pct"/>
            <w:vAlign w:val="center"/>
            <w:hideMark/>
          </w:tcPr>
          <w:p w:rsidR="00000000" w:rsidRDefault="00AC31B9">
            <w:pPr>
              <w:rPr>
                <w:rFonts w:eastAsia="Times New Roman"/>
              </w:rPr>
            </w:pPr>
          </w:p>
        </w:tc>
        <w:tc>
          <w:tcPr>
            <w:tcW w:w="7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4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21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10.32</w:t>
            </w:r>
          </w:p>
        </w:tc>
        <w:tc>
          <w:tcPr>
            <w:tcW w:w="0" w:type="auto"/>
            <w:gridSpan w:val="3"/>
            <w:tcMar>
              <w:top w:w="30" w:type="dxa"/>
              <w:left w:w="20" w:type="dxa"/>
              <w:bottom w:w="30" w:type="dxa"/>
              <w:right w:w="20" w:type="dxa"/>
            </w:tcMar>
            <w:hideMark/>
          </w:tcPr>
          <w:p w:rsidR="00000000" w:rsidRDefault="00AC31B9">
            <w:pPr>
              <w:spacing w:after="100"/>
              <w:divId w:val="871111675"/>
              <w:rPr>
                <w:rFonts w:eastAsia="Times New Roman"/>
              </w:rPr>
            </w:pPr>
            <w:hyperlink r:id="rId82" w:history="1">
              <w:r>
                <w:rPr>
                  <w:rStyle w:val="a3"/>
                  <w:rFonts w:eastAsia="Times New Roman"/>
                  <w:sz w:val="20"/>
                  <w:szCs w:val="20"/>
                </w:rPr>
                <w:t>Amendment No. 20, dated as of October 25, 2019, to Receivables Purchase Agreement, dated as of November 30, 2001 (as amended, supplemented or modified f</w:t>
              </w:r>
              <w:r>
                <w:rPr>
                  <w:rStyle w:val="a3"/>
                  <w:rFonts w:eastAsia="Times New Roman"/>
                  <w:sz w:val="20"/>
                  <w:szCs w:val="20"/>
                </w:rPr>
                <w:t>rom time to time), by and among UGI Energy Services, LLC, as servicer,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(10/25/19)</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10.33</w:t>
            </w:r>
          </w:p>
        </w:tc>
        <w:tc>
          <w:tcPr>
            <w:tcW w:w="0" w:type="auto"/>
            <w:gridSpan w:val="3"/>
            <w:tcMar>
              <w:top w:w="30" w:type="dxa"/>
              <w:left w:w="20" w:type="dxa"/>
              <w:bottom w:w="30" w:type="dxa"/>
              <w:right w:w="20" w:type="dxa"/>
            </w:tcMar>
            <w:hideMark/>
          </w:tcPr>
          <w:p w:rsidR="00000000" w:rsidRDefault="00AC31B9">
            <w:pPr>
              <w:spacing w:after="100"/>
              <w:divId w:val="160396616"/>
              <w:rPr>
                <w:rFonts w:eastAsia="Times New Roman"/>
              </w:rPr>
            </w:pPr>
            <w:hyperlink r:id="rId83" w:history="1">
              <w:r>
                <w:rPr>
                  <w:rStyle w:val="a3"/>
                  <w:rFonts w:eastAsia="Times New Roman"/>
                  <w:sz w:val="20"/>
                  <w:szCs w:val="20"/>
                </w:rPr>
                <w:t>Amendment No. 21, dated as of October 23, 2020, to Receivables Purchase Agreement, dated as of November 30, 2001, by and among UGI Energy Services, LLC, as s</w:t>
              </w:r>
              <w:r>
                <w:rPr>
                  <w:rStyle w:val="a3"/>
                  <w:rFonts w:eastAsia="Times New Roman"/>
                  <w:sz w:val="20"/>
                  <w:szCs w:val="20"/>
                </w:rPr>
                <w:t>ervicer,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(10/23/20)</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10.34</w:t>
            </w:r>
          </w:p>
        </w:tc>
        <w:tc>
          <w:tcPr>
            <w:tcW w:w="0" w:type="auto"/>
            <w:gridSpan w:val="3"/>
            <w:tcMar>
              <w:top w:w="30" w:type="dxa"/>
              <w:left w:w="20" w:type="dxa"/>
              <w:bottom w:w="30" w:type="dxa"/>
              <w:right w:w="20" w:type="dxa"/>
            </w:tcMar>
            <w:hideMark/>
          </w:tcPr>
          <w:p w:rsidR="00000000" w:rsidRDefault="00AC31B9">
            <w:pPr>
              <w:spacing w:after="100"/>
              <w:divId w:val="1877767349"/>
              <w:rPr>
                <w:rFonts w:eastAsia="Times New Roman"/>
              </w:rPr>
            </w:pPr>
            <w:hyperlink r:id="rId84" w:history="1">
              <w:r>
                <w:rPr>
                  <w:rStyle w:val="a3"/>
                  <w:rFonts w:eastAsia="Times New Roman"/>
                  <w:sz w:val="20"/>
                  <w:szCs w:val="20"/>
                </w:rPr>
                <w:t xml:space="preserve">Amendment No. 22, dated as of October 22, 2021, to Receivables Purchase Agreement, dated as of November 30, 2001, by and among UGI Energy Services, LLC, as </w:t>
              </w:r>
              <w:r>
                <w:rPr>
                  <w:rStyle w:val="a3"/>
                  <w:rFonts w:eastAsia="Times New Roman"/>
                  <w:sz w:val="20"/>
                  <w:szCs w:val="20"/>
                </w:rPr>
                <w:t>servicer,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(10/22/21)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10.35</w:t>
            </w:r>
          </w:p>
        </w:tc>
        <w:tc>
          <w:tcPr>
            <w:tcW w:w="0" w:type="auto"/>
            <w:gridSpan w:val="3"/>
            <w:tcMar>
              <w:top w:w="30" w:type="dxa"/>
              <w:left w:w="20" w:type="dxa"/>
              <w:bottom w:w="30" w:type="dxa"/>
              <w:right w:w="20" w:type="dxa"/>
            </w:tcMar>
            <w:hideMark/>
          </w:tcPr>
          <w:p w:rsidR="00000000" w:rsidRDefault="00AC31B9">
            <w:pPr>
              <w:spacing w:after="100"/>
              <w:divId w:val="1813791305"/>
              <w:rPr>
                <w:rFonts w:eastAsia="Times New Roman"/>
              </w:rPr>
            </w:pPr>
            <w:hyperlink r:id="rId85" w:history="1">
              <w:r>
                <w:rPr>
                  <w:rStyle w:val="a3"/>
                  <w:rFonts w:eastAsia="Times New Roman"/>
                  <w:sz w:val="20"/>
                  <w:szCs w:val="20"/>
                </w:rPr>
                <w:t>Amendment No. 23, dated as of October 21, 2022, to Receivables Purchase Agreement, dated as of November 30, 2001, by and among UGI Energy Services, LLC, as ser</w:t>
              </w:r>
              <w:r>
                <w:rPr>
                  <w:rStyle w:val="a3"/>
                  <w:rFonts w:eastAsia="Times New Roman"/>
                  <w:sz w:val="20"/>
                  <w:szCs w:val="20"/>
                </w:rPr>
                <w:t>vicer,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(10/20/22)</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10.36</w:t>
            </w:r>
          </w:p>
        </w:tc>
        <w:tc>
          <w:tcPr>
            <w:tcW w:w="0" w:type="auto"/>
            <w:gridSpan w:val="3"/>
            <w:tcMar>
              <w:top w:w="30" w:type="dxa"/>
              <w:left w:w="20" w:type="dxa"/>
              <w:bottom w:w="30" w:type="dxa"/>
              <w:right w:w="20" w:type="dxa"/>
            </w:tcMar>
            <w:hideMark/>
          </w:tcPr>
          <w:p w:rsidR="00000000" w:rsidRDefault="00AC31B9">
            <w:pPr>
              <w:spacing w:after="100"/>
              <w:divId w:val="2115902890"/>
              <w:rPr>
                <w:rFonts w:eastAsia="Times New Roman"/>
              </w:rPr>
            </w:pPr>
            <w:hyperlink r:id="rId86" w:history="1">
              <w:r>
                <w:rPr>
                  <w:rStyle w:val="a3"/>
                  <w:rFonts w:eastAsia="Times New Roman"/>
                  <w:sz w:val="20"/>
                  <w:szCs w:val="20"/>
                </w:rPr>
                <w:t>Amendment No. 24, dated as of October 20, 2023, to Receivables Purchase Agreement, dated as of November 30, 2001, by and among UGI Energy Services, LLC, as ser</w:t>
              </w:r>
              <w:r>
                <w:rPr>
                  <w:rStyle w:val="a3"/>
                  <w:rFonts w:eastAsia="Times New Roman"/>
                  <w:sz w:val="20"/>
                  <w:szCs w:val="20"/>
                </w:rPr>
                <w:t>vicer,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 xml:space="preserve">Form 8-K </w:t>
            </w:r>
            <w:r>
              <w:rPr>
                <w:rFonts w:eastAsia="Times New Roman"/>
                <w:color w:val="000000"/>
                <w:sz w:val="20"/>
                <w:szCs w:val="20"/>
              </w:rPr>
              <w:br/>
              <w:t>(10/20/23)</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bl>
    <w:p w:rsidR="00000000" w:rsidRDefault="00AC31B9">
      <w:pPr>
        <w:jc w:val="center"/>
        <w:divId w:val="136461697"/>
        <w:rPr>
          <w:rFonts w:eastAsia="Times New Roman"/>
        </w:rPr>
      </w:pPr>
      <w:r>
        <w:rPr>
          <w:rFonts w:eastAsia="Times New Roman"/>
          <w:color w:val="000000"/>
          <w:sz w:val="20"/>
          <w:szCs w:val="20"/>
        </w:rPr>
        <w:t>85</w:t>
      </w:r>
    </w:p>
    <w:p w:rsidR="00000000" w:rsidRDefault="00AC31B9">
      <w:pPr>
        <w:rPr>
          <w:rFonts w:eastAsia="Times New Roman"/>
        </w:rPr>
      </w:pPr>
      <w:r>
        <w:rPr>
          <w:rFonts w:eastAsia="Times New Roman"/>
        </w:rPr>
        <w:pict>
          <v:rect id="_x0000_i1112" style="width:0;height:1.5pt" o:hralign="center" o:hrstd="t" o:hr="t" fillcolor="#a0a0a0" stroked="f"/>
        </w:pict>
      </w:r>
    </w:p>
    <w:p w:rsidR="00000000" w:rsidRDefault="00AC31B9">
      <w:pPr>
        <w:divId w:val="2013993375"/>
        <w:rPr>
          <w:rFonts w:eastAsia="Times New Roman"/>
        </w:rPr>
      </w:pPr>
      <w:hyperlink w:anchor="ic92dd05487854a4eaece953328045c3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8"/>
        <w:gridCol w:w="55"/>
        <w:gridCol w:w="1693"/>
        <w:gridCol w:w="36"/>
        <w:gridCol w:w="55"/>
        <w:gridCol w:w="550"/>
        <w:gridCol w:w="38"/>
        <w:gridCol w:w="56"/>
        <w:gridCol w:w="551"/>
        <w:gridCol w:w="37"/>
        <w:gridCol w:w="57"/>
        <w:gridCol w:w="696"/>
        <w:gridCol w:w="36"/>
      </w:tblGrid>
      <w:tr w:rsidR="00000000">
        <w:trPr>
          <w:jc w:val="center"/>
        </w:trPr>
        <w:tc>
          <w:tcPr>
            <w:tcW w:w="50" w:type="pct"/>
            <w:vAlign w:val="center"/>
            <w:hideMark/>
          </w:tcPr>
          <w:p w:rsidR="00000000" w:rsidRDefault="00AC31B9">
            <w:pPr>
              <w:rPr>
                <w:rFonts w:eastAsia="Times New Roman"/>
              </w:rPr>
            </w:pPr>
          </w:p>
        </w:tc>
        <w:tc>
          <w:tcPr>
            <w:tcW w:w="7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4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21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10.37</w:t>
            </w:r>
          </w:p>
        </w:tc>
        <w:tc>
          <w:tcPr>
            <w:tcW w:w="0" w:type="auto"/>
            <w:gridSpan w:val="3"/>
            <w:tcMar>
              <w:top w:w="30" w:type="dxa"/>
              <w:left w:w="20" w:type="dxa"/>
              <w:bottom w:w="30" w:type="dxa"/>
              <w:right w:w="20" w:type="dxa"/>
            </w:tcMar>
            <w:hideMark/>
          </w:tcPr>
          <w:p w:rsidR="00000000" w:rsidRDefault="00AC31B9">
            <w:pPr>
              <w:spacing w:after="100"/>
              <w:divId w:val="505705610"/>
              <w:rPr>
                <w:rFonts w:eastAsia="Times New Roman"/>
              </w:rPr>
            </w:pPr>
            <w:hyperlink r:id="rId87" w:history="1">
              <w:r>
                <w:rPr>
                  <w:rStyle w:val="a3"/>
                  <w:rFonts w:eastAsia="Times New Roman"/>
                  <w:sz w:val="20"/>
                  <w:szCs w:val="20"/>
                </w:rPr>
                <w:t>Form of Purchase and Sale Agreement, dated as of November 30, 2001, as amended through and including Amendment No. 4 thereto dated October 1, 2013, b</w:t>
              </w:r>
              <w:r>
                <w:rPr>
                  <w:rStyle w:val="a3"/>
                  <w:rFonts w:eastAsia="Times New Roman"/>
                  <w:sz w:val="20"/>
                  <w:szCs w:val="20"/>
                </w:rPr>
                <w:t>y and between UGI Energy Services, LLC and Energy Services Funding Corporation.</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(9/30/17)</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10.39</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10.38</w:t>
            </w:r>
          </w:p>
        </w:tc>
        <w:tc>
          <w:tcPr>
            <w:tcW w:w="0" w:type="auto"/>
            <w:gridSpan w:val="3"/>
            <w:tcMar>
              <w:top w:w="30" w:type="dxa"/>
              <w:left w:w="20" w:type="dxa"/>
              <w:bottom w:w="30" w:type="dxa"/>
              <w:right w:w="20" w:type="dxa"/>
            </w:tcMar>
            <w:hideMark/>
          </w:tcPr>
          <w:p w:rsidR="00000000" w:rsidRDefault="00AC31B9">
            <w:pPr>
              <w:spacing w:after="100"/>
              <w:divId w:val="145440061"/>
              <w:rPr>
                <w:rFonts w:eastAsia="Times New Roman"/>
              </w:rPr>
            </w:pPr>
            <w:hyperlink r:id="rId88" w:history="1">
              <w:r>
                <w:rPr>
                  <w:rStyle w:val="a3"/>
                  <w:rFonts w:eastAsia="Times New Roman"/>
                  <w:sz w:val="20"/>
                  <w:szCs w:val="20"/>
                </w:rPr>
                <w:t>FSS Service Agreement No. 79028 effective as of December 1, 2019 by and between Columbia Gas Transmission, LLC and UGI Utilities, Inc.</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 xml:space="preserve">Form </w:t>
            </w:r>
            <w:r>
              <w:rPr>
                <w:rFonts w:eastAsia="Times New Roman"/>
                <w:color w:val="000000"/>
                <w:sz w:val="20"/>
                <w:szCs w:val="20"/>
              </w:rPr>
              <w:t>10-K</w:t>
            </w:r>
            <w:r>
              <w:rPr>
                <w:rFonts w:eastAsia="Times New Roman"/>
                <w:color w:val="000000"/>
                <w:sz w:val="20"/>
                <w:szCs w:val="20"/>
              </w:rPr>
              <w:br/>
              <w:t>(9/30/19)</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10.40</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10.39</w:t>
            </w:r>
          </w:p>
        </w:tc>
        <w:tc>
          <w:tcPr>
            <w:tcW w:w="0" w:type="auto"/>
            <w:gridSpan w:val="3"/>
            <w:tcMar>
              <w:top w:w="30" w:type="dxa"/>
              <w:left w:w="20" w:type="dxa"/>
              <w:bottom w:w="30" w:type="dxa"/>
              <w:right w:w="20" w:type="dxa"/>
            </w:tcMar>
            <w:hideMark/>
          </w:tcPr>
          <w:p w:rsidR="00000000" w:rsidRDefault="00AC31B9">
            <w:pPr>
              <w:spacing w:after="100"/>
              <w:divId w:val="2046054542"/>
              <w:rPr>
                <w:rFonts w:eastAsia="Times New Roman"/>
              </w:rPr>
            </w:pPr>
            <w:hyperlink r:id="rId89" w:history="1">
              <w:r>
                <w:rPr>
                  <w:rStyle w:val="a3"/>
                  <w:rFonts w:eastAsia="Times New Roman"/>
                  <w:sz w:val="20"/>
                  <w:szCs w:val="20"/>
                </w:rPr>
                <w:t>SST Service Agreement No. </w:t>
              </w:r>
              <w:r>
                <w:rPr>
                  <w:rStyle w:val="a3"/>
                  <w:rFonts w:eastAsia="Times New Roman"/>
                  <w:sz w:val="20"/>
                  <w:szCs w:val="20"/>
                </w:rPr>
                <w:t>79133 effective as of December 1, 2019 by and between Columbia Gas Transmission, LLC and UGI Utilities, Inc.</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(9/30/19)</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10.40</w:t>
            </w:r>
          </w:p>
        </w:tc>
        <w:tc>
          <w:tcPr>
            <w:tcW w:w="0" w:type="auto"/>
            <w:gridSpan w:val="3"/>
            <w:tcMar>
              <w:top w:w="30" w:type="dxa"/>
              <w:left w:w="20" w:type="dxa"/>
              <w:bottom w:w="30" w:type="dxa"/>
              <w:right w:w="20" w:type="dxa"/>
            </w:tcMar>
            <w:hideMark/>
          </w:tcPr>
          <w:p w:rsidR="00000000" w:rsidRDefault="00AC31B9">
            <w:pPr>
              <w:spacing w:after="100"/>
              <w:divId w:val="170726814"/>
              <w:rPr>
                <w:rFonts w:eastAsia="Times New Roman"/>
              </w:rPr>
            </w:pPr>
            <w:hyperlink r:id="rId90" w:history="1">
              <w:r>
                <w:rPr>
                  <w:rStyle w:val="a3"/>
                  <w:rFonts w:eastAsia="Times New Roman"/>
                  <w:sz w:val="20"/>
                  <w:szCs w:val="20"/>
                </w:rPr>
                <w:t>Gas Supply and Delivery Service Agreement between UGI Utilities, Inc. and UGI Energy Services, LLC, effective November 1, 2015.</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w:t>
            </w:r>
            <w:r>
              <w:rPr>
                <w:rFonts w:eastAsia="Times New Roman"/>
                <w:color w:val="000000"/>
                <w:sz w:val="20"/>
                <w:szCs w:val="20"/>
              </w:rPr>
              <w:t>rm 10-K (9/30/16)</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10.19</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10.41</w:t>
            </w:r>
          </w:p>
        </w:tc>
        <w:tc>
          <w:tcPr>
            <w:tcW w:w="0" w:type="auto"/>
            <w:gridSpan w:val="3"/>
            <w:tcMar>
              <w:top w:w="30" w:type="dxa"/>
              <w:left w:w="20" w:type="dxa"/>
              <w:bottom w:w="30" w:type="dxa"/>
              <w:right w:w="20" w:type="dxa"/>
            </w:tcMar>
            <w:hideMark/>
          </w:tcPr>
          <w:p w:rsidR="00000000" w:rsidRDefault="00AC31B9">
            <w:pPr>
              <w:spacing w:after="100"/>
              <w:divId w:val="1663267572"/>
              <w:rPr>
                <w:rFonts w:eastAsia="Times New Roman"/>
              </w:rPr>
            </w:pPr>
            <w:hyperlink r:id="rId91" w:history="1">
              <w:r>
                <w:rPr>
                  <w:rStyle w:val="a3"/>
                  <w:rFonts w:eastAsia="Times New Roman"/>
                  <w:sz w:val="20"/>
                  <w:szCs w:val="20"/>
                </w:rPr>
                <w:t>First Amendment, dated November 1, 2020, to Gas Supply and Delivery Service Agreement First Amendment, dated November 1, 2020, to Gas Supply and Delivery Service Agreement between UGI Utilities, Inc. and UGI Energy Services, LLC, effective November 1, 2015</w:t>
              </w:r>
              <w:r>
                <w:rPr>
                  <w:rStyle w:val="a3"/>
                  <w:rFonts w:eastAsia="Times New Roman"/>
                  <w:sz w:val="20"/>
                  <w:szCs w:val="20"/>
                </w:rPr>
                <w:t>. UGI Utilities, Inc. and UGI Energy Services, LLC, effective November 1, 2015.</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(9/30/20)</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10.42</w:t>
            </w:r>
          </w:p>
        </w:tc>
        <w:tc>
          <w:tcPr>
            <w:tcW w:w="0" w:type="auto"/>
            <w:gridSpan w:val="3"/>
            <w:tcMar>
              <w:top w:w="30" w:type="dxa"/>
              <w:left w:w="20" w:type="dxa"/>
              <w:bottom w:w="30" w:type="dxa"/>
              <w:right w:w="20" w:type="dxa"/>
            </w:tcMar>
            <w:hideMark/>
          </w:tcPr>
          <w:p w:rsidR="00000000" w:rsidRDefault="00AC31B9">
            <w:pPr>
              <w:spacing w:after="100"/>
              <w:divId w:val="546143341"/>
              <w:rPr>
                <w:rFonts w:eastAsia="Times New Roman"/>
              </w:rPr>
            </w:pPr>
            <w:hyperlink r:id="rId92" w:history="1">
              <w:r>
                <w:rPr>
                  <w:rStyle w:val="a3"/>
                  <w:rFonts w:eastAsia="Times New Roman"/>
                  <w:sz w:val="20"/>
                  <w:szCs w:val="20"/>
                </w:rPr>
                <w:t>Gas Supply and Delive</w:t>
              </w:r>
              <w:r>
                <w:rPr>
                  <w:rStyle w:val="a3"/>
                  <w:rFonts w:eastAsia="Times New Roman"/>
                  <w:sz w:val="20"/>
                  <w:szCs w:val="20"/>
                </w:rPr>
                <w:t>ry Service Agreement between UGI Utilities, Inc. and UGI Energy Services, LLC, effective November 1, 2020.</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(9/30/20)</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10.42</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10.43</w:t>
            </w:r>
          </w:p>
        </w:tc>
        <w:tc>
          <w:tcPr>
            <w:tcW w:w="0" w:type="auto"/>
            <w:gridSpan w:val="3"/>
            <w:tcMar>
              <w:top w:w="30" w:type="dxa"/>
              <w:left w:w="20" w:type="dxa"/>
              <w:bottom w:w="30" w:type="dxa"/>
              <w:right w:w="20" w:type="dxa"/>
            </w:tcMar>
            <w:hideMark/>
          </w:tcPr>
          <w:p w:rsidR="00000000" w:rsidRDefault="00AC31B9">
            <w:pPr>
              <w:spacing w:after="100"/>
              <w:divId w:val="361789844"/>
              <w:rPr>
                <w:rFonts w:eastAsia="Times New Roman"/>
              </w:rPr>
            </w:pPr>
            <w:hyperlink r:id="rId93" w:history="1">
              <w:r>
                <w:rPr>
                  <w:rStyle w:val="a3"/>
                  <w:rFonts w:eastAsia="Times New Roman"/>
                  <w:sz w:val="20"/>
                  <w:szCs w:val="20"/>
                </w:rPr>
                <w:t>Gas Supply and Delivery Service Agreement between UGI Utilities, Inc. and UGI Energy Services, LLC, effective November 1, 2021.</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w:t>
            </w:r>
            <w:r>
              <w:rPr>
                <w:rFonts w:eastAsia="Times New Roman"/>
                <w:color w:val="000000"/>
                <w:sz w:val="20"/>
                <w:szCs w:val="20"/>
              </w:rPr>
              <w:t>-K</w:t>
            </w:r>
            <w:r>
              <w:rPr>
                <w:rFonts w:eastAsia="Times New Roman"/>
                <w:color w:val="000000"/>
                <w:sz w:val="20"/>
                <w:szCs w:val="20"/>
              </w:rPr>
              <w:br/>
              <w:t>(9/30/21)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10.47</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10.44</w:t>
            </w:r>
          </w:p>
        </w:tc>
        <w:tc>
          <w:tcPr>
            <w:tcW w:w="0" w:type="auto"/>
            <w:gridSpan w:val="3"/>
            <w:tcMar>
              <w:top w:w="30" w:type="dxa"/>
              <w:left w:w="20" w:type="dxa"/>
              <w:bottom w:w="30" w:type="dxa"/>
              <w:right w:w="20" w:type="dxa"/>
            </w:tcMar>
            <w:hideMark/>
          </w:tcPr>
          <w:p w:rsidR="00000000" w:rsidRDefault="00AC31B9">
            <w:pPr>
              <w:spacing w:after="100"/>
              <w:divId w:val="1188566709"/>
              <w:rPr>
                <w:rFonts w:eastAsia="Times New Roman"/>
              </w:rPr>
            </w:pPr>
            <w:hyperlink r:id="rId94" w:history="1">
              <w:r>
                <w:rPr>
                  <w:rStyle w:val="a3"/>
                  <w:rFonts w:eastAsia="Times New Roman"/>
                  <w:sz w:val="20"/>
                  <w:szCs w:val="20"/>
                </w:rPr>
                <w:t>Credit Agreement, dated October 31, 2017, by and among UGI Utilities, Inc., PNC Bank National Association, as administrative agent, The Bank of New York Mellon, as syndication agent, and certain other lenders named therein.</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(10/31/17</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bl>
    <w:p w:rsidR="00000000" w:rsidRDefault="00AC31B9">
      <w:pPr>
        <w:jc w:val="center"/>
        <w:divId w:val="1565793775"/>
        <w:rPr>
          <w:rFonts w:eastAsia="Times New Roman"/>
        </w:rPr>
      </w:pPr>
      <w:r>
        <w:rPr>
          <w:rFonts w:eastAsia="Times New Roman"/>
          <w:color w:val="000000"/>
          <w:sz w:val="20"/>
          <w:szCs w:val="20"/>
        </w:rPr>
        <w:t>86</w:t>
      </w:r>
    </w:p>
    <w:p w:rsidR="00000000" w:rsidRDefault="00AC31B9">
      <w:pPr>
        <w:rPr>
          <w:rFonts w:eastAsia="Times New Roman"/>
        </w:rPr>
      </w:pPr>
      <w:r>
        <w:rPr>
          <w:rFonts w:eastAsia="Times New Roman"/>
        </w:rPr>
        <w:pict>
          <v:rect id="_x0000_i1113" style="width:0;height:1.5pt" o:hralign="center" o:hrstd="t" o:hr="t" fillcolor="#a0a0a0" stroked="f"/>
        </w:pict>
      </w:r>
    </w:p>
    <w:p w:rsidR="00000000" w:rsidRDefault="00AC31B9">
      <w:pPr>
        <w:divId w:val="2061705275"/>
        <w:rPr>
          <w:rFonts w:eastAsia="Times New Roman"/>
        </w:rPr>
      </w:pPr>
      <w:hyperlink w:anchor="ic92dd05487854a4eaece953328045c3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8"/>
        <w:gridCol w:w="55"/>
        <w:gridCol w:w="1693"/>
        <w:gridCol w:w="36"/>
        <w:gridCol w:w="56"/>
        <w:gridCol w:w="551"/>
        <w:gridCol w:w="37"/>
        <w:gridCol w:w="56"/>
        <w:gridCol w:w="551"/>
        <w:gridCol w:w="36"/>
        <w:gridCol w:w="57"/>
        <w:gridCol w:w="696"/>
        <w:gridCol w:w="36"/>
      </w:tblGrid>
      <w:tr w:rsidR="00000000">
        <w:trPr>
          <w:jc w:val="center"/>
        </w:trPr>
        <w:tc>
          <w:tcPr>
            <w:tcW w:w="50" w:type="pct"/>
            <w:vAlign w:val="center"/>
            <w:hideMark/>
          </w:tcPr>
          <w:p w:rsidR="00000000" w:rsidRDefault="00AC31B9">
            <w:pPr>
              <w:rPr>
                <w:rFonts w:eastAsia="Times New Roman"/>
              </w:rPr>
            </w:pPr>
          </w:p>
        </w:tc>
        <w:tc>
          <w:tcPr>
            <w:tcW w:w="7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4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21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10.45</w:t>
            </w:r>
          </w:p>
        </w:tc>
        <w:tc>
          <w:tcPr>
            <w:tcW w:w="0" w:type="auto"/>
            <w:gridSpan w:val="3"/>
            <w:tcMar>
              <w:top w:w="30" w:type="dxa"/>
              <w:left w:w="20" w:type="dxa"/>
              <w:bottom w:w="30" w:type="dxa"/>
              <w:right w:w="20" w:type="dxa"/>
            </w:tcMar>
            <w:hideMark/>
          </w:tcPr>
          <w:p w:rsidR="00000000" w:rsidRDefault="00AC31B9">
            <w:pPr>
              <w:spacing w:after="100"/>
              <w:divId w:val="1728139411"/>
              <w:rPr>
                <w:rFonts w:eastAsia="Times New Roman"/>
              </w:rPr>
            </w:pPr>
            <w:hyperlink r:id="rId95" w:history="1">
              <w:r>
                <w:rPr>
                  <w:rStyle w:val="a3"/>
                  <w:rFonts w:eastAsia="Times New Roman"/>
                  <w:sz w:val="20"/>
                  <w:szCs w:val="20"/>
                </w:rPr>
                <w:t>First Amendment to Credit Agreement, dated July 12, 2022, by and among UGI Utilities, Inc., the lenders party thereto and PNC Bank, National Association, as administ</w:t>
              </w:r>
              <w:r>
                <w:rPr>
                  <w:rStyle w:val="a3"/>
                  <w:rFonts w:eastAsia="Times New Roman"/>
                  <w:sz w:val="20"/>
                  <w:szCs w:val="20"/>
                </w:rPr>
                <w:t>rative agent.</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(7/21/22)</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10.46</w:t>
            </w:r>
          </w:p>
        </w:tc>
        <w:tc>
          <w:tcPr>
            <w:tcW w:w="0" w:type="auto"/>
            <w:gridSpan w:val="3"/>
            <w:tcMar>
              <w:top w:w="30" w:type="dxa"/>
              <w:left w:w="20" w:type="dxa"/>
              <w:bottom w:w="30" w:type="dxa"/>
              <w:right w:w="20" w:type="dxa"/>
            </w:tcMar>
            <w:hideMark/>
          </w:tcPr>
          <w:p w:rsidR="00000000" w:rsidRDefault="00AC31B9">
            <w:pPr>
              <w:spacing w:after="100"/>
              <w:divId w:val="636960807"/>
              <w:rPr>
                <w:rFonts w:eastAsia="Times New Roman"/>
              </w:rPr>
            </w:pPr>
            <w:hyperlink r:id="rId96" w:history="1">
              <w:r>
                <w:rPr>
                  <w:rStyle w:val="a3"/>
                  <w:rFonts w:eastAsia="Times New Roman"/>
                  <w:sz w:val="20"/>
                  <w:szCs w:val="20"/>
                </w:rPr>
                <w:t>Credit Agreement, dated as of August 13, 2019, by and among UGI Energy Services, LLC, as borrow</w:t>
              </w:r>
              <w:r>
                <w:rPr>
                  <w:rStyle w:val="a3"/>
                  <w:rFonts w:eastAsia="Times New Roman"/>
                  <w:sz w:val="20"/>
                  <w:szCs w:val="20"/>
                </w:rPr>
                <w:t>er, Credit Suisse AG, Cayman Islands Branch, as administrative agent and collateral agent, and the lenders party thereto.</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(8/13/19)</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10.47</w:t>
            </w:r>
          </w:p>
        </w:tc>
        <w:tc>
          <w:tcPr>
            <w:tcW w:w="0" w:type="auto"/>
            <w:gridSpan w:val="3"/>
            <w:tcMar>
              <w:top w:w="30" w:type="dxa"/>
              <w:left w:w="20" w:type="dxa"/>
              <w:bottom w:w="30" w:type="dxa"/>
              <w:right w:w="20" w:type="dxa"/>
            </w:tcMar>
            <w:hideMark/>
          </w:tcPr>
          <w:p w:rsidR="00000000" w:rsidRDefault="00AC31B9">
            <w:pPr>
              <w:spacing w:after="100"/>
              <w:divId w:val="983891986"/>
              <w:rPr>
                <w:rFonts w:eastAsia="Times New Roman"/>
              </w:rPr>
            </w:pPr>
            <w:hyperlink r:id="rId97" w:history="1">
              <w:r>
                <w:rPr>
                  <w:rStyle w:val="a3"/>
                  <w:rFonts w:eastAsia="Times New Roman"/>
                  <w:sz w:val="20"/>
                  <w:szCs w:val="20"/>
                </w:rPr>
                <w:t>First Amendment to Credit Agreement, dated February 23, 2023, by and among UGI Energy Services, LLC, the guarantors party thereto, the lenders party theret</w:t>
              </w:r>
              <w:r>
                <w:rPr>
                  <w:rStyle w:val="a3"/>
                  <w:rFonts w:eastAsia="Times New Roman"/>
                  <w:sz w:val="20"/>
                  <w:szCs w:val="20"/>
                </w:rPr>
                <w:t>o and Credit Suisse AG, Cayman Islands Branch, as administrative agent.</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(2/23/23)</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10.48</w:t>
            </w:r>
          </w:p>
        </w:tc>
        <w:tc>
          <w:tcPr>
            <w:tcW w:w="0" w:type="auto"/>
            <w:gridSpan w:val="3"/>
            <w:tcMar>
              <w:top w:w="30" w:type="dxa"/>
              <w:left w:w="20" w:type="dxa"/>
              <w:bottom w:w="30" w:type="dxa"/>
              <w:right w:w="20" w:type="dxa"/>
            </w:tcMar>
            <w:hideMark/>
          </w:tcPr>
          <w:p w:rsidR="00000000" w:rsidRDefault="00AC31B9">
            <w:pPr>
              <w:spacing w:after="100"/>
              <w:divId w:val="1216430391"/>
              <w:rPr>
                <w:rFonts w:eastAsia="Times New Roman"/>
              </w:rPr>
            </w:pPr>
            <w:hyperlink r:id="rId98" w:history="1">
              <w:r>
                <w:rPr>
                  <w:rStyle w:val="a3"/>
                  <w:rFonts w:eastAsia="Times New Roman"/>
                  <w:sz w:val="20"/>
                  <w:szCs w:val="20"/>
                </w:rPr>
                <w:t>Third Amended and Restated Credit Agreement, dated as of March 6, 2020, by and among UGI Energy Services, LLC, as borrower, JPMorgan Chase Bank, N.A., as administrative agent, PNC Bank, National Association, as syndication agent, and Wells Fargo Bank, Nati</w:t>
              </w:r>
              <w:r>
                <w:rPr>
                  <w:rStyle w:val="a3"/>
                  <w:rFonts w:eastAsia="Times New Roman"/>
                  <w:sz w:val="20"/>
                  <w:szCs w:val="20"/>
                </w:rPr>
                <w:t>onal Association, as documentation agent.</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(3/6/20)</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10.49</w:t>
            </w:r>
          </w:p>
        </w:tc>
        <w:tc>
          <w:tcPr>
            <w:tcW w:w="0" w:type="auto"/>
            <w:gridSpan w:val="3"/>
            <w:tcMar>
              <w:top w:w="30" w:type="dxa"/>
              <w:left w:w="20" w:type="dxa"/>
              <w:bottom w:w="30" w:type="dxa"/>
              <w:right w:w="20" w:type="dxa"/>
            </w:tcMar>
            <w:hideMark/>
          </w:tcPr>
          <w:p w:rsidR="00000000" w:rsidRDefault="00AC31B9">
            <w:pPr>
              <w:spacing w:after="100"/>
              <w:divId w:val="2141486626"/>
              <w:rPr>
                <w:rFonts w:eastAsia="Times New Roman"/>
              </w:rPr>
            </w:pPr>
            <w:hyperlink r:id="rId99" w:history="1">
              <w:r>
                <w:rPr>
                  <w:rStyle w:val="a3"/>
                  <w:rFonts w:eastAsia="Times New Roman"/>
                  <w:sz w:val="20"/>
                  <w:szCs w:val="20"/>
                </w:rPr>
                <w:t xml:space="preserve">Second Amendment to the Third Amended and Restated Credit Agreement, dated as of May 12, 2023, by and among UGI Energy Services, LLC, the lenders party thereto and </w:t>
              </w:r>
              <w:r>
                <w:rPr>
                  <w:rStyle w:val="a3"/>
                  <w:rFonts w:eastAsia="Times New Roman"/>
                  <w:sz w:val="20"/>
                  <w:szCs w:val="20"/>
                </w:rPr>
                <w:t>JPMorgan Chase Bank, N.A., as administrative agent.</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(5/12/23)</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10.2</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10.50</w:t>
            </w:r>
          </w:p>
        </w:tc>
        <w:tc>
          <w:tcPr>
            <w:tcW w:w="0" w:type="auto"/>
            <w:gridSpan w:val="3"/>
            <w:tcMar>
              <w:top w:w="30" w:type="dxa"/>
              <w:left w:w="20" w:type="dxa"/>
              <w:bottom w:w="30" w:type="dxa"/>
              <w:right w:w="20" w:type="dxa"/>
            </w:tcMar>
            <w:hideMark/>
          </w:tcPr>
          <w:p w:rsidR="00000000" w:rsidRDefault="00AC31B9">
            <w:pPr>
              <w:spacing w:after="100"/>
              <w:divId w:val="476263916"/>
              <w:rPr>
                <w:rFonts w:eastAsia="Times New Roman"/>
              </w:rPr>
            </w:pPr>
            <w:hyperlink r:id="rId100" w:history="1">
              <w:r>
                <w:rPr>
                  <w:rStyle w:val="a3"/>
                  <w:rFonts w:eastAsia="Times New Roman"/>
                  <w:sz w:val="20"/>
                  <w:szCs w:val="20"/>
                </w:rPr>
                <w:t>Amended and Restated Credit Agreement, dated as of May 4, 2021, by and among UGI Corporation and JPMorgan Chase Bank, N.A., as administrative agent, Citi</w:t>
              </w:r>
              <w:r>
                <w:rPr>
                  <w:rStyle w:val="a3"/>
                  <w:rFonts w:eastAsia="Times New Roman"/>
                  <w:sz w:val="20"/>
                  <w:szCs w:val="20"/>
                </w:rPr>
                <w:t>zens Bank, N.A., PNC Bank, National Association and Wells Fargo Bank, National Association, as co-documentation agents, and the other financial institutions from time to time party thereto.</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(5/4/21)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bl>
    <w:p w:rsidR="00000000" w:rsidRDefault="00AC31B9">
      <w:pPr>
        <w:jc w:val="center"/>
        <w:divId w:val="1308389485"/>
        <w:rPr>
          <w:rFonts w:eastAsia="Times New Roman"/>
        </w:rPr>
      </w:pPr>
      <w:r>
        <w:rPr>
          <w:rFonts w:eastAsia="Times New Roman"/>
          <w:color w:val="000000"/>
          <w:sz w:val="20"/>
          <w:szCs w:val="20"/>
        </w:rPr>
        <w:t>87</w:t>
      </w:r>
    </w:p>
    <w:p w:rsidR="00000000" w:rsidRDefault="00AC31B9">
      <w:pPr>
        <w:rPr>
          <w:rFonts w:eastAsia="Times New Roman"/>
        </w:rPr>
      </w:pPr>
      <w:r>
        <w:rPr>
          <w:rFonts w:eastAsia="Times New Roman"/>
        </w:rPr>
        <w:pict>
          <v:rect id="_x0000_i1114" style="width:0;height:1.5pt" o:hralign="center" o:hrstd="t" o:hr="t" fillcolor="#a0a0a0" stroked="f"/>
        </w:pict>
      </w:r>
    </w:p>
    <w:p w:rsidR="00000000" w:rsidRDefault="00AC31B9">
      <w:pPr>
        <w:divId w:val="913709313"/>
        <w:rPr>
          <w:rFonts w:eastAsia="Times New Roman"/>
        </w:rPr>
      </w:pPr>
      <w:hyperlink w:anchor="ic92dd05487854a4eaece953328045c3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7"/>
        <w:gridCol w:w="55"/>
        <w:gridCol w:w="1693"/>
        <w:gridCol w:w="36"/>
        <w:gridCol w:w="55"/>
        <w:gridCol w:w="551"/>
        <w:gridCol w:w="38"/>
        <w:gridCol w:w="56"/>
        <w:gridCol w:w="551"/>
        <w:gridCol w:w="37"/>
        <w:gridCol w:w="57"/>
        <w:gridCol w:w="696"/>
        <w:gridCol w:w="36"/>
      </w:tblGrid>
      <w:tr w:rsidR="00000000">
        <w:trPr>
          <w:jc w:val="center"/>
        </w:trPr>
        <w:tc>
          <w:tcPr>
            <w:tcW w:w="50" w:type="pct"/>
            <w:vAlign w:val="center"/>
            <w:hideMark/>
          </w:tcPr>
          <w:p w:rsidR="00000000" w:rsidRDefault="00AC31B9">
            <w:pPr>
              <w:rPr>
                <w:rFonts w:eastAsia="Times New Roman"/>
              </w:rPr>
            </w:pPr>
          </w:p>
        </w:tc>
        <w:tc>
          <w:tcPr>
            <w:tcW w:w="7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4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21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10.51</w:t>
            </w:r>
          </w:p>
        </w:tc>
        <w:tc>
          <w:tcPr>
            <w:tcW w:w="0" w:type="auto"/>
            <w:gridSpan w:val="3"/>
            <w:tcMar>
              <w:top w:w="30" w:type="dxa"/>
              <w:left w:w="20" w:type="dxa"/>
              <w:bottom w:w="30" w:type="dxa"/>
              <w:right w:w="20" w:type="dxa"/>
            </w:tcMar>
            <w:hideMark/>
          </w:tcPr>
          <w:p w:rsidR="00000000" w:rsidRDefault="00AC31B9">
            <w:pPr>
              <w:spacing w:after="100"/>
              <w:divId w:val="1084230651"/>
              <w:rPr>
                <w:rFonts w:eastAsia="Times New Roman"/>
              </w:rPr>
            </w:pPr>
            <w:hyperlink r:id="rId101" w:history="1">
              <w:r>
                <w:rPr>
                  <w:rStyle w:val="a3"/>
                  <w:rFonts w:eastAsia="Times New Roman"/>
                  <w:sz w:val="20"/>
                  <w:szCs w:val="20"/>
                </w:rPr>
                <w:t>First Amendment to the Amended and Restated Credit Agreement, dated as of June 23, 2021, by and among UGI Corporation, as borrower, JPMorgan Ch</w:t>
              </w:r>
              <w:r>
                <w:rPr>
                  <w:rStyle w:val="a3"/>
                  <w:rFonts w:eastAsia="Times New Roman"/>
                  <w:sz w:val="20"/>
                  <w:szCs w:val="20"/>
                </w:rPr>
                <w:t>ase Bank, N.A., as administrative agent, and the lenders party thereto.</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10.6</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10.52</w:t>
            </w:r>
          </w:p>
        </w:tc>
        <w:tc>
          <w:tcPr>
            <w:tcW w:w="0" w:type="auto"/>
            <w:gridSpan w:val="3"/>
            <w:tcMar>
              <w:top w:w="30" w:type="dxa"/>
              <w:left w:w="20" w:type="dxa"/>
              <w:bottom w:w="30" w:type="dxa"/>
              <w:right w:w="20" w:type="dxa"/>
            </w:tcMar>
            <w:hideMark/>
          </w:tcPr>
          <w:p w:rsidR="00000000" w:rsidRDefault="00AC31B9">
            <w:pPr>
              <w:spacing w:after="100"/>
              <w:divId w:val="651980736"/>
              <w:rPr>
                <w:rFonts w:eastAsia="Times New Roman"/>
              </w:rPr>
            </w:pPr>
            <w:hyperlink r:id="rId102" w:history="1">
              <w:r>
                <w:rPr>
                  <w:rStyle w:val="a3"/>
                  <w:rFonts w:eastAsia="Times New Roman"/>
                  <w:sz w:val="20"/>
                  <w:szCs w:val="20"/>
                </w:rPr>
                <w:t xml:space="preserve">Second Amendment to the Amended and Restated Credit Agreement, dated as of May 12, 2023, by and among UGI Corporation, the lenders party thereto and JPMorgan Chase </w:t>
              </w:r>
              <w:r>
                <w:rPr>
                  <w:rStyle w:val="a3"/>
                  <w:rFonts w:eastAsia="Times New Roman"/>
                  <w:sz w:val="20"/>
                  <w:szCs w:val="20"/>
                </w:rPr>
                <w:t>Bank, N.A., as administrative agent.</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(5/12/23)</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10.53</w:t>
            </w:r>
          </w:p>
        </w:tc>
        <w:tc>
          <w:tcPr>
            <w:tcW w:w="0" w:type="auto"/>
            <w:gridSpan w:val="3"/>
            <w:tcMar>
              <w:top w:w="30" w:type="dxa"/>
              <w:left w:w="20" w:type="dxa"/>
              <w:bottom w:w="30" w:type="dxa"/>
              <w:right w:w="20" w:type="dxa"/>
            </w:tcMar>
            <w:hideMark/>
          </w:tcPr>
          <w:p w:rsidR="00000000" w:rsidRDefault="00AC31B9">
            <w:pPr>
              <w:spacing w:after="100"/>
              <w:divId w:val="1316496675"/>
              <w:rPr>
                <w:rFonts w:eastAsia="Times New Roman"/>
              </w:rPr>
            </w:pPr>
            <w:hyperlink r:id="rId103" w:history="1">
              <w:r>
                <w:rPr>
                  <w:rStyle w:val="a3"/>
                  <w:rFonts w:eastAsia="Times New Roman"/>
                  <w:sz w:val="20"/>
                  <w:szCs w:val="20"/>
                </w:rPr>
                <w:t xml:space="preserve">Third Amendment to the Amended and Restated Credit Agreement, dated as of </w:t>
              </w:r>
              <w:r>
                <w:rPr>
                  <w:rStyle w:val="a3"/>
                  <w:rFonts w:eastAsia="Times New Roman"/>
                  <w:sz w:val="20"/>
                  <w:szCs w:val="20"/>
                </w:rPr>
                <w:t>September 20, 2023, by and among UGI Corporation, the lenders party thereto and JPMorgan Chase Bank, N.A., as administrative agent.</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(9/20/23)</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10.54</w:t>
            </w:r>
          </w:p>
        </w:tc>
        <w:tc>
          <w:tcPr>
            <w:tcW w:w="0" w:type="auto"/>
            <w:gridSpan w:val="3"/>
            <w:tcMar>
              <w:top w:w="30" w:type="dxa"/>
              <w:left w:w="20" w:type="dxa"/>
              <w:bottom w:w="30" w:type="dxa"/>
              <w:right w:w="20" w:type="dxa"/>
            </w:tcMar>
            <w:hideMark/>
          </w:tcPr>
          <w:p w:rsidR="00000000" w:rsidRDefault="00AC31B9">
            <w:pPr>
              <w:spacing w:after="100"/>
              <w:divId w:val="1142884886"/>
              <w:rPr>
                <w:rFonts w:eastAsia="Times New Roman"/>
              </w:rPr>
            </w:pPr>
            <w:hyperlink r:id="rId104" w:history="1">
              <w:r>
                <w:rPr>
                  <w:rStyle w:val="a3"/>
                  <w:rFonts w:eastAsia="Times New Roman"/>
                  <w:sz w:val="20"/>
                  <w:szCs w:val="20"/>
                </w:rPr>
                <w:t xml:space="preserve">Credit Agreement, dated as of September 28, 2022, by and among AmeriGas Propane, L.P., AmeriGas Propane, Inc., the lenders from time to time party thereto and </w:t>
              </w:r>
              <w:r>
                <w:rPr>
                  <w:rStyle w:val="a3"/>
                  <w:rFonts w:eastAsia="Times New Roman"/>
                  <w:sz w:val="20"/>
                  <w:szCs w:val="20"/>
                </w:rPr>
                <w:t>Wells Fargo Bank, National Association, as administrative agent.</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(9/28/22)</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10.55</w:t>
            </w:r>
          </w:p>
        </w:tc>
        <w:tc>
          <w:tcPr>
            <w:tcW w:w="0" w:type="auto"/>
            <w:gridSpan w:val="3"/>
            <w:tcMar>
              <w:top w:w="30" w:type="dxa"/>
              <w:left w:w="20" w:type="dxa"/>
              <w:bottom w:w="30" w:type="dxa"/>
              <w:right w:w="20" w:type="dxa"/>
            </w:tcMar>
            <w:hideMark/>
          </w:tcPr>
          <w:p w:rsidR="00000000" w:rsidRDefault="00AC31B9">
            <w:pPr>
              <w:spacing w:after="100"/>
              <w:divId w:val="1769111332"/>
              <w:rPr>
                <w:rFonts w:eastAsia="Times New Roman"/>
              </w:rPr>
            </w:pPr>
            <w:hyperlink r:id="rId105" w:history="1">
              <w:r>
                <w:rPr>
                  <w:rStyle w:val="a3"/>
                  <w:rFonts w:eastAsia="Times New Roman"/>
                  <w:sz w:val="20"/>
                  <w:szCs w:val="20"/>
                </w:rPr>
                <w:t>First Amendment to Credit Agreement, dated November 15, 2023, by and among AmeriGas Propane, L.P., AmeriGas Propane, Inc., the lenders party th</w:t>
              </w:r>
              <w:r>
                <w:rPr>
                  <w:rStyle w:val="a3"/>
                  <w:rFonts w:eastAsia="Times New Roman"/>
                  <w:sz w:val="20"/>
                  <w:szCs w:val="20"/>
                </w:rPr>
                <w:t>ereto and Wells Fargo Bank, National Association, as administrative agent.</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(11/15/23)</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10.56</w:t>
            </w:r>
          </w:p>
        </w:tc>
        <w:tc>
          <w:tcPr>
            <w:tcW w:w="0" w:type="auto"/>
            <w:gridSpan w:val="3"/>
            <w:tcMar>
              <w:top w:w="30" w:type="dxa"/>
              <w:left w:w="20" w:type="dxa"/>
              <w:bottom w:w="30" w:type="dxa"/>
              <w:right w:w="20" w:type="dxa"/>
            </w:tcMar>
            <w:hideMark/>
          </w:tcPr>
          <w:p w:rsidR="00000000" w:rsidRDefault="00AC31B9">
            <w:pPr>
              <w:spacing w:after="100"/>
              <w:divId w:val="1032656480"/>
              <w:rPr>
                <w:rFonts w:eastAsia="Times New Roman"/>
              </w:rPr>
            </w:pPr>
            <w:hyperlink r:id="rId106" w:history="1">
              <w:r>
                <w:rPr>
                  <w:rStyle w:val="a3"/>
                  <w:rFonts w:eastAsia="Times New Roman"/>
                  <w:sz w:val="20"/>
                  <w:szCs w:val="20"/>
                </w:rPr>
                <w:t>Third Amendment to Third Amended and Restated Credit Agreement, dated as of October 20, 2022, by and among Mountaineer Gas Company, as borrower, the lenders pa</w:t>
              </w:r>
              <w:r>
                <w:rPr>
                  <w:rStyle w:val="a3"/>
                  <w:rFonts w:eastAsia="Times New Roman"/>
                  <w:sz w:val="20"/>
                  <w:szCs w:val="20"/>
                </w:rPr>
                <w:t>rty thereto and Truist Bank, as administrative agent, letter of credit issuer and swing line lender</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(10/20/22)</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bl>
    <w:p w:rsidR="00000000" w:rsidRDefault="00AC31B9">
      <w:pPr>
        <w:jc w:val="center"/>
        <w:divId w:val="559902735"/>
        <w:rPr>
          <w:rFonts w:eastAsia="Times New Roman"/>
        </w:rPr>
      </w:pPr>
      <w:r>
        <w:rPr>
          <w:rFonts w:eastAsia="Times New Roman"/>
          <w:color w:val="000000"/>
          <w:sz w:val="20"/>
          <w:szCs w:val="20"/>
        </w:rPr>
        <w:t>88</w:t>
      </w:r>
    </w:p>
    <w:p w:rsidR="00000000" w:rsidRDefault="00AC31B9">
      <w:pPr>
        <w:rPr>
          <w:rFonts w:eastAsia="Times New Roman"/>
        </w:rPr>
      </w:pPr>
      <w:r>
        <w:rPr>
          <w:rFonts w:eastAsia="Times New Roman"/>
        </w:rPr>
        <w:pict>
          <v:rect id="_x0000_i1115" style="width:0;height:1.5pt" o:hralign="center" o:hrstd="t" o:hr="t" fillcolor="#a0a0a0" stroked="f"/>
        </w:pict>
      </w:r>
    </w:p>
    <w:p w:rsidR="00000000" w:rsidRDefault="00AC31B9">
      <w:pPr>
        <w:divId w:val="874853337"/>
        <w:rPr>
          <w:rFonts w:eastAsia="Times New Roman"/>
        </w:rPr>
      </w:pPr>
      <w:hyperlink w:anchor="ic92dd05487854a4eaece953328045c3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7"/>
        <w:gridCol w:w="1010"/>
        <w:gridCol w:w="39"/>
        <w:gridCol w:w="55"/>
        <w:gridCol w:w="1985"/>
        <w:gridCol w:w="37"/>
        <w:gridCol w:w="55"/>
        <w:gridCol w:w="1693"/>
        <w:gridCol w:w="36"/>
        <w:gridCol w:w="55"/>
        <w:gridCol w:w="550"/>
        <w:gridCol w:w="39"/>
        <w:gridCol w:w="55"/>
        <w:gridCol w:w="550"/>
        <w:gridCol w:w="37"/>
        <w:gridCol w:w="57"/>
        <w:gridCol w:w="696"/>
        <w:gridCol w:w="36"/>
      </w:tblGrid>
      <w:tr w:rsidR="00000000">
        <w:trPr>
          <w:jc w:val="center"/>
        </w:trPr>
        <w:tc>
          <w:tcPr>
            <w:tcW w:w="50" w:type="pct"/>
            <w:vAlign w:val="center"/>
            <w:hideMark/>
          </w:tcPr>
          <w:p w:rsidR="00000000" w:rsidRDefault="00AC31B9">
            <w:pPr>
              <w:rPr>
                <w:rFonts w:eastAsia="Times New Roman"/>
              </w:rPr>
            </w:pPr>
          </w:p>
        </w:tc>
        <w:tc>
          <w:tcPr>
            <w:tcW w:w="7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4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21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10.57</w:t>
            </w:r>
          </w:p>
        </w:tc>
        <w:tc>
          <w:tcPr>
            <w:tcW w:w="0" w:type="auto"/>
            <w:gridSpan w:val="3"/>
            <w:tcMar>
              <w:top w:w="30" w:type="dxa"/>
              <w:left w:w="20" w:type="dxa"/>
              <w:bottom w:w="30" w:type="dxa"/>
              <w:right w:w="20" w:type="dxa"/>
            </w:tcMar>
            <w:hideMark/>
          </w:tcPr>
          <w:p w:rsidR="00000000" w:rsidRDefault="00AC31B9">
            <w:pPr>
              <w:spacing w:after="100"/>
              <w:divId w:val="27143626"/>
              <w:rPr>
                <w:rFonts w:eastAsia="Times New Roman"/>
              </w:rPr>
            </w:pPr>
            <w:hyperlink r:id="rId107" w:history="1">
              <w:r>
                <w:rPr>
                  <w:rStyle w:val="a3"/>
                  <w:rFonts w:eastAsia="Times New Roman"/>
                  <w:sz w:val="20"/>
                  <w:szCs w:val="20"/>
                </w:rPr>
                <w:t>Multicurrency Facilities Agreement, dated March 7, 2023, by and among UGI International, LLC, UGI International Holdings B.V. the guarantors party thereto</w:t>
              </w:r>
              <w:r>
                <w:rPr>
                  <w:rStyle w:val="a3"/>
                  <w:rFonts w:eastAsia="Times New Roman"/>
                  <w:sz w:val="20"/>
                  <w:szCs w:val="20"/>
                </w:rPr>
                <w:t>, the lenders party thereto and Natixis, as agent.</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(3/7/23)</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10.58</w:t>
            </w:r>
          </w:p>
        </w:tc>
        <w:tc>
          <w:tcPr>
            <w:tcW w:w="0" w:type="auto"/>
            <w:gridSpan w:val="3"/>
            <w:tcMar>
              <w:top w:w="30" w:type="dxa"/>
              <w:left w:w="20" w:type="dxa"/>
              <w:bottom w:w="30" w:type="dxa"/>
              <w:right w:w="20" w:type="dxa"/>
            </w:tcMar>
            <w:hideMark/>
          </w:tcPr>
          <w:p w:rsidR="00000000" w:rsidRDefault="00AC31B9">
            <w:pPr>
              <w:spacing w:after="100"/>
              <w:divId w:val="830683241"/>
              <w:rPr>
                <w:rFonts w:eastAsia="Times New Roman"/>
              </w:rPr>
            </w:pPr>
            <w:hyperlink r:id="rId108" w:history="1">
              <w:r>
                <w:rPr>
                  <w:rStyle w:val="a3"/>
                  <w:rFonts w:eastAsia="Times New Roman"/>
                  <w:sz w:val="20"/>
                  <w:szCs w:val="20"/>
                </w:rPr>
                <w:t>Credit Agreement, dated November 9, 2023, by and among UGI Utilities, Inc., the lenders party thereto and PNC Bank, National Association, as administrat</w:t>
              </w:r>
              <w:r>
                <w:rPr>
                  <w:rStyle w:val="a3"/>
                  <w:rFonts w:eastAsia="Times New Roman"/>
                  <w:sz w:val="20"/>
                  <w:szCs w:val="20"/>
                </w:rPr>
                <w:t>ive agent.</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8-K (11/9/23)</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hideMark/>
          </w:tcPr>
          <w:p w:rsidR="00000000" w:rsidRDefault="00AC31B9">
            <w:pPr>
              <w:spacing w:after="100"/>
              <w:divId w:val="629019891"/>
              <w:rPr>
                <w:rFonts w:eastAsia="Times New Roman"/>
              </w:rPr>
            </w:pPr>
            <w:hyperlink r:id="rId109" w:history="1">
              <w:r>
                <w:rPr>
                  <w:rStyle w:val="a3"/>
                  <w:rFonts w:eastAsia="Times New Roman"/>
                  <w:sz w:val="20"/>
                  <w:szCs w:val="20"/>
                </w:rPr>
                <w:t>Code of Business Conduct and Ethics.</w:t>
              </w:r>
            </w:hyperlink>
          </w:p>
        </w:tc>
        <w:tc>
          <w:tcPr>
            <w:tcW w:w="0" w:type="auto"/>
            <w:gridSpan w:val="3"/>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AC31B9">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(9/30/21)</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14</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vAlign w:val="bottom"/>
            <w:hideMark/>
          </w:tcPr>
          <w:p w:rsidR="00000000" w:rsidRDefault="00AC31B9">
            <w:pPr>
              <w:spacing w:after="100"/>
              <w:divId w:val="1173765135"/>
              <w:rPr>
                <w:rFonts w:eastAsia="Times New Roman"/>
              </w:rPr>
            </w:pPr>
            <w:hyperlink r:id="rId110" w:history="1">
              <w:r>
                <w:rPr>
                  <w:rStyle w:val="a3"/>
                  <w:rFonts w:eastAsia="Times New Roman"/>
                  <w:sz w:val="20"/>
                  <w:szCs w:val="20"/>
                </w:rPr>
                <w:t>Subsidiaries of the Registrant.</w:t>
              </w:r>
            </w:hyperlink>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hideMark/>
          </w:tcPr>
          <w:p w:rsidR="00000000" w:rsidRDefault="00AC31B9">
            <w:pPr>
              <w:spacing w:after="100"/>
              <w:divId w:val="898442219"/>
              <w:rPr>
                <w:rFonts w:eastAsia="Times New Roman"/>
              </w:rPr>
            </w:pPr>
            <w:hyperlink r:id="rId111" w:history="1">
              <w:r>
                <w:rPr>
                  <w:rStyle w:val="a3"/>
                  <w:rFonts w:eastAsia="Times New Roman"/>
                  <w:sz w:val="20"/>
                  <w:szCs w:val="20"/>
                </w:rPr>
                <w:t>Consent of Ernst &amp; Young LLP</w:t>
              </w:r>
            </w:hyperlink>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rsidR="00000000" w:rsidRDefault="00AC31B9">
            <w:pPr>
              <w:spacing w:after="100"/>
              <w:divId w:val="2057273194"/>
              <w:rPr>
                <w:rFonts w:eastAsia="Times New Roman"/>
              </w:rPr>
            </w:pPr>
            <w:hyperlink r:id="rId112" w:history="1">
              <w:r>
                <w:rPr>
                  <w:rStyle w:val="a3"/>
                  <w:rFonts w:eastAsia="Times New Roman"/>
                  <w:sz w:val="20"/>
                  <w:szCs w:val="20"/>
                </w:rPr>
                <w:t>Certification by the Chief Executive Officer relating to the Registrant’s Report on Form 10-K for the fiscal year ended September 30, 2022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rsidR="00000000" w:rsidRDefault="00AC31B9">
            <w:pPr>
              <w:spacing w:after="100"/>
              <w:divId w:val="766729710"/>
              <w:rPr>
                <w:rFonts w:eastAsia="Times New Roman"/>
              </w:rPr>
            </w:pPr>
            <w:hyperlink r:id="rId113" w:history="1">
              <w:r>
                <w:rPr>
                  <w:rStyle w:val="a3"/>
                  <w:rFonts w:eastAsia="Times New Roman"/>
                  <w:sz w:val="20"/>
                  <w:szCs w:val="20"/>
                </w:rPr>
                <w:t>Certification by the Chief Financial Officer relating to the Registrant’s Report on Form 10-K for the fiscal year ended September 30, 2022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AC31B9">
            <w:pPr>
              <w:spacing w:after="100"/>
              <w:divId w:val="138426837"/>
              <w:rPr>
                <w:rFonts w:eastAsia="Times New Roman"/>
              </w:rPr>
            </w:pPr>
            <w:hyperlink r:id="rId114" w:history="1">
              <w:r>
                <w:rPr>
                  <w:rStyle w:val="a3"/>
                  <w:rFonts w:eastAsia="Times New Roman"/>
                  <w:sz w:val="20"/>
                  <w:szCs w:val="20"/>
                </w:rPr>
                <w:t>Certification by the Chief Executive Officer and the Chief Financial Officer relating to the Registrant’s Report on Form 10-K for the fiscal year ended September 30, 2022, pursuant to Section 906 of the Sarbanes-Oxley Act of 2002.</w:t>
              </w:r>
            </w:hyperlink>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*97.1</w:t>
            </w:r>
          </w:p>
        </w:tc>
        <w:tc>
          <w:tcPr>
            <w:tcW w:w="0" w:type="auto"/>
            <w:gridSpan w:val="3"/>
            <w:tcMar>
              <w:top w:w="30" w:type="dxa"/>
              <w:left w:w="20" w:type="dxa"/>
              <w:bottom w:w="30" w:type="dxa"/>
              <w:right w:w="20" w:type="dxa"/>
            </w:tcMar>
            <w:hideMark/>
          </w:tcPr>
          <w:p w:rsidR="00000000" w:rsidRDefault="00AC31B9">
            <w:pPr>
              <w:spacing w:after="100"/>
              <w:divId w:val="733044850"/>
              <w:rPr>
                <w:rFonts w:eastAsia="Times New Roman"/>
              </w:rPr>
            </w:pPr>
            <w:hyperlink r:id="rId115" w:history="1">
              <w:r>
                <w:rPr>
                  <w:rStyle w:val="a3"/>
                  <w:rFonts w:eastAsia="Times New Roman"/>
                  <w:sz w:val="20"/>
                  <w:szCs w:val="20"/>
                </w:rPr>
                <w:t>Clawback Policy</w:t>
              </w:r>
            </w:hyperlink>
            <w:hyperlink r:id="rId116"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*101.INS</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document</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*101.SCH</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XBRL Taxonomy Extension Schema</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*101.CAL</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XBRL Taxonomy Extension Calculation Linkbase</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*101.DEF</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XBRL Taxonomy Extension Definition Linkbase</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bl>
    <w:p w:rsidR="00000000" w:rsidRDefault="00AC31B9">
      <w:pPr>
        <w:jc w:val="center"/>
        <w:divId w:val="334698262"/>
        <w:rPr>
          <w:rFonts w:eastAsia="Times New Roman"/>
        </w:rPr>
      </w:pPr>
      <w:r>
        <w:rPr>
          <w:rFonts w:eastAsia="Times New Roman"/>
          <w:color w:val="000000"/>
          <w:sz w:val="20"/>
          <w:szCs w:val="20"/>
        </w:rPr>
        <w:t>89</w:t>
      </w:r>
    </w:p>
    <w:p w:rsidR="00000000" w:rsidRDefault="00AC31B9">
      <w:pPr>
        <w:rPr>
          <w:rFonts w:eastAsia="Times New Roman"/>
        </w:rPr>
      </w:pPr>
      <w:r>
        <w:rPr>
          <w:rFonts w:eastAsia="Times New Roman"/>
        </w:rPr>
        <w:pict>
          <v:rect id="_x0000_i1116" style="width:0;height:1.5pt" o:hralign="center" o:hrstd="t" o:hr="t" fillcolor="#a0a0a0" stroked="f"/>
        </w:pict>
      </w:r>
    </w:p>
    <w:p w:rsidR="00000000" w:rsidRDefault="00AC31B9">
      <w:pPr>
        <w:divId w:val="1690139649"/>
        <w:rPr>
          <w:rFonts w:eastAsia="Times New Roman"/>
        </w:rPr>
      </w:pPr>
      <w:hyperlink w:anchor="ic92dd05487854a4eaece953328045c3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7"/>
        <w:gridCol w:w="1010"/>
        <w:gridCol w:w="38"/>
        <w:gridCol w:w="55"/>
        <w:gridCol w:w="1985"/>
        <w:gridCol w:w="38"/>
        <w:gridCol w:w="55"/>
        <w:gridCol w:w="1693"/>
        <w:gridCol w:w="36"/>
        <w:gridCol w:w="55"/>
        <w:gridCol w:w="551"/>
        <w:gridCol w:w="37"/>
        <w:gridCol w:w="56"/>
        <w:gridCol w:w="551"/>
        <w:gridCol w:w="36"/>
        <w:gridCol w:w="57"/>
        <w:gridCol w:w="696"/>
        <w:gridCol w:w="36"/>
      </w:tblGrid>
      <w:tr w:rsidR="00000000">
        <w:trPr>
          <w:jc w:val="center"/>
        </w:trPr>
        <w:tc>
          <w:tcPr>
            <w:tcW w:w="50" w:type="pct"/>
            <w:vAlign w:val="center"/>
            <w:hideMark/>
          </w:tcPr>
          <w:p w:rsidR="00000000" w:rsidRDefault="00AC31B9">
            <w:pPr>
              <w:rPr>
                <w:rFonts w:eastAsia="Times New Roman"/>
              </w:rPr>
            </w:pPr>
          </w:p>
        </w:tc>
        <w:tc>
          <w:tcPr>
            <w:tcW w:w="7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4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21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0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*101.LAB</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XBRL Taxonomy Extension Labels Linkbase</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*101.PRE</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XBRL Taxonomy Extension Presentation Linkbase</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bl>
    <w:p w:rsidR="00000000" w:rsidRDefault="00AC31B9">
      <w:pPr>
        <w:jc w:val="both"/>
        <w:rPr>
          <w:rFonts w:eastAsia="Times New Roman"/>
        </w:rPr>
      </w:pPr>
    </w:p>
    <w:p w:rsidR="00000000" w:rsidRDefault="00AC31B9">
      <w:pPr>
        <w:ind w:hanging="405"/>
        <w:jc w:val="both"/>
        <w:rPr>
          <w:rFonts w:eastAsia="Times New Roman"/>
        </w:rPr>
      </w:pPr>
      <w:r>
        <w:rPr>
          <w:rFonts w:eastAsia="Times New Roman"/>
          <w:color w:val="000000"/>
          <w:sz w:val="20"/>
          <w:szCs w:val="20"/>
        </w:rPr>
        <w:t xml:space="preserve">*    Filed herewith. </w:t>
      </w:r>
    </w:p>
    <w:p w:rsidR="00000000" w:rsidRDefault="00AC31B9">
      <w:pPr>
        <w:ind w:hanging="405"/>
        <w:jc w:val="both"/>
        <w:rPr>
          <w:rFonts w:eastAsia="Times New Roman"/>
        </w:rPr>
      </w:pPr>
      <w:r>
        <w:rPr>
          <w:rFonts w:eastAsia="Times New Roman"/>
          <w:color w:val="000000"/>
          <w:sz w:val="20"/>
          <w:szCs w:val="20"/>
        </w:rPr>
        <w:t>**    </w:t>
      </w:r>
      <w:r>
        <w:rPr>
          <w:rFonts w:eastAsia="Times New Roman"/>
          <w:color w:val="000000"/>
          <w:sz w:val="20"/>
          <w:szCs w:val="20"/>
        </w:rPr>
        <w:t>As required by Item 15(a)(3), this exhibit is identified as a compensatory plan or arrangement.</w:t>
      </w:r>
    </w:p>
    <w:p w:rsidR="00000000" w:rsidRDefault="00AC31B9">
      <w:pPr>
        <w:divId w:val="1028992446"/>
        <w:rPr>
          <w:rFonts w:eastAsia="Times New Roman"/>
        </w:rPr>
      </w:pPr>
    </w:p>
    <w:p w:rsidR="00000000" w:rsidRDefault="00AC31B9">
      <w:pPr>
        <w:divId w:val="1481271901"/>
        <w:rPr>
          <w:rFonts w:eastAsia="Times New Roman"/>
        </w:rPr>
      </w:pPr>
    </w:p>
    <w:p w:rsidR="00000000" w:rsidRDefault="00AC31B9">
      <w:pPr>
        <w:divId w:val="286276485"/>
        <w:rPr>
          <w:rFonts w:eastAsia="Times New Roman"/>
        </w:rPr>
      </w:pPr>
      <w:r>
        <w:rPr>
          <w:rFonts w:eastAsia="Times New Roman"/>
          <w:b/>
          <w:bCs/>
          <w:color w:val="000000"/>
          <w:sz w:val="20"/>
          <w:szCs w:val="20"/>
        </w:rPr>
        <w:t>ITEM 16. FORM 10-K SUMMARY</w:t>
      </w:r>
    </w:p>
    <w:p w:rsidR="00000000" w:rsidRDefault="00AC31B9">
      <w:pPr>
        <w:divId w:val="1759715398"/>
        <w:rPr>
          <w:rFonts w:eastAsia="Times New Roman"/>
        </w:rPr>
      </w:pPr>
      <w:r>
        <w:rPr>
          <w:rFonts w:eastAsia="Times New Roman"/>
          <w:color w:val="000000"/>
          <w:sz w:val="20"/>
          <w:szCs w:val="20"/>
        </w:rPr>
        <w:t>None.</w:t>
      </w:r>
    </w:p>
    <w:p w:rsidR="00000000" w:rsidRDefault="00AC31B9">
      <w:pPr>
        <w:divId w:val="982153776"/>
        <w:rPr>
          <w:rFonts w:eastAsia="Times New Roman"/>
        </w:rPr>
      </w:pPr>
    </w:p>
    <w:p w:rsidR="00000000" w:rsidRDefault="00AC31B9">
      <w:pPr>
        <w:jc w:val="center"/>
        <w:rPr>
          <w:rFonts w:eastAsia="Times New Roman"/>
        </w:rPr>
      </w:pPr>
      <w:r>
        <w:rPr>
          <w:rFonts w:eastAsia="Times New Roman"/>
          <w:b/>
          <w:bCs/>
          <w:color w:val="000000"/>
          <w:sz w:val="20"/>
          <w:szCs w:val="20"/>
        </w:rPr>
        <w:t>EXHIBIT INDEX</w:t>
      </w:r>
    </w:p>
    <w:tbl>
      <w:tblPr>
        <w:tblW w:w="4970" w:type="pct"/>
        <w:jc w:val="center"/>
        <w:tblCellMar>
          <w:top w:w="15" w:type="dxa"/>
          <w:left w:w="15" w:type="dxa"/>
          <w:bottom w:w="15" w:type="dxa"/>
          <w:right w:w="15" w:type="dxa"/>
        </w:tblCellMar>
        <w:tblLook w:val="04A0" w:firstRow="1" w:lastRow="0" w:firstColumn="1" w:lastColumn="0" w:noHBand="0" w:noVBand="1"/>
      </w:tblPr>
      <w:tblGrid>
        <w:gridCol w:w="68"/>
        <w:gridCol w:w="865"/>
        <w:gridCol w:w="38"/>
        <w:gridCol w:w="69"/>
        <w:gridCol w:w="7180"/>
        <w:gridCol w:w="36"/>
      </w:tblGrid>
      <w:tr w:rsidR="00000000">
        <w:trPr>
          <w:jc w:val="center"/>
        </w:trPr>
        <w:tc>
          <w:tcPr>
            <w:tcW w:w="50" w:type="pct"/>
            <w:vAlign w:val="center"/>
            <w:hideMark/>
          </w:tcPr>
          <w:p w:rsidR="00000000" w:rsidRDefault="00AC31B9">
            <w:pPr>
              <w:jc w:val="center"/>
              <w:rPr>
                <w:rFonts w:eastAsia="Times New Roman"/>
              </w:rPr>
            </w:pPr>
          </w:p>
        </w:tc>
        <w:tc>
          <w:tcPr>
            <w:tcW w:w="53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35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Exhibit No.</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Description</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4.20</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hyperlink r:id="rId117" w:history="1">
              <w:r>
                <w:rPr>
                  <w:rStyle w:val="a3"/>
                  <w:rFonts w:eastAsia="Times New Roman"/>
                  <w:sz w:val="20"/>
                  <w:szCs w:val="20"/>
                </w:rPr>
                <w:t>Acknowledgement, dated as of October 23, 2023, to the Note Purchase Agreement, dated as of June 30, 2022, by and among Mountaineer Gas Company, Teachers Insurance and Annuity Association of America and The Lin</w:t>
              </w:r>
              <w:r>
                <w:rPr>
                  <w:rStyle w:val="a3"/>
                  <w:rFonts w:eastAsia="Times New Roman"/>
                  <w:sz w:val="20"/>
                  <w:szCs w:val="20"/>
                </w:rPr>
                <w:t xml:space="preserve">coln National Life Insurance Company. </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10.28</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hyperlink r:id="rId118" w:history="1">
              <w:r>
                <w:rPr>
                  <w:rStyle w:val="a3"/>
                  <w:rFonts w:eastAsia="Times New Roman"/>
                  <w:sz w:val="20"/>
                  <w:szCs w:val="20"/>
                </w:rPr>
                <w:t>Form of Confidentiality, Non-Competition and Non-Solicitation Agreement between UGI Corporation and Mr. John Koerwer.</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hyperlink r:id="rId119" w:history="1">
              <w:r>
                <w:rPr>
                  <w:rStyle w:val="a3"/>
                  <w:rFonts w:eastAsia="Times New Roman"/>
                  <w:sz w:val="20"/>
                  <w:szCs w:val="20"/>
                </w:rPr>
                <w:t>Subsidiaries of the Registrant.</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hyperlink r:id="rId120" w:history="1">
              <w:r>
                <w:rPr>
                  <w:rStyle w:val="a3"/>
                  <w:rFonts w:eastAsia="Times New Roman"/>
                  <w:sz w:val="20"/>
                  <w:szCs w:val="20"/>
                </w:rPr>
                <w:t>Consent of Ernst &amp; Young LLP.</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hyperlink r:id="rId121" w:history="1">
              <w:r>
                <w:rPr>
                  <w:rStyle w:val="a3"/>
                  <w:rFonts w:eastAsia="Times New Roman"/>
                  <w:sz w:val="20"/>
                  <w:szCs w:val="20"/>
                </w:rPr>
                <w:t>Certification by the Chief Executive Officer relating to the Registrant’s Report on Form 10-K for the fiscal year ended Septembe</w:t>
              </w:r>
              <w:r>
                <w:rPr>
                  <w:rStyle w:val="a3"/>
                  <w:rFonts w:eastAsia="Times New Roman"/>
                  <w:sz w:val="20"/>
                  <w:szCs w:val="20"/>
                </w:rPr>
                <w:t>r 30, 2023 pursuant to Section 302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hyperlink r:id="rId122" w:history="1">
              <w:r>
                <w:rPr>
                  <w:rStyle w:val="a3"/>
                  <w:rFonts w:eastAsia="Times New Roman"/>
                  <w:sz w:val="20"/>
                  <w:szCs w:val="20"/>
                </w:rPr>
                <w:t>Certification by the Chief Financial Officer relating to the Registrant’s Report on Form 10-K for the fiscal year ended September 30, 2023 pursuant to Section 302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hyperlink r:id="rId123" w:history="1">
              <w:r>
                <w:rPr>
                  <w:rStyle w:val="a3"/>
                  <w:rFonts w:eastAsia="Times New Roman"/>
                  <w:sz w:val="20"/>
                  <w:szCs w:val="20"/>
                </w:rPr>
                <w:t>Cer</w:t>
              </w:r>
              <w:r>
                <w:rPr>
                  <w:rStyle w:val="a3"/>
                  <w:rFonts w:eastAsia="Times New Roman"/>
                  <w:sz w:val="20"/>
                  <w:szCs w:val="20"/>
                </w:rPr>
                <w:t>tification by the Chief Executive Officer and the Chief Financial Officer relating to the Registrant’s Report on Form 10-K for the fiscal year ended September 30, 2023, pursuant to Section 906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97.1</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hyperlink r:id="rId124" w:history="1">
              <w:r>
                <w:rPr>
                  <w:rStyle w:val="a3"/>
                  <w:rFonts w:eastAsia="Times New Roman"/>
                  <w:sz w:val="20"/>
                  <w:szCs w:val="20"/>
                </w:rPr>
                <w:t>Clawback Policy.</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101.INS</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101.SCH</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XBRL Taxonomy Extension Schema</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101.CAL</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XBRL Taxonomy Extension Calculation Linkbase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101.DEF</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XBRL Taxonomy Extension Definition Linkbase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101.LAB</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XBRL Taxonomy Extension Labels Linkbase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101.PRE</w:t>
            </w: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XBRL Taxonomy Extension Presentation Linkbase</w:t>
            </w:r>
          </w:p>
        </w:tc>
      </w:tr>
    </w:tbl>
    <w:p w:rsidR="00000000" w:rsidRDefault="00AC31B9">
      <w:pPr>
        <w:jc w:val="center"/>
        <w:divId w:val="1870098630"/>
        <w:rPr>
          <w:rFonts w:eastAsia="Times New Roman"/>
        </w:rPr>
      </w:pPr>
      <w:r>
        <w:rPr>
          <w:rFonts w:eastAsia="Times New Roman"/>
          <w:color w:val="000000"/>
          <w:sz w:val="20"/>
          <w:szCs w:val="20"/>
        </w:rPr>
        <w:t>90</w:t>
      </w:r>
    </w:p>
    <w:p w:rsidR="00000000" w:rsidRDefault="00AC31B9">
      <w:pPr>
        <w:rPr>
          <w:rFonts w:eastAsia="Times New Roman"/>
        </w:rPr>
      </w:pPr>
      <w:r>
        <w:rPr>
          <w:rFonts w:eastAsia="Times New Roman"/>
        </w:rPr>
        <w:pict>
          <v:rect id="_x0000_i1117" style="width:0;height:1.5pt" o:hralign="center" o:hrstd="t" o:hr="t" fillcolor="#a0a0a0" stroked="f"/>
        </w:pict>
      </w:r>
    </w:p>
    <w:p w:rsidR="00000000" w:rsidRDefault="00AC31B9">
      <w:pPr>
        <w:divId w:val="438254932"/>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center"/>
        <w:rPr>
          <w:rFonts w:eastAsia="Times New Roman"/>
        </w:rPr>
      </w:pPr>
      <w:r>
        <w:rPr>
          <w:rFonts w:eastAsia="Times New Roman"/>
          <w:b/>
          <w:bCs/>
          <w:color w:val="000000"/>
          <w:sz w:val="20"/>
          <w:szCs w:val="20"/>
        </w:rPr>
        <w:t>SIGNATURES</w:t>
      </w:r>
    </w:p>
    <w:p w:rsidR="00000000" w:rsidRDefault="00AC31B9">
      <w:pPr>
        <w:jc w:val="both"/>
        <w:divId w:val="6948366"/>
        <w:rPr>
          <w:rFonts w:eastAsia="Times New Roman"/>
        </w:rPr>
      </w:pPr>
      <w:r>
        <w:rPr>
          <w:rFonts w:eastAsia="Times New Roman"/>
          <w:color w:val="000000"/>
          <w:sz w:val="20"/>
          <w:szCs w:val="20"/>
        </w:rPr>
        <w:t>Pursuant to the requirements of Section 13 or 15(d) of the Securities Exchange Act of 1934, the Registrant has duly caused this Repor</w:t>
      </w:r>
      <w:r>
        <w:rPr>
          <w:rFonts w:eastAsia="Times New Roman"/>
          <w:color w:val="000000"/>
          <w:sz w:val="20"/>
          <w:szCs w:val="20"/>
        </w:rPr>
        <w:t>t to be signed on its behalf by the undersigned, thereunto duly authorized.</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557"/>
        <w:gridCol w:w="36"/>
        <w:gridCol w:w="36"/>
        <w:gridCol w:w="4515"/>
        <w:gridCol w:w="36"/>
        <w:gridCol w:w="36"/>
        <w:gridCol w:w="378"/>
        <w:gridCol w:w="36"/>
        <w:gridCol w:w="36"/>
        <w:gridCol w:w="4522"/>
        <w:gridCol w:w="36"/>
      </w:tblGrid>
      <w:tr w:rsidR="00000000">
        <w:trPr>
          <w:jc w:val="center"/>
        </w:trPr>
        <w:tc>
          <w:tcPr>
            <w:tcW w:w="20" w:type="dxa"/>
            <w:vAlign w:val="center"/>
            <w:hideMark/>
          </w:tcPr>
          <w:p w:rsidR="00000000" w:rsidRDefault="00AC31B9">
            <w:pPr>
              <w:jc w:val="both"/>
              <w:rPr>
                <w:rFonts w:eastAsia="Times New Roman"/>
              </w:rPr>
            </w:pPr>
          </w:p>
        </w:tc>
        <w:tc>
          <w:tcPr>
            <w:tcW w:w="560"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c>
          <w:tcPr>
            <w:tcW w:w="4580"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c>
          <w:tcPr>
            <w:tcW w:w="380"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c>
          <w:tcPr>
            <w:tcW w:w="4580"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r>
      <w:tr w:rsidR="00000000">
        <w:trPr>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trHeight w:val="480"/>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UGI CORPORATION</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November 28, 2023</w:t>
            </w: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 Sean O’Brien</w:t>
            </w:r>
          </w:p>
        </w:tc>
      </w:tr>
      <w:tr w:rsidR="00000000">
        <w:trPr>
          <w:trHeight w:val="70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Sean O’Brien</w:t>
            </w:r>
            <w:r>
              <w:rPr>
                <w:rFonts w:eastAsia="Times New Roman"/>
                <w:color w:val="000000"/>
                <w:sz w:val="20"/>
                <w:szCs w:val="20"/>
              </w:rPr>
              <w:br/>
              <w:t>Chief Financial Officer </w:t>
            </w:r>
          </w:p>
        </w:tc>
      </w:tr>
    </w:tbl>
    <w:p w:rsidR="00000000" w:rsidRDefault="00AC31B9">
      <w:pPr>
        <w:divId w:val="620109150"/>
        <w:rPr>
          <w:rFonts w:eastAsia="Times New Roman"/>
        </w:rPr>
      </w:pPr>
    </w:p>
    <w:p w:rsidR="00000000" w:rsidRDefault="00AC31B9">
      <w:pPr>
        <w:jc w:val="both"/>
        <w:rPr>
          <w:rFonts w:eastAsia="Times New Roman"/>
        </w:rPr>
      </w:pPr>
      <w:r>
        <w:rPr>
          <w:rFonts w:eastAsia="Times New Roman"/>
          <w:color w:val="000000"/>
          <w:sz w:val="20"/>
          <w:szCs w:val="20"/>
        </w:rPr>
        <w:t>Pursuant to the requirements of the Securities Exchange Act of 1934, this Report has been signed below on November 28, 2023, by the following persons on behalf of the Registrant in the capacities indicated.</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3762"/>
        <w:gridCol w:w="36"/>
        <w:gridCol w:w="36"/>
        <w:gridCol w:w="287"/>
        <w:gridCol w:w="36"/>
        <w:gridCol w:w="52"/>
        <w:gridCol w:w="5948"/>
        <w:gridCol w:w="52"/>
      </w:tblGrid>
      <w:tr w:rsidR="00000000">
        <w:trPr>
          <w:jc w:val="center"/>
        </w:trPr>
        <w:tc>
          <w:tcPr>
            <w:tcW w:w="20" w:type="dxa"/>
            <w:vAlign w:val="center"/>
            <w:hideMark/>
          </w:tcPr>
          <w:p w:rsidR="00000000" w:rsidRDefault="00AC31B9">
            <w:pPr>
              <w:jc w:val="both"/>
              <w:rPr>
                <w:rFonts w:eastAsia="Times New Roman"/>
              </w:rPr>
            </w:pPr>
          </w:p>
        </w:tc>
        <w:tc>
          <w:tcPr>
            <w:tcW w:w="4865"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c>
          <w:tcPr>
            <w:tcW w:w="380"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c>
          <w:tcPr>
            <w:tcW w:w="4880"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Signature</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b/>
                <w:bCs/>
                <w:color w:val="000000"/>
                <w:sz w:val="20"/>
                <w:szCs w:val="20"/>
              </w:rPr>
              <w:t>Title</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 </w:t>
            </w: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 Roger Perreault</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President and Chief Executive Officer</w:t>
            </w:r>
            <w:r>
              <w:rPr>
                <w:rFonts w:eastAsia="Times New Roman"/>
                <w:color w:val="000000"/>
                <w:sz w:val="20"/>
                <w:szCs w:val="20"/>
              </w:rPr>
              <w:br/>
              <w:t>(Principal Executive Officer) and 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Roger Perreault</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ign w:val="center"/>
            <w:hideMark/>
          </w:tcPr>
          <w:p w:rsidR="00000000" w:rsidRDefault="00AC31B9">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 Sean O’Brien</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Chief Financial Officer (Principal Financial Officer)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Sean O’Brien</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ign w:val="center"/>
            <w:hideMark/>
          </w:tcPr>
          <w:p w:rsidR="00000000" w:rsidRDefault="00AC31B9">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 Jean Felix Tematio Dontsop</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Vice President, Chief Accounting Officer and Corporate Controller (Principal Accounting Officer)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Jean Felix Tematio Dontsop</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ign w:val="center"/>
            <w:hideMark/>
          </w:tcPr>
          <w:p w:rsidR="00000000" w:rsidRDefault="00AC31B9">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 Frank S. Hermance</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Chairman and 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Frank S. Hermance</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ign w:val="center"/>
            <w:hideMark/>
          </w:tcPr>
          <w:p w:rsidR="00000000" w:rsidRDefault="00AC31B9">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 M. Shawn Bort</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 Shawn Bort</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ign w:val="center"/>
            <w:hideMark/>
          </w:tcPr>
          <w:p w:rsidR="00000000" w:rsidRDefault="00AC31B9">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 Theodore A. Dosch</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Theodore A. Dosch</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ign w:val="center"/>
            <w:hideMark/>
          </w:tcPr>
          <w:p w:rsidR="00000000" w:rsidRDefault="00AC31B9">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 Alan N. Harris</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Alan N. Harris</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ign w:val="center"/>
            <w:hideMark/>
          </w:tcPr>
          <w:p w:rsidR="00000000" w:rsidRDefault="00AC31B9">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 Mario Longhi</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Mario Longhi</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ign w:val="center"/>
            <w:hideMark/>
          </w:tcPr>
          <w:p w:rsidR="00000000" w:rsidRDefault="00AC31B9">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 William J. Marrazzo</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William J. Marrazzo</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ign w:val="center"/>
            <w:hideMark/>
          </w:tcPr>
          <w:p w:rsidR="00000000" w:rsidRDefault="00AC31B9">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 Cindy J. Miller</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Cindy J. Miller</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ign w:val="center"/>
            <w:hideMark/>
          </w:tcPr>
          <w:p w:rsidR="00000000" w:rsidRDefault="00AC31B9">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vMerge w:val="restart"/>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Director</w:t>
            </w: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 Kelly A. Romano</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ign w:val="center"/>
            <w:hideMark/>
          </w:tcPr>
          <w:p w:rsidR="00000000" w:rsidRDefault="00AC31B9">
            <w:pPr>
              <w:spacing w:after="100"/>
              <w:rPr>
                <w:rFonts w:eastAsia="Times New Roman"/>
              </w:rPr>
            </w:pP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Kelly A. Romano</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ign w:val="center"/>
            <w:hideMark/>
          </w:tcPr>
          <w:p w:rsidR="00000000" w:rsidRDefault="00AC31B9">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 Santiago Seage</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Santiago Seage</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vMerge/>
            <w:vAlign w:val="center"/>
            <w:hideMark/>
          </w:tcPr>
          <w:p w:rsidR="00000000" w:rsidRDefault="00AC31B9">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bl>
    <w:p w:rsidR="00000000" w:rsidRDefault="00AC31B9">
      <w:pPr>
        <w:divId w:val="23873595"/>
        <w:rPr>
          <w:rFonts w:eastAsia="Times New Roman"/>
        </w:rPr>
      </w:pPr>
    </w:p>
    <w:p w:rsidR="00000000" w:rsidRDefault="00AC31B9">
      <w:pPr>
        <w:jc w:val="center"/>
        <w:divId w:val="349575663"/>
        <w:rPr>
          <w:rFonts w:eastAsia="Times New Roman"/>
        </w:rPr>
      </w:pPr>
      <w:r>
        <w:rPr>
          <w:rFonts w:eastAsia="Times New Roman"/>
          <w:color w:val="000000"/>
          <w:sz w:val="20"/>
          <w:szCs w:val="20"/>
        </w:rPr>
        <w:t>91</w:t>
      </w:r>
    </w:p>
    <w:p w:rsidR="00000000" w:rsidRDefault="00AC31B9">
      <w:pPr>
        <w:rPr>
          <w:rFonts w:eastAsia="Times New Roman"/>
        </w:rPr>
      </w:pPr>
      <w:r>
        <w:rPr>
          <w:rFonts w:eastAsia="Times New Roman"/>
        </w:rPr>
        <w:pict>
          <v:rect id="_x0000_i1118" style="width:0;height:1.5pt" o:hralign="center" o:hrstd="t" o:hr="t" fillcolor="#a0a0a0" stroked="f"/>
        </w:pict>
      </w:r>
    </w:p>
    <w:p w:rsidR="00000000" w:rsidRDefault="00AC31B9">
      <w:pPr>
        <w:divId w:val="988287049"/>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center"/>
        <w:divId w:val="2038504731"/>
        <w:rPr>
          <w:rFonts w:eastAsia="Times New Roman"/>
        </w:rPr>
      </w:pPr>
      <w:r>
        <w:rPr>
          <w:rFonts w:eastAsia="Times New Roman"/>
          <w:b/>
          <w:bCs/>
          <w:color w:val="000000"/>
          <w:sz w:val="20"/>
          <w:szCs w:val="20"/>
        </w:rPr>
        <w:t>UGI CORPORATION AND SUBSIDIARIES</w:t>
      </w:r>
    </w:p>
    <w:p w:rsidR="00000000" w:rsidRDefault="00AC31B9">
      <w:pPr>
        <w:jc w:val="center"/>
        <w:divId w:val="932854569"/>
        <w:rPr>
          <w:rFonts w:eastAsia="Times New Roman"/>
        </w:rPr>
      </w:pPr>
      <w:r>
        <w:rPr>
          <w:rFonts w:eastAsia="Times New Roman"/>
          <w:color w:val="000000"/>
          <w:sz w:val="20"/>
          <w:szCs w:val="20"/>
        </w:rPr>
        <w:t>FINANCIAL INFORMATION</w:t>
      </w:r>
    </w:p>
    <w:p w:rsidR="00000000" w:rsidRDefault="00AC31B9">
      <w:pPr>
        <w:jc w:val="center"/>
        <w:divId w:val="1056511901"/>
        <w:rPr>
          <w:rFonts w:eastAsia="Times New Roman"/>
        </w:rPr>
      </w:pPr>
      <w:r>
        <w:rPr>
          <w:rFonts w:eastAsia="Times New Roman"/>
          <w:color w:val="000000"/>
          <w:sz w:val="20"/>
          <w:szCs w:val="20"/>
        </w:rPr>
        <w:t>FOR INCLUSION IN ANNUAL REPORT ON FORM 10-K</w:t>
      </w:r>
    </w:p>
    <w:p w:rsidR="00000000" w:rsidRDefault="00AC31B9">
      <w:pPr>
        <w:jc w:val="center"/>
        <w:divId w:val="1705790060"/>
        <w:rPr>
          <w:rFonts w:eastAsia="Times New Roman"/>
        </w:rPr>
      </w:pPr>
      <w:r>
        <w:rPr>
          <w:rFonts w:eastAsia="Times New Roman"/>
          <w:color w:val="000000"/>
          <w:sz w:val="20"/>
          <w:szCs w:val="20"/>
        </w:rPr>
        <w:t xml:space="preserve">YEAR ENDED SEPTEMBER 30, 2023 </w:t>
      </w:r>
    </w:p>
    <w:p w:rsidR="00000000" w:rsidRDefault="00AC31B9">
      <w:pPr>
        <w:jc w:val="center"/>
        <w:rPr>
          <w:rFonts w:eastAsia="Times New Roman"/>
        </w:rPr>
      </w:pPr>
    </w:p>
    <w:p w:rsidR="00000000" w:rsidRDefault="00AC31B9">
      <w:pPr>
        <w:jc w:val="center"/>
        <w:divId w:val="559174066"/>
        <w:rPr>
          <w:rFonts w:eastAsia="Times New Roman"/>
        </w:rPr>
      </w:pPr>
      <w:r>
        <w:rPr>
          <w:rFonts w:eastAsia="Times New Roman"/>
          <w:color w:val="000000"/>
          <w:sz w:val="20"/>
          <w:szCs w:val="20"/>
        </w:rPr>
        <w:t>F-1</w:t>
      </w:r>
    </w:p>
    <w:p w:rsidR="00000000" w:rsidRDefault="00AC31B9">
      <w:pPr>
        <w:rPr>
          <w:rFonts w:eastAsia="Times New Roman"/>
        </w:rPr>
      </w:pPr>
      <w:r>
        <w:rPr>
          <w:rFonts w:eastAsia="Times New Roman"/>
        </w:rPr>
        <w:pict>
          <v:rect id="_x0000_i1119" style="width:0;height:1.5pt" o:hralign="center" o:hrstd="t" o:hr="t" fillcolor="#a0a0a0" stroked="f"/>
        </w:pict>
      </w:r>
    </w:p>
    <w:p w:rsidR="00000000" w:rsidRDefault="00AC31B9">
      <w:pPr>
        <w:divId w:val="1775859172"/>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center"/>
        <w:rPr>
          <w:rFonts w:eastAsia="Times New Roman"/>
        </w:rPr>
      </w:pPr>
      <w:r>
        <w:rPr>
          <w:rFonts w:eastAsia="Times New Roman"/>
          <w:color w:val="000000"/>
          <w:sz w:val="20"/>
          <w:szCs w:val="20"/>
        </w:rPr>
        <w:t>UGI CORPORATION AND SUBSIDIARIES</w:t>
      </w:r>
    </w:p>
    <w:p w:rsidR="00000000" w:rsidRDefault="00AC31B9">
      <w:pPr>
        <w:jc w:val="center"/>
        <w:rPr>
          <w:rFonts w:eastAsia="Times New Roman"/>
        </w:rPr>
      </w:pPr>
      <w:r>
        <w:rPr>
          <w:rFonts w:eastAsia="Times New Roman"/>
          <w:color w:val="000000"/>
          <w:sz w:val="20"/>
          <w:szCs w:val="20"/>
        </w:rPr>
        <w:t>INDEX TO FINANCIAL STATEMENTS AND FINANCIAL STATEMENT SCHEDULES</w:t>
      </w:r>
    </w:p>
    <w:tbl>
      <w:tblPr>
        <w:tblW w:w="10230" w:type="dxa"/>
        <w:jc w:val="center"/>
        <w:tblCellMar>
          <w:top w:w="15" w:type="dxa"/>
          <w:left w:w="15" w:type="dxa"/>
          <w:bottom w:w="15" w:type="dxa"/>
          <w:right w:w="15" w:type="dxa"/>
        </w:tblCellMar>
        <w:tblLook w:val="04A0" w:firstRow="1" w:lastRow="0" w:firstColumn="1" w:lastColumn="0" w:noHBand="0" w:noVBand="1"/>
      </w:tblPr>
      <w:tblGrid>
        <w:gridCol w:w="36"/>
        <w:gridCol w:w="9036"/>
        <w:gridCol w:w="36"/>
        <w:gridCol w:w="36"/>
        <w:gridCol w:w="1050"/>
        <w:gridCol w:w="36"/>
      </w:tblGrid>
      <w:tr w:rsidR="00000000">
        <w:trPr>
          <w:jc w:val="center"/>
        </w:trPr>
        <w:tc>
          <w:tcPr>
            <w:tcW w:w="20" w:type="dxa"/>
            <w:vAlign w:val="center"/>
            <w:hideMark/>
          </w:tcPr>
          <w:p w:rsidR="00000000" w:rsidRDefault="00AC31B9">
            <w:pPr>
              <w:jc w:val="center"/>
              <w:rPr>
                <w:rFonts w:eastAsia="Times New Roman"/>
              </w:rPr>
            </w:pPr>
          </w:p>
        </w:tc>
        <w:tc>
          <w:tcPr>
            <w:tcW w:w="9095"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c>
          <w:tcPr>
            <w:tcW w:w="1055" w:type="dxa"/>
            <w:vAlign w:val="center"/>
            <w:hideMark/>
          </w:tcPr>
          <w:p w:rsidR="00000000" w:rsidRDefault="00AC31B9">
            <w:pPr>
              <w:spacing w:after="100"/>
              <w:rPr>
                <w:rFonts w:eastAsia="Times New Roman"/>
                <w:sz w:val="20"/>
                <w:szCs w:val="20"/>
              </w:rPr>
            </w:pPr>
          </w:p>
        </w:tc>
        <w:tc>
          <w:tcPr>
            <w:tcW w:w="20" w:type="dxa"/>
            <w:vAlign w:val="center"/>
            <w:hideMark/>
          </w:tcPr>
          <w:p w:rsidR="00000000" w:rsidRDefault="00AC31B9">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Pages</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1528518311"/>
              <w:rPr>
                <w:rFonts w:eastAsia="Times New Roman"/>
              </w:rPr>
            </w:pPr>
            <w:hyperlink w:anchor="ic92dd05487854a4eaece953328045c39_139" w:history="1">
              <w:r>
                <w:rPr>
                  <w:rStyle w:val="a3"/>
                  <w:rFonts w:eastAsia="Times New Roman"/>
                  <w:sz w:val="20"/>
                  <w:szCs w:val="20"/>
                </w:rPr>
                <w:t>Management’</w:t>
              </w:r>
              <w:r>
                <w:rPr>
                  <w:rStyle w:val="a3"/>
                  <w:rFonts w:eastAsia="Times New Roman"/>
                  <w:sz w:val="20"/>
                  <w:szCs w:val="20"/>
                </w:rPr>
                <w:t>s Annual Report on Consolidated Financial Statements and Schedules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F-</w:t>
            </w:r>
            <w:hyperlink w:anchor="ic92dd05487854a4eaece953328045c39_139" w:history="1">
              <w:r>
                <w:rPr>
                  <w:rStyle w:val="a3"/>
                  <w:rFonts w:eastAsia="Times New Roman"/>
                  <w:color w:val="000000"/>
                  <w:sz w:val="20"/>
                  <w:szCs w:val="20"/>
                  <w:u w:val="none"/>
                </w:rPr>
                <w:t>3</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2007173259"/>
              <w:rPr>
                <w:rFonts w:eastAsia="Times New Roman"/>
              </w:rPr>
            </w:pPr>
            <w:hyperlink w:anchor="ic92dd05487854a4eaece953328045c39_139" w:history="1">
              <w:r>
                <w:rPr>
                  <w:rStyle w:val="a3"/>
                  <w:rFonts w:eastAsia="Times New Roman"/>
                  <w:sz w:val="20"/>
                  <w:szCs w:val="20"/>
                </w:rPr>
                <w:t>Financial Statements: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480"/>
          <w:jc w:val="center"/>
        </w:trPr>
        <w:tc>
          <w:tcPr>
            <w:tcW w:w="0" w:type="auto"/>
            <w:gridSpan w:val="3"/>
            <w:tcMar>
              <w:top w:w="30" w:type="dxa"/>
              <w:left w:w="20" w:type="dxa"/>
              <w:bottom w:w="30" w:type="dxa"/>
              <w:right w:w="20" w:type="dxa"/>
            </w:tcMar>
            <w:vAlign w:val="bottom"/>
            <w:hideMark/>
          </w:tcPr>
          <w:p w:rsidR="00000000" w:rsidRDefault="00AC31B9">
            <w:pPr>
              <w:spacing w:after="100"/>
              <w:divId w:val="1373307778"/>
              <w:rPr>
                <w:rFonts w:eastAsia="Times New Roman"/>
              </w:rPr>
            </w:pPr>
            <w:hyperlink w:anchor="ic92dd05487854a4eaece953328045c39_142" w:history="1">
              <w:r>
                <w:rPr>
                  <w:rStyle w:val="a3"/>
                  <w:rFonts w:eastAsia="Times New Roman"/>
                  <w:sz w:val="20"/>
                  <w:szCs w:val="20"/>
                </w:rPr>
                <w:t>Report of Independent Registered Public Accounting Firm (on Consolidated Financial Statements and Schedules)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F-</w:t>
            </w:r>
            <w:hyperlink w:anchor="ic92dd05487854a4eaece953328045c39_142" w:history="1">
              <w:r>
                <w:rPr>
                  <w:rStyle w:val="a3"/>
                  <w:rFonts w:eastAsia="Times New Roman"/>
                  <w:color w:val="000000"/>
                  <w:sz w:val="20"/>
                  <w:szCs w:val="20"/>
                  <w:u w:val="none"/>
                </w:rPr>
                <w:t>4</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600648858"/>
              <w:rPr>
                <w:rFonts w:eastAsia="Times New Roman"/>
              </w:rPr>
            </w:pPr>
            <w:hyperlink w:anchor="ic92dd05487854a4eaece953328045c39_145" w:history="1">
              <w:r>
                <w:rPr>
                  <w:rStyle w:val="a3"/>
                  <w:rFonts w:eastAsia="Times New Roman"/>
                  <w:sz w:val="20"/>
                  <w:szCs w:val="20"/>
                </w:rPr>
                <w:t>Consolidated Balance Sheets as of September 30, 2023 and 2022</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F-</w:t>
            </w:r>
            <w:hyperlink w:anchor="ic92dd05487854a4eaece953328045c39_145" w:history="1">
              <w:r>
                <w:rPr>
                  <w:rStyle w:val="a3"/>
                  <w:rFonts w:eastAsia="Times New Roman"/>
                  <w:color w:val="000000"/>
                  <w:sz w:val="20"/>
                  <w:szCs w:val="20"/>
                  <w:u w:val="none"/>
                </w:rPr>
                <w:t>6</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942882884"/>
              <w:rPr>
                <w:rFonts w:eastAsia="Times New Roman"/>
              </w:rPr>
            </w:pPr>
            <w:hyperlink w:anchor="ic92dd05487854a4eaece953328045c39_148" w:history="1">
              <w:r>
                <w:rPr>
                  <w:rStyle w:val="a3"/>
                  <w:rFonts w:eastAsia="Times New Roman"/>
                  <w:sz w:val="20"/>
                  <w:szCs w:val="20"/>
                </w:rPr>
                <w:t>Consolidated Statements of Income for the years ended September 30, 2023, 2022 and 2021</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F-</w:t>
            </w:r>
            <w:hyperlink w:anchor="ic92dd05487854a4eaece953328045c39_148" w:history="1">
              <w:r>
                <w:rPr>
                  <w:rStyle w:val="a3"/>
                  <w:rFonts w:eastAsia="Times New Roman"/>
                  <w:color w:val="000000"/>
                  <w:sz w:val="20"/>
                  <w:szCs w:val="20"/>
                  <w:u w:val="none"/>
                </w:rPr>
                <w:t>7</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2131049214"/>
              <w:rPr>
                <w:rFonts w:eastAsia="Times New Roman"/>
              </w:rPr>
            </w:pPr>
            <w:hyperlink w:anchor="ic92dd05487854a4eaece953328045c39_151" w:history="1">
              <w:r>
                <w:rPr>
                  <w:rStyle w:val="a3"/>
                  <w:rFonts w:eastAsia="Times New Roman"/>
                  <w:sz w:val="20"/>
                  <w:szCs w:val="20"/>
                </w:rPr>
                <w:t>Consolidated Statements of Compr</w:t>
              </w:r>
              <w:r>
                <w:rPr>
                  <w:rStyle w:val="a3"/>
                  <w:rFonts w:eastAsia="Times New Roman"/>
                  <w:sz w:val="20"/>
                  <w:szCs w:val="20"/>
                </w:rPr>
                <w:t>ehensive Income for the years ended September 30, 2023, 2022 and 2021</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F-</w:t>
            </w:r>
            <w:hyperlink w:anchor="ic92dd05487854a4eaece953328045c39_151" w:history="1">
              <w:r>
                <w:rPr>
                  <w:rStyle w:val="a3"/>
                  <w:rFonts w:eastAsia="Times New Roman"/>
                  <w:color w:val="000000"/>
                  <w:sz w:val="20"/>
                  <w:szCs w:val="20"/>
                  <w:u w:val="none"/>
                </w:rPr>
                <w:t>8</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1098021545"/>
              <w:rPr>
                <w:rFonts w:eastAsia="Times New Roman"/>
              </w:rPr>
            </w:pPr>
            <w:hyperlink w:anchor="ic92dd05487854a4eaece953328045c39_154" w:history="1">
              <w:r>
                <w:rPr>
                  <w:rStyle w:val="a3"/>
                  <w:rFonts w:eastAsia="Times New Roman"/>
                  <w:sz w:val="20"/>
                  <w:szCs w:val="20"/>
                </w:rPr>
                <w:t>Consolidated Statements of Cash Flows for the years ended September 30, 2023, 2022 and 2021</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F-</w:t>
            </w:r>
            <w:hyperlink w:anchor="ic92dd05487854a4eaece953328045c39_154" w:history="1">
              <w:r>
                <w:rPr>
                  <w:rStyle w:val="a3"/>
                  <w:rFonts w:eastAsia="Times New Roman"/>
                  <w:color w:val="000000"/>
                  <w:sz w:val="20"/>
                  <w:szCs w:val="20"/>
                  <w:u w:val="none"/>
                </w:rPr>
                <w:t>9</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1502312462"/>
              <w:rPr>
                <w:rFonts w:eastAsia="Times New Roman"/>
              </w:rPr>
            </w:pPr>
            <w:hyperlink w:anchor="ic92dd05487854a4eaece953328045c39_157" w:history="1">
              <w:r>
                <w:rPr>
                  <w:rStyle w:val="a3"/>
                  <w:rFonts w:eastAsia="Times New Roman"/>
                  <w:sz w:val="20"/>
                  <w:szCs w:val="20"/>
                </w:rPr>
                <w:t>Consolidated Statements of Changes in Equity for the years ended September 30, 2023, 2022 and 2021</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F-</w:t>
            </w:r>
            <w:hyperlink w:anchor="ic92dd05487854a4eaece953328045c39_157" w:history="1">
              <w:r>
                <w:rPr>
                  <w:rStyle w:val="a3"/>
                  <w:rFonts w:eastAsia="Times New Roman"/>
                  <w:color w:val="000000"/>
                  <w:sz w:val="20"/>
                  <w:szCs w:val="20"/>
                  <w:u w:val="none"/>
                </w:rPr>
                <w:t>10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1615745286"/>
              <w:rPr>
                <w:rFonts w:eastAsia="Times New Roman"/>
              </w:rPr>
            </w:pPr>
            <w:hyperlink w:anchor="ic92dd05487854a4eaece953328045c39_160"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F-</w:t>
            </w:r>
            <w:hyperlink w:anchor="ic92dd05487854a4eaece953328045c39_160" w:history="1">
              <w:r>
                <w:rPr>
                  <w:rStyle w:val="a3"/>
                  <w:rFonts w:eastAsia="Times New Roman"/>
                  <w:color w:val="000000"/>
                  <w:sz w:val="20"/>
                  <w:szCs w:val="20"/>
                  <w:u w:val="none"/>
                </w:rPr>
                <w:t>11</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Financial Statement Schedules:</w:t>
            </w:r>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300"/>
          <w:jc w:val="center"/>
        </w:trPr>
        <w:tc>
          <w:tcPr>
            <w:tcW w:w="0" w:type="auto"/>
            <w:gridSpan w:val="3"/>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 the years ended September 30, 2023, 2022 and 2021:</w:t>
            </w:r>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11229841"/>
              <w:rPr>
                <w:rFonts w:eastAsia="Times New Roman"/>
              </w:rPr>
            </w:pPr>
            <w:hyperlink w:anchor="ic92dd05487854a4eaece953328045c39_241" w:history="1">
              <w:r>
                <w:rPr>
                  <w:rStyle w:val="a3"/>
                  <w:rFonts w:eastAsia="Times New Roman"/>
                  <w:sz w:val="20"/>
                  <w:szCs w:val="20"/>
                </w:rPr>
                <w:t xml:space="preserve">I — </w:t>
              </w:r>
              <w:r>
                <w:rPr>
                  <w:rStyle w:val="a3"/>
                  <w:rFonts w:eastAsia="Times New Roman"/>
                  <w:sz w:val="20"/>
                  <w:szCs w:val="20"/>
                </w:rPr>
                <w:t>Condensed Financial Information of Registrant (Parent Company)</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S-</w:t>
            </w:r>
            <w:hyperlink w:anchor="ic92dd05487854a4eaece953328045c39_241" w:history="1">
              <w:r>
                <w:rPr>
                  <w:rStyle w:val="a3"/>
                  <w:rFonts w:eastAsia="Times New Roman"/>
                  <w:color w:val="000000"/>
                  <w:sz w:val="20"/>
                  <w:szCs w:val="20"/>
                  <w:u w:val="none"/>
                </w:rPr>
                <w:t>1</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AC31B9">
            <w:pPr>
              <w:spacing w:after="100"/>
              <w:divId w:val="211693739"/>
              <w:rPr>
                <w:rFonts w:eastAsia="Times New Roman"/>
              </w:rPr>
            </w:pPr>
            <w:hyperlink w:anchor="ic92dd05487854a4eaece953328045c39_253" w:history="1">
              <w:r>
                <w:rPr>
                  <w:rStyle w:val="a3"/>
                  <w:rFonts w:eastAsia="Times New Roman"/>
                  <w:sz w:val="20"/>
                  <w:szCs w:val="20"/>
                </w:rPr>
                <w:t>II — Valuation and Qualifying Accounts</w:t>
              </w:r>
            </w:hyperlink>
          </w:p>
        </w:tc>
        <w:tc>
          <w:tcPr>
            <w:tcW w:w="0" w:type="auto"/>
            <w:gridSpan w:val="3"/>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S-</w:t>
            </w:r>
            <w:hyperlink w:anchor="ic92dd05487854a4eaece953328045c39_253" w:history="1">
              <w:r>
                <w:rPr>
                  <w:rStyle w:val="a3"/>
                  <w:rFonts w:eastAsia="Times New Roman"/>
                  <w:color w:val="000000"/>
                  <w:sz w:val="20"/>
                  <w:szCs w:val="20"/>
                  <w:u w:val="none"/>
                </w:rPr>
                <w:t>4</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bl>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 have omitted all other financial statement schedules because the required information is either (1) not present; (2) not present in amounts sufficient to require submission of the schedule; or (3) included elsewhere in the financial statements or relate</w:t>
      </w:r>
      <w:r>
        <w:rPr>
          <w:rFonts w:eastAsia="Times New Roman"/>
          <w:color w:val="000000"/>
          <w:sz w:val="20"/>
          <w:szCs w:val="20"/>
        </w:rPr>
        <w:t>d notes.</w:t>
      </w:r>
    </w:p>
    <w:p w:rsidR="00000000" w:rsidRDefault="00AC31B9">
      <w:pPr>
        <w:jc w:val="both"/>
        <w:rPr>
          <w:rFonts w:eastAsia="Times New Roman"/>
        </w:rPr>
      </w:pPr>
    </w:p>
    <w:p w:rsidR="00000000" w:rsidRDefault="00AC31B9">
      <w:pPr>
        <w:jc w:val="center"/>
        <w:divId w:val="103502195"/>
        <w:rPr>
          <w:rFonts w:eastAsia="Times New Roman"/>
        </w:rPr>
      </w:pPr>
      <w:r>
        <w:rPr>
          <w:rFonts w:eastAsia="Times New Roman"/>
          <w:color w:val="000000"/>
          <w:sz w:val="20"/>
          <w:szCs w:val="20"/>
        </w:rPr>
        <w:t>F-2</w:t>
      </w:r>
    </w:p>
    <w:p w:rsidR="00000000" w:rsidRDefault="00AC31B9">
      <w:pPr>
        <w:rPr>
          <w:rFonts w:eastAsia="Times New Roman"/>
        </w:rPr>
      </w:pPr>
      <w:r>
        <w:rPr>
          <w:rFonts w:eastAsia="Times New Roman"/>
        </w:rPr>
        <w:pict>
          <v:rect id="_x0000_i1120" style="width:0;height:1.5pt" o:hralign="center" o:hrstd="t" o:hr="t" fillcolor="#a0a0a0" stroked="f"/>
        </w:pict>
      </w:r>
    </w:p>
    <w:p w:rsidR="00000000" w:rsidRDefault="00AC31B9">
      <w:pPr>
        <w:divId w:val="1100641812"/>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b/>
          <w:bCs/>
          <w:color w:val="000000"/>
          <w:sz w:val="20"/>
          <w:szCs w:val="20"/>
        </w:rPr>
        <w:t>Management’s Annual Report on Consolidated Financial Statements and Schedules</w:t>
      </w:r>
    </w:p>
    <w:p w:rsidR="00000000" w:rsidRDefault="00AC31B9">
      <w:pPr>
        <w:jc w:val="both"/>
        <w:divId w:val="1479835285"/>
        <w:rPr>
          <w:rFonts w:eastAsia="Times New Roman"/>
        </w:rPr>
      </w:pPr>
      <w:r>
        <w:rPr>
          <w:rFonts w:eastAsia="Times New Roman"/>
          <w:color w:val="000000"/>
          <w:sz w:val="20"/>
          <w:szCs w:val="20"/>
        </w:rPr>
        <w:t>The Company’s consolidated financial statements an</w:t>
      </w:r>
      <w:r>
        <w:rPr>
          <w:rFonts w:eastAsia="Times New Roman"/>
          <w:color w:val="000000"/>
          <w:sz w:val="20"/>
          <w:szCs w:val="20"/>
        </w:rPr>
        <w:t>d other financial information contained in this Annual Report were prepared by management, which is responsible for their fairness, integrity and objectivity. The consolidated financial statements and related information were prepared in accordance with GA</w:t>
      </w:r>
      <w:r>
        <w:rPr>
          <w:rFonts w:eastAsia="Times New Roman"/>
          <w:color w:val="000000"/>
          <w:sz w:val="20"/>
          <w:szCs w:val="20"/>
        </w:rPr>
        <w:t>AP and include amounts that are based on management’s best judgments and estimates.</w:t>
      </w:r>
    </w:p>
    <w:p w:rsidR="00000000" w:rsidRDefault="00AC31B9">
      <w:pPr>
        <w:jc w:val="both"/>
        <w:divId w:val="1063604267"/>
        <w:rPr>
          <w:rFonts w:eastAsia="Times New Roman"/>
        </w:rPr>
      </w:pPr>
      <w:r>
        <w:rPr>
          <w:rFonts w:eastAsia="Times New Roman"/>
          <w:color w:val="000000"/>
          <w:sz w:val="20"/>
          <w:szCs w:val="20"/>
        </w:rPr>
        <w:t>The Audit Committee of the Board of Directors (the “Committee”) is composed of three members, each of whom is independent and a non-employee director of the Company. The Co</w:t>
      </w:r>
      <w:r>
        <w:rPr>
          <w:rFonts w:eastAsia="Times New Roman"/>
          <w:color w:val="000000"/>
          <w:sz w:val="20"/>
          <w:szCs w:val="20"/>
        </w:rPr>
        <w:t>mmittee is responsible for monitoring and overseeing the financial reporting process, the adequacy of internal accounting controls, and the independence and performance of the Company’s independent registered public accounting firm and internal auditors. T</w:t>
      </w:r>
      <w:r>
        <w:rPr>
          <w:rFonts w:eastAsia="Times New Roman"/>
          <w:color w:val="000000"/>
          <w:sz w:val="20"/>
          <w:szCs w:val="20"/>
        </w:rPr>
        <w:t xml:space="preserve">he Committee meets regularly, with and without management present, with the independent registered public accounting firm and the internal auditors, both of which report directly to the Committee. In addition, the Committee provides regular reports to the </w:t>
      </w:r>
      <w:r>
        <w:rPr>
          <w:rFonts w:eastAsia="Times New Roman"/>
          <w:color w:val="000000"/>
          <w:sz w:val="20"/>
          <w:szCs w:val="20"/>
        </w:rPr>
        <w:t>Board of Directors.</w:t>
      </w:r>
    </w:p>
    <w:p w:rsidR="00000000" w:rsidRDefault="00AC31B9">
      <w:pPr>
        <w:divId w:val="562720714"/>
        <w:rPr>
          <w:rFonts w:eastAsia="Times New Roman"/>
        </w:rPr>
      </w:pPr>
    </w:p>
    <w:p w:rsidR="00000000" w:rsidRDefault="00AC31B9">
      <w:pPr>
        <w:divId w:val="1362129160"/>
        <w:rPr>
          <w:rFonts w:eastAsia="Times New Roman"/>
        </w:rPr>
      </w:pPr>
      <w:r>
        <w:rPr>
          <w:rFonts w:eastAsia="Times New Roman"/>
          <w:color w:val="000000"/>
          <w:sz w:val="20"/>
          <w:szCs w:val="20"/>
        </w:rPr>
        <w:t>/s/ Roger Perreault</w:t>
      </w:r>
    </w:p>
    <w:p w:rsidR="00000000" w:rsidRDefault="00AC31B9">
      <w:pPr>
        <w:divId w:val="1900896075"/>
        <w:rPr>
          <w:rFonts w:eastAsia="Times New Roman"/>
        </w:rPr>
      </w:pPr>
      <w:r>
        <w:rPr>
          <w:rFonts w:eastAsia="Times New Roman"/>
          <w:color w:val="000000"/>
          <w:sz w:val="20"/>
          <w:szCs w:val="20"/>
        </w:rPr>
        <w:t>Chief Executive Officer</w:t>
      </w:r>
    </w:p>
    <w:p w:rsidR="00000000" w:rsidRDefault="00AC31B9">
      <w:pPr>
        <w:divId w:val="1537156521"/>
        <w:rPr>
          <w:rFonts w:eastAsia="Times New Roman"/>
        </w:rPr>
      </w:pPr>
    </w:p>
    <w:p w:rsidR="00000000" w:rsidRDefault="00AC31B9">
      <w:pPr>
        <w:divId w:val="1641426176"/>
        <w:rPr>
          <w:rFonts w:eastAsia="Times New Roman"/>
        </w:rPr>
      </w:pPr>
      <w:r>
        <w:rPr>
          <w:rFonts w:eastAsia="Times New Roman"/>
          <w:color w:val="000000"/>
          <w:sz w:val="20"/>
          <w:szCs w:val="20"/>
        </w:rPr>
        <w:t>/s/ Sean P. O’Brien</w:t>
      </w:r>
    </w:p>
    <w:p w:rsidR="00000000" w:rsidRDefault="00AC31B9">
      <w:pPr>
        <w:divId w:val="1644507215"/>
        <w:rPr>
          <w:rFonts w:eastAsia="Times New Roman"/>
        </w:rPr>
      </w:pPr>
      <w:r>
        <w:rPr>
          <w:rFonts w:eastAsia="Times New Roman"/>
          <w:color w:val="000000"/>
          <w:sz w:val="20"/>
          <w:szCs w:val="20"/>
        </w:rPr>
        <w:t>Chief Financial Officer</w:t>
      </w:r>
    </w:p>
    <w:p w:rsidR="00000000" w:rsidRDefault="00AC31B9">
      <w:pPr>
        <w:divId w:val="1725448835"/>
        <w:rPr>
          <w:rFonts w:eastAsia="Times New Roman"/>
        </w:rPr>
      </w:pPr>
    </w:p>
    <w:p w:rsidR="00000000" w:rsidRDefault="00AC31B9">
      <w:pPr>
        <w:divId w:val="923686152"/>
        <w:rPr>
          <w:rFonts w:eastAsia="Times New Roman"/>
        </w:rPr>
      </w:pPr>
      <w:r>
        <w:rPr>
          <w:rFonts w:eastAsia="Times New Roman"/>
          <w:color w:val="000000"/>
          <w:sz w:val="20"/>
          <w:szCs w:val="20"/>
        </w:rPr>
        <w:t>/s/ Jean Felix Tematio Dontsop</w:t>
      </w:r>
    </w:p>
    <w:p w:rsidR="00000000" w:rsidRDefault="00AC31B9">
      <w:pPr>
        <w:divId w:val="1078942476"/>
        <w:rPr>
          <w:rFonts w:eastAsia="Times New Roman"/>
        </w:rPr>
      </w:pPr>
      <w:r>
        <w:rPr>
          <w:rFonts w:eastAsia="Times New Roman"/>
          <w:color w:val="000000"/>
          <w:sz w:val="20"/>
          <w:szCs w:val="20"/>
        </w:rPr>
        <w:t>Chief Accounting Officer</w:t>
      </w:r>
    </w:p>
    <w:p w:rsidR="00000000" w:rsidRDefault="00AC31B9">
      <w:pPr>
        <w:jc w:val="both"/>
        <w:rPr>
          <w:rFonts w:eastAsia="Times New Roman"/>
        </w:rPr>
      </w:pPr>
    </w:p>
    <w:p w:rsidR="00000000" w:rsidRDefault="00AC31B9">
      <w:pPr>
        <w:jc w:val="center"/>
        <w:divId w:val="2072607107"/>
        <w:rPr>
          <w:rFonts w:eastAsia="Times New Roman"/>
        </w:rPr>
      </w:pPr>
      <w:r>
        <w:rPr>
          <w:rFonts w:eastAsia="Times New Roman"/>
          <w:color w:val="000000"/>
          <w:sz w:val="20"/>
          <w:szCs w:val="20"/>
        </w:rPr>
        <w:t>F-3</w:t>
      </w:r>
    </w:p>
    <w:p w:rsidR="00000000" w:rsidRDefault="00AC31B9">
      <w:pPr>
        <w:rPr>
          <w:rFonts w:eastAsia="Times New Roman"/>
        </w:rPr>
      </w:pPr>
      <w:r>
        <w:rPr>
          <w:rFonts w:eastAsia="Times New Roman"/>
        </w:rPr>
        <w:pict>
          <v:rect id="_x0000_i1121" style="width:0;height:1.5pt" o:hralign="center" o:hrstd="t" o:hr="t" fillcolor="#a0a0a0" stroked="f"/>
        </w:pict>
      </w:r>
    </w:p>
    <w:p w:rsidR="00000000" w:rsidRDefault="00AC31B9">
      <w:pPr>
        <w:divId w:val="717583386"/>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center"/>
        <w:rPr>
          <w:rFonts w:eastAsia="Times New Roman"/>
        </w:rPr>
      </w:pPr>
      <w:r>
        <w:rPr>
          <w:rFonts w:eastAsia="Times New Roman"/>
          <w:b/>
          <w:bCs/>
          <w:color w:val="000000"/>
          <w:sz w:val="20"/>
          <w:szCs w:val="20"/>
        </w:rPr>
        <w:t>Report of Independent Registered Public Accounting Firm</w:t>
      </w:r>
    </w:p>
    <w:p w:rsidR="00000000" w:rsidRDefault="00AC31B9">
      <w:pPr>
        <w:jc w:val="center"/>
        <w:rPr>
          <w:rFonts w:eastAsia="Times New Roman"/>
        </w:rPr>
      </w:pPr>
    </w:p>
    <w:p w:rsidR="00000000" w:rsidRDefault="00AC31B9">
      <w:pPr>
        <w:jc w:val="center"/>
        <w:rPr>
          <w:rFonts w:eastAsia="Times New Roman"/>
        </w:rPr>
      </w:pPr>
    </w:p>
    <w:p w:rsidR="00000000" w:rsidRDefault="00AC31B9">
      <w:pPr>
        <w:jc w:val="both"/>
        <w:divId w:val="833033076"/>
        <w:rPr>
          <w:rFonts w:eastAsia="Times New Roman"/>
        </w:rPr>
      </w:pPr>
      <w:r>
        <w:rPr>
          <w:rFonts w:eastAsia="Times New Roman"/>
          <w:color w:val="000000"/>
          <w:sz w:val="20"/>
          <w:szCs w:val="20"/>
        </w:rPr>
        <w:t xml:space="preserve">To the Stockholders and the Board of Directors of UGI Corporation </w:t>
      </w:r>
    </w:p>
    <w:p w:rsidR="00000000" w:rsidRDefault="00AC31B9">
      <w:pPr>
        <w:jc w:val="both"/>
        <w:divId w:val="1642231710"/>
        <w:rPr>
          <w:rFonts w:eastAsia="Times New Roman"/>
        </w:rPr>
      </w:pPr>
      <w:r>
        <w:rPr>
          <w:rFonts w:eastAsia="Times New Roman"/>
          <w:b/>
          <w:bCs/>
          <w:color w:val="000000"/>
          <w:sz w:val="20"/>
          <w:szCs w:val="20"/>
        </w:rPr>
        <w:t xml:space="preserve">Opinion on the Financial Statements </w:t>
      </w:r>
    </w:p>
    <w:p w:rsidR="00000000" w:rsidRDefault="00AC31B9">
      <w:pPr>
        <w:jc w:val="both"/>
        <w:divId w:val="447700506"/>
        <w:rPr>
          <w:rFonts w:eastAsia="Times New Roman"/>
        </w:rPr>
      </w:pPr>
      <w:r>
        <w:rPr>
          <w:rFonts w:eastAsia="Times New Roman"/>
          <w:color w:val="000000"/>
          <w:sz w:val="20"/>
          <w:szCs w:val="20"/>
        </w:rPr>
        <w:t>We have audited the accompanying consolidated balance sheets</w:t>
      </w:r>
      <w:r>
        <w:rPr>
          <w:rFonts w:eastAsia="Times New Roman"/>
          <w:color w:val="000000"/>
          <w:sz w:val="20"/>
          <w:szCs w:val="20"/>
        </w:rPr>
        <w:t xml:space="preserve"> of UGI Corporation and subsidiaries (the Company) as of September 30, 2023 and 2022, the related consolidated statements of income, comprehensive income, changes in equity and cash flows for each of the three years in the period ended September 30, 2023, </w:t>
      </w:r>
      <w:r>
        <w:rPr>
          <w:rFonts w:eastAsia="Times New Roman"/>
          <w:color w:val="000000"/>
          <w:sz w:val="20"/>
          <w:szCs w:val="20"/>
        </w:rPr>
        <w:t>and the related notes and financial statement schedules listed in the Index at Item 15(a) (collectively referred to as the “consolidated financial statements”). In our opinion, the consolidated financial statements present fairly, in all material respects,</w:t>
      </w:r>
      <w:r>
        <w:rPr>
          <w:rFonts w:eastAsia="Times New Roman"/>
          <w:color w:val="000000"/>
          <w:sz w:val="20"/>
          <w:szCs w:val="20"/>
        </w:rPr>
        <w:t xml:space="preserve"> the financial position of the Company at September 30, 2023 and 2022, and the results of its operations and its cash flows for each of the three years in the period ended September 30, 2023, in conformity with U.S. generally accepted accounting principles</w:t>
      </w:r>
      <w:r>
        <w:rPr>
          <w:rFonts w:eastAsia="Times New Roman"/>
          <w:color w:val="000000"/>
          <w:sz w:val="20"/>
          <w:szCs w:val="20"/>
        </w:rPr>
        <w:t>.</w:t>
      </w:r>
    </w:p>
    <w:p w:rsidR="00000000" w:rsidRDefault="00AC31B9">
      <w:pPr>
        <w:jc w:val="both"/>
        <w:divId w:val="621424638"/>
        <w:rPr>
          <w:rFonts w:eastAsia="Times New Roman"/>
        </w:rPr>
      </w:pPr>
      <w:r>
        <w:rPr>
          <w:rFonts w:eastAsia="Times New Roman"/>
          <w:color w:val="000000"/>
          <w:sz w:val="20"/>
          <w:szCs w:val="20"/>
        </w:rPr>
        <w:t>We also have audited, in accordance with the standards of the Public Company Accounting Oversight Board (United States) (PCAOB), the Company's internal control over financial reporting as of September 30, 2023, based on criteria established in Internal C</w:t>
      </w:r>
      <w:r>
        <w:rPr>
          <w:rFonts w:eastAsia="Times New Roman"/>
          <w:color w:val="000000"/>
          <w:sz w:val="20"/>
          <w:szCs w:val="20"/>
        </w:rPr>
        <w:t>ontrol-Integrated Framework issued by the Committee of Sponsoring Organizations of the Treadway Commission (2013 framework) and our report dated November 28, 2023, expressed an unqualified opinion thereon.</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 xml:space="preserve">Basis for Opinion </w:t>
      </w:r>
    </w:p>
    <w:p w:rsidR="00000000" w:rsidRDefault="00AC31B9">
      <w:pPr>
        <w:jc w:val="both"/>
        <w:divId w:val="981617436"/>
        <w:rPr>
          <w:rFonts w:eastAsia="Times New Roman"/>
        </w:rPr>
      </w:pPr>
      <w:r>
        <w:rPr>
          <w:rFonts w:eastAsia="Times New Roman"/>
          <w:color w:val="000000"/>
          <w:sz w:val="20"/>
          <w:szCs w:val="20"/>
        </w:rPr>
        <w:t>These financial statements are the responsibility of the Company's management. Our responsibility is to express an opinion on the Company’s financial statements based on our audits. We are a public accounting firm registered with the PCAOB and are required</w:t>
      </w:r>
      <w:r>
        <w:rPr>
          <w:rFonts w:eastAsia="Times New Roman"/>
          <w:color w:val="000000"/>
          <w:sz w:val="20"/>
          <w:szCs w:val="20"/>
        </w:rPr>
        <w:t xml:space="preserve"> to be independent with respect to the Company in accordance with the U.S. federal securities laws and the applicable rules and regulations of the Securities and Exchange Commission and the PCAOB. </w:t>
      </w:r>
    </w:p>
    <w:p w:rsidR="00000000" w:rsidRDefault="00AC31B9">
      <w:pPr>
        <w:jc w:val="both"/>
        <w:divId w:val="345445498"/>
        <w:rPr>
          <w:rFonts w:eastAsia="Times New Roman"/>
        </w:rPr>
      </w:pPr>
      <w:r>
        <w:rPr>
          <w:rFonts w:eastAsia="Times New Roman"/>
          <w:color w:val="000000"/>
          <w:sz w:val="20"/>
          <w:szCs w:val="20"/>
        </w:rPr>
        <w:t xml:space="preserve">We conducted our audits in accordance with the standards of the PCAOB. Those standards require that we plan and perform the audit to obtain reasonable assurance about whether the financial statements are free of material misstatement, whether due to error </w:t>
      </w:r>
      <w:r>
        <w:rPr>
          <w:rFonts w:eastAsia="Times New Roman"/>
          <w:color w:val="000000"/>
          <w:sz w:val="20"/>
          <w:szCs w:val="20"/>
        </w:rPr>
        <w:t>or fraud. Our audits included performing procedures to assess the risks of material misstatement of the financial statements, whether due to error or fraud, and performing procedures that respond to those risks. Such procedures included examining, on a tes</w:t>
      </w:r>
      <w:r>
        <w:rPr>
          <w:rFonts w:eastAsia="Times New Roman"/>
          <w:color w:val="000000"/>
          <w:sz w:val="20"/>
          <w:szCs w:val="20"/>
        </w:rPr>
        <w:t>t basis, evidence regarding the amounts and disclosures in the financial statements. Our audits also included evaluating the accounting principles used and significant estimates made by management, as well as evaluating the overall presentation of the fina</w:t>
      </w:r>
      <w:r>
        <w:rPr>
          <w:rFonts w:eastAsia="Times New Roman"/>
          <w:color w:val="000000"/>
          <w:sz w:val="20"/>
          <w:szCs w:val="20"/>
        </w:rPr>
        <w:t>ncial statements. We believe that our audits provide a reasonable basis for our opinion</w:t>
      </w:r>
      <w:r>
        <w:rPr>
          <w:rFonts w:ascii="Arial" w:eastAsia="Times New Roman" w:hAnsi="Arial" w:cs="Arial"/>
          <w:color w:val="000000"/>
          <w:sz w:val="21"/>
          <w:szCs w:val="21"/>
        </w:rPr>
        <w:t xml:space="preserve">. </w:t>
      </w:r>
    </w:p>
    <w:p w:rsidR="00000000" w:rsidRDefault="00AC31B9">
      <w:pPr>
        <w:jc w:val="both"/>
        <w:divId w:val="165290560"/>
        <w:rPr>
          <w:rFonts w:eastAsia="Times New Roman"/>
        </w:rPr>
      </w:pPr>
      <w:r>
        <w:rPr>
          <w:rFonts w:eastAsia="Times New Roman"/>
          <w:b/>
          <w:bCs/>
          <w:color w:val="000000"/>
          <w:sz w:val="20"/>
          <w:szCs w:val="20"/>
        </w:rPr>
        <w:t>Critical Audit Matters</w:t>
      </w:r>
    </w:p>
    <w:p w:rsidR="00000000" w:rsidRDefault="00AC31B9">
      <w:pPr>
        <w:jc w:val="both"/>
        <w:divId w:val="1903052772"/>
        <w:rPr>
          <w:rFonts w:eastAsia="Times New Roman"/>
        </w:rPr>
      </w:pPr>
      <w:r>
        <w:rPr>
          <w:rFonts w:eastAsia="Times New Roman"/>
          <w:color w:val="000000"/>
          <w:sz w:val="20"/>
          <w:szCs w:val="20"/>
        </w:rPr>
        <w:t>The critical audit matters communicated below are matters arising from the current period audit of the financial statements that were communica</w:t>
      </w:r>
      <w:r>
        <w:rPr>
          <w:rFonts w:eastAsia="Times New Roman"/>
          <w:color w:val="000000"/>
          <w:sz w:val="20"/>
          <w:szCs w:val="20"/>
        </w:rPr>
        <w:t>ted or required to be communicated to the audit committee and that: (1) relate to accounts or disclosures that are material to the financial statements and (2) involved our especially challenging, subjective or complex judgments. The communication of criti</w:t>
      </w:r>
      <w:r>
        <w:rPr>
          <w:rFonts w:eastAsia="Times New Roman"/>
          <w:color w:val="000000"/>
          <w:sz w:val="20"/>
          <w:szCs w:val="20"/>
        </w:rPr>
        <w:t>cal audit matters does not alter in any way our opinion on the consolidated financial statements, taken as a whole, and we are not, by communicating the critical audit matters below, providing separate opinions on the critical audit matters or on the accou</w:t>
      </w:r>
      <w:r>
        <w:rPr>
          <w:rFonts w:eastAsia="Times New Roman"/>
          <w:color w:val="000000"/>
          <w:sz w:val="20"/>
          <w:szCs w:val="20"/>
        </w:rPr>
        <w:t>nts or disclosures to which they relate.</w:t>
      </w:r>
    </w:p>
    <w:tbl>
      <w:tblPr>
        <w:tblW w:w="4992" w:type="pct"/>
        <w:tblCellMar>
          <w:top w:w="15" w:type="dxa"/>
          <w:left w:w="15" w:type="dxa"/>
          <w:bottom w:w="15" w:type="dxa"/>
          <w:right w:w="15" w:type="dxa"/>
        </w:tblCellMar>
        <w:tblLook w:val="04A0" w:firstRow="1" w:lastRow="0" w:firstColumn="1" w:lastColumn="0" w:noHBand="0" w:noVBand="1"/>
      </w:tblPr>
      <w:tblGrid>
        <w:gridCol w:w="85"/>
        <w:gridCol w:w="892"/>
        <w:gridCol w:w="36"/>
        <w:gridCol w:w="36"/>
        <w:gridCol w:w="172"/>
        <w:gridCol w:w="36"/>
        <w:gridCol w:w="41"/>
        <w:gridCol w:w="6959"/>
        <w:gridCol w:w="36"/>
      </w:tblGrid>
      <w:tr w:rsidR="00000000">
        <w:trPr>
          <w:divId w:val="1675298286"/>
        </w:trPr>
        <w:tc>
          <w:tcPr>
            <w:tcW w:w="50" w:type="pct"/>
            <w:vAlign w:val="center"/>
            <w:hideMark/>
          </w:tcPr>
          <w:p w:rsidR="00000000" w:rsidRDefault="00AC31B9">
            <w:pPr>
              <w:jc w:val="both"/>
              <w:rPr>
                <w:rFonts w:eastAsia="Times New Roman"/>
              </w:rPr>
            </w:pPr>
          </w:p>
        </w:tc>
        <w:tc>
          <w:tcPr>
            <w:tcW w:w="53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1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22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675298286"/>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b/>
                <w:bCs/>
                <w:i/>
                <w:iCs/>
                <w:color w:val="000000"/>
                <w:sz w:val="20"/>
                <w:szCs w:val="20"/>
              </w:rPr>
              <w:t>Valuation of general liability, automobile and workers’ compensation reserves</w:t>
            </w:r>
          </w:p>
        </w:tc>
      </w:tr>
      <w:tr w:rsidR="00000000">
        <w:trPr>
          <w:divId w:val="1675298286"/>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i/>
                <w:iCs/>
                <w:color w:val="000000"/>
                <w:sz w:val="20"/>
                <w:szCs w:val="20"/>
              </w:rPr>
              <w:t>Description of the Matter</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hideMark/>
          </w:tcPr>
          <w:p w:rsidR="00000000" w:rsidRDefault="00AC31B9">
            <w:pPr>
              <w:spacing w:after="100"/>
              <w:jc w:val="both"/>
              <w:divId w:val="441077995"/>
              <w:rPr>
                <w:rFonts w:eastAsia="Times New Roman"/>
              </w:rPr>
            </w:pPr>
            <w:r>
              <w:rPr>
                <w:rFonts w:eastAsia="Times New Roman"/>
                <w:color w:val="000000"/>
                <w:sz w:val="20"/>
                <w:szCs w:val="20"/>
              </w:rPr>
              <w:t>As discussed in Note 2 to the consolidated financial statements, the Company is subject to risk of loss for general liability, automobile, and workers’ compensation claims for which it obtains coverage under insurance policies that are subject to self-insu</w:t>
            </w:r>
            <w:r>
              <w:rPr>
                <w:rFonts w:eastAsia="Times New Roman"/>
                <w:color w:val="000000"/>
                <w:sz w:val="20"/>
                <w:szCs w:val="20"/>
              </w:rPr>
              <w:t>red retentions or deductibles. The Company establishes reserves for pending and incurred but not reported claims associated with general liability, automobile, and workers’ compensation when it is probable that a liability exists and the amount or range of</w:t>
            </w:r>
            <w:r>
              <w:rPr>
                <w:rFonts w:eastAsia="Times New Roman"/>
                <w:color w:val="000000"/>
                <w:sz w:val="20"/>
                <w:szCs w:val="20"/>
              </w:rPr>
              <w:t xml:space="preserve"> amounts can be reasonably estimated.</w:t>
            </w:r>
          </w:p>
          <w:p w:rsidR="00000000" w:rsidRDefault="00AC31B9">
            <w:pPr>
              <w:spacing w:after="100"/>
              <w:jc w:val="both"/>
              <w:rPr>
                <w:rFonts w:eastAsia="Times New Roman"/>
              </w:rPr>
            </w:pPr>
            <w:r>
              <w:rPr>
                <w:rFonts w:eastAsia="Times New Roman"/>
                <w:color w:val="000000"/>
                <w:sz w:val="20"/>
                <w:szCs w:val="20"/>
              </w:rPr>
              <w:t>Auditing the Company’s general liability, automobile, and workers’ compensation reserves was complex due to the significant measurement uncertainty associated with the estimate and the use of actuarial methods, includi</w:t>
            </w:r>
            <w:r>
              <w:rPr>
                <w:rFonts w:eastAsia="Times New Roman"/>
                <w:color w:val="000000"/>
                <w:sz w:val="20"/>
                <w:szCs w:val="20"/>
              </w:rPr>
              <w:t>ng the Company’s use of actuarial specialists. Specifically, the reserve estimate is sensitive to significant management assumptions, including the loss development factors for reported claims.</w:t>
            </w:r>
          </w:p>
          <w:p w:rsidR="00000000" w:rsidRDefault="00AC31B9">
            <w:pPr>
              <w:spacing w:after="100"/>
              <w:jc w:val="both"/>
              <w:rPr>
                <w:rFonts w:eastAsia="Times New Roman"/>
              </w:rPr>
            </w:pPr>
          </w:p>
        </w:tc>
      </w:tr>
    </w:tbl>
    <w:p w:rsidR="00000000" w:rsidRDefault="00AC31B9">
      <w:pPr>
        <w:jc w:val="center"/>
        <w:divId w:val="1950157791"/>
        <w:rPr>
          <w:rFonts w:eastAsia="Times New Roman"/>
        </w:rPr>
      </w:pPr>
      <w:r>
        <w:rPr>
          <w:rFonts w:eastAsia="Times New Roman"/>
          <w:color w:val="000000"/>
          <w:sz w:val="20"/>
          <w:szCs w:val="20"/>
        </w:rPr>
        <w:t>F-4</w:t>
      </w:r>
    </w:p>
    <w:p w:rsidR="00000000" w:rsidRDefault="00AC31B9">
      <w:pPr>
        <w:rPr>
          <w:rFonts w:eastAsia="Times New Roman"/>
        </w:rPr>
      </w:pPr>
      <w:r>
        <w:rPr>
          <w:rFonts w:eastAsia="Times New Roman"/>
        </w:rPr>
        <w:pict>
          <v:rect id="_x0000_i1122" style="width:0;height:1.5pt" o:hralign="center" o:hrstd="t" o:hr="t" fillcolor="#a0a0a0" stroked="f"/>
        </w:pict>
      </w:r>
    </w:p>
    <w:p w:rsidR="00000000" w:rsidRDefault="00AC31B9">
      <w:pPr>
        <w:divId w:val="151918493"/>
        <w:rPr>
          <w:rFonts w:eastAsia="Times New Roman"/>
        </w:rPr>
      </w:pPr>
      <w:hyperlink w:anchor="ic92dd05487854a4eaece953328045c39_7" w:history="1">
        <w:r>
          <w:rPr>
            <w:rStyle w:val="a3"/>
            <w:rFonts w:eastAsia="Times New Roman"/>
            <w:b/>
            <w:bCs/>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85"/>
        <w:gridCol w:w="893"/>
        <w:gridCol w:w="37"/>
        <w:gridCol w:w="36"/>
        <w:gridCol w:w="171"/>
        <w:gridCol w:w="36"/>
        <w:gridCol w:w="40"/>
        <w:gridCol w:w="6959"/>
        <w:gridCol w:w="36"/>
      </w:tblGrid>
      <w:tr w:rsidR="00000000">
        <w:trPr>
          <w:divId w:val="697047528"/>
        </w:trPr>
        <w:tc>
          <w:tcPr>
            <w:tcW w:w="50" w:type="pct"/>
            <w:vAlign w:val="center"/>
            <w:hideMark/>
          </w:tcPr>
          <w:p w:rsidR="00000000" w:rsidRDefault="00AC31B9">
            <w:pPr>
              <w:rPr>
                <w:rFonts w:eastAsia="Times New Roman"/>
              </w:rPr>
            </w:pPr>
          </w:p>
        </w:tc>
        <w:tc>
          <w:tcPr>
            <w:tcW w:w="53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1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22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697047528"/>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i/>
                <w:iCs/>
                <w:color w:val="000000"/>
                <w:sz w:val="20"/>
                <w:szCs w:val="20"/>
              </w:rPr>
              <w:t>How We Addressed the Matter in Our Audit</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hideMark/>
          </w:tcPr>
          <w:p w:rsidR="00000000" w:rsidRDefault="00AC31B9">
            <w:pPr>
              <w:spacing w:after="100"/>
              <w:jc w:val="both"/>
              <w:divId w:val="403533471"/>
              <w:rPr>
                <w:rFonts w:eastAsia="Times New Roman"/>
              </w:rPr>
            </w:pPr>
            <w:r>
              <w:rPr>
                <w:rFonts w:eastAsia="Times New Roman"/>
                <w:color w:val="000000"/>
                <w:sz w:val="20"/>
                <w:szCs w:val="20"/>
              </w:rPr>
              <w:t>We obtained an understanding, evaluated the design, and tested the operating effectiveness of controls over the Company’s valuation of general liability, automobile, and workers’ compensation reserves. For example, we tested controls over management’s revi</w:t>
            </w:r>
            <w:r>
              <w:rPr>
                <w:rFonts w:eastAsia="Times New Roman"/>
                <w:color w:val="000000"/>
                <w:sz w:val="20"/>
                <w:szCs w:val="20"/>
              </w:rPr>
              <w:t>ew of the appropriateness of the assumptions used in the calculations and the completeness and accuracy of the data underlying the reserves.</w:t>
            </w:r>
          </w:p>
          <w:p w:rsidR="00000000" w:rsidRDefault="00AC31B9">
            <w:pPr>
              <w:spacing w:after="100"/>
              <w:jc w:val="both"/>
              <w:rPr>
                <w:rFonts w:eastAsia="Times New Roman"/>
              </w:rPr>
            </w:pPr>
            <w:r>
              <w:rPr>
                <w:rFonts w:eastAsia="Times New Roman"/>
                <w:color w:val="000000"/>
                <w:sz w:val="20"/>
                <w:szCs w:val="20"/>
              </w:rPr>
              <w:t>To test the valuation of general liability, automobile, and workers’ compensation reserves, our audit procedures in</w:t>
            </w:r>
            <w:r>
              <w:rPr>
                <w:rFonts w:eastAsia="Times New Roman"/>
                <w:color w:val="000000"/>
                <w:sz w:val="20"/>
                <w:szCs w:val="20"/>
              </w:rPr>
              <w:t>cluded, among others, assessing the methodologies used to estimate the reserves and testing the completeness and accuracy of the underlying data, as well as inspecting the Company’s insurance policies for coverage limits above which would be paid by the in</w:t>
            </w:r>
            <w:r>
              <w:rPr>
                <w:rFonts w:eastAsia="Times New Roman"/>
                <w:color w:val="000000"/>
                <w:sz w:val="20"/>
                <w:szCs w:val="20"/>
              </w:rPr>
              <w:t>surance carrier. We involved our actuarial specialists to assist in evaluating the significant assumptions and actuarial methodologies used by the Company to estimate the total expected losses for claims. We also performed a search for unrecorded claims re</w:t>
            </w:r>
            <w:r>
              <w:rPr>
                <w:rFonts w:eastAsia="Times New Roman"/>
                <w:color w:val="000000"/>
                <w:sz w:val="20"/>
                <w:szCs w:val="20"/>
              </w:rPr>
              <w:t>serves related to claims incurred prior to the balance sheet date through examination of subsequent payments and other supporting documentation to determine if unrecorded claims affect the loss reserve estimation process or reserve balance.</w:t>
            </w:r>
          </w:p>
          <w:p w:rsidR="00000000" w:rsidRDefault="00AC31B9">
            <w:pPr>
              <w:spacing w:after="100"/>
              <w:jc w:val="both"/>
              <w:rPr>
                <w:rFonts w:eastAsia="Times New Roman"/>
              </w:rPr>
            </w:pPr>
          </w:p>
        </w:tc>
      </w:tr>
      <w:tr w:rsidR="00000000">
        <w:trPr>
          <w:divId w:val="697047528"/>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b/>
                <w:bCs/>
                <w:i/>
                <w:iCs/>
                <w:color w:val="000000"/>
                <w:sz w:val="20"/>
                <w:szCs w:val="20"/>
              </w:rPr>
              <w:t>Goodwill Impairment Evaluation of the AmeriGas Propane and UGI International Reporting Units</w:t>
            </w:r>
          </w:p>
        </w:tc>
      </w:tr>
      <w:tr w:rsidR="00000000">
        <w:trPr>
          <w:divId w:val="697047528"/>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i/>
                <w:iCs/>
                <w:color w:val="000000"/>
                <w:sz w:val="20"/>
                <w:szCs w:val="20"/>
              </w:rPr>
              <w:t>Description of the Matter</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At September 30, 2023, the Company’s goodwill balance was $3,027 million. As discussed in Note 2 to the consolidated financial st</w:t>
            </w:r>
            <w:r>
              <w:rPr>
                <w:rFonts w:eastAsia="Times New Roman"/>
                <w:color w:val="000000"/>
                <w:sz w:val="20"/>
                <w:szCs w:val="20"/>
              </w:rPr>
              <w:t xml:space="preserve">atements, the Company’s goodwill is tested for impairment at least annually, or whenever events or circumstances indicate that the value of goodwill may be impaired. If goodwill is determined to be impaired, an impairment loss is measured at the amount by </w:t>
            </w:r>
            <w:r>
              <w:rPr>
                <w:rFonts w:eastAsia="Times New Roman"/>
                <w:color w:val="000000"/>
                <w:sz w:val="20"/>
                <w:szCs w:val="20"/>
              </w:rPr>
              <w:t>which the reporting unit’s carrying amount exceeds its fair value, not to exceed the carrying amount of goodwill. During the interim period ended June 30, 2023, the Company identified interim impairment indicators related to goodwill within the AmeriGas Pr</w:t>
            </w:r>
            <w:r>
              <w:rPr>
                <w:rFonts w:eastAsia="Times New Roman"/>
                <w:color w:val="000000"/>
                <w:sz w:val="20"/>
                <w:szCs w:val="20"/>
              </w:rPr>
              <w:t>opane reporting unit. The Company performed a quantitative assessment of the reporting unit to determine its fair value. Based on the Company’s evaluation, the estimated fair value of the reporting unit was determined to be less than its carrying value. As</w:t>
            </w:r>
            <w:r>
              <w:rPr>
                <w:rFonts w:eastAsia="Times New Roman"/>
                <w:color w:val="000000"/>
                <w:sz w:val="20"/>
                <w:szCs w:val="20"/>
              </w:rPr>
              <w:t xml:space="preserve"> a result, a non-cash pre-tax goodwill impairment charge of $656 million was recognized. Furthermore, as discussed in Note 2 to the consolidated financial statements, the fair value of the UGI International reporting unit exceeded its carrying value by app</w:t>
            </w:r>
            <w:r>
              <w:rPr>
                <w:rFonts w:eastAsia="Times New Roman"/>
                <w:color w:val="000000"/>
                <w:sz w:val="20"/>
                <w:szCs w:val="20"/>
              </w:rPr>
              <w:t>roximately 10% at September 30, 2023.</w:t>
            </w:r>
            <w:r>
              <w:rPr>
                <w:rFonts w:eastAsia="Times New Roman"/>
                <w:color w:val="000000"/>
                <w:sz w:val="20"/>
                <w:szCs w:val="20"/>
              </w:rPr>
              <w:br/>
            </w:r>
            <w:r>
              <w:rPr>
                <w:rFonts w:eastAsia="Times New Roman"/>
                <w:sz w:val="20"/>
                <w:szCs w:val="20"/>
              </w:rPr>
              <w:br/>
            </w:r>
            <w:r>
              <w:rPr>
                <w:rFonts w:eastAsia="Times New Roman"/>
                <w:color w:val="000000"/>
                <w:sz w:val="20"/>
                <w:szCs w:val="20"/>
              </w:rPr>
              <w:t>Auditing the Company’</w:t>
            </w:r>
            <w:r>
              <w:rPr>
                <w:rFonts w:eastAsia="Times New Roman"/>
                <w:color w:val="000000"/>
                <w:sz w:val="20"/>
                <w:szCs w:val="20"/>
              </w:rPr>
              <w:t xml:space="preserve">s goodwill impairment tests for the AmeriGas Propane and UGI International reporting units required especially challenging and complex judgment to evaluate the effects of macroeconomic and industry conditions such as future growth rates and discount rates </w:t>
            </w:r>
            <w:r>
              <w:rPr>
                <w:rFonts w:eastAsia="Times New Roman"/>
                <w:color w:val="000000"/>
                <w:sz w:val="20"/>
                <w:szCs w:val="20"/>
              </w:rPr>
              <w:t>and involved a high degree of subjectivity due to the significant estimation required to determine the fair value of the reporting unit. In particular, the fair value estimate of the reporting unit involves the use of significant unobservable inputs and is</w:t>
            </w:r>
            <w:r>
              <w:rPr>
                <w:rFonts w:eastAsia="Times New Roman"/>
                <w:color w:val="000000"/>
                <w:sz w:val="20"/>
                <w:szCs w:val="20"/>
              </w:rPr>
              <w:t xml:space="preserve"> sensitive to changes in significant assumptions, such as the discount rate and earnings before interest, taxes, depreciation and amortization (“EBITDA”).</w:t>
            </w:r>
          </w:p>
        </w:tc>
      </w:tr>
      <w:tr w:rsidR="00000000">
        <w:trPr>
          <w:divId w:val="697047528"/>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i/>
                <w:iCs/>
                <w:color w:val="000000"/>
                <w:sz w:val="20"/>
                <w:szCs w:val="20"/>
              </w:rPr>
              <w:t>How We Addressed the Matter in Our Audit</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hideMark/>
          </w:tcPr>
          <w:p w:rsidR="00000000" w:rsidRDefault="00AC31B9">
            <w:pPr>
              <w:spacing w:after="100"/>
              <w:jc w:val="both"/>
              <w:rPr>
                <w:rFonts w:eastAsia="Times New Roman"/>
              </w:rPr>
            </w:pPr>
            <w:r>
              <w:rPr>
                <w:rFonts w:eastAsia="Times New Roman"/>
                <w:color w:val="000000"/>
                <w:sz w:val="20"/>
                <w:szCs w:val="20"/>
              </w:rPr>
              <w:t xml:space="preserve">We obtained an understanding, evaluated the design </w:t>
            </w:r>
            <w:r>
              <w:rPr>
                <w:rFonts w:eastAsia="Times New Roman"/>
                <w:color w:val="000000"/>
                <w:sz w:val="20"/>
                <w:szCs w:val="20"/>
              </w:rPr>
              <w:t xml:space="preserve">and tested the operating effectiveness of controls over the Company's goodwill impairment review and testing process which included the AmeriGas Propane and UGI International reporting units. For example, we tested controls over management’s review of the </w:t>
            </w:r>
            <w:r>
              <w:rPr>
                <w:rFonts w:eastAsia="Times New Roman"/>
                <w:color w:val="000000"/>
                <w:sz w:val="20"/>
                <w:szCs w:val="20"/>
              </w:rPr>
              <w:t>valuation model, the significant assumptions described above, and the completeness and accuracy of the data used in the valuations.</w:t>
            </w:r>
            <w:r>
              <w:rPr>
                <w:rFonts w:eastAsia="Times New Roman"/>
                <w:color w:val="000000"/>
                <w:sz w:val="20"/>
                <w:szCs w:val="20"/>
              </w:rPr>
              <w:br/>
            </w:r>
            <w:r>
              <w:rPr>
                <w:rFonts w:eastAsia="Times New Roman"/>
                <w:sz w:val="20"/>
                <w:szCs w:val="20"/>
              </w:rPr>
              <w:br/>
            </w:r>
            <w:r>
              <w:rPr>
                <w:rFonts w:eastAsia="Times New Roman"/>
                <w:color w:val="000000"/>
                <w:sz w:val="20"/>
                <w:szCs w:val="20"/>
              </w:rPr>
              <w:t>To test the estimated fair value for the AmeriGas Propane and UGI International reporting units, we performed audit procedu</w:t>
            </w:r>
            <w:r>
              <w:rPr>
                <w:rFonts w:eastAsia="Times New Roman"/>
                <w:color w:val="000000"/>
                <w:sz w:val="20"/>
                <w:szCs w:val="20"/>
              </w:rPr>
              <w:t>res that included, among others, assessing the methodologies used to develop the estimated fair values, testing the significant assumptions discussed above, and evaluating the completeness and accuracy of the underlying data used by the Company in its anal</w:t>
            </w:r>
            <w:r>
              <w:rPr>
                <w:rFonts w:eastAsia="Times New Roman"/>
                <w:color w:val="000000"/>
                <w:sz w:val="20"/>
                <w:szCs w:val="20"/>
              </w:rPr>
              <w:t>yses. We compared the significant assumptions used by management to current industry trends. We assessed the historical accuracy of management’s estimates and performed sensitivity analyses of significant assumptions to evaluate the changes in the fair val</w:t>
            </w:r>
            <w:r>
              <w:rPr>
                <w:rFonts w:eastAsia="Times New Roman"/>
                <w:color w:val="000000"/>
                <w:sz w:val="20"/>
                <w:szCs w:val="20"/>
              </w:rPr>
              <w:t>ue of the reporting units that would result from changes in the assumptions. We also involved valuation specialists to assist in our evaluation of the overall methodologies and the discount rates used in the fair value estimate.</w:t>
            </w:r>
          </w:p>
        </w:tc>
      </w:tr>
      <w:tr w:rsidR="00000000">
        <w:trPr>
          <w:divId w:val="697047528"/>
          <w:trHeight w:val="300"/>
        </w:trPr>
        <w:tc>
          <w:tcPr>
            <w:tcW w:w="0" w:type="auto"/>
            <w:gridSpan w:val="3"/>
            <w:tcMar>
              <w:top w:w="0" w:type="dxa"/>
              <w:left w:w="20" w:type="dxa"/>
              <w:bottom w:w="0" w:type="dxa"/>
              <w:right w:w="20" w:type="dxa"/>
            </w:tcMar>
            <w:vAlign w:val="center"/>
            <w:hideMark/>
          </w:tcPr>
          <w:p w:rsidR="00000000" w:rsidRDefault="00AC31B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bl>
    <w:p w:rsidR="00000000" w:rsidRDefault="00AC31B9">
      <w:pPr>
        <w:jc w:val="both"/>
        <w:rPr>
          <w:rFonts w:eastAsia="Times New Roman"/>
        </w:rPr>
      </w:pPr>
      <w:r>
        <w:rPr>
          <w:rFonts w:eastAsia="Times New Roman"/>
          <w:color w:val="000000"/>
          <w:sz w:val="20"/>
          <w:szCs w:val="20"/>
        </w:rPr>
        <w:t xml:space="preserve">/s/ </w:t>
      </w:r>
      <w:r>
        <w:rPr>
          <w:rFonts w:eastAsia="Times New Roman"/>
          <w:color w:val="000000"/>
          <w:sz w:val="20"/>
          <w:szCs w:val="20"/>
        </w:rPr>
        <w:t>Ernst &amp; Young LLP</w:t>
      </w:r>
    </w:p>
    <w:p w:rsidR="00000000" w:rsidRDefault="00AC31B9">
      <w:pPr>
        <w:jc w:val="both"/>
        <w:rPr>
          <w:rFonts w:eastAsia="Times New Roman"/>
        </w:rPr>
      </w:pPr>
      <w:r>
        <w:rPr>
          <w:rFonts w:eastAsia="Times New Roman"/>
          <w:color w:val="000000"/>
          <w:sz w:val="20"/>
          <w:szCs w:val="20"/>
        </w:rPr>
        <w:t>We have served as the Company’s auditor since 2014.</w:t>
      </w:r>
    </w:p>
    <w:p w:rsidR="00000000" w:rsidRDefault="00AC31B9">
      <w:pPr>
        <w:jc w:val="both"/>
        <w:rPr>
          <w:rFonts w:eastAsia="Times New Roman"/>
        </w:rPr>
      </w:pPr>
      <w:r>
        <w:rPr>
          <w:rFonts w:eastAsia="Times New Roman"/>
          <w:color w:val="000000"/>
          <w:sz w:val="20"/>
          <w:szCs w:val="20"/>
        </w:rPr>
        <w:t>Philadelphia, Pennsylvania</w:t>
      </w:r>
    </w:p>
    <w:p w:rsidR="00000000" w:rsidRDefault="00AC31B9">
      <w:pPr>
        <w:divId w:val="1771929241"/>
        <w:rPr>
          <w:rFonts w:eastAsia="Times New Roman"/>
        </w:rPr>
      </w:pPr>
      <w:r>
        <w:rPr>
          <w:rFonts w:eastAsia="Times New Roman"/>
          <w:color w:val="000000"/>
          <w:sz w:val="20"/>
          <w:szCs w:val="20"/>
        </w:rPr>
        <w:t>November 28, 2023</w:t>
      </w:r>
    </w:p>
    <w:p w:rsidR="00000000" w:rsidRDefault="00AC31B9">
      <w:pPr>
        <w:jc w:val="both"/>
        <w:rPr>
          <w:rFonts w:eastAsia="Times New Roman"/>
        </w:rPr>
      </w:pPr>
    </w:p>
    <w:p w:rsidR="00000000" w:rsidRDefault="00AC31B9">
      <w:pPr>
        <w:jc w:val="center"/>
        <w:divId w:val="1638684806"/>
        <w:rPr>
          <w:rFonts w:eastAsia="Times New Roman"/>
        </w:rPr>
      </w:pPr>
      <w:r>
        <w:rPr>
          <w:rFonts w:eastAsia="Times New Roman"/>
          <w:color w:val="000000"/>
          <w:sz w:val="20"/>
          <w:szCs w:val="20"/>
        </w:rPr>
        <w:t>F-5</w:t>
      </w:r>
    </w:p>
    <w:p w:rsidR="00000000" w:rsidRDefault="00AC31B9">
      <w:pPr>
        <w:rPr>
          <w:rFonts w:eastAsia="Times New Roman"/>
        </w:rPr>
      </w:pPr>
      <w:r>
        <w:rPr>
          <w:rFonts w:eastAsia="Times New Roman"/>
        </w:rPr>
        <w:pict>
          <v:rect id="_x0000_i1123" style="width:0;height:1.5pt" o:hralign="center" o:hrstd="t" o:hr="t" fillcolor="#a0a0a0" stroked="f"/>
        </w:pict>
      </w:r>
    </w:p>
    <w:p w:rsidR="00000000" w:rsidRDefault="00AC31B9">
      <w:pPr>
        <w:divId w:val="789782183"/>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center"/>
        <w:rPr>
          <w:rFonts w:eastAsia="Times New Roman"/>
        </w:rPr>
      </w:pPr>
      <w:r>
        <w:rPr>
          <w:rFonts w:eastAsia="Times New Roman"/>
          <w:color w:val="000000"/>
          <w:sz w:val="20"/>
          <w:szCs w:val="20"/>
        </w:rPr>
        <w:t>UGI CORPORATION AND SUBSIDIARIES</w:t>
      </w:r>
    </w:p>
    <w:p w:rsidR="00000000" w:rsidRDefault="00AC31B9">
      <w:pPr>
        <w:ind w:firstLine="45"/>
        <w:jc w:val="center"/>
        <w:rPr>
          <w:rFonts w:eastAsia="Times New Roman"/>
        </w:rPr>
      </w:pPr>
      <w:r>
        <w:rPr>
          <w:rFonts w:eastAsia="Times New Roman"/>
          <w:color w:val="000000"/>
          <w:sz w:val="20"/>
          <w:szCs w:val="20"/>
        </w:rPr>
        <w:t>CONSOLIDATED BALANCE SHEETS</w:t>
      </w:r>
    </w:p>
    <w:p w:rsidR="00000000" w:rsidRDefault="00AC31B9">
      <w:pPr>
        <w:jc w:val="center"/>
        <w:rPr>
          <w:rFonts w:eastAsia="Times New Roman"/>
        </w:rPr>
      </w:pPr>
      <w:r>
        <w:rPr>
          <w:rFonts w:eastAsia="Times New Roman"/>
          <w:color w:val="000000"/>
          <w:sz w:val="20"/>
          <w:szCs w:val="20"/>
        </w:rPr>
        <w:t>(Millions of dollars)</w:t>
      </w:r>
    </w:p>
    <w:tbl>
      <w:tblPr>
        <w:tblW w:w="5000" w:type="pct"/>
        <w:tblCellMar>
          <w:top w:w="15" w:type="dxa"/>
          <w:left w:w="15" w:type="dxa"/>
          <w:bottom w:w="15" w:type="dxa"/>
          <w:right w:w="15" w:type="dxa"/>
        </w:tblCellMar>
        <w:tblLook w:val="04A0" w:firstRow="1" w:lastRow="0" w:firstColumn="1" w:lastColumn="0" w:noHBand="0" w:noVBand="1"/>
      </w:tblPr>
      <w:tblGrid>
        <w:gridCol w:w="44"/>
        <w:gridCol w:w="6441"/>
        <w:gridCol w:w="39"/>
        <w:gridCol w:w="110"/>
        <w:gridCol w:w="707"/>
        <w:gridCol w:w="36"/>
        <w:gridCol w:w="36"/>
        <w:gridCol w:w="36"/>
        <w:gridCol w:w="36"/>
        <w:gridCol w:w="110"/>
        <w:gridCol w:w="675"/>
        <w:gridCol w:w="36"/>
      </w:tblGrid>
      <w:tr w:rsidR="00000000">
        <w:trPr>
          <w:divId w:val="1332954933"/>
        </w:trPr>
        <w:tc>
          <w:tcPr>
            <w:tcW w:w="50" w:type="pct"/>
            <w:vAlign w:val="center"/>
            <w:hideMark/>
          </w:tcPr>
          <w:p w:rsidR="00000000" w:rsidRDefault="00AC31B9">
            <w:pPr>
              <w:jc w:val="center"/>
              <w:rPr>
                <w:rFonts w:eastAsia="Times New Roman"/>
              </w:rPr>
            </w:pPr>
          </w:p>
        </w:tc>
        <w:tc>
          <w:tcPr>
            <w:tcW w:w="389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4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4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332954933"/>
        </w:trPr>
        <w:tc>
          <w:tcPr>
            <w:tcW w:w="0" w:type="auto"/>
            <w:gridSpan w:val="3"/>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center"/>
            <w:hideMark/>
          </w:tcPr>
          <w:p w:rsidR="00000000" w:rsidRDefault="00AC31B9">
            <w:pPr>
              <w:spacing w:after="100"/>
              <w:jc w:val="center"/>
              <w:rPr>
                <w:rFonts w:eastAsia="Times New Roman"/>
              </w:rPr>
            </w:pPr>
            <w:r>
              <w:rPr>
                <w:rFonts w:eastAsia="Times New Roman"/>
                <w:color w:val="000000"/>
                <w:sz w:val="18"/>
                <w:szCs w:val="18"/>
              </w:rPr>
              <w:t>September 30,</w:t>
            </w:r>
          </w:p>
        </w:tc>
      </w:tr>
      <w:tr w:rsidR="00000000">
        <w:trPr>
          <w:divId w:val="1332954933"/>
        </w:trPr>
        <w:tc>
          <w:tcPr>
            <w:tcW w:w="0" w:type="auto"/>
            <w:gridSpan w:val="3"/>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C31B9">
            <w:pPr>
              <w:spacing w:after="100"/>
              <w:jc w:val="center"/>
              <w:rPr>
                <w:rFonts w:eastAsia="Times New Roman"/>
              </w:rPr>
            </w:pPr>
            <w:r>
              <w:rPr>
                <w:rFonts w:eastAsia="Times New Roman"/>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C31B9">
            <w:pPr>
              <w:spacing w:after="100"/>
              <w:jc w:val="center"/>
              <w:rPr>
                <w:rFonts w:eastAsia="Times New Roman"/>
              </w:rPr>
            </w:pPr>
            <w:r>
              <w:rPr>
                <w:rFonts w:eastAsia="Times New Roman"/>
                <w:color w:val="000000"/>
                <w:sz w:val="18"/>
                <w:szCs w:val="18"/>
              </w:rPr>
              <w:t>2022</w:t>
            </w:r>
          </w:p>
        </w:tc>
      </w:tr>
      <w:tr w:rsidR="00000000">
        <w:trPr>
          <w:divId w:val="1332954933"/>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r>
      <w:tr w:rsidR="00000000">
        <w:trPr>
          <w:divId w:val="1332954933"/>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r>
      <w:tr w:rsidR="00000000">
        <w:trPr>
          <w:divId w:val="1332954933"/>
        </w:trPr>
        <w:tc>
          <w:tcPr>
            <w:tcW w:w="0" w:type="auto"/>
            <w:gridSpan w:val="3"/>
            <w:shd w:val="clear" w:color="auto" w:fill="CCEE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241 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405 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Restricted cash</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99 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64 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divId w:val="1395473284"/>
              <w:rPr>
                <w:rFonts w:eastAsia="Times New Roman"/>
              </w:rPr>
            </w:pPr>
            <w:r>
              <w:rPr>
                <w:rFonts w:eastAsia="Times New Roman"/>
                <w:color w:val="000000"/>
                <w:sz w:val="18"/>
                <w:szCs w:val="18"/>
              </w:rPr>
              <w:t>Accounts receivable (less allowances for doubtful accounts of $71 and $64, respectively)</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878 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1,127 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Accrued utility revenues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Income taxes receivable</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Inventories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433 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665 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32954933"/>
        </w:trPr>
        <w:tc>
          <w:tcPr>
            <w:tcW w:w="0" w:type="auto"/>
            <w:gridSpan w:val="3"/>
            <w:shd w:val="clear" w:color="auto" w:fill="CCEE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Derivative instruments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75 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865 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Prepaid expenses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123 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Held for sale assets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295 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Other current assets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114 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120 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2,045 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3,802 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Property, plant and equipment</w:t>
            </w:r>
          </w:p>
        </w:tc>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r>
      <w:tr w:rsidR="00000000">
        <w:trPr>
          <w:divId w:val="1332954933"/>
        </w:trPr>
        <w:tc>
          <w:tcPr>
            <w:tcW w:w="0" w:type="auto"/>
            <w:gridSpan w:val="3"/>
            <w:shd w:val="clear" w:color="auto" w:fill="CCEE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Non-utility</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7,046 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6,656 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Utility</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6,082 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5,550 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13,128 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12,206 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Accumulated depreciation</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(4,581)</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(4,166)</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Net property, plant, and equipment</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8,547 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8,040 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Goodwill</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3,027 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3,612 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Intangible assets, net</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443 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500 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Utility regulatory assets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302 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301 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Derivative instruments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49 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565 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32954933"/>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Other assets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988 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755 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15,401 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17,575 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b/>
                <w:bCs/>
                <w:color w:val="000000"/>
                <w:sz w:val="18"/>
                <w:szCs w:val="18"/>
              </w:rPr>
              <w:t>LIABILITIES AND EQUITY</w:t>
            </w:r>
          </w:p>
        </w:tc>
        <w:tc>
          <w:tcPr>
            <w:tcW w:w="0" w:type="auto"/>
            <w:gridSpan w:val="3"/>
            <w:tcBorders>
              <w:top w:val="double" w:sz="6" w:space="0" w:color="000000"/>
            </w:tcBorders>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r>
      <w:tr w:rsidR="00000000">
        <w:trPr>
          <w:divId w:val="1332954933"/>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Current liabilities</w:t>
            </w: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r>
      <w:tr w:rsidR="00000000">
        <w:trPr>
          <w:divId w:val="1332954933"/>
        </w:trPr>
        <w:tc>
          <w:tcPr>
            <w:tcW w:w="0" w:type="auto"/>
            <w:gridSpan w:val="3"/>
            <w:shd w:val="clear" w:color="auto" w:fill="FFFF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Current maturities of long-term debt</w:t>
            </w:r>
          </w:p>
        </w:tc>
        <w:tc>
          <w:tcPr>
            <w:tcW w:w="0" w:type="auto"/>
            <w:shd w:val="clear" w:color="auto" w:fill="FFFF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149 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Short-term borrowings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649 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368 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Accounts payable</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613 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891 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Employee compensation and benefits accrued</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142 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147 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Deposits and advances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232 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225 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Derivative instruments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144 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32954933"/>
        </w:trPr>
        <w:tc>
          <w:tcPr>
            <w:tcW w:w="0" w:type="auto"/>
            <w:gridSpan w:val="3"/>
            <w:shd w:val="clear" w:color="auto" w:fill="FFFF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Held for sale liabilities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Other current liabilities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505 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501 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2,274 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2,444 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Noncurrent liabilities</w:t>
            </w: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r>
      <w:tr w:rsidR="00000000">
        <w:trPr>
          <w:divId w:val="1332954933"/>
        </w:trPr>
        <w:tc>
          <w:tcPr>
            <w:tcW w:w="0" w:type="auto"/>
            <w:gridSpan w:val="3"/>
            <w:shd w:val="clear" w:color="auto" w:fill="FFFF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Long-term debt</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6,543 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6,483 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Deferred income taxes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928 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1,305 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32954933"/>
        </w:trPr>
        <w:tc>
          <w:tcPr>
            <w:tcW w:w="0" w:type="auto"/>
            <w:gridSpan w:val="3"/>
            <w:shd w:val="clear" w:color="auto" w:fill="FFFF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Derivative instruments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32954933"/>
        </w:trPr>
        <w:tc>
          <w:tcPr>
            <w:tcW w:w="0" w:type="auto"/>
            <w:gridSpan w:val="3"/>
            <w:shd w:val="clear" w:color="auto" w:fill="CCEE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Other noncurrent liabilities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1,235 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1,219 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11,007 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11,501 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Commitments and contingencies (Note 16)</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332954933"/>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Equity:</w:t>
            </w:r>
          </w:p>
        </w:tc>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r>
      <w:tr w:rsidR="00000000">
        <w:trPr>
          <w:divId w:val="1332954933"/>
        </w:trPr>
        <w:tc>
          <w:tcPr>
            <w:tcW w:w="0" w:type="auto"/>
            <w:gridSpan w:val="3"/>
            <w:shd w:val="clear" w:color="auto" w:fill="CCEE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UGI Corporation stockholders’ equity:</w:t>
            </w: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 </w:t>
            </w:r>
          </w:p>
        </w:tc>
      </w:tr>
      <w:tr w:rsidR="00000000">
        <w:trPr>
          <w:divId w:val="1332954933"/>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divId w:val="1343705499"/>
              <w:rPr>
                <w:rFonts w:eastAsia="Times New Roman"/>
              </w:rPr>
            </w:pPr>
            <w:r>
              <w:rPr>
                <w:rFonts w:eastAsia="Times New Roman"/>
                <w:color w:val="000000"/>
                <w:sz w:val="18"/>
                <w:szCs w:val="18"/>
              </w:rPr>
              <w:t>Preferred Stock, without par value (authorized 5,000,000 shares; issued 220,000 and 220,000 Series A shares, respectively)</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167 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162 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divId w:val="1114667737"/>
              <w:rPr>
                <w:rFonts w:eastAsia="Times New Roman"/>
              </w:rPr>
            </w:pPr>
            <w:r>
              <w:rPr>
                <w:rFonts w:eastAsia="Times New Roman"/>
                <w:color w:val="000000"/>
                <w:sz w:val="18"/>
                <w:szCs w:val="18"/>
              </w:rPr>
              <w:t>UGI Common Stock, without par value (authorized – 450,000,000 shares; issued – 210,906,052 and 210,560,494 shares, respectively)</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1,503 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1,483 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365"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Retained earnings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3,027 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4,841 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365"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(256)</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(380)</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365"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Treasury stock, at cost</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(55)</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(40)</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635"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Total UGI Corporation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4,386 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6,066 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Noncontrolling interests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CCEE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4,394 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6,074 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1332954933"/>
        </w:trPr>
        <w:tc>
          <w:tcPr>
            <w:tcW w:w="0" w:type="auto"/>
            <w:gridSpan w:val="3"/>
            <w:shd w:val="clear" w:color="auto" w:fill="FFFF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18"/>
                <w:szCs w:val="18"/>
              </w:rPr>
              <w:t>Total liabilities and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15,401 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8"/>
                <w:szCs w:val="18"/>
              </w:rPr>
              <w:t>17,575 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bl>
    <w:p w:rsidR="00000000" w:rsidRDefault="00AC31B9">
      <w:pPr>
        <w:jc w:val="both"/>
        <w:divId w:val="1717704396"/>
        <w:rPr>
          <w:rFonts w:eastAsia="Times New Roman"/>
        </w:rPr>
      </w:pPr>
      <w:r>
        <w:rPr>
          <w:rFonts w:eastAsia="Times New Roman"/>
          <w:color w:val="000000"/>
          <w:sz w:val="18"/>
          <w:szCs w:val="18"/>
        </w:rPr>
        <w:t>See accompanying Notes to Consolidated Financial Statements.</w:t>
      </w:r>
    </w:p>
    <w:p w:rsidR="00000000" w:rsidRDefault="00AC31B9">
      <w:pPr>
        <w:jc w:val="center"/>
        <w:divId w:val="305821616"/>
        <w:rPr>
          <w:rFonts w:eastAsia="Times New Roman"/>
        </w:rPr>
      </w:pPr>
      <w:r>
        <w:rPr>
          <w:rFonts w:eastAsia="Times New Roman"/>
          <w:color w:val="000000"/>
          <w:sz w:val="20"/>
          <w:szCs w:val="20"/>
        </w:rPr>
        <w:t>F-6</w:t>
      </w:r>
    </w:p>
    <w:p w:rsidR="00000000" w:rsidRDefault="00AC31B9">
      <w:pPr>
        <w:rPr>
          <w:rFonts w:eastAsia="Times New Roman"/>
        </w:rPr>
      </w:pPr>
      <w:r>
        <w:rPr>
          <w:rFonts w:eastAsia="Times New Roman"/>
        </w:rPr>
        <w:pict>
          <v:rect id="_x0000_i1124" style="width:0;height:1.5pt" o:hralign="center" o:hrstd="t" o:hr="t" fillcolor="#a0a0a0" stroked="f"/>
        </w:pict>
      </w:r>
    </w:p>
    <w:p w:rsidR="00000000" w:rsidRDefault="00AC31B9">
      <w:pPr>
        <w:divId w:val="1804691979"/>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center"/>
        <w:rPr>
          <w:rFonts w:eastAsia="Times New Roman"/>
        </w:rPr>
      </w:pPr>
      <w:r>
        <w:rPr>
          <w:rFonts w:eastAsia="Times New Roman"/>
          <w:color w:val="000000"/>
          <w:sz w:val="20"/>
          <w:szCs w:val="20"/>
        </w:rPr>
        <w:t>UGI CORPORATION AND SUBSIDIARIES</w:t>
      </w:r>
    </w:p>
    <w:p w:rsidR="00000000" w:rsidRDefault="00AC31B9">
      <w:pPr>
        <w:ind w:firstLine="45"/>
        <w:jc w:val="center"/>
        <w:rPr>
          <w:rFonts w:eastAsia="Times New Roman"/>
        </w:rPr>
      </w:pPr>
      <w:r>
        <w:rPr>
          <w:rFonts w:eastAsia="Times New Roman"/>
          <w:color w:val="000000"/>
          <w:sz w:val="20"/>
          <w:szCs w:val="20"/>
        </w:rPr>
        <w:t>CONSOLIDATED STATEMENTS OF INCOME</w:t>
      </w:r>
    </w:p>
    <w:p w:rsidR="00000000" w:rsidRDefault="00AC31B9">
      <w:pPr>
        <w:jc w:val="center"/>
        <w:rPr>
          <w:rFonts w:eastAsia="Times New Roman"/>
        </w:rPr>
      </w:pPr>
      <w:r>
        <w:rPr>
          <w:rFonts w:eastAsia="Times New Roman"/>
          <w:color w:val="000000"/>
          <w:sz w:val="20"/>
          <w:szCs w:val="20"/>
        </w:rPr>
        <w:t>(Millions of dollars, except per share amounts)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4862"/>
        <w:gridCol w:w="38"/>
        <w:gridCol w:w="121"/>
        <w:gridCol w:w="916"/>
        <w:gridCol w:w="36"/>
        <w:gridCol w:w="36"/>
        <w:gridCol w:w="36"/>
        <w:gridCol w:w="36"/>
        <w:gridCol w:w="120"/>
        <w:gridCol w:w="875"/>
        <w:gridCol w:w="36"/>
        <w:gridCol w:w="36"/>
        <w:gridCol w:w="36"/>
        <w:gridCol w:w="36"/>
        <w:gridCol w:w="121"/>
        <w:gridCol w:w="877"/>
        <w:gridCol w:w="36"/>
      </w:tblGrid>
      <w:tr w:rsidR="00000000">
        <w:trPr>
          <w:jc w:val="center"/>
        </w:trPr>
        <w:tc>
          <w:tcPr>
            <w:tcW w:w="50" w:type="pct"/>
            <w:vAlign w:val="center"/>
            <w:hideMark/>
          </w:tcPr>
          <w:p w:rsidR="00000000" w:rsidRDefault="00AC31B9">
            <w:pPr>
              <w:jc w:val="center"/>
              <w:rPr>
                <w:rFonts w:eastAsia="Times New Roman"/>
              </w:rPr>
            </w:pPr>
          </w:p>
        </w:tc>
        <w:tc>
          <w:tcPr>
            <w:tcW w:w="296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Year Ended 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8,928 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10,106 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7,447 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Costs and expenses: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Cost of sales (excluding depreciation and amortization shown below)</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6,937 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5,973 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2,614 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2,158 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2,028 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2,014 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532 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518 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502 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Impairment of goodwill</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656 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Loss on disposal of UGI International energy marketing business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operating income, net</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(132)</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10,372 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5,097 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(loss)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Income (loss) from equity investees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Loss on extinguishments of debt</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non-operating (expense) income, net</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(379)</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(329)</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(310)</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(Loss) 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Income tax benefit (expense)</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(313)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(522)</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(loss) income including noncontrolling interests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Deduct net income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(loss) income attributable to UGI Corporation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Earnings per common share attributable to UGI Corporation stockholders: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(7.16)</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5.11 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7.02 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(7.16)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4.97 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6.92 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Weighted-average common shares outstanding (thousands):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209,806 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209,940 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209,063 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209,806 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215,821 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212,126 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bl>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See accompanying Notes to Consolidated Financial Statements.</w:t>
      </w:r>
    </w:p>
    <w:p w:rsidR="00000000" w:rsidRDefault="00AC31B9">
      <w:pPr>
        <w:jc w:val="both"/>
        <w:rPr>
          <w:rFonts w:eastAsia="Times New Roman"/>
        </w:rPr>
      </w:pPr>
    </w:p>
    <w:p w:rsidR="00000000" w:rsidRDefault="00AC31B9">
      <w:pPr>
        <w:jc w:val="center"/>
        <w:divId w:val="1408846927"/>
        <w:rPr>
          <w:rFonts w:eastAsia="Times New Roman"/>
        </w:rPr>
      </w:pPr>
      <w:r>
        <w:rPr>
          <w:rFonts w:eastAsia="Times New Roman"/>
          <w:color w:val="000000"/>
          <w:sz w:val="20"/>
          <w:szCs w:val="20"/>
        </w:rPr>
        <w:t>F-7</w:t>
      </w:r>
    </w:p>
    <w:p w:rsidR="00000000" w:rsidRDefault="00AC31B9">
      <w:pPr>
        <w:rPr>
          <w:rFonts w:eastAsia="Times New Roman"/>
        </w:rPr>
      </w:pPr>
      <w:r>
        <w:rPr>
          <w:rFonts w:eastAsia="Times New Roman"/>
        </w:rPr>
        <w:pict>
          <v:rect id="_x0000_i1125" style="width:0;height:1.5pt" o:hralign="center" o:hrstd="t" o:hr="t" fillcolor="#a0a0a0" stroked="f"/>
        </w:pict>
      </w:r>
    </w:p>
    <w:p w:rsidR="00000000" w:rsidRDefault="00AC31B9">
      <w:pPr>
        <w:divId w:val="1786581889"/>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center"/>
        <w:rPr>
          <w:rFonts w:eastAsia="Times New Roman"/>
        </w:rPr>
      </w:pPr>
      <w:r>
        <w:rPr>
          <w:rFonts w:eastAsia="Times New Roman"/>
          <w:color w:val="000000"/>
          <w:sz w:val="20"/>
          <w:szCs w:val="20"/>
        </w:rPr>
        <w:t>UGI CORPORATION AND SUBSIDIARIES</w:t>
      </w:r>
    </w:p>
    <w:p w:rsidR="00000000" w:rsidRDefault="00AC31B9">
      <w:pPr>
        <w:ind w:firstLine="45"/>
        <w:jc w:val="center"/>
        <w:rPr>
          <w:rFonts w:eastAsia="Times New Roman"/>
        </w:rPr>
      </w:pPr>
      <w:r>
        <w:rPr>
          <w:rFonts w:eastAsia="Times New Roman"/>
          <w:color w:val="000000"/>
          <w:sz w:val="20"/>
          <w:szCs w:val="20"/>
        </w:rPr>
        <w:t>CONSOLIDATED STATEMENTS OF COMPREHENSIVE INCOME</w:t>
      </w:r>
    </w:p>
    <w:p w:rsidR="00000000" w:rsidRDefault="00AC31B9">
      <w:pPr>
        <w:jc w:val="center"/>
        <w:rPr>
          <w:rFonts w:eastAsia="Times New Roman"/>
        </w:rPr>
      </w:pPr>
      <w:r>
        <w:rPr>
          <w:rFonts w:eastAsia="Times New Roman"/>
          <w:color w:val="000000"/>
          <w:sz w:val="20"/>
          <w:szCs w:val="20"/>
        </w:rPr>
        <w:t>(Millions of dollars)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863"/>
        <w:gridCol w:w="37"/>
        <w:gridCol w:w="120"/>
        <w:gridCol w:w="916"/>
        <w:gridCol w:w="36"/>
        <w:gridCol w:w="36"/>
        <w:gridCol w:w="36"/>
        <w:gridCol w:w="36"/>
        <w:gridCol w:w="120"/>
        <w:gridCol w:w="877"/>
        <w:gridCol w:w="36"/>
        <w:gridCol w:w="36"/>
        <w:gridCol w:w="36"/>
        <w:gridCol w:w="36"/>
        <w:gridCol w:w="120"/>
        <w:gridCol w:w="878"/>
        <w:gridCol w:w="36"/>
      </w:tblGrid>
      <w:tr w:rsidR="00000000">
        <w:trPr>
          <w:jc w:val="center"/>
        </w:trPr>
        <w:tc>
          <w:tcPr>
            <w:tcW w:w="50" w:type="pct"/>
            <w:vAlign w:val="center"/>
            <w:hideMark/>
          </w:tcPr>
          <w:p w:rsidR="00000000" w:rsidRDefault="00AC31B9">
            <w:pPr>
              <w:jc w:val="center"/>
              <w:rPr>
                <w:rFonts w:eastAsia="Times New Roman"/>
              </w:rPr>
            </w:pPr>
          </w:p>
        </w:tc>
        <w:tc>
          <w:tcPr>
            <w:tcW w:w="296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Year Ended 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(loss) income including noncontrolling interests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divId w:val="814836030"/>
              <w:rPr>
                <w:rFonts w:eastAsia="Times New Roman"/>
              </w:rPr>
            </w:pPr>
            <w:r>
              <w:rPr>
                <w:rFonts w:eastAsia="Times New Roman"/>
                <w:color w:val="000000"/>
                <w:sz w:val="20"/>
                <w:szCs w:val="20"/>
              </w:rPr>
              <w:t>Net gains on derivative instruments (net of tax of $(9), $(27), and $(1), respectively)</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divId w:val="367528219"/>
              <w:rPr>
                <w:rFonts w:eastAsia="Times New Roman"/>
              </w:rPr>
            </w:pPr>
            <w:r>
              <w:rPr>
                <w:rFonts w:eastAsia="Times New Roman"/>
                <w:color w:val="000000"/>
                <w:sz w:val="20"/>
                <w:szCs w:val="20"/>
              </w:rPr>
              <w:t>Reclassifications of net (gains) losses on derivative instruments (net of tax of $13, $(1), and $(7), respectively)</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divId w:val="1234048385"/>
              <w:rPr>
                <w:rFonts w:eastAsia="Times New Roman"/>
              </w:rPr>
            </w:pPr>
            <w:r>
              <w:rPr>
                <w:rFonts w:eastAsia="Times New Roman"/>
                <w:color w:val="000000"/>
                <w:sz w:val="20"/>
                <w:szCs w:val="20"/>
              </w:rPr>
              <w:t>Foreign currency translation adjustments (net of tax of $21, $(55), and $(4), respectively)</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Foreign currency gains (losses) on long-term intra-company transactions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(148)</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divId w:val="277414127"/>
              <w:rPr>
                <w:rFonts w:eastAsia="Times New Roman"/>
              </w:rPr>
            </w:pPr>
            <w:r>
              <w:rPr>
                <w:rFonts w:eastAsia="Times New Roman"/>
                <w:color w:val="000000"/>
                <w:sz w:val="20"/>
                <w:szCs w:val="20"/>
              </w:rPr>
              <w:t>Benefit plans, principally actuarial gains (net of tax of $(2), $(10), and $(3), respectively)</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divId w:val="1745100457"/>
              <w:rPr>
                <w:rFonts w:eastAsia="Times New Roman"/>
              </w:rPr>
            </w:pPr>
            <w:r>
              <w:rPr>
                <w:rFonts w:eastAsia="Times New Roman"/>
                <w:color w:val="000000"/>
                <w:sz w:val="20"/>
                <w:szCs w:val="20"/>
              </w:rPr>
              <w:t>Reclassifications of benefit plans actuarial (gains) losses and net prior service benefit (net of tax of $1, $(1), and $(1), respectively)</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comprehensive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Comprehensive (loss) income including noncontrolling interests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Deduct comprehensive income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Comprehensive (loss) income attributable to UGI Corporation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(1,378)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See accompanying Notes to Consolidated Financial Statements.</w:t>
      </w:r>
    </w:p>
    <w:p w:rsidR="00000000" w:rsidRDefault="00AC31B9">
      <w:pPr>
        <w:jc w:val="both"/>
        <w:rPr>
          <w:rFonts w:eastAsia="Times New Roman"/>
        </w:rPr>
      </w:pPr>
    </w:p>
    <w:p w:rsidR="00000000" w:rsidRDefault="00AC31B9">
      <w:pPr>
        <w:jc w:val="center"/>
        <w:divId w:val="110713312"/>
        <w:rPr>
          <w:rFonts w:eastAsia="Times New Roman"/>
        </w:rPr>
      </w:pPr>
      <w:r>
        <w:rPr>
          <w:rFonts w:eastAsia="Times New Roman"/>
          <w:color w:val="000000"/>
          <w:sz w:val="20"/>
          <w:szCs w:val="20"/>
        </w:rPr>
        <w:t>F-8</w:t>
      </w:r>
    </w:p>
    <w:p w:rsidR="00000000" w:rsidRDefault="00AC31B9">
      <w:pPr>
        <w:rPr>
          <w:rFonts w:eastAsia="Times New Roman"/>
        </w:rPr>
      </w:pPr>
      <w:r>
        <w:rPr>
          <w:rFonts w:eastAsia="Times New Roman"/>
        </w:rPr>
        <w:pict>
          <v:rect id="_x0000_i1126" style="width:0;height:1.5pt" o:hralign="center" o:hrstd="t" o:hr="t" fillcolor="#a0a0a0" stroked="f"/>
        </w:pict>
      </w:r>
    </w:p>
    <w:p w:rsidR="00000000" w:rsidRDefault="00AC31B9">
      <w:pPr>
        <w:divId w:val="2083020020"/>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center"/>
        <w:rPr>
          <w:rFonts w:eastAsia="Times New Roman"/>
        </w:rPr>
      </w:pPr>
      <w:r>
        <w:rPr>
          <w:rFonts w:eastAsia="Times New Roman"/>
          <w:color w:val="000000"/>
          <w:sz w:val="20"/>
          <w:szCs w:val="20"/>
        </w:rPr>
        <w:t>UGI CORPORATION AND SUBSIDIARIES</w:t>
      </w:r>
    </w:p>
    <w:p w:rsidR="00000000" w:rsidRDefault="00AC31B9">
      <w:pPr>
        <w:ind w:firstLine="45"/>
        <w:jc w:val="center"/>
        <w:rPr>
          <w:rFonts w:eastAsia="Times New Roman"/>
        </w:rPr>
      </w:pPr>
      <w:r>
        <w:rPr>
          <w:rFonts w:eastAsia="Times New Roman"/>
          <w:color w:val="000000"/>
          <w:sz w:val="20"/>
          <w:szCs w:val="20"/>
        </w:rPr>
        <w:t>CONSOLIDATED STATEMENTS OF CASH FLOWS</w:t>
      </w:r>
    </w:p>
    <w:p w:rsidR="00000000" w:rsidRDefault="00AC31B9">
      <w:pPr>
        <w:jc w:val="center"/>
        <w:rPr>
          <w:rFonts w:eastAsia="Times New Roman"/>
        </w:rPr>
      </w:pPr>
      <w:r>
        <w:rPr>
          <w:rFonts w:eastAsia="Times New Roman"/>
          <w:color w:val="000000"/>
          <w:sz w:val="20"/>
          <w:szCs w:val="20"/>
        </w:rPr>
        <w:t>(Millions of dollars)</w:t>
      </w:r>
    </w:p>
    <w:tbl>
      <w:tblPr>
        <w:tblW w:w="4985" w:type="pct"/>
        <w:tblCellMar>
          <w:top w:w="15" w:type="dxa"/>
          <w:left w:w="15" w:type="dxa"/>
          <w:bottom w:w="15" w:type="dxa"/>
          <w:right w:w="15" w:type="dxa"/>
        </w:tblCellMar>
        <w:tblLook w:val="04A0" w:firstRow="1" w:lastRow="0" w:firstColumn="1" w:lastColumn="0" w:noHBand="0" w:noVBand="1"/>
      </w:tblPr>
      <w:tblGrid>
        <w:gridCol w:w="41"/>
        <w:gridCol w:w="5103"/>
        <w:gridCol w:w="40"/>
        <w:gridCol w:w="120"/>
        <w:gridCol w:w="831"/>
        <w:gridCol w:w="36"/>
        <w:gridCol w:w="36"/>
        <w:gridCol w:w="36"/>
        <w:gridCol w:w="36"/>
        <w:gridCol w:w="120"/>
        <w:gridCol w:w="790"/>
        <w:gridCol w:w="36"/>
        <w:gridCol w:w="36"/>
        <w:gridCol w:w="36"/>
        <w:gridCol w:w="36"/>
        <w:gridCol w:w="120"/>
        <w:gridCol w:w="792"/>
        <w:gridCol w:w="36"/>
      </w:tblGrid>
      <w:tr w:rsidR="00000000">
        <w:trPr>
          <w:divId w:val="2037998841"/>
        </w:trPr>
        <w:tc>
          <w:tcPr>
            <w:tcW w:w="50" w:type="pct"/>
            <w:vAlign w:val="center"/>
            <w:hideMark/>
          </w:tcPr>
          <w:p w:rsidR="00000000" w:rsidRDefault="00AC31B9">
            <w:pPr>
              <w:jc w:val="center"/>
              <w:rPr>
                <w:rFonts w:eastAsia="Times New Roman"/>
              </w:rPr>
            </w:pPr>
          </w:p>
        </w:tc>
        <w:tc>
          <w:tcPr>
            <w:tcW w:w="311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2037998841"/>
        </w:trPr>
        <w:tc>
          <w:tcPr>
            <w:tcW w:w="0" w:type="auto"/>
            <w:gridSpan w:val="3"/>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center"/>
            <w:hideMark/>
          </w:tcPr>
          <w:p w:rsidR="00000000" w:rsidRDefault="00AC31B9">
            <w:pPr>
              <w:spacing w:after="100"/>
              <w:jc w:val="center"/>
              <w:rPr>
                <w:rFonts w:eastAsia="Times New Roman"/>
              </w:rPr>
            </w:pPr>
            <w:r>
              <w:rPr>
                <w:rFonts w:eastAsia="Times New Roman"/>
                <w:color w:val="000000"/>
                <w:sz w:val="20"/>
                <w:szCs w:val="20"/>
              </w:rPr>
              <w:t>Year Ended September 30,</w:t>
            </w:r>
          </w:p>
        </w:tc>
      </w:tr>
      <w:tr w:rsidR="00000000">
        <w:trPr>
          <w:divId w:val="2037998841"/>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r>
      <w:tr w:rsidR="00000000">
        <w:trPr>
          <w:divId w:val="2037998841"/>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r>
      <w:tr w:rsidR="00000000">
        <w:trPr>
          <w:divId w:val="2037998841"/>
        </w:trPr>
        <w:tc>
          <w:tcPr>
            <w:tcW w:w="0" w:type="auto"/>
            <w:gridSpan w:val="3"/>
            <w:shd w:val="clear" w:color="auto" w:fill="FFFF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Net (loss) income including noncontrolling interests</w:t>
            </w:r>
          </w:p>
        </w:tc>
        <w:tc>
          <w:tcPr>
            <w:tcW w:w="0" w:type="auto"/>
            <w:shd w:val="clear" w:color="auto" w:fill="FFFF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(1,502)</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1,074 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1,467 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Adjustments to reconcile net (loss) income including noncontrolling interests to net cash provided by operating activities:</w:t>
            </w: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r>
      <w:tr w:rsidR="00000000">
        <w:trPr>
          <w:divId w:val="2037998841"/>
        </w:trPr>
        <w:tc>
          <w:tcPr>
            <w:tcW w:w="0" w:type="auto"/>
            <w:gridSpan w:val="3"/>
            <w:shd w:val="clear" w:color="auto" w:fill="FFFF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532 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518 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502 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Deferred income tax (benefit) expense, net</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(420)</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221 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478 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Provision for uncollectible accounts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Changes in unrealized gains and losses on derivative instruments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1,682 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(648)</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(1,398)</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Loss on disposal of UGI International energy marketing business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Impairment of assets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Impairment of goodwill</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656 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Equity-based compensation expense</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Loss on extinguishments of debt</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(Income) loss from equity investees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Settlement of Energy Services interest rate swap, net of amortization</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2037998841"/>
        </w:trPr>
        <w:tc>
          <w:tcPr>
            <w:tcW w:w="0" w:type="auto"/>
            <w:gridSpan w:val="3"/>
            <w:shd w:val="clear" w:color="auto" w:fill="CCEE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Gain on sale of fixed assets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Net change in:</w:t>
            </w: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r>
      <w:tr w:rsidR="00000000">
        <w:trPr>
          <w:divId w:val="2037998841"/>
        </w:trPr>
        <w:tc>
          <w:tcPr>
            <w:tcW w:w="0" w:type="auto"/>
            <w:gridSpan w:val="3"/>
            <w:shd w:val="clear" w:color="auto" w:fill="FFFFFF"/>
            <w:tcMar>
              <w:top w:w="30" w:type="dxa"/>
              <w:left w:w="87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Accounts receivable and accrued utility revenues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212 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(431)</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(233)</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87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Income taxes receivable</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(48)</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87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247 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(224)</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(231)</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87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Utility deferred fuel costs, net of changes in unsettled derivatives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87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(291)</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366 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87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Derivative instruments collateral (paid) received</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(420)</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472 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87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Other current assets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87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Other current liabilities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1,107 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716 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1,481 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r>
      <w:tr w:rsidR="00000000">
        <w:trPr>
          <w:divId w:val="2037998841"/>
        </w:trPr>
        <w:tc>
          <w:tcPr>
            <w:tcW w:w="0" w:type="auto"/>
            <w:gridSpan w:val="3"/>
            <w:shd w:val="clear" w:color="auto" w:fill="FFFF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Expenditures for property, plant and equipment</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(974)</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(804)</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(690)</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Acquisitions of businesses and assets, net of cash and restricted cash acquired</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(242)</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(397)</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Investments in equity method investees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(146)</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Settlements of net investment hedges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Net proceeds from the disposition of businesses and assets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Net cash used by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(1,077)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(1,012)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(1,113)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r>
      <w:tr w:rsidR="00000000">
        <w:trPr>
          <w:divId w:val="2037998841"/>
        </w:trPr>
        <w:tc>
          <w:tcPr>
            <w:tcW w:w="0" w:type="auto"/>
            <w:gridSpan w:val="3"/>
            <w:shd w:val="clear" w:color="auto" w:fill="FFFF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Dividends on UGI Common Stock</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(308)</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(296)</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(282)</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2037998841"/>
        </w:trPr>
        <w:tc>
          <w:tcPr>
            <w:tcW w:w="0" w:type="auto"/>
            <w:gridSpan w:val="3"/>
            <w:shd w:val="clear" w:color="auto" w:fill="CCEE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Issuances of debt, net of discount and issuance costs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1,930 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1,257 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656 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Repayments of debt and finance leases, including redemption premiums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(2,031)</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(978)</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(405)</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Receivables Facility net borrowings (repayments)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Increase (decrease) in short-term borrowings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Issuances of preferred stock, net of issuance costs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Issuances of UGI Common Stock</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Repurchases of UGI Common Stock</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2037998841"/>
        </w:trPr>
        <w:tc>
          <w:tcPr>
            <w:tcW w:w="0" w:type="auto"/>
            <w:gridSpan w:val="3"/>
            <w:shd w:val="clear" w:color="auto" w:fill="FFFF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Payments on Purchase Contracts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60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Net cash (used)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(168)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(51)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Effect of exchange rate changes on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(61)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Cash, cash equivalents and restricted cash (decrease) increase</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(129)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(408)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520 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b/>
                <w:bCs/>
                <w:color w:val="000000"/>
                <w:sz w:val="20"/>
                <w:szCs w:val="20"/>
              </w:rPr>
              <w:t>CASH, CASH EQUIVALENTS AND RESTRICTED CASH</w:t>
            </w:r>
          </w:p>
        </w:tc>
        <w:tc>
          <w:tcPr>
            <w:tcW w:w="0" w:type="auto"/>
            <w:gridSpan w:val="3"/>
            <w:tcBorders>
              <w:top w:val="double" w:sz="6" w:space="0" w:color="000000"/>
            </w:tcBorders>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r>
      <w:tr w:rsidR="00000000">
        <w:trPr>
          <w:divId w:val="2037998841"/>
        </w:trPr>
        <w:tc>
          <w:tcPr>
            <w:tcW w:w="0" w:type="auto"/>
            <w:gridSpan w:val="3"/>
            <w:shd w:val="clear" w:color="auto" w:fill="CCEE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Cash, cash equivalents and restricted cash at end of year</w:t>
            </w:r>
          </w:p>
        </w:tc>
        <w:tc>
          <w:tcPr>
            <w:tcW w:w="0" w:type="auto"/>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340 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469 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877 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Cash, cash equivalents and restricted cash at beginning of year</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469 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877 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Cash, cash equivalents and restricted cash (decrease) increase</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(129)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(408)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520 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b/>
                <w:bCs/>
                <w:color w:val="000000"/>
                <w:sz w:val="20"/>
                <w:szCs w:val="20"/>
              </w:rPr>
              <w:t>SUPPLEMENTAL CASH FLOW INFORMATION</w:t>
            </w:r>
          </w:p>
        </w:tc>
        <w:tc>
          <w:tcPr>
            <w:tcW w:w="0" w:type="auto"/>
            <w:gridSpan w:val="3"/>
            <w:tcBorders>
              <w:top w:val="double" w:sz="6" w:space="0" w:color="000000"/>
            </w:tcBorders>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r>
      <w:tr w:rsidR="00000000">
        <w:trPr>
          <w:divId w:val="2037998841"/>
        </w:trPr>
        <w:tc>
          <w:tcPr>
            <w:tcW w:w="0" w:type="auto"/>
            <w:gridSpan w:val="3"/>
            <w:shd w:val="clear" w:color="auto" w:fill="CCEE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Cash paid (received) for:</w:t>
            </w: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w:t>
            </w:r>
          </w:p>
        </w:tc>
      </w:tr>
      <w:tr w:rsidR="00000000">
        <w:trPr>
          <w:divId w:val="2037998841"/>
        </w:trPr>
        <w:tc>
          <w:tcPr>
            <w:tcW w:w="0" w:type="auto"/>
            <w:gridSpan w:val="3"/>
            <w:shd w:val="clear" w:color="auto" w:fill="FFFF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 xml:space="preserve">Interest </w:t>
            </w:r>
          </w:p>
        </w:tc>
        <w:tc>
          <w:tcPr>
            <w:tcW w:w="0" w:type="auto"/>
            <w:shd w:val="clear" w:color="auto" w:fill="FFFF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332 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320 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297 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2037998841"/>
        </w:trPr>
        <w:tc>
          <w:tcPr>
            <w:tcW w:w="0" w:type="auto"/>
            <w:gridSpan w:val="3"/>
            <w:shd w:val="clear" w:color="auto" w:fill="CCEEFF"/>
            <w:tcMar>
              <w:top w:w="30" w:type="dxa"/>
              <w:left w:w="380" w:type="dxa"/>
              <w:bottom w:w="30" w:type="dxa"/>
              <w:right w:w="20" w:type="dxa"/>
            </w:tcMar>
            <w:vAlign w:val="center"/>
            <w:hideMark/>
          </w:tcPr>
          <w:p w:rsidR="00000000" w:rsidRDefault="00AC31B9">
            <w:pPr>
              <w:spacing w:after="100"/>
              <w:rPr>
                <w:rFonts w:eastAsia="Times New Roman"/>
              </w:rPr>
            </w:pPr>
            <w:r>
              <w:rPr>
                <w:rFonts w:eastAsia="Times New Roman"/>
                <w:color w:val="000000"/>
                <w:sz w:val="20"/>
                <w:szCs w:val="20"/>
              </w:rPr>
              <w:t>Income taxes</w:t>
            </w:r>
          </w:p>
        </w:tc>
        <w:tc>
          <w:tcPr>
            <w:tcW w:w="0" w:type="auto"/>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bl>
    <w:p w:rsidR="00000000" w:rsidRDefault="00AC31B9">
      <w:pPr>
        <w:jc w:val="both"/>
        <w:rPr>
          <w:rFonts w:eastAsia="Times New Roman"/>
        </w:rPr>
      </w:pPr>
      <w:r>
        <w:rPr>
          <w:rFonts w:eastAsia="Times New Roman"/>
          <w:color w:val="000000"/>
          <w:sz w:val="20"/>
          <w:szCs w:val="20"/>
        </w:rPr>
        <w:t>See accompanying Notes to Consolidated Financial Statements.</w:t>
      </w:r>
    </w:p>
    <w:p w:rsidR="00000000" w:rsidRDefault="00AC31B9">
      <w:pPr>
        <w:jc w:val="center"/>
        <w:divId w:val="1226648868"/>
        <w:rPr>
          <w:rFonts w:eastAsia="Times New Roman"/>
        </w:rPr>
      </w:pPr>
      <w:r>
        <w:rPr>
          <w:rFonts w:eastAsia="Times New Roman"/>
          <w:color w:val="000000"/>
          <w:sz w:val="20"/>
          <w:szCs w:val="20"/>
        </w:rPr>
        <w:t>F-9</w:t>
      </w:r>
    </w:p>
    <w:p w:rsidR="00000000" w:rsidRDefault="00AC31B9">
      <w:pPr>
        <w:rPr>
          <w:rFonts w:eastAsia="Times New Roman"/>
        </w:rPr>
      </w:pPr>
      <w:r>
        <w:rPr>
          <w:rFonts w:eastAsia="Times New Roman"/>
        </w:rPr>
        <w:pict>
          <v:rect id="_x0000_i1127" style="width:0;height:1.5pt" o:hralign="center" o:hrstd="t" o:hr="t" fillcolor="#a0a0a0" stroked="f"/>
        </w:pict>
      </w:r>
    </w:p>
    <w:p w:rsidR="00000000" w:rsidRDefault="00AC31B9">
      <w:pPr>
        <w:divId w:val="1342195394"/>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center"/>
        <w:rPr>
          <w:rFonts w:eastAsia="Times New Roman"/>
        </w:rPr>
      </w:pPr>
      <w:r>
        <w:rPr>
          <w:rFonts w:eastAsia="Times New Roman"/>
          <w:color w:val="000000"/>
          <w:sz w:val="20"/>
          <w:szCs w:val="20"/>
        </w:rPr>
        <w:t>UGI CORPORATION AND SUBSIDIARIES</w:t>
      </w:r>
    </w:p>
    <w:p w:rsidR="00000000" w:rsidRDefault="00AC31B9">
      <w:pPr>
        <w:jc w:val="center"/>
        <w:rPr>
          <w:rFonts w:eastAsia="Times New Roman"/>
        </w:rPr>
      </w:pPr>
      <w:r>
        <w:rPr>
          <w:rFonts w:eastAsia="Times New Roman"/>
          <w:color w:val="000000"/>
          <w:sz w:val="20"/>
          <w:szCs w:val="20"/>
        </w:rPr>
        <w:t>CON</w:t>
      </w:r>
      <w:r>
        <w:rPr>
          <w:rFonts w:eastAsia="Times New Roman"/>
          <w:color w:val="000000"/>
          <w:sz w:val="20"/>
          <w:szCs w:val="20"/>
        </w:rPr>
        <w:t>SOLIDATED STATEMENTS OF CHANGES IN EQUITY</w:t>
      </w:r>
    </w:p>
    <w:p w:rsidR="00000000" w:rsidRDefault="00AC31B9">
      <w:pPr>
        <w:jc w:val="center"/>
        <w:rPr>
          <w:rFonts w:eastAsia="Times New Roman"/>
        </w:rPr>
      </w:pPr>
      <w:r>
        <w:rPr>
          <w:rFonts w:eastAsia="Times New Roman"/>
          <w:color w:val="000000"/>
          <w:sz w:val="20"/>
          <w:szCs w:val="20"/>
        </w:rPr>
        <w:t>(Millions of dollars, except per share amounts)</w:t>
      </w:r>
    </w:p>
    <w:tbl>
      <w:tblPr>
        <w:tblW w:w="4985" w:type="pct"/>
        <w:jc w:val="center"/>
        <w:tblCellMar>
          <w:top w:w="15" w:type="dxa"/>
          <w:left w:w="15" w:type="dxa"/>
          <w:bottom w:w="15" w:type="dxa"/>
          <w:right w:w="15" w:type="dxa"/>
        </w:tblCellMar>
        <w:tblLook w:val="04A0" w:firstRow="1" w:lastRow="0" w:firstColumn="1" w:lastColumn="0" w:noHBand="0" w:noVBand="1"/>
      </w:tblPr>
      <w:tblGrid>
        <w:gridCol w:w="42"/>
        <w:gridCol w:w="5187"/>
        <w:gridCol w:w="40"/>
        <w:gridCol w:w="120"/>
        <w:gridCol w:w="820"/>
        <w:gridCol w:w="36"/>
        <w:gridCol w:w="36"/>
        <w:gridCol w:w="36"/>
        <w:gridCol w:w="36"/>
        <w:gridCol w:w="120"/>
        <w:gridCol w:w="754"/>
        <w:gridCol w:w="36"/>
        <w:gridCol w:w="36"/>
        <w:gridCol w:w="36"/>
        <w:gridCol w:w="36"/>
        <w:gridCol w:w="120"/>
        <w:gridCol w:w="754"/>
        <w:gridCol w:w="36"/>
      </w:tblGrid>
      <w:tr w:rsidR="00000000">
        <w:trPr>
          <w:divId w:val="997609605"/>
          <w:jc w:val="center"/>
        </w:trPr>
        <w:tc>
          <w:tcPr>
            <w:tcW w:w="50" w:type="pct"/>
            <w:vAlign w:val="center"/>
            <w:hideMark/>
          </w:tcPr>
          <w:p w:rsidR="00000000" w:rsidRDefault="00AC31B9">
            <w:pPr>
              <w:jc w:val="center"/>
              <w:rPr>
                <w:rFonts w:eastAsia="Times New Roman"/>
              </w:rPr>
            </w:pPr>
          </w:p>
        </w:tc>
        <w:tc>
          <w:tcPr>
            <w:tcW w:w="316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2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Year Ended September 30,</w:t>
            </w:r>
          </w:p>
        </w:tc>
      </w:tr>
      <w:tr w:rsidR="00000000">
        <w:trPr>
          <w:divId w:val="997609605"/>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r>
      <w:tr w:rsidR="00000000">
        <w:trPr>
          <w:divId w:val="997609605"/>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Preferred stock, without par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Balance, beginning of year </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Issuance of preferred stock</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Cumulative effect of change in accounting - ASU 2020-06 (Note 3</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Balance, end of year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Common stock, without par value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Balance, beginning of year</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1,483 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1,394 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1,416 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Common Stock issued in connection with employee and director plans, net of tax withheld</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Equity-based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Issuance of Equity Units - 2024 Purchase Contracts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Cumulative effect of change in accounting - ASU 2020-06 (Note 3)</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Retained earnings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Balance, beginning of year</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4,841 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4,081 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2,908 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(loss) income attributable to UGI Corporation</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(1,502)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1,073 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1,467 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divId w:val="1308047749"/>
              <w:rPr>
                <w:rFonts w:eastAsia="Times New Roman"/>
              </w:rPr>
            </w:pPr>
            <w:r>
              <w:rPr>
                <w:rFonts w:eastAsia="Times New Roman"/>
                <w:color w:val="000000"/>
                <w:sz w:val="20"/>
                <w:szCs w:val="20"/>
              </w:rPr>
              <w:t>Cash dividends on common stock ($1.47, $1.41, and $1.35 per share, respectively)</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(308)</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(296)</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(282)</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Losses on treasury stock transactions in connection with 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Cumulative effect of change in accounting - ASU 2020-06 (Note 3)</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4,081 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Accumulated other comprehensive income (loss)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99760960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Balance, beginning of year</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(147)</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gains on 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Reclassification of net (gains) losses on 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Benefit plans, principally actuarial gains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Reclassification of benefit plans net actuarial (gains) losses and net prior service benefits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Foreign currency gains (losses) on long-term intra-company transactions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(148)</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Foreign currency 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Treasury stock</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Balance, beginning of year</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Common Stock issued in connection with employee and director plans, net of tax withheld</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Reacquired common stock – </w:t>
            </w:r>
            <w:r>
              <w:rPr>
                <w:rFonts w:eastAsia="Times New Roman"/>
                <w:color w:val="000000"/>
                <w:sz w:val="20"/>
                <w:szCs w:val="20"/>
              </w:rPr>
              <w:t>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Total UGI Corporation stockholders’ equity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4,386 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6,066 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5,522 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Noncontrolling interests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99760960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Balance, beginning of year</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income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760960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997609605"/>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Total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4,394 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6,074 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5,531 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both"/>
        <w:divId w:val="422386383"/>
        <w:rPr>
          <w:rFonts w:eastAsia="Times New Roman"/>
        </w:rPr>
      </w:pPr>
      <w:r>
        <w:rPr>
          <w:rFonts w:eastAsia="Times New Roman"/>
          <w:color w:val="000000"/>
          <w:sz w:val="20"/>
          <w:szCs w:val="20"/>
        </w:rPr>
        <w:t>See accompanying Notes to Consolidated Financial Statements.</w:t>
      </w:r>
    </w:p>
    <w:p w:rsidR="00000000" w:rsidRDefault="00AC31B9">
      <w:pPr>
        <w:jc w:val="center"/>
        <w:divId w:val="186218880"/>
        <w:rPr>
          <w:rFonts w:eastAsia="Times New Roman"/>
        </w:rPr>
      </w:pPr>
      <w:r>
        <w:rPr>
          <w:rFonts w:eastAsia="Times New Roman"/>
          <w:color w:val="000000"/>
          <w:sz w:val="20"/>
          <w:szCs w:val="20"/>
        </w:rPr>
        <w:t>F-10</w:t>
      </w:r>
    </w:p>
    <w:p w:rsidR="00000000" w:rsidRDefault="00AC31B9">
      <w:pPr>
        <w:rPr>
          <w:rFonts w:eastAsia="Times New Roman"/>
        </w:rPr>
      </w:pPr>
      <w:r>
        <w:rPr>
          <w:rFonts w:eastAsia="Times New Roman"/>
        </w:rPr>
        <w:pict>
          <v:rect id="_x0000_i1128" style="width:0;height:1.5pt" o:hralign="center" o:hrstd="t" o:hr="t" fillcolor="#a0a0a0" stroked="f"/>
        </w:pict>
      </w:r>
    </w:p>
    <w:p w:rsidR="00000000" w:rsidRDefault="00AC31B9">
      <w:pPr>
        <w:divId w:val="1753819945"/>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both"/>
        <w:rPr>
          <w:rFonts w:eastAsia="Times New Roman"/>
        </w:rPr>
      </w:pPr>
      <w:r>
        <w:rPr>
          <w:rFonts w:eastAsia="Times New Roman"/>
          <w:b/>
          <w:bCs/>
          <w:color w:val="000000"/>
          <w:sz w:val="20"/>
          <w:szCs w:val="20"/>
        </w:rPr>
        <w:t>UGI Corporation and Subsidiaries</w:t>
      </w:r>
    </w:p>
    <w:p w:rsidR="00000000" w:rsidRDefault="00AC31B9">
      <w:pPr>
        <w:jc w:val="both"/>
        <w:rPr>
          <w:rFonts w:eastAsia="Times New Roman"/>
        </w:rPr>
      </w:pPr>
      <w:r>
        <w:rPr>
          <w:rFonts w:eastAsia="Times New Roman"/>
          <w:b/>
          <w:bCs/>
          <w:color w:val="000000"/>
          <w:sz w:val="20"/>
          <w:szCs w:val="20"/>
        </w:rPr>
        <w:t>Notes to Consolidated Financial Statements</w:t>
      </w:r>
    </w:p>
    <w:p w:rsidR="00000000" w:rsidRDefault="00AC31B9">
      <w:pPr>
        <w:jc w:val="both"/>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Index to Notes</w:t>
      </w:r>
    </w:p>
    <w:p w:rsidR="00000000" w:rsidRDefault="00AC31B9">
      <w:pPr>
        <w:jc w:val="both"/>
        <w:divId w:val="76556062"/>
        <w:rPr>
          <w:rFonts w:eastAsia="Times New Roman"/>
        </w:rPr>
      </w:pPr>
      <w:r>
        <w:rPr>
          <w:rFonts w:eastAsia="Times New Roman"/>
          <w:b/>
          <w:bCs/>
          <w:color w:val="000000"/>
          <w:sz w:val="20"/>
          <w:szCs w:val="20"/>
        </w:rPr>
        <w:t xml:space="preserve">Note 1 — Nature of Operations </w:t>
      </w:r>
    </w:p>
    <w:p w:rsidR="00000000" w:rsidRDefault="00AC31B9">
      <w:pPr>
        <w:jc w:val="both"/>
        <w:rPr>
          <w:rFonts w:eastAsia="Times New Roman"/>
        </w:rPr>
      </w:pPr>
      <w:r>
        <w:rPr>
          <w:rFonts w:eastAsia="Times New Roman"/>
          <w:b/>
          <w:bCs/>
          <w:color w:val="000000"/>
          <w:sz w:val="20"/>
          <w:szCs w:val="20"/>
        </w:rPr>
        <w:t>Note 2 — Summary of Significant Acc</w:t>
      </w:r>
      <w:r>
        <w:rPr>
          <w:rFonts w:eastAsia="Times New Roman"/>
          <w:b/>
          <w:bCs/>
          <w:color w:val="000000"/>
          <w:sz w:val="20"/>
          <w:szCs w:val="20"/>
        </w:rPr>
        <w:t xml:space="preserve">ounting Policies </w:t>
      </w:r>
    </w:p>
    <w:p w:rsidR="00000000" w:rsidRDefault="00AC31B9">
      <w:pPr>
        <w:jc w:val="both"/>
        <w:rPr>
          <w:rFonts w:eastAsia="Times New Roman"/>
        </w:rPr>
      </w:pPr>
      <w:r>
        <w:rPr>
          <w:rFonts w:eastAsia="Times New Roman"/>
          <w:b/>
          <w:bCs/>
          <w:color w:val="000000"/>
          <w:sz w:val="20"/>
          <w:szCs w:val="20"/>
        </w:rPr>
        <w:t xml:space="preserve">Note 3 — Accounting Changes </w:t>
      </w:r>
    </w:p>
    <w:p w:rsidR="00000000" w:rsidRDefault="00AC31B9">
      <w:pPr>
        <w:jc w:val="both"/>
        <w:rPr>
          <w:rFonts w:eastAsia="Times New Roman"/>
        </w:rPr>
      </w:pPr>
      <w:r>
        <w:rPr>
          <w:rFonts w:eastAsia="Times New Roman"/>
          <w:b/>
          <w:bCs/>
          <w:color w:val="000000"/>
          <w:sz w:val="20"/>
          <w:szCs w:val="20"/>
        </w:rPr>
        <w:t xml:space="preserve">Note 4 — Revenue from Contracts with Customers </w:t>
      </w:r>
    </w:p>
    <w:p w:rsidR="00000000" w:rsidRDefault="00AC31B9">
      <w:pPr>
        <w:jc w:val="both"/>
        <w:rPr>
          <w:rFonts w:eastAsia="Times New Roman"/>
        </w:rPr>
      </w:pPr>
      <w:r>
        <w:rPr>
          <w:rFonts w:eastAsia="Times New Roman"/>
          <w:b/>
          <w:bCs/>
          <w:color w:val="000000"/>
          <w:sz w:val="20"/>
          <w:szCs w:val="20"/>
        </w:rPr>
        <w:t xml:space="preserve">Note 5 — Acquisitions and Dispositions </w:t>
      </w:r>
    </w:p>
    <w:p w:rsidR="00000000" w:rsidRDefault="00AC31B9">
      <w:pPr>
        <w:jc w:val="both"/>
        <w:rPr>
          <w:rFonts w:eastAsia="Times New Roman"/>
        </w:rPr>
      </w:pPr>
      <w:r>
        <w:rPr>
          <w:rFonts w:eastAsia="Times New Roman"/>
          <w:b/>
          <w:bCs/>
          <w:color w:val="000000"/>
          <w:sz w:val="20"/>
          <w:szCs w:val="20"/>
        </w:rPr>
        <w:t xml:space="preserve">Note 6 — Debt </w:t>
      </w:r>
    </w:p>
    <w:p w:rsidR="00000000" w:rsidRDefault="00AC31B9">
      <w:pPr>
        <w:jc w:val="both"/>
        <w:rPr>
          <w:rFonts w:eastAsia="Times New Roman"/>
        </w:rPr>
      </w:pPr>
      <w:r>
        <w:rPr>
          <w:rFonts w:eastAsia="Times New Roman"/>
          <w:b/>
          <w:bCs/>
          <w:color w:val="000000"/>
          <w:sz w:val="20"/>
          <w:szCs w:val="20"/>
        </w:rPr>
        <w:t>Note 7 — Income Taxes</w:t>
      </w:r>
    </w:p>
    <w:p w:rsidR="00000000" w:rsidRDefault="00AC31B9">
      <w:pPr>
        <w:jc w:val="both"/>
        <w:rPr>
          <w:rFonts w:eastAsia="Times New Roman"/>
        </w:rPr>
      </w:pPr>
      <w:r>
        <w:rPr>
          <w:rFonts w:eastAsia="Times New Roman"/>
          <w:b/>
          <w:bCs/>
          <w:color w:val="000000"/>
          <w:sz w:val="20"/>
          <w:szCs w:val="20"/>
        </w:rPr>
        <w:t xml:space="preserve">Note 8 — Employee Retirement Plans </w:t>
      </w:r>
    </w:p>
    <w:p w:rsidR="00000000" w:rsidRDefault="00AC31B9">
      <w:pPr>
        <w:jc w:val="both"/>
        <w:rPr>
          <w:rFonts w:eastAsia="Times New Roman"/>
        </w:rPr>
      </w:pPr>
      <w:r>
        <w:rPr>
          <w:rFonts w:eastAsia="Times New Roman"/>
          <w:b/>
          <w:bCs/>
          <w:color w:val="000000"/>
          <w:sz w:val="20"/>
          <w:szCs w:val="20"/>
        </w:rPr>
        <w:t>Note 9 — Utility Regulatory Assets and Liabiliti</w:t>
      </w:r>
      <w:r>
        <w:rPr>
          <w:rFonts w:eastAsia="Times New Roman"/>
          <w:b/>
          <w:bCs/>
          <w:color w:val="000000"/>
          <w:sz w:val="20"/>
          <w:szCs w:val="20"/>
        </w:rPr>
        <w:t xml:space="preserve">es and Regulatory Matters </w:t>
      </w:r>
    </w:p>
    <w:p w:rsidR="00000000" w:rsidRDefault="00AC31B9">
      <w:pPr>
        <w:jc w:val="both"/>
        <w:rPr>
          <w:rFonts w:eastAsia="Times New Roman"/>
        </w:rPr>
      </w:pPr>
      <w:r>
        <w:rPr>
          <w:rFonts w:eastAsia="Times New Roman"/>
          <w:b/>
          <w:bCs/>
          <w:color w:val="000000"/>
          <w:sz w:val="20"/>
          <w:szCs w:val="20"/>
        </w:rPr>
        <w:t xml:space="preserve">Note 10 — Inventories </w:t>
      </w:r>
    </w:p>
    <w:p w:rsidR="00000000" w:rsidRDefault="00AC31B9">
      <w:pPr>
        <w:jc w:val="both"/>
        <w:rPr>
          <w:rFonts w:eastAsia="Times New Roman"/>
        </w:rPr>
      </w:pPr>
      <w:r>
        <w:rPr>
          <w:rFonts w:eastAsia="Times New Roman"/>
          <w:b/>
          <w:bCs/>
          <w:color w:val="000000"/>
          <w:sz w:val="20"/>
          <w:szCs w:val="20"/>
        </w:rPr>
        <w:t xml:space="preserve">Note 11 — Property, Plant and Equipment </w:t>
      </w:r>
    </w:p>
    <w:p w:rsidR="00000000" w:rsidRDefault="00AC31B9">
      <w:pPr>
        <w:jc w:val="both"/>
        <w:rPr>
          <w:rFonts w:eastAsia="Times New Roman"/>
        </w:rPr>
      </w:pPr>
      <w:r>
        <w:rPr>
          <w:rFonts w:eastAsia="Times New Roman"/>
          <w:b/>
          <w:bCs/>
          <w:color w:val="000000"/>
          <w:sz w:val="20"/>
          <w:szCs w:val="20"/>
        </w:rPr>
        <w:t xml:space="preserve">Note 12 — Goodwill and Intangible Assets </w:t>
      </w:r>
    </w:p>
    <w:p w:rsidR="00000000" w:rsidRDefault="00AC31B9">
      <w:pPr>
        <w:jc w:val="both"/>
        <w:rPr>
          <w:rFonts w:eastAsia="Times New Roman"/>
        </w:rPr>
      </w:pPr>
      <w:r>
        <w:rPr>
          <w:rFonts w:eastAsia="Times New Roman"/>
          <w:b/>
          <w:bCs/>
          <w:color w:val="000000"/>
          <w:sz w:val="20"/>
          <w:szCs w:val="20"/>
        </w:rPr>
        <w:t xml:space="preserve">Note 13 — Equity </w:t>
      </w:r>
    </w:p>
    <w:p w:rsidR="00000000" w:rsidRDefault="00AC31B9">
      <w:pPr>
        <w:jc w:val="both"/>
        <w:rPr>
          <w:rFonts w:eastAsia="Times New Roman"/>
        </w:rPr>
      </w:pPr>
      <w:r>
        <w:rPr>
          <w:rFonts w:eastAsia="Times New Roman"/>
          <w:b/>
          <w:bCs/>
          <w:color w:val="000000"/>
          <w:sz w:val="20"/>
          <w:szCs w:val="20"/>
        </w:rPr>
        <w:t xml:space="preserve">Note 14 — Equity-Based Compensation </w:t>
      </w:r>
    </w:p>
    <w:p w:rsidR="00000000" w:rsidRDefault="00AC31B9">
      <w:pPr>
        <w:jc w:val="both"/>
        <w:rPr>
          <w:rFonts w:eastAsia="Times New Roman"/>
        </w:rPr>
      </w:pPr>
      <w:r>
        <w:rPr>
          <w:rFonts w:eastAsia="Times New Roman"/>
          <w:b/>
          <w:bCs/>
          <w:color w:val="000000"/>
          <w:sz w:val="20"/>
          <w:szCs w:val="20"/>
        </w:rPr>
        <w:t>Note 15 — Leases</w:t>
      </w:r>
    </w:p>
    <w:p w:rsidR="00000000" w:rsidRDefault="00AC31B9">
      <w:pPr>
        <w:jc w:val="both"/>
        <w:rPr>
          <w:rFonts w:eastAsia="Times New Roman"/>
        </w:rPr>
      </w:pPr>
      <w:r>
        <w:rPr>
          <w:rFonts w:eastAsia="Times New Roman"/>
          <w:b/>
          <w:bCs/>
          <w:color w:val="000000"/>
          <w:sz w:val="20"/>
          <w:szCs w:val="20"/>
        </w:rPr>
        <w:t xml:space="preserve">Note 16 — Commitments and Contingencies </w:t>
      </w:r>
    </w:p>
    <w:p w:rsidR="00000000" w:rsidRDefault="00AC31B9">
      <w:pPr>
        <w:jc w:val="both"/>
        <w:rPr>
          <w:rFonts w:eastAsia="Times New Roman"/>
        </w:rPr>
      </w:pPr>
      <w:r>
        <w:rPr>
          <w:rFonts w:eastAsia="Times New Roman"/>
          <w:b/>
          <w:bCs/>
          <w:color w:val="000000"/>
          <w:sz w:val="20"/>
          <w:szCs w:val="20"/>
        </w:rPr>
        <w:t xml:space="preserve">Note 17 — </w:t>
      </w:r>
      <w:r>
        <w:rPr>
          <w:rFonts w:eastAsia="Times New Roman"/>
          <w:b/>
          <w:bCs/>
          <w:color w:val="000000"/>
          <w:sz w:val="20"/>
          <w:szCs w:val="20"/>
        </w:rPr>
        <w:t xml:space="preserve">Fair Value Measurements </w:t>
      </w:r>
    </w:p>
    <w:p w:rsidR="00000000" w:rsidRDefault="00AC31B9">
      <w:pPr>
        <w:jc w:val="both"/>
        <w:rPr>
          <w:rFonts w:eastAsia="Times New Roman"/>
        </w:rPr>
      </w:pPr>
      <w:r>
        <w:rPr>
          <w:rFonts w:eastAsia="Times New Roman"/>
          <w:b/>
          <w:bCs/>
          <w:color w:val="000000"/>
          <w:sz w:val="20"/>
          <w:szCs w:val="20"/>
        </w:rPr>
        <w:t>Note 18 — Derivative Instruments and Hedging Activities</w:t>
      </w:r>
    </w:p>
    <w:p w:rsidR="00000000" w:rsidRDefault="00AC31B9">
      <w:pPr>
        <w:divId w:val="1189833302"/>
        <w:rPr>
          <w:rFonts w:eastAsia="Times New Roman"/>
        </w:rPr>
      </w:pPr>
      <w:r>
        <w:rPr>
          <w:rFonts w:eastAsia="Times New Roman"/>
          <w:b/>
          <w:bCs/>
          <w:color w:val="000000"/>
          <w:sz w:val="20"/>
          <w:szCs w:val="20"/>
        </w:rPr>
        <w:t xml:space="preserve">Note 19 — Accumulated Other Comprehensive Income (Loss) </w:t>
      </w:r>
    </w:p>
    <w:p w:rsidR="00000000" w:rsidRDefault="00AC31B9">
      <w:pPr>
        <w:jc w:val="both"/>
        <w:rPr>
          <w:rFonts w:eastAsia="Times New Roman"/>
        </w:rPr>
      </w:pPr>
      <w:r>
        <w:rPr>
          <w:rFonts w:eastAsia="Times New Roman"/>
          <w:b/>
          <w:bCs/>
          <w:color w:val="000000"/>
          <w:sz w:val="20"/>
          <w:szCs w:val="20"/>
        </w:rPr>
        <w:t xml:space="preserve">Note 20 — </w:t>
      </w:r>
      <w:r>
        <w:rPr>
          <w:rFonts w:eastAsia="Times New Roman"/>
          <w:b/>
          <w:bCs/>
          <w:color w:val="000000"/>
          <w:sz w:val="20"/>
          <w:szCs w:val="20"/>
        </w:rPr>
        <w:t xml:space="preserve">Other Operating Income, Net and Other Non-Operating Income (Expense), Net </w:t>
      </w:r>
    </w:p>
    <w:p w:rsidR="00000000" w:rsidRDefault="00AC31B9">
      <w:pPr>
        <w:jc w:val="both"/>
        <w:rPr>
          <w:rFonts w:eastAsia="Times New Roman"/>
        </w:rPr>
      </w:pPr>
      <w:r>
        <w:rPr>
          <w:rFonts w:eastAsia="Times New Roman"/>
          <w:b/>
          <w:bCs/>
          <w:color w:val="000000"/>
          <w:sz w:val="20"/>
          <w:szCs w:val="20"/>
        </w:rPr>
        <w:t xml:space="preserve">Note 21 — Equity Method Investments </w:t>
      </w:r>
    </w:p>
    <w:p w:rsidR="00000000" w:rsidRDefault="00AC31B9">
      <w:pPr>
        <w:jc w:val="both"/>
        <w:rPr>
          <w:rFonts w:eastAsia="Times New Roman"/>
        </w:rPr>
      </w:pPr>
      <w:r>
        <w:rPr>
          <w:rFonts w:eastAsia="Times New Roman"/>
          <w:b/>
          <w:bCs/>
          <w:color w:val="000000"/>
          <w:sz w:val="20"/>
          <w:szCs w:val="20"/>
        </w:rPr>
        <w:t xml:space="preserve">Note 22 — Segment Information </w:t>
      </w:r>
    </w:p>
    <w:p w:rsidR="00000000" w:rsidRDefault="00AC31B9">
      <w:pPr>
        <w:jc w:val="both"/>
        <w:rPr>
          <w:rFonts w:eastAsia="Times New Roman"/>
        </w:rPr>
      </w:pPr>
      <w:r>
        <w:rPr>
          <w:rFonts w:eastAsia="Times New Roman"/>
          <w:b/>
          <w:bCs/>
          <w:color w:val="000000"/>
          <w:sz w:val="20"/>
          <w:szCs w:val="20"/>
        </w:rPr>
        <w:t>Note 23 — Global LPG Business Transformation Initiatives</w:t>
      </w:r>
    </w:p>
    <w:p w:rsidR="00000000" w:rsidRDefault="00AC31B9">
      <w:pPr>
        <w:jc w:val="both"/>
        <w:rPr>
          <w:rFonts w:eastAsia="Times New Roman"/>
        </w:rPr>
      </w:pPr>
    </w:p>
    <w:p w:rsidR="00000000" w:rsidRDefault="00AC31B9">
      <w:pPr>
        <w:jc w:val="both"/>
        <w:rPr>
          <w:rFonts w:eastAsia="Times New Roman"/>
        </w:rPr>
      </w:pP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 xml:space="preserve">Note 1 — Nature of Operations </w:t>
      </w:r>
    </w:p>
    <w:p w:rsidR="00000000" w:rsidRDefault="00AC31B9">
      <w:pPr>
        <w:divId w:val="455680292"/>
        <w:rPr>
          <w:rFonts w:eastAsia="Times New Roman"/>
        </w:rPr>
      </w:pPr>
    </w:p>
    <w:p w:rsidR="00000000" w:rsidRDefault="00AC31B9">
      <w:pPr>
        <w:jc w:val="both"/>
        <w:rPr>
          <w:rFonts w:eastAsia="Times New Roman"/>
        </w:rPr>
      </w:pPr>
      <w:r>
        <w:rPr>
          <w:rFonts w:eastAsia="Times New Roman"/>
          <w:color w:val="000000"/>
          <w:sz w:val="20"/>
          <w:szCs w:val="20"/>
        </w:rPr>
        <w:t xml:space="preserve">UGI is a holding </w:t>
      </w:r>
      <w:r>
        <w:rPr>
          <w:rFonts w:eastAsia="Times New Roman"/>
          <w:color w:val="000000"/>
          <w:sz w:val="20"/>
          <w:szCs w:val="20"/>
        </w:rPr>
        <w:t>company that, through subsidiaries and affiliates, distributes, stores, transports and markets energy products and related services. In the U.S., we own and operate (1) a retail propane marketing and distribution business; (2) natural gas and electric dist</w:t>
      </w:r>
      <w:r>
        <w:rPr>
          <w:rFonts w:eastAsia="Times New Roman"/>
          <w:color w:val="000000"/>
          <w:sz w:val="20"/>
          <w:szCs w:val="20"/>
        </w:rPr>
        <w:t>ribution utilities; and (3) energy marketing, midstream infrastructure, storage, natural gas gathering and processing, natural gas production, electricity generation and energy services businesses. In Europe, we market and distribute propane and other LPG,</w:t>
      </w:r>
      <w:r>
        <w:rPr>
          <w:rFonts w:eastAsia="Times New Roman"/>
          <w:color w:val="000000"/>
          <w:sz w:val="20"/>
          <w:szCs w:val="20"/>
        </w:rPr>
        <w:t xml:space="preserve"> and market other energy products and services. </w:t>
      </w:r>
    </w:p>
    <w:p w:rsidR="00000000" w:rsidRDefault="00AC31B9">
      <w:pPr>
        <w:divId w:val="2114323968"/>
        <w:rPr>
          <w:rFonts w:eastAsia="Times New Roman"/>
        </w:rPr>
      </w:pPr>
    </w:p>
    <w:p w:rsidR="00000000" w:rsidRDefault="00AC31B9">
      <w:pPr>
        <w:jc w:val="both"/>
        <w:rPr>
          <w:rFonts w:eastAsia="Times New Roman"/>
        </w:rPr>
      </w:pPr>
      <w:r>
        <w:rPr>
          <w:rFonts w:eastAsia="Times New Roman"/>
          <w:color w:val="000000"/>
          <w:sz w:val="20"/>
          <w:szCs w:val="20"/>
        </w:rPr>
        <w:t>We conduct a domestic propane marketing and distribution business through AmeriGas Partners. AmeriGas Partners conducts its propane marketing and distribution business through its principal operating subsi</w:t>
      </w:r>
      <w:r>
        <w:rPr>
          <w:rFonts w:eastAsia="Times New Roman"/>
          <w:color w:val="000000"/>
          <w:sz w:val="20"/>
          <w:szCs w:val="20"/>
        </w:rPr>
        <w:t xml:space="preserve">diary AmeriGas OLP.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UGI International, LLC, through its subsidiaries and affiliates, conducts (1) an LPG distribution business throughout much of Europe and (2) an energy marketing business in France and the Netherlands and, prior to its sales in Fiscal 2023, in Belgium and t</w:t>
      </w:r>
      <w:r>
        <w:rPr>
          <w:rFonts w:eastAsia="Times New Roman"/>
          <w:color w:val="000000"/>
          <w:sz w:val="20"/>
          <w:szCs w:val="20"/>
        </w:rPr>
        <w:t xml:space="preserve">he United Kingdom. These businesses are conducted principally through our subsidiaries, UGI France, Flaga, AvantiGas, DVEP and UniverGas. See Note 5 for additional information regarding the UGI International energy marketing business.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Energy Services co</w:t>
      </w:r>
      <w:r>
        <w:rPr>
          <w:rFonts w:eastAsia="Times New Roman"/>
          <w:color w:val="000000"/>
          <w:sz w:val="20"/>
          <w:szCs w:val="20"/>
        </w:rPr>
        <w:t>nducts, directly and through subsidiaries and affiliates, energy marketing, including RNG, midstream transmission, LNG storage, natural gas gathering and processing, natural gas and RNG production, electricity generation and energy services businesses prim</w:t>
      </w:r>
      <w:r>
        <w:rPr>
          <w:rFonts w:eastAsia="Times New Roman"/>
          <w:color w:val="000000"/>
          <w:sz w:val="20"/>
          <w:szCs w:val="20"/>
        </w:rPr>
        <w:t>arily in the eastern region of the U.S., eastern Ohio, the panhandle of West Virginia and California. UGID owns electricity generation facilities principally located in Pennsylvania. Energy Services and its subsidiaries’ storage, LNG and portions of its mi</w:t>
      </w:r>
      <w:r>
        <w:rPr>
          <w:rFonts w:eastAsia="Times New Roman"/>
          <w:color w:val="000000"/>
          <w:sz w:val="20"/>
          <w:szCs w:val="20"/>
        </w:rPr>
        <w:t>dstream transmission operations are subject to regulation by the FERC.</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Our Utilities segment includes UGI Utilities and Mountaineer. PA Gas Utility serves customers in eastern and central Pennsylvania and in portions of one Maryland county, and Mountaine</w:t>
      </w:r>
      <w:r>
        <w:rPr>
          <w:rFonts w:eastAsia="Times New Roman"/>
          <w:color w:val="000000"/>
          <w:sz w:val="20"/>
          <w:szCs w:val="20"/>
        </w:rPr>
        <w:t xml:space="preserve">er serves customers in West Virginia. Electric Utility </w:t>
      </w:r>
    </w:p>
    <w:p w:rsidR="00000000" w:rsidRDefault="00AC31B9">
      <w:pPr>
        <w:jc w:val="center"/>
        <w:divId w:val="1168211052"/>
        <w:rPr>
          <w:rFonts w:eastAsia="Times New Roman"/>
        </w:rPr>
      </w:pPr>
      <w:r>
        <w:rPr>
          <w:rFonts w:eastAsia="Times New Roman"/>
          <w:color w:val="000000"/>
          <w:sz w:val="20"/>
          <w:szCs w:val="20"/>
        </w:rPr>
        <w:t>F-11</w:t>
      </w:r>
    </w:p>
    <w:p w:rsidR="00000000" w:rsidRDefault="00AC31B9">
      <w:pPr>
        <w:rPr>
          <w:rFonts w:eastAsia="Times New Roman"/>
        </w:rPr>
      </w:pPr>
      <w:r>
        <w:rPr>
          <w:rFonts w:eastAsia="Times New Roman"/>
        </w:rPr>
        <w:pict>
          <v:rect id="_x0000_i1129" style="width:0;height:1.5pt" o:hralign="center" o:hrstd="t" o:hr="t" fillcolor="#a0a0a0" stroked="f"/>
        </w:pict>
      </w:r>
    </w:p>
    <w:p w:rsidR="00000000" w:rsidRDefault="00AC31B9">
      <w:pPr>
        <w:divId w:val="1558975181"/>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191189454"/>
        <w:rPr>
          <w:rFonts w:eastAsia="Times New Roman"/>
        </w:rPr>
      </w:pPr>
      <w:r>
        <w:rPr>
          <w:rFonts w:eastAsia="Times New Roman"/>
          <w:b/>
          <w:bCs/>
          <w:color w:val="000000"/>
          <w:sz w:val="20"/>
          <w:szCs w:val="20"/>
        </w:rPr>
        <w:t>UGI Corporation and Subsidiaries</w:t>
      </w:r>
    </w:p>
    <w:p w:rsidR="00000000" w:rsidRDefault="00AC31B9">
      <w:pPr>
        <w:divId w:val="1163858621"/>
        <w:rPr>
          <w:rFonts w:eastAsia="Times New Roman"/>
        </w:rPr>
      </w:pPr>
      <w:r>
        <w:rPr>
          <w:rFonts w:eastAsia="Times New Roman"/>
          <w:b/>
          <w:bCs/>
          <w:color w:val="000000"/>
          <w:sz w:val="20"/>
          <w:szCs w:val="20"/>
        </w:rPr>
        <w:t>Notes to Consolidated Financial Statements</w:t>
      </w:r>
    </w:p>
    <w:p w:rsidR="00000000" w:rsidRDefault="00AC31B9">
      <w:pPr>
        <w:divId w:val="1677688698"/>
        <w:rPr>
          <w:rFonts w:eastAsia="Times New Roman"/>
        </w:rPr>
      </w:pPr>
      <w:r>
        <w:rPr>
          <w:rFonts w:eastAsia="Times New Roman"/>
          <w:color w:val="000000"/>
          <w:sz w:val="20"/>
          <w:szCs w:val="20"/>
        </w:rPr>
        <w:t>(Curre</w:t>
      </w:r>
      <w:r>
        <w:rPr>
          <w:rFonts w:eastAsia="Times New Roman"/>
          <w:color w:val="000000"/>
          <w:sz w:val="20"/>
          <w:szCs w:val="20"/>
        </w:rPr>
        <w:t>ncy in millions, except per share amounts and where indicated otherwise)</w:t>
      </w:r>
    </w:p>
    <w:p w:rsidR="00000000" w:rsidRDefault="00AC31B9">
      <w:pPr>
        <w:jc w:val="both"/>
        <w:rPr>
          <w:rFonts w:eastAsia="Times New Roman"/>
        </w:rPr>
      </w:pPr>
      <w:r>
        <w:rPr>
          <w:rFonts w:eastAsia="Times New Roman"/>
          <w:color w:val="000000"/>
          <w:sz w:val="20"/>
          <w:szCs w:val="20"/>
        </w:rPr>
        <w:t>serves customers in portions of Luzerne and Wyoming counties in northeastern Pennsylvania. PA Gas Utility is subject to regulation by the PAPUC and FERC and, with respect to its custo</w:t>
      </w:r>
      <w:r>
        <w:rPr>
          <w:rFonts w:eastAsia="Times New Roman"/>
          <w:color w:val="000000"/>
          <w:sz w:val="20"/>
          <w:szCs w:val="20"/>
        </w:rPr>
        <w:t>mers in Maryland, the MDPSC. Mountaineer is subject to regulation by the WVPSC and FERC. Electric Utility is subject to regulation by the PAPUC and FERC.</w:t>
      </w:r>
      <w:r>
        <w:rPr>
          <w:rFonts w:eastAsia="Times New Roman"/>
          <w:color w:val="000000"/>
        </w:rPr>
        <w:t xml:space="preserve"> </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 xml:space="preserve">Note 2 — Summary of Significant Accounting Policies </w:t>
      </w:r>
    </w:p>
    <w:p w:rsidR="00000000" w:rsidRDefault="00AC31B9">
      <w:pPr>
        <w:jc w:val="both"/>
        <w:divId w:val="1993631394"/>
        <w:rPr>
          <w:rFonts w:eastAsia="Times New Roman"/>
        </w:rPr>
      </w:pPr>
      <w:r>
        <w:rPr>
          <w:rFonts w:eastAsia="Times New Roman"/>
          <w:b/>
          <w:bCs/>
          <w:color w:val="000000"/>
          <w:sz w:val="20"/>
          <w:szCs w:val="20"/>
        </w:rPr>
        <w:t>Basis of Presentation</w:t>
      </w:r>
    </w:p>
    <w:p w:rsidR="00000000" w:rsidRDefault="00AC31B9">
      <w:pPr>
        <w:jc w:val="both"/>
        <w:divId w:val="1984699027"/>
        <w:rPr>
          <w:rFonts w:eastAsia="Times New Roman"/>
        </w:rPr>
      </w:pPr>
      <w:r>
        <w:rPr>
          <w:rFonts w:eastAsia="Times New Roman"/>
          <w:color w:val="000000"/>
          <w:sz w:val="20"/>
          <w:szCs w:val="20"/>
        </w:rPr>
        <w:t>Our consolidated financial statements are prepared in accordance with GAAP. The preparation of financial statements in accordance with GAAP requires management to make estimates and assumptions that affect the reported amounts of assets, liabilities, reven</w:t>
      </w:r>
      <w:r>
        <w:rPr>
          <w:rFonts w:eastAsia="Times New Roman"/>
          <w:color w:val="000000"/>
          <w:sz w:val="20"/>
          <w:szCs w:val="20"/>
        </w:rPr>
        <w:t>ues, expenses and costs. These estimates are based on management’s knowledge of current events, historical experience and various other assumptions that are believed to be reasonable under the circumstances. Accordingly, actual results may be different fro</w:t>
      </w:r>
      <w:r>
        <w:rPr>
          <w:rFonts w:eastAsia="Times New Roman"/>
          <w:color w:val="000000"/>
          <w:sz w:val="20"/>
          <w:szCs w:val="20"/>
        </w:rPr>
        <w:t>m these estimates and assumptions.</w:t>
      </w:r>
    </w:p>
    <w:p w:rsidR="00000000" w:rsidRDefault="00AC31B9">
      <w:pPr>
        <w:jc w:val="both"/>
        <w:divId w:val="100532391"/>
        <w:rPr>
          <w:rFonts w:eastAsia="Times New Roman"/>
        </w:rPr>
      </w:pPr>
      <w:r>
        <w:rPr>
          <w:rFonts w:eastAsia="Times New Roman"/>
          <w:b/>
          <w:bCs/>
          <w:color w:val="000000"/>
          <w:sz w:val="20"/>
          <w:szCs w:val="20"/>
        </w:rPr>
        <w:t>Principles of Consolidation</w:t>
      </w:r>
    </w:p>
    <w:p w:rsidR="00000000" w:rsidRDefault="00AC31B9">
      <w:pPr>
        <w:jc w:val="both"/>
        <w:divId w:val="2103602184"/>
        <w:rPr>
          <w:rFonts w:eastAsia="Times New Roman"/>
        </w:rPr>
      </w:pPr>
      <w:r>
        <w:rPr>
          <w:rFonts w:eastAsia="Times New Roman"/>
          <w:color w:val="000000"/>
          <w:sz w:val="20"/>
          <w:szCs w:val="20"/>
        </w:rPr>
        <w:t>The consolidated financial statements include the accounts of UGI and its controlled subsidiary companies which are majority owned. We report outside ownership interests in other consolidated b</w:t>
      </w:r>
      <w:r>
        <w:rPr>
          <w:rFonts w:eastAsia="Times New Roman"/>
          <w:color w:val="000000"/>
          <w:sz w:val="20"/>
          <w:szCs w:val="20"/>
        </w:rPr>
        <w:t>ut less than 100%-owned subsidiaries, as noncontrolling interests. We eliminate intercompany accounts and transactions when we consolidate.</w:t>
      </w:r>
    </w:p>
    <w:p w:rsidR="00000000" w:rsidRDefault="00AC31B9">
      <w:pPr>
        <w:jc w:val="both"/>
        <w:divId w:val="189418270"/>
        <w:rPr>
          <w:rFonts w:eastAsia="Times New Roman"/>
        </w:rPr>
      </w:pPr>
      <w:r>
        <w:rPr>
          <w:rFonts w:eastAsia="Times New Roman"/>
          <w:color w:val="000000"/>
          <w:sz w:val="20"/>
          <w:szCs w:val="20"/>
        </w:rPr>
        <w:t xml:space="preserve">We account for privately held equity securities of entities without readily determinable fair values in which we do </w:t>
      </w:r>
      <w:r>
        <w:rPr>
          <w:rFonts w:eastAsia="Times New Roman"/>
          <w:color w:val="000000"/>
          <w:sz w:val="20"/>
          <w:szCs w:val="20"/>
        </w:rPr>
        <w:t>not have control, but have significant influence over operating and financial policies, under the equity method. See Note 21 for additional information on our equity method investments. Investments in equity securities related to entities in which we do no</w:t>
      </w:r>
      <w:r>
        <w:rPr>
          <w:rFonts w:eastAsia="Times New Roman"/>
          <w:color w:val="000000"/>
          <w:sz w:val="20"/>
          <w:szCs w:val="20"/>
        </w:rPr>
        <w:t xml:space="preserve">t have significant influence over operating and financial policies are generally initially valued at their cost less impairment (if any) and subsequently remeasured at fair value, as applicable, in accordance with the relevant provisions under GAAP. </w:t>
      </w:r>
    </w:p>
    <w:p w:rsidR="00000000" w:rsidRDefault="00AC31B9">
      <w:pPr>
        <w:jc w:val="both"/>
        <w:divId w:val="1569992911"/>
        <w:rPr>
          <w:rFonts w:eastAsia="Times New Roman"/>
        </w:rPr>
      </w:pPr>
      <w:r>
        <w:rPr>
          <w:rFonts w:eastAsia="Times New Roman"/>
          <w:b/>
          <w:bCs/>
          <w:color w:val="000000"/>
          <w:sz w:val="20"/>
          <w:szCs w:val="20"/>
        </w:rPr>
        <w:t>Effec</w:t>
      </w:r>
      <w:r>
        <w:rPr>
          <w:rFonts w:eastAsia="Times New Roman"/>
          <w:b/>
          <w:bCs/>
          <w:color w:val="000000"/>
          <w:sz w:val="20"/>
          <w:szCs w:val="20"/>
        </w:rPr>
        <w:t>ts of Regulation</w:t>
      </w:r>
    </w:p>
    <w:p w:rsidR="00000000" w:rsidRDefault="00AC31B9">
      <w:pPr>
        <w:jc w:val="both"/>
        <w:divId w:val="458646285"/>
        <w:rPr>
          <w:rFonts w:eastAsia="Times New Roman"/>
        </w:rPr>
      </w:pPr>
      <w:r>
        <w:rPr>
          <w:rFonts w:eastAsia="Times New Roman"/>
          <w:color w:val="000000"/>
          <w:sz w:val="20"/>
          <w:szCs w:val="20"/>
        </w:rPr>
        <w:t xml:space="preserve">Certain of our subsidiaries account for the financial effects of regulation in accordance with ASC 980. In accordance with this guidance, incurred costs that would otherwise be charged to expense are capitalized and recorded as regulatory </w:t>
      </w:r>
      <w:r>
        <w:rPr>
          <w:rFonts w:eastAsia="Times New Roman"/>
          <w:color w:val="000000"/>
          <w:sz w:val="20"/>
          <w:szCs w:val="20"/>
        </w:rPr>
        <w:t>assets when it is probable that the incurred costs will be recovered through rates in the future. Similarly, we recognize regulatory liabilities when it is probable that regulators will require customer refunds through future rates or when revenue is colle</w:t>
      </w:r>
      <w:r>
        <w:rPr>
          <w:rFonts w:eastAsia="Times New Roman"/>
          <w:color w:val="000000"/>
          <w:sz w:val="20"/>
          <w:szCs w:val="20"/>
        </w:rPr>
        <w:t>cted from customers for expenditures that have not yet been incurred. Regulatory assets and liabilities are classified as current if, upon initial recognition, the entire amount related to that item will be recovered or refunded within a year of the balanc</w:t>
      </w:r>
      <w:r>
        <w:rPr>
          <w:rFonts w:eastAsia="Times New Roman"/>
          <w:color w:val="000000"/>
          <w:sz w:val="20"/>
          <w:szCs w:val="20"/>
        </w:rPr>
        <w:t>e sheet date. Generally, regulatory assets and regulatory liabilities are amortized into expense and income over the periods authorized by the respective regulatory body. For additional information regarding the effects of rate regulation on our utility op</w:t>
      </w:r>
      <w:r>
        <w:rPr>
          <w:rFonts w:eastAsia="Times New Roman"/>
          <w:color w:val="000000"/>
          <w:sz w:val="20"/>
          <w:szCs w:val="20"/>
        </w:rPr>
        <w:t>erations, see Note 9.</w:t>
      </w:r>
    </w:p>
    <w:p w:rsidR="00000000" w:rsidRDefault="00AC31B9">
      <w:pPr>
        <w:jc w:val="both"/>
        <w:divId w:val="327365430"/>
        <w:rPr>
          <w:rFonts w:eastAsia="Times New Roman"/>
        </w:rPr>
      </w:pPr>
      <w:r>
        <w:rPr>
          <w:rFonts w:eastAsia="Times New Roman"/>
          <w:b/>
          <w:bCs/>
          <w:color w:val="000000"/>
          <w:sz w:val="20"/>
          <w:szCs w:val="20"/>
        </w:rPr>
        <w:t>Fair Value Measurements</w:t>
      </w:r>
    </w:p>
    <w:p w:rsidR="00000000" w:rsidRDefault="00AC31B9">
      <w:pPr>
        <w:jc w:val="both"/>
        <w:divId w:val="714618481"/>
        <w:rPr>
          <w:rFonts w:eastAsia="Times New Roman"/>
        </w:rPr>
      </w:pPr>
      <w:r>
        <w:rPr>
          <w:rFonts w:eastAsia="Times New Roman"/>
          <w:color w:val="000000"/>
          <w:sz w:val="20"/>
          <w:szCs w:val="20"/>
        </w:rPr>
        <w:t>The Company applies fair value measurements on a recurring and, as otherwise required under ASC 820, on a nonrecurring basis. Fair value is defined as the price that would be received to sell an asset or paid t</w:t>
      </w:r>
      <w:r>
        <w:rPr>
          <w:rFonts w:eastAsia="Times New Roman"/>
          <w:color w:val="000000"/>
          <w:sz w:val="20"/>
          <w:szCs w:val="20"/>
        </w:rPr>
        <w:t>o transfer a liability (an exit price) in an orderly transaction between market participants at the measurement date. Fair value measurements performed on a recurring basis principally relate to derivative instruments and investments held in supplemental e</w:t>
      </w:r>
      <w:r>
        <w:rPr>
          <w:rFonts w:eastAsia="Times New Roman"/>
          <w:color w:val="000000"/>
          <w:sz w:val="20"/>
          <w:szCs w:val="20"/>
        </w:rPr>
        <w:t>xecutive retirement plan grantor trusts.</w:t>
      </w:r>
    </w:p>
    <w:p w:rsidR="00000000" w:rsidRDefault="00AC31B9">
      <w:pPr>
        <w:jc w:val="both"/>
        <w:divId w:val="696082605"/>
        <w:rPr>
          <w:rFonts w:eastAsia="Times New Roman"/>
        </w:rPr>
      </w:pPr>
      <w:r>
        <w:rPr>
          <w:rFonts w:eastAsia="Times New Roman"/>
          <w:color w:val="000000"/>
          <w:sz w:val="20"/>
          <w:szCs w:val="20"/>
        </w:rPr>
        <w:t>ASC 820 establishes a fair value hierarchy that prioritizes the inputs to valuation techniques used to measure fair value into three levels. The hierarchy gives the highest priority to quoted prices in active market</w:t>
      </w:r>
      <w:r>
        <w:rPr>
          <w:rFonts w:eastAsia="Times New Roman"/>
          <w:color w:val="000000"/>
          <w:sz w:val="20"/>
          <w:szCs w:val="20"/>
        </w:rPr>
        <w:t>s for identical assets or liabilities (Level 1 measurements) and the lowest priority to unobservable inputs (Level 3 measurements). A level within the fair value hierarchy is based on the lowest level of any input that is significant to the fair value meas</w:t>
      </w:r>
      <w:r>
        <w:rPr>
          <w:rFonts w:eastAsia="Times New Roman"/>
          <w:color w:val="000000"/>
          <w:sz w:val="20"/>
          <w:szCs w:val="20"/>
        </w:rPr>
        <w:t>urement.</w:t>
      </w:r>
    </w:p>
    <w:p w:rsidR="00000000" w:rsidRDefault="00AC31B9">
      <w:pPr>
        <w:jc w:val="both"/>
        <w:divId w:val="2119640563"/>
        <w:rPr>
          <w:rFonts w:eastAsia="Times New Roman"/>
        </w:rPr>
      </w:pPr>
      <w:r>
        <w:rPr>
          <w:rFonts w:eastAsia="Times New Roman"/>
          <w:color w:val="000000"/>
          <w:sz w:val="20"/>
          <w:szCs w:val="20"/>
        </w:rPr>
        <w:t>We use the following fair value hierarchy, which prioritizes the inputs to valuation techniques used to measure fair value into three broad levels:</w:t>
      </w:r>
    </w:p>
    <w:p w:rsidR="00000000" w:rsidRDefault="00AC31B9">
      <w:pPr>
        <w:ind w:hanging="360"/>
        <w:jc w:val="both"/>
        <w:divId w:val="2131317824"/>
        <w:rPr>
          <w:rFonts w:eastAsia="Times New Roman"/>
        </w:rPr>
      </w:pPr>
      <w:r>
        <w:rPr>
          <w:rFonts w:eastAsia="Times New Roman"/>
          <w:color w:val="000000"/>
          <w:sz w:val="20"/>
          <w:szCs w:val="20"/>
        </w:rPr>
        <w:t>•Level 1 — Quoted prices (unadjusted) in active markets for identical assets and liabilities that w</w:t>
      </w:r>
      <w:r>
        <w:rPr>
          <w:rFonts w:eastAsia="Times New Roman"/>
          <w:color w:val="000000"/>
          <w:sz w:val="20"/>
          <w:szCs w:val="20"/>
        </w:rPr>
        <w:t>e have the ability to access at the measurement date.</w:t>
      </w:r>
    </w:p>
    <w:p w:rsidR="00000000" w:rsidRDefault="00AC31B9">
      <w:pPr>
        <w:ind w:hanging="360"/>
        <w:jc w:val="both"/>
        <w:divId w:val="1154224517"/>
        <w:rPr>
          <w:rFonts w:eastAsia="Times New Roman"/>
        </w:rPr>
      </w:pPr>
      <w:r>
        <w:rPr>
          <w:rFonts w:eastAsia="Times New Roman"/>
          <w:color w:val="000000"/>
          <w:sz w:val="20"/>
          <w:szCs w:val="20"/>
        </w:rPr>
        <w:t>•Level 2 — Inputs other than quoted prices included within Level 1 that are either directly or indirectly observable for the asset or liability, including quoted prices for similar assets or liabilities</w:t>
      </w:r>
      <w:r>
        <w:rPr>
          <w:rFonts w:eastAsia="Times New Roman"/>
          <w:color w:val="000000"/>
          <w:sz w:val="20"/>
          <w:szCs w:val="20"/>
        </w:rPr>
        <w:t xml:space="preserve"> in active markets, quoted prices for identical or </w:t>
      </w:r>
    </w:p>
    <w:p w:rsidR="00000000" w:rsidRDefault="00AC31B9">
      <w:pPr>
        <w:jc w:val="center"/>
        <w:divId w:val="763116431"/>
        <w:rPr>
          <w:rFonts w:eastAsia="Times New Roman"/>
        </w:rPr>
      </w:pPr>
      <w:r>
        <w:rPr>
          <w:rFonts w:eastAsia="Times New Roman"/>
          <w:color w:val="000000"/>
          <w:sz w:val="20"/>
          <w:szCs w:val="20"/>
        </w:rPr>
        <w:t>F-12</w:t>
      </w:r>
    </w:p>
    <w:p w:rsidR="00000000" w:rsidRDefault="00AC31B9">
      <w:pPr>
        <w:rPr>
          <w:rFonts w:eastAsia="Times New Roman"/>
        </w:rPr>
      </w:pPr>
      <w:r>
        <w:rPr>
          <w:rFonts w:eastAsia="Times New Roman"/>
        </w:rPr>
        <w:pict>
          <v:rect id="_x0000_i1130" style="width:0;height:1.5pt" o:hralign="center" o:hrstd="t" o:hr="t" fillcolor="#a0a0a0" stroked="f"/>
        </w:pict>
      </w:r>
    </w:p>
    <w:p w:rsidR="00000000" w:rsidRDefault="00AC31B9">
      <w:pPr>
        <w:divId w:val="536549386"/>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868105531"/>
        <w:rPr>
          <w:rFonts w:eastAsia="Times New Roman"/>
        </w:rPr>
      </w:pPr>
      <w:r>
        <w:rPr>
          <w:rFonts w:eastAsia="Times New Roman"/>
          <w:b/>
          <w:bCs/>
          <w:color w:val="000000"/>
          <w:sz w:val="20"/>
          <w:szCs w:val="20"/>
        </w:rPr>
        <w:t>UGI Corporation and Subsidiaries</w:t>
      </w:r>
    </w:p>
    <w:p w:rsidR="00000000" w:rsidRDefault="00AC31B9">
      <w:pPr>
        <w:divId w:val="580212040"/>
        <w:rPr>
          <w:rFonts w:eastAsia="Times New Roman"/>
        </w:rPr>
      </w:pPr>
      <w:r>
        <w:rPr>
          <w:rFonts w:eastAsia="Times New Roman"/>
          <w:b/>
          <w:bCs/>
          <w:color w:val="000000"/>
          <w:sz w:val="20"/>
          <w:szCs w:val="20"/>
        </w:rPr>
        <w:t>Notes to Consolidated Financial Statements</w:t>
      </w:r>
    </w:p>
    <w:p w:rsidR="00000000" w:rsidRDefault="00AC31B9">
      <w:pPr>
        <w:divId w:val="1296834400"/>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1449199909"/>
        <w:rPr>
          <w:rFonts w:eastAsia="Times New Roman"/>
        </w:rPr>
      </w:pPr>
      <w:r>
        <w:rPr>
          <w:rFonts w:eastAsia="Times New Roman"/>
          <w:color w:val="000000"/>
          <w:sz w:val="20"/>
          <w:szCs w:val="20"/>
        </w:rPr>
        <w:t>similar assets or liabilities in markets that are not active, inputs other than quoted prices that are observable for the asset or lia</w:t>
      </w:r>
      <w:r>
        <w:rPr>
          <w:rFonts w:eastAsia="Times New Roman"/>
          <w:color w:val="000000"/>
          <w:sz w:val="20"/>
          <w:szCs w:val="20"/>
        </w:rPr>
        <w:t>bility, and inputs that are derived from observable market data by correlation or other means.</w:t>
      </w:r>
    </w:p>
    <w:p w:rsidR="00000000" w:rsidRDefault="00AC31B9">
      <w:pPr>
        <w:ind w:hanging="360"/>
        <w:jc w:val="both"/>
        <w:divId w:val="1575428989"/>
        <w:rPr>
          <w:rFonts w:eastAsia="Times New Roman"/>
        </w:rPr>
      </w:pPr>
      <w:r>
        <w:rPr>
          <w:rFonts w:eastAsia="Times New Roman"/>
          <w:color w:val="000000"/>
          <w:sz w:val="20"/>
          <w:szCs w:val="20"/>
        </w:rPr>
        <w:t xml:space="preserve">•Level 3 — Unobservable inputs for the asset or liability including situations where there is little, if any, market activity for the asset or liability. </w:t>
      </w:r>
    </w:p>
    <w:p w:rsidR="00000000" w:rsidRDefault="00AC31B9">
      <w:pPr>
        <w:jc w:val="both"/>
        <w:divId w:val="285354587"/>
        <w:rPr>
          <w:rFonts w:eastAsia="Times New Roman"/>
        </w:rPr>
      </w:pPr>
      <w:r>
        <w:rPr>
          <w:rFonts w:eastAsia="Times New Roman"/>
          <w:color w:val="000000"/>
          <w:sz w:val="20"/>
          <w:szCs w:val="20"/>
        </w:rPr>
        <w:t>Fair v</w:t>
      </w:r>
      <w:r>
        <w:rPr>
          <w:rFonts w:eastAsia="Times New Roman"/>
          <w:color w:val="000000"/>
          <w:sz w:val="20"/>
          <w:szCs w:val="20"/>
        </w:rPr>
        <w:t>alue is based upon assumptions that market participants would use when pricing an asset or liability, including assumptions about risk and risks inherent in valuation techniques and inputs to valuations. This includes not only the credit standing of counte</w:t>
      </w:r>
      <w:r>
        <w:rPr>
          <w:rFonts w:eastAsia="Times New Roman"/>
          <w:color w:val="000000"/>
          <w:sz w:val="20"/>
          <w:szCs w:val="20"/>
        </w:rPr>
        <w:t>rparties and credit enhancements but also the impact of our own nonperformance risk on our liabilities. We evaluate the need for credit adjustments to our derivative instrument fair values. These credit adjustments were not material to the fair values of o</w:t>
      </w:r>
      <w:r>
        <w:rPr>
          <w:rFonts w:eastAsia="Times New Roman"/>
          <w:color w:val="000000"/>
          <w:sz w:val="20"/>
          <w:szCs w:val="20"/>
        </w:rPr>
        <w:t>ur derivative instruments.</w:t>
      </w:r>
    </w:p>
    <w:p w:rsidR="00000000" w:rsidRDefault="00AC31B9">
      <w:pPr>
        <w:jc w:val="both"/>
        <w:divId w:val="1787777126"/>
        <w:rPr>
          <w:rFonts w:eastAsia="Times New Roman"/>
        </w:rPr>
      </w:pPr>
      <w:r>
        <w:rPr>
          <w:rFonts w:eastAsia="Times New Roman"/>
          <w:b/>
          <w:bCs/>
          <w:color w:val="000000"/>
          <w:sz w:val="20"/>
          <w:szCs w:val="20"/>
        </w:rPr>
        <w:t>Derivative Instruments</w:t>
      </w:r>
    </w:p>
    <w:p w:rsidR="00000000" w:rsidRDefault="00AC31B9">
      <w:pPr>
        <w:jc w:val="both"/>
        <w:divId w:val="158666419"/>
        <w:rPr>
          <w:rFonts w:eastAsia="Times New Roman"/>
        </w:rPr>
      </w:pPr>
      <w:r>
        <w:rPr>
          <w:rFonts w:eastAsia="Times New Roman"/>
          <w:color w:val="000000"/>
          <w:sz w:val="20"/>
          <w:szCs w:val="20"/>
        </w:rPr>
        <w:t>Derivative instruments are reported on the Consolidated Balance Sheets at their fair values, unless the NPNS exception is elected. The accounting for changes in fair value depends upon the purpose of the de</w:t>
      </w:r>
      <w:r>
        <w:rPr>
          <w:rFonts w:eastAsia="Times New Roman"/>
          <w:color w:val="000000"/>
          <w:sz w:val="20"/>
          <w:szCs w:val="20"/>
        </w:rPr>
        <w:t>rivative instrument, whether it is subject to regulatory ratemaking mechanisms or if it qualifies and is designated as a hedge for accounting purposes.</w:t>
      </w:r>
    </w:p>
    <w:p w:rsidR="00000000" w:rsidRDefault="00AC31B9">
      <w:pPr>
        <w:jc w:val="both"/>
        <w:divId w:val="136841637"/>
        <w:rPr>
          <w:rFonts w:eastAsia="Times New Roman"/>
        </w:rPr>
      </w:pPr>
      <w:r>
        <w:rPr>
          <w:rFonts w:eastAsia="Times New Roman"/>
          <w:color w:val="000000"/>
          <w:sz w:val="20"/>
          <w:szCs w:val="20"/>
        </w:rPr>
        <w:t>Certain of our derivative instruments qualify and are designated as cash flow hedges. For cash flow hedg</w:t>
      </w:r>
      <w:r>
        <w:rPr>
          <w:rFonts w:eastAsia="Times New Roman"/>
          <w:color w:val="000000"/>
          <w:sz w:val="20"/>
          <w:szCs w:val="20"/>
        </w:rPr>
        <w:t xml:space="preserve">es, changes in the fair values of the derivative instruments are recorded in AOCI, to the extent effective at offsetting changes in the hedged item, until earnings are affected by the hedged item. We discontinue cash flow hedge accounting if occurrence of </w:t>
      </w:r>
      <w:r>
        <w:rPr>
          <w:rFonts w:eastAsia="Times New Roman"/>
          <w:color w:val="000000"/>
          <w:sz w:val="20"/>
          <w:szCs w:val="20"/>
        </w:rPr>
        <w:t>the forecasted transaction is determined to be no longer probable. Hedge accounting is also discontinued for derivatives that cease to be highly effective. We do not designate our commodity and certain foreign currency derivative instruments as hedges unde</w:t>
      </w:r>
      <w:r>
        <w:rPr>
          <w:rFonts w:eastAsia="Times New Roman"/>
          <w:color w:val="000000"/>
          <w:sz w:val="20"/>
          <w:szCs w:val="20"/>
        </w:rPr>
        <w:t>r GAAP. Changes in the fair values of these derivative instruments are reflected in net income. Gains and losses on substantially all of the commodity derivative instruments used by Utilities are included in regulatory assets or liabilities because it is p</w:t>
      </w:r>
      <w:r>
        <w:rPr>
          <w:rFonts w:eastAsia="Times New Roman"/>
          <w:color w:val="000000"/>
          <w:sz w:val="20"/>
          <w:szCs w:val="20"/>
        </w:rPr>
        <w:t xml:space="preserve">robable such gains or losses will be recoverable from, or refundable to, customers. From time to time, we also enter into net investment hedges. Gains and losses on net investment hedges that relate to our foreign operations are included in the cumulative </w:t>
      </w:r>
      <w:r>
        <w:rPr>
          <w:rFonts w:eastAsia="Times New Roman"/>
          <w:color w:val="000000"/>
          <w:sz w:val="20"/>
          <w:szCs w:val="20"/>
        </w:rPr>
        <w:t>translation adjustment component in AOCI until such foreign net investment is substantially sold or liquidated.</w:t>
      </w:r>
    </w:p>
    <w:p w:rsidR="00000000" w:rsidRDefault="00AC31B9">
      <w:pPr>
        <w:jc w:val="both"/>
        <w:divId w:val="153573009"/>
        <w:rPr>
          <w:rFonts w:eastAsia="Times New Roman"/>
        </w:rPr>
      </w:pPr>
      <w:r>
        <w:rPr>
          <w:rFonts w:eastAsia="Times New Roman"/>
          <w:color w:val="000000"/>
          <w:sz w:val="20"/>
          <w:szCs w:val="20"/>
        </w:rPr>
        <w:t>Cash flows from derivative instruments, other than certain net investment hedges, are included in cash flows from operating activities on the Co</w:t>
      </w:r>
      <w:r>
        <w:rPr>
          <w:rFonts w:eastAsia="Times New Roman"/>
          <w:color w:val="000000"/>
          <w:sz w:val="20"/>
          <w:szCs w:val="20"/>
        </w:rPr>
        <w:t>nsolidated Statements of Cash Flows. Cash flows from net investment hedges are included in cash flows from investing activities on the Consolidated Statements of Cash Flows.</w:t>
      </w:r>
    </w:p>
    <w:p w:rsidR="00000000" w:rsidRDefault="00AC31B9">
      <w:pPr>
        <w:jc w:val="both"/>
        <w:divId w:val="339476883"/>
        <w:rPr>
          <w:rFonts w:eastAsia="Times New Roman"/>
        </w:rPr>
      </w:pPr>
      <w:r>
        <w:rPr>
          <w:rFonts w:eastAsia="Times New Roman"/>
          <w:color w:val="000000"/>
          <w:sz w:val="20"/>
          <w:szCs w:val="20"/>
        </w:rPr>
        <w:t>For a more detailed description of the derivative instruments we use, our accounting for derivatives, our objectives for using them and other information, see Note 18.</w:t>
      </w:r>
    </w:p>
    <w:p w:rsidR="00000000" w:rsidRDefault="00AC31B9">
      <w:pPr>
        <w:jc w:val="both"/>
        <w:divId w:val="1707830011"/>
        <w:rPr>
          <w:rFonts w:eastAsia="Times New Roman"/>
        </w:rPr>
      </w:pPr>
      <w:r>
        <w:rPr>
          <w:rFonts w:eastAsia="Times New Roman"/>
          <w:b/>
          <w:bCs/>
          <w:color w:val="000000"/>
          <w:sz w:val="20"/>
          <w:szCs w:val="20"/>
        </w:rPr>
        <w:t>Business Combination Purchase Price Allocations</w:t>
      </w:r>
    </w:p>
    <w:p w:rsidR="00000000" w:rsidRDefault="00AC31B9">
      <w:pPr>
        <w:jc w:val="both"/>
        <w:divId w:val="895437272"/>
        <w:rPr>
          <w:rFonts w:eastAsia="Times New Roman"/>
        </w:rPr>
      </w:pPr>
      <w:r>
        <w:rPr>
          <w:rFonts w:eastAsia="Times New Roman"/>
          <w:color w:val="000000"/>
          <w:sz w:val="20"/>
          <w:szCs w:val="20"/>
        </w:rPr>
        <w:t>From time to time, the Company enters in</w:t>
      </w:r>
      <w:r>
        <w:rPr>
          <w:rFonts w:eastAsia="Times New Roman"/>
          <w:color w:val="000000"/>
          <w:sz w:val="20"/>
          <w:szCs w:val="20"/>
        </w:rPr>
        <w:t>to material business combinations. The purchase price is allocated to the various assets acquired and liabilities assumed at their estimated fair value as of the acquisition date with the residual of the purchase price allocated to goodwill. Fair values of</w:t>
      </w:r>
      <w:r>
        <w:rPr>
          <w:rFonts w:eastAsia="Times New Roman"/>
          <w:color w:val="000000"/>
          <w:sz w:val="20"/>
          <w:szCs w:val="20"/>
        </w:rPr>
        <w:t xml:space="preserve"> assets acquired and liabilities assumed are based upon available information. Estimating fair values is generally subject to significant judgment, estimates and assumptions especially with respect to intangible assets. The allocation of the purchase price</w:t>
      </w:r>
      <w:r>
        <w:rPr>
          <w:rFonts w:eastAsia="Times New Roman"/>
          <w:color w:val="000000"/>
          <w:sz w:val="20"/>
          <w:szCs w:val="20"/>
        </w:rPr>
        <w:t xml:space="preserve"> may be modified up to one year after the acquisition date, under certain circumstances, as more information is obtained about the fair value of assets acquired and liabilities assumed.</w:t>
      </w:r>
    </w:p>
    <w:p w:rsidR="00000000" w:rsidRDefault="00AC31B9">
      <w:pPr>
        <w:jc w:val="both"/>
        <w:divId w:val="223181916"/>
        <w:rPr>
          <w:rFonts w:eastAsia="Times New Roman"/>
        </w:rPr>
      </w:pPr>
      <w:r>
        <w:rPr>
          <w:rFonts w:eastAsia="Times New Roman"/>
          <w:b/>
          <w:bCs/>
          <w:color w:val="000000"/>
          <w:sz w:val="20"/>
          <w:szCs w:val="20"/>
        </w:rPr>
        <w:t>Foreign Currency Translation</w:t>
      </w:r>
    </w:p>
    <w:p w:rsidR="00000000" w:rsidRDefault="00AC31B9">
      <w:pPr>
        <w:jc w:val="both"/>
        <w:divId w:val="194277534"/>
        <w:rPr>
          <w:rFonts w:eastAsia="Times New Roman"/>
        </w:rPr>
      </w:pPr>
      <w:r>
        <w:rPr>
          <w:rFonts w:eastAsia="Times New Roman"/>
          <w:color w:val="000000"/>
          <w:sz w:val="20"/>
          <w:szCs w:val="20"/>
        </w:rPr>
        <w:t>Balance sheets of international subsidiar</w:t>
      </w:r>
      <w:r>
        <w:rPr>
          <w:rFonts w:eastAsia="Times New Roman"/>
          <w:color w:val="000000"/>
          <w:sz w:val="20"/>
          <w:szCs w:val="20"/>
        </w:rPr>
        <w:t>ies are translated into USD using the exchange rate at the balance sheet date. Income statements and equity investee results are translated into USD using an average exchange rate for each reporting period. Where the local currency is the functional curren</w:t>
      </w:r>
      <w:r>
        <w:rPr>
          <w:rFonts w:eastAsia="Times New Roman"/>
          <w:color w:val="000000"/>
          <w:sz w:val="20"/>
          <w:szCs w:val="20"/>
        </w:rPr>
        <w:t>cy, translation adjustments are recorded in other comprehensive income. Transactions denominated in currencies other than the functional currency are recorded based on exchange rates at the time such transactions arise with the impact of subsequent changes</w:t>
      </w:r>
      <w:r>
        <w:rPr>
          <w:rFonts w:eastAsia="Times New Roman"/>
          <w:color w:val="000000"/>
          <w:sz w:val="20"/>
          <w:szCs w:val="20"/>
        </w:rPr>
        <w:t xml:space="preserve"> in such rates reflected in the income statement. The functional currency of a significant portion of our international operations is the euro.</w:t>
      </w:r>
    </w:p>
    <w:p w:rsidR="00000000" w:rsidRDefault="00AC31B9">
      <w:pPr>
        <w:jc w:val="both"/>
        <w:divId w:val="176233635"/>
        <w:rPr>
          <w:rFonts w:eastAsia="Times New Roman"/>
        </w:rPr>
      </w:pPr>
      <w:r>
        <w:rPr>
          <w:rFonts w:eastAsia="Times New Roman"/>
          <w:b/>
          <w:bCs/>
          <w:color w:val="000000"/>
          <w:sz w:val="20"/>
          <w:szCs w:val="20"/>
        </w:rPr>
        <w:t>Revenue Recognition</w:t>
      </w:r>
    </w:p>
    <w:p w:rsidR="00000000" w:rsidRDefault="00AC31B9">
      <w:pPr>
        <w:jc w:val="both"/>
        <w:divId w:val="687416316"/>
        <w:rPr>
          <w:rFonts w:eastAsia="Times New Roman"/>
        </w:rPr>
      </w:pPr>
      <w:r>
        <w:rPr>
          <w:rFonts w:eastAsia="Times New Roman"/>
          <w:color w:val="000000"/>
          <w:sz w:val="20"/>
          <w:szCs w:val="20"/>
        </w:rPr>
        <w:t>In accordance with ASC 606, the Company recognizes revenue when control of promised goods or</w:t>
      </w:r>
      <w:r>
        <w:rPr>
          <w:rFonts w:eastAsia="Times New Roman"/>
          <w:color w:val="000000"/>
          <w:sz w:val="20"/>
          <w:szCs w:val="20"/>
        </w:rPr>
        <w:t xml:space="preserve"> services is transferred to customers in an amount that reflects the consideration to which we expect to be entitled in exchange for those goods or services. </w:t>
      </w:r>
    </w:p>
    <w:p w:rsidR="00000000" w:rsidRDefault="00AC31B9">
      <w:pPr>
        <w:jc w:val="center"/>
        <w:divId w:val="303974181"/>
        <w:rPr>
          <w:rFonts w:eastAsia="Times New Roman"/>
        </w:rPr>
      </w:pPr>
      <w:r>
        <w:rPr>
          <w:rFonts w:eastAsia="Times New Roman"/>
          <w:color w:val="000000"/>
          <w:sz w:val="20"/>
          <w:szCs w:val="20"/>
        </w:rPr>
        <w:t>F-13</w:t>
      </w:r>
    </w:p>
    <w:p w:rsidR="00000000" w:rsidRDefault="00AC31B9">
      <w:pPr>
        <w:rPr>
          <w:rFonts w:eastAsia="Times New Roman"/>
        </w:rPr>
      </w:pPr>
      <w:r>
        <w:rPr>
          <w:rFonts w:eastAsia="Times New Roman"/>
        </w:rPr>
        <w:pict>
          <v:rect id="_x0000_i1131" style="width:0;height:1.5pt" o:hralign="center" o:hrstd="t" o:hr="t" fillcolor="#a0a0a0" stroked="f"/>
        </w:pict>
      </w:r>
    </w:p>
    <w:p w:rsidR="00000000" w:rsidRDefault="00AC31B9">
      <w:pPr>
        <w:divId w:val="3440361"/>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559634860"/>
        <w:rPr>
          <w:rFonts w:eastAsia="Times New Roman"/>
        </w:rPr>
      </w:pPr>
      <w:r>
        <w:rPr>
          <w:rFonts w:eastAsia="Times New Roman"/>
          <w:b/>
          <w:bCs/>
          <w:color w:val="000000"/>
          <w:sz w:val="20"/>
          <w:szCs w:val="20"/>
        </w:rPr>
        <w:t>UGI Corporation and Subsidiaries</w:t>
      </w:r>
    </w:p>
    <w:p w:rsidR="00000000" w:rsidRDefault="00AC31B9">
      <w:pPr>
        <w:divId w:val="41100922"/>
        <w:rPr>
          <w:rFonts w:eastAsia="Times New Roman"/>
        </w:rPr>
      </w:pPr>
      <w:r>
        <w:rPr>
          <w:rFonts w:eastAsia="Times New Roman"/>
          <w:b/>
          <w:bCs/>
          <w:color w:val="000000"/>
          <w:sz w:val="20"/>
          <w:szCs w:val="20"/>
        </w:rPr>
        <w:t>Notes to Consolidated Financial Statements</w:t>
      </w:r>
    </w:p>
    <w:p w:rsidR="00000000" w:rsidRDefault="00AC31B9">
      <w:pPr>
        <w:divId w:val="854924216"/>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98723507"/>
        <w:rPr>
          <w:rFonts w:eastAsia="Times New Roman"/>
        </w:rPr>
      </w:pPr>
      <w:r>
        <w:rPr>
          <w:rFonts w:eastAsia="Times New Roman"/>
          <w:color w:val="000000"/>
          <w:sz w:val="20"/>
          <w:szCs w:val="20"/>
        </w:rPr>
        <w:t>Certain revenues such as revenue from leases, financial instruments and other rev</w:t>
      </w:r>
      <w:r>
        <w:rPr>
          <w:rFonts w:eastAsia="Times New Roman"/>
          <w:color w:val="000000"/>
          <w:sz w:val="20"/>
          <w:szCs w:val="20"/>
        </w:rPr>
        <w:t>enues are not within the scope of ASC 606 because they are not from contracts with customers. Such revenues are accounted for in accordance with other GAAP. Revenue-related taxes collected on behalf of customers and remitted to taxing authorities, principa</w:t>
      </w:r>
      <w:r>
        <w:rPr>
          <w:rFonts w:eastAsia="Times New Roman"/>
          <w:color w:val="000000"/>
          <w:sz w:val="20"/>
          <w:szCs w:val="20"/>
        </w:rPr>
        <w:t>lly sales and use taxes, are not included in revenues. Gross receipts taxes at Midstream &amp; Marketing, Mountaineer and Electric Utility are presented on a gross basis. The Company has elected to use the practical expedient to expense the costs to obtain con</w:t>
      </w:r>
      <w:r>
        <w:rPr>
          <w:rFonts w:eastAsia="Times New Roman"/>
          <w:color w:val="000000"/>
          <w:sz w:val="20"/>
          <w:szCs w:val="20"/>
        </w:rPr>
        <w:t>tracts when incurred for contracts that have a term less than one year. The costs incurred to obtain contracts that have durations of longer than one year are not material. See Note 4 for additional disclosures regarding the Company’s revenue from contract</w:t>
      </w:r>
      <w:r>
        <w:rPr>
          <w:rFonts w:eastAsia="Times New Roman"/>
          <w:color w:val="000000"/>
          <w:sz w:val="20"/>
          <w:szCs w:val="20"/>
        </w:rPr>
        <w:t>s with customers.</w:t>
      </w:r>
    </w:p>
    <w:p w:rsidR="00000000" w:rsidRDefault="00AC31B9">
      <w:pPr>
        <w:jc w:val="both"/>
        <w:divId w:val="213588809"/>
        <w:rPr>
          <w:rFonts w:eastAsia="Times New Roman"/>
        </w:rPr>
      </w:pPr>
      <w:r>
        <w:rPr>
          <w:rFonts w:eastAsia="Times New Roman"/>
          <w:b/>
          <w:bCs/>
          <w:color w:val="000000"/>
          <w:sz w:val="20"/>
          <w:szCs w:val="20"/>
        </w:rPr>
        <w:t>Accounts Receivable</w:t>
      </w:r>
    </w:p>
    <w:p w:rsidR="00000000" w:rsidRDefault="00AC31B9">
      <w:pPr>
        <w:jc w:val="both"/>
        <w:divId w:val="1169757543"/>
        <w:rPr>
          <w:rFonts w:eastAsia="Times New Roman"/>
        </w:rPr>
      </w:pPr>
      <w:r>
        <w:rPr>
          <w:rFonts w:eastAsia="Times New Roman"/>
          <w:color w:val="000000"/>
          <w:sz w:val="20"/>
          <w:szCs w:val="20"/>
        </w:rPr>
        <w:t xml:space="preserve">Accounts receivable are reported on the Consolidated Balance Sheets at the gross outstanding amount adjusted for an allowance for doubtful accounts. Accounts receivable that are acquired are initially recorded at fair </w:t>
      </w:r>
      <w:r>
        <w:rPr>
          <w:rFonts w:eastAsia="Times New Roman"/>
          <w:color w:val="000000"/>
          <w:sz w:val="20"/>
          <w:szCs w:val="20"/>
        </w:rPr>
        <w:t>value on the date of acquisition. Provisions for uncollectible accounts are established based upon our collection experience, the assessment of the collectability of specific amounts and the Company’s best estimate of current expected credit losses. Accoun</w:t>
      </w:r>
      <w:r>
        <w:rPr>
          <w:rFonts w:eastAsia="Times New Roman"/>
          <w:color w:val="000000"/>
          <w:sz w:val="20"/>
          <w:szCs w:val="20"/>
        </w:rPr>
        <w:t>ts receivable are written off in the period in which the receivable is deemed uncollectible.</w:t>
      </w:r>
    </w:p>
    <w:p w:rsidR="00000000" w:rsidRDefault="00AC31B9">
      <w:pPr>
        <w:jc w:val="both"/>
        <w:divId w:val="702751459"/>
        <w:rPr>
          <w:rFonts w:eastAsia="Times New Roman"/>
        </w:rPr>
      </w:pPr>
      <w:r>
        <w:rPr>
          <w:rFonts w:eastAsia="Times New Roman"/>
          <w:b/>
          <w:bCs/>
          <w:color w:val="000000"/>
          <w:sz w:val="20"/>
          <w:szCs w:val="20"/>
        </w:rPr>
        <w:t>LPG Delivery Expenses</w:t>
      </w:r>
    </w:p>
    <w:p w:rsidR="00000000" w:rsidRDefault="00AC31B9">
      <w:pPr>
        <w:jc w:val="both"/>
        <w:divId w:val="1974014679"/>
        <w:rPr>
          <w:rFonts w:eastAsia="Times New Roman"/>
        </w:rPr>
      </w:pPr>
      <w:r>
        <w:rPr>
          <w:rFonts w:eastAsia="Times New Roman"/>
          <w:color w:val="000000"/>
          <w:sz w:val="20"/>
          <w:szCs w:val="20"/>
        </w:rPr>
        <w:t>Expenses associated with the delivery of LPG to customers of the Partnership and our UGI International operations (including vehicle expenses</w:t>
      </w:r>
      <w:r>
        <w:rPr>
          <w:rFonts w:eastAsia="Times New Roman"/>
          <w:color w:val="000000"/>
          <w:sz w:val="20"/>
          <w:szCs w:val="20"/>
        </w:rPr>
        <w:t>, expenses of delivery personnel, vehicle repair and maintenance and general liability expenses) are classified as “Operating and administrative expenses” on the Consolidated Statements of Income. Depreciation expense associated with the Partnership and UG</w:t>
      </w:r>
      <w:r>
        <w:rPr>
          <w:rFonts w:eastAsia="Times New Roman"/>
          <w:color w:val="000000"/>
          <w:sz w:val="20"/>
          <w:szCs w:val="20"/>
        </w:rPr>
        <w:t>I International delivery vehicles is classified in “Depreciation and amortization” on the Consolidated Statements of Income.</w:t>
      </w:r>
    </w:p>
    <w:p w:rsidR="00000000" w:rsidRDefault="00AC31B9">
      <w:pPr>
        <w:jc w:val="both"/>
        <w:divId w:val="1532526208"/>
        <w:rPr>
          <w:rFonts w:eastAsia="Times New Roman"/>
        </w:rPr>
      </w:pPr>
      <w:r>
        <w:rPr>
          <w:rFonts w:eastAsia="Times New Roman"/>
          <w:b/>
          <w:bCs/>
          <w:color w:val="000000"/>
          <w:sz w:val="20"/>
          <w:szCs w:val="20"/>
        </w:rPr>
        <w:t>Income Taxes</w:t>
      </w:r>
    </w:p>
    <w:p w:rsidR="00000000" w:rsidRDefault="00AC31B9">
      <w:pPr>
        <w:jc w:val="both"/>
        <w:divId w:val="797184509"/>
        <w:rPr>
          <w:rFonts w:eastAsia="Times New Roman"/>
        </w:rPr>
      </w:pPr>
      <w:r>
        <w:rPr>
          <w:rFonts w:eastAsia="Times New Roman"/>
          <w:color w:val="000000"/>
          <w:sz w:val="20"/>
          <w:szCs w:val="20"/>
        </w:rPr>
        <w:t xml:space="preserve">AmeriGas Partners and AmeriGas OLP are not directly subject to federal income taxes. Instead, their taxable income or </w:t>
      </w:r>
      <w:r>
        <w:rPr>
          <w:rFonts w:eastAsia="Times New Roman"/>
          <w:color w:val="000000"/>
          <w:sz w:val="20"/>
          <w:szCs w:val="20"/>
        </w:rPr>
        <w:t>loss is allocated to the individual partners. We record income taxes on (1) our share of the Partnership’s current taxable income or loss and (2) the differences between the book and tax basis of our investment in the Partnership. AmeriGas OLP has subsidia</w:t>
      </w:r>
      <w:r>
        <w:rPr>
          <w:rFonts w:eastAsia="Times New Roman"/>
          <w:color w:val="000000"/>
          <w:sz w:val="20"/>
          <w:szCs w:val="20"/>
        </w:rPr>
        <w:t>ries which operate in corporate form and are directly subject to federal and state income taxes. Legislation in certain states allows for taxation of partnership income and the accompanying financial statements reflect state income taxes resulting from suc</w:t>
      </w:r>
      <w:r>
        <w:rPr>
          <w:rFonts w:eastAsia="Times New Roman"/>
          <w:color w:val="000000"/>
          <w:sz w:val="20"/>
          <w:szCs w:val="20"/>
        </w:rPr>
        <w:t xml:space="preserve">h legislation.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Utilities records deferred income taxes in the Consolidated Statements of Income resulting from the use of accelerated tax depreciation methods based upon amounts recognized for ratemaking purposes. Utilities also records a deferred incom</w:t>
      </w:r>
      <w:r>
        <w:rPr>
          <w:rFonts w:eastAsia="Times New Roman"/>
          <w:color w:val="000000"/>
          <w:sz w:val="20"/>
          <w:szCs w:val="20"/>
        </w:rPr>
        <w:t>e tax liability for tax benefits, principally the result of accelerated tax depreciation for state income tax purposes, that are flowed through to ratepayers when temporary differences originate and records a regulatory income tax asset for the probable in</w:t>
      </w:r>
      <w:r>
        <w:rPr>
          <w:rFonts w:eastAsia="Times New Roman"/>
          <w:color w:val="000000"/>
          <w:sz w:val="20"/>
          <w:szCs w:val="20"/>
        </w:rPr>
        <w:t>crease in future revenues that will result when the temporary differences reverse.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 are amortizing deferred investment tax credits related to UGI Utilities’ plant additions over the service lives of the related property. UGI Utilities reduces its defer</w:t>
      </w:r>
      <w:r>
        <w:rPr>
          <w:rFonts w:eastAsia="Times New Roman"/>
          <w:color w:val="000000"/>
          <w:sz w:val="20"/>
          <w:szCs w:val="20"/>
        </w:rPr>
        <w:t xml:space="preserve">red income tax liability for the future tax benefits that will occur when investment tax credits, which are not taxable, are amortized. We also reduce the regulatory income tax asset for the probable reduction in future revenues that will result when such </w:t>
      </w:r>
      <w:r>
        <w:rPr>
          <w:rFonts w:eastAsia="Times New Roman"/>
          <w:color w:val="000000"/>
          <w:sz w:val="20"/>
          <w:szCs w:val="20"/>
        </w:rPr>
        <w:t>deferred investment tax credits amortize. Investment tax credits associated with Midstream &amp; Marketing’s qualifying renewable natural gas property under the Inflation Reduction Act of 2022 are reflected in income taxes.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 record interest on underpayment</w:t>
      </w:r>
      <w:r>
        <w:rPr>
          <w:rFonts w:eastAsia="Times New Roman"/>
          <w:color w:val="000000"/>
          <w:sz w:val="20"/>
          <w:szCs w:val="20"/>
        </w:rPr>
        <w:t xml:space="preserve">s and overpayments of income taxes, and income tax penalties, in “Income tax benefit (expense)” on the Consolidated Statements of Income. Interest income or expense recognized was not material for all periods presented. </w:t>
      </w:r>
    </w:p>
    <w:p w:rsidR="00000000" w:rsidRDefault="00AC31B9">
      <w:pPr>
        <w:jc w:val="center"/>
        <w:divId w:val="377709461"/>
        <w:rPr>
          <w:rFonts w:eastAsia="Times New Roman"/>
        </w:rPr>
      </w:pPr>
      <w:r>
        <w:rPr>
          <w:rFonts w:eastAsia="Times New Roman"/>
          <w:color w:val="000000"/>
          <w:sz w:val="20"/>
          <w:szCs w:val="20"/>
        </w:rPr>
        <w:t>F-14</w:t>
      </w:r>
    </w:p>
    <w:p w:rsidR="00000000" w:rsidRDefault="00AC31B9">
      <w:pPr>
        <w:rPr>
          <w:rFonts w:eastAsia="Times New Roman"/>
        </w:rPr>
      </w:pPr>
      <w:r>
        <w:rPr>
          <w:rFonts w:eastAsia="Times New Roman"/>
        </w:rPr>
        <w:pict>
          <v:rect id="_x0000_i1132" style="width:0;height:1.5pt" o:hralign="center" o:hrstd="t" o:hr="t" fillcolor="#a0a0a0" stroked="f"/>
        </w:pict>
      </w:r>
    </w:p>
    <w:p w:rsidR="00000000" w:rsidRDefault="00AC31B9">
      <w:pPr>
        <w:divId w:val="404188042"/>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714625741"/>
        <w:rPr>
          <w:rFonts w:eastAsia="Times New Roman"/>
        </w:rPr>
      </w:pPr>
      <w:r>
        <w:rPr>
          <w:rFonts w:eastAsia="Times New Roman"/>
          <w:b/>
          <w:bCs/>
          <w:color w:val="000000"/>
          <w:sz w:val="20"/>
          <w:szCs w:val="20"/>
        </w:rPr>
        <w:t>UGI Corporation and Subsidiaries</w:t>
      </w:r>
    </w:p>
    <w:p w:rsidR="00000000" w:rsidRDefault="00AC31B9">
      <w:pPr>
        <w:divId w:val="868880358"/>
        <w:rPr>
          <w:rFonts w:eastAsia="Times New Roman"/>
        </w:rPr>
      </w:pPr>
      <w:r>
        <w:rPr>
          <w:rFonts w:eastAsia="Times New Roman"/>
          <w:b/>
          <w:bCs/>
          <w:color w:val="000000"/>
          <w:sz w:val="20"/>
          <w:szCs w:val="20"/>
        </w:rPr>
        <w:t>Notes to Consolidated Financial Statements</w:t>
      </w:r>
    </w:p>
    <w:p w:rsidR="00000000" w:rsidRDefault="00AC31B9">
      <w:pPr>
        <w:divId w:val="2076705961"/>
        <w:rPr>
          <w:rFonts w:eastAsia="Times New Roman"/>
        </w:rPr>
      </w:pPr>
      <w:r>
        <w:rPr>
          <w:rFonts w:eastAsia="Times New Roman"/>
          <w:color w:val="000000"/>
          <w:sz w:val="20"/>
          <w:szCs w:val="20"/>
        </w:rPr>
        <w:t xml:space="preserve">(Currency in millions, except per </w:t>
      </w:r>
      <w:r>
        <w:rPr>
          <w:rFonts w:eastAsia="Times New Roman"/>
          <w:color w:val="000000"/>
          <w:sz w:val="20"/>
          <w:szCs w:val="20"/>
        </w:rPr>
        <w:t>share amounts and where indicated otherwise)</w:t>
      </w:r>
    </w:p>
    <w:p w:rsidR="00000000" w:rsidRDefault="00AC31B9">
      <w:pPr>
        <w:jc w:val="both"/>
        <w:divId w:val="999042971"/>
        <w:rPr>
          <w:rFonts w:eastAsia="Times New Roman"/>
        </w:rPr>
      </w:pPr>
      <w:r>
        <w:rPr>
          <w:rFonts w:eastAsia="Times New Roman"/>
          <w:b/>
          <w:bCs/>
          <w:color w:val="000000"/>
          <w:sz w:val="20"/>
          <w:szCs w:val="20"/>
        </w:rPr>
        <w:t>Earnings Per Common Share</w:t>
      </w:r>
    </w:p>
    <w:p w:rsidR="00000000" w:rsidRDefault="00AC31B9">
      <w:pPr>
        <w:jc w:val="both"/>
        <w:divId w:val="1505510236"/>
        <w:rPr>
          <w:rFonts w:eastAsia="Times New Roman"/>
        </w:rPr>
      </w:pPr>
      <w:r>
        <w:rPr>
          <w:rFonts w:eastAsia="Times New Roman"/>
          <w:color w:val="000000"/>
          <w:sz w:val="20"/>
          <w:szCs w:val="20"/>
        </w:rPr>
        <w:t>Basic earnings per share attributable to UGI Corporation stockholders reflect the weighted-average number of common shares outstanding. Diluted earnings per share attributable to UGI Co</w:t>
      </w:r>
      <w:r>
        <w:rPr>
          <w:rFonts w:eastAsia="Times New Roman"/>
          <w:color w:val="000000"/>
          <w:sz w:val="20"/>
          <w:szCs w:val="20"/>
        </w:rPr>
        <w:t>rporation include the effects of dilutive stock options, common stock awards and Equity Units. Shares used in computing basic and diluted earnings per share are as follows:</w:t>
      </w:r>
    </w:p>
    <w:tbl>
      <w:tblPr>
        <w:tblW w:w="5000" w:type="pct"/>
        <w:tblCellMar>
          <w:top w:w="15" w:type="dxa"/>
          <w:left w:w="15" w:type="dxa"/>
          <w:bottom w:w="15" w:type="dxa"/>
          <w:right w:w="15" w:type="dxa"/>
        </w:tblCellMar>
        <w:tblLook w:val="04A0" w:firstRow="1" w:lastRow="0" w:firstColumn="1" w:lastColumn="0" w:noHBand="0" w:noVBand="1"/>
      </w:tblPr>
      <w:tblGrid>
        <w:gridCol w:w="58"/>
        <w:gridCol w:w="5095"/>
        <w:gridCol w:w="37"/>
        <w:gridCol w:w="36"/>
        <w:gridCol w:w="36"/>
        <w:gridCol w:w="36"/>
        <w:gridCol w:w="63"/>
        <w:gridCol w:w="831"/>
        <w:gridCol w:w="36"/>
        <w:gridCol w:w="36"/>
        <w:gridCol w:w="36"/>
        <w:gridCol w:w="36"/>
        <w:gridCol w:w="63"/>
        <w:gridCol w:w="831"/>
        <w:gridCol w:w="36"/>
        <w:gridCol w:w="36"/>
        <w:gridCol w:w="36"/>
        <w:gridCol w:w="36"/>
        <w:gridCol w:w="63"/>
        <w:gridCol w:w="833"/>
        <w:gridCol w:w="36"/>
      </w:tblGrid>
      <w:tr w:rsidR="00000000">
        <w:trPr>
          <w:divId w:val="1259018463"/>
        </w:trPr>
        <w:tc>
          <w:tcPr>
            <w:tcW w:w="50" w:type="pct"/>
            <w:vAlign w:val="center"/>
            <w:hideMark/>
          </w:tcPr>
          <w:p w:rsidR="00000000" w:rsidRDefault="00AC31B9">
            <w:pPr>
              <w:jc w:val="both"/>
              <w:rPr>
                <w:rFonts w:eastAsia="Times New Roman"/>
              </w:rPr>
            </w:pPr>
          </w:p>
        </w:tc>
        <w:tc>
          <w:tcPr>
            <w:tcW w:w="308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259018463"/>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(Thousands of shares)</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r>
      <w:tr w:rsidR="00000000">
        <w:trPr>
          <w:divId w:val="125901846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Weighted-average common shares outstanding for basic computation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209,806 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209,940 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209,063 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59018463"/>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Incremental shares issuable for stock options, common stock awards and Equity Units (a) (b)</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5,881 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3,063 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59018463"/>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Weighted-average common shares outstanding for diluted computation</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209,806 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215,821 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212,126 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both"/>
        <w:rPr>
          <w:rFonts w:eastAsia="Times New Roman"/>
        </w:rPr>
      </w:pPr>
    </w:p>
    <w:p w:rsidR="00000000" w:rsidRDefault="00AC31B9">
      <w:pPr>
        <w:ind w:hanging="360"/>
        <w:jc w:val="both"/>
        <w:rPr>
          <w:rFonts w:eastAsia="Times New Roman"/>
        </w:rPr>
      </w:pPr>
      <w:r>
        <w:rPr>
          <w:rFonts w:eastAsia="Times New Roman"/>
          <w:color w:val="000000"/>
          <w:sz w:val="20"/>
          <w:szCs w:val="20"/>
        </w:rPr>
        <w:t>(a)Includes the impact of common shares assumed to be outstanding under the if-converted method in connection with the May 2021 issuance of Equity Units (see Note 13).</w:t>
      </w:r>
    </w:p>
    <w:p w:rsidR="00000000" w:rsidRDefault="00AC31B9">
      <w:pPr>
        <w:ind w:hanging="360"/>
        <w:jc w:val="both"/>
        <w:rPr>
          <w:rFonts w:eastAsia="Times New Roman"/>
        </w:rPr>
      </w:pPr>
      <w:r>
        <w:rPr>
          <w:rFonts w:eastAsia="Times New Roman"/>
          <w:color w:val="000000"/>
          <w:sz w:val="20"/>
          <w:szCs w:val="20"/>
        </w:rPr>
        <w:t>(b)For Fisc</w:t>
      </w:r>
      <w:r>
        <w:rPr>
          <w:rFonts w:eastAsia="Times New Roman"/>
          <w:color w:val="000000"/>
          <w:sz w:val="20"/>
          <w:szCs w:val="20"/>
        </w:rPr>
        <w:t>al 2023, 6,132 of such shares have been excluded as such incremental shares would be antidilutive due to the net loss for the period. For Fiscal 2022 and Fiscal 2021, 8,138 shares and 5,267 shares, respectively, associated with outstanding stock option awa</w:t>
      </w:r>
      <w:r>
        <w:rPr>
          <w:rFonts w:eastAsia="Times New Roman"/>
          <w:color w:val="000000"/>
          <w:sz w:val="20"/>
          <w:szCs w:val="20"/>
        </w:rPr>
        <w:t xml:space="preserve">rds were excluded from the computation of diluted earnings per share because their effect was antidilutive. </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Cash, Cash Equivalents and Restricted Cash</w:t>
      </w:r>
    </w:p>
    <w:p w:rsidR="00000000" w:rsidRDefault="00AC31B9">
      <w:pPr>
        <w:jc w:val="both"/>
        <w:divId w:val="942346714"/>
        <w:rPr>
          <w:rFonts w:eastAsia="Times New Roman"/>
        </w:rPr>
      </w:pPr>
      <w:r>
        <w:rPr>
          <w:rFonts w:eastAsia="Times New Roman"/>
          <w:color w:val="000000"/>
          <w:sz w:val="20"/>
          <w:szCs w:val="20"/>
        </w:rPr>
        <w:t>Cash and cash equivalents include cash on hand, cash in banks and highly liquid investments with matur</w:t>
      </w:r>
      <w:r>
        <w:rPr>
          <w:rFonts w:eastAsia="Times New Roman"/>
          <w:color w:val="000000"/>
          <w:sz w:val="20"/>
          <w:szCs w:val="20"/>
        </w:rPr>
        <w:t xml:space="preserve">ities of three months or less when purchased. Restricted cash principally represents those cash balances in our commodity futures brokerage accounts that are restricted from withdrawal. </w:t>
      </w:r>
    </w:p>
    <w:p w:rsidR="00000000" w:rsidRDefault="00AC31B9">
      <w:pPr>
        <w:jc w:val="both"/>
        <w:divId w:val="1761096218"/>
        <w:rPr>
          <w:rFonts w:eastAsia="Times New Roman"/>
        </w:rPr>
      </w:pPr>
      <w:r>
        <w:rPr>
          <w:rFonts w:eastAsia="Times New Roman"/>
          <w:color w:val="000000"/>
          <w:sz w:val="20"/>
          <w:szCs w:val="20"/>
        </w:rPr>
        <w:t>The following table provides a reconciliation of the total cash, cash equivalents and restricted cash reported on the Consolidated Balance Sheets to the corresponding amounts reported on the Consolidated Statements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024"/>
        <w:gridCol w:w="36"/>
        <w:gridCol w:w="36"/>
        <w:gridCol w:w="36"/>
        <w:gridCol w:w="36"/>
        <w:gridCol w:w="120"/>
        <w:gridCol w:w="781"/>
        <w:gridCol w:w="36"/>
        <w:gridCol w:w="36"/>
        <w:gridCol w:w="36"/>
        <w:gridCol w:w="36"/>
        <w:gridCol w:w="120"/>
        <w:gridCol w:w="781"/>
        <w:gridCol w:w="36"/>
        <w:gridCol w:w="36"/>
        <w:gridCol w:w="36"/>
        <w:gridCol w:w="36"/>
        <w:gridCol w:w="120"/>
        <w:gridCol w:w="783"/>
        <w:gridCol w:w="36"/>
        <w:gridCol w:w="36"/>
        <w:gridCol w:w="36"/>
      </w:tblGrid>
      <w:tr w:rsidR="00000000">
        <w:trPr>
          <w:divId w:val="445854831"/>
          <w:jc w:val="center"/>
        </w:trPr>
        <w:tc>
          <w:tcPr>
            <w:tcW w:w="50" w:type="pct"/>
            <w:vAlign w:val="center"/>
            <w:hideMark/>
          </w:tcPr>
          <w:p w:rsidR="00000000" w:rsidRDefault="00AC31B9">
            <w:pPr>
              <w:jc w:val="both"/>
              <w:rPr>
                <w:rFonts w:eastAsia="Times New Roman"/>
              </w:rPr>
            </w:pPr>
          </w:p>
        </w:tc>
        <w:tc>
          <w:tcPr>
            <w:tcW w:w="308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445854831"/>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c>
          <w:tcPr>
            <w:tcW w:w="0" w:type="auto"/>
            <w:vAlign w:val="center"/>
            <w:hideMark/>
          </w:tcPr>
          <w:p w:rsidR="00000000" w:rsidRDefault="00AC31B9">
            <w:pPr>
              <w:spacing w:after="100"/>
              <w:jc w:val="center"/>
              <w:rPr>
                <w:rFonts w:eastAsia="Times New Roman"/>
              </w:rPr>
            </w:pPr>
          </w:p>
        </w:tc>
        <w:tc>
          <w:tcPr>
            <w:tcW w:w="0" w:type="auto"/>
            <w:vAlign w:val="center"/>
            <w:hideMark/>
          </w:tcPr>
          <w:p w:rsidR="00000000" w:rsidRDefault="00AC31B9">
            <w:pPr>
              <w:spacing w:after="100"/>
              <w:rPr>
                <w:rFonts w:eastAsia="Times New Roman"/>
                <w:sz w:val="20"/>
                <w:szCs w:val="20"/>
              </w:rPr>
            </w:pPr>
          </w:p>
        </w:tc>
      </w:tr>
      <w:tr w:rsidR="00000000">
        <w:trPr>
          <w:divId w:val="445854831"/>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445854831"/>
          <w:jc w:val="center"/>
        </w:trPr>
        <w:tc>
          <w:tcPr>
            <w:tcW w:w="0" w:type="auto"/>
            <w:gridSpan w:val="3"/>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Restricted cash</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99 </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64 </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22 </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445854831"/>
          <w:jc w:val="center"/>
        </w:trPr>
        <w:tc>
          <w:tcPr>
            <w:tcW w:w="0" w:type="auto"/>
            <w:gridSpan w:val="3"/>
            <w:shd w:val="clear" w:color="auto" w:fill="CCEEFF"/>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bl>
    <w:p w:rsidR="00000000" w:rsidRDefault="00AC31B9">
      <w:pPr>
        <w:jc w:val="both"/>
        <w:divId w:val="669451367"/>
        <w:rPr>
          <w:rFonts w:eastAsia="Times New Roman"/>
        </w:rPr>
      </w:pPr>
      <w:r>
        <w:rPr>
          <w:rFonts w:eastAsia="Times New Roman"/>
          <w:b/>
          <w:bCs/>
          <w:color w:val="000000"/>
          <w:sz w:val="20"/>
          <w:szCs w:val="20"/>
        </w:rPr>
        <w:t>Inventories</w:t>
      </w:r>
    </w:p>
    <w:p w:rsidR="00000000" w:rsidRDefault="00AC31B9">
      <w:pPr>
        <w:jc w:val="both"/>
        <w:divId w:val="2051227354"/>
        <w:rPr>
          <w:rFonts w:eastAsia="Times New Roman"/>
        </w:rPr>
      </w:pPr>
      <w:r>
        <w:rPr>
          <w:rFonts w:eastAsia="Times New Roman"/>
          <w:color w:val="000000"/>
          <w:sz w:val="20"/>
          <w:szCs w:val="20"/>
        </w:rPr>
        <w:t>Our inventories are stated at the lower of cost or net realizable value. We determine cost using an average cost method for non-utility LPG an</w:t>
      </w:r>
      <w:r>
        <w:rPr>
          <w:rFonts w:eastAsia="Times New Roman"/>
          <w:color w:val="000000"/>
          <w:sz w:val="20"/>
          <w:szCs w:val="20"/>
        </w:rPr>
        <w:t>d natural gas and utility inventories; specific identification for appliances; and the FIFO method for all other inventories.</w:t>
      </w:r>
    </w:p>
    <w:p w:rsidR="00000000" w:rsidRDefault="00AC31B9">
      <w:pPr>
        <w:jc w:val="both"/>
        <w:divId w:val="1227495212"/>
        <w:rPr>
          <w:rFonts w:eastAsia="Times New Roman"/>
        </w:rPr>
      </w:pPr>
      <w:r>
        <w:rPr>
          <w:rFonts w:eastAsia="Times New Roman"/>
          <w:color w:val="000000"/>
          <w:sz w:val="20"/>
          <w:szCs w:val="20"/>
        </w:rPr>
        <w:t>The Company accounts for renewable energy certificates as inventory, which generally represents costs incurred to generate a certificate for sale. The Company recognizes revenue from the sale of renewable energy certificates when control of the certificate</w:t>
      </w:r>
      <w:r>
        <w:rPr>
          <w:rFonts w:eastAsia="Times New Roman"/>
          <w:color w:val="000000"/>
          <w:sz w:val="20"/>
          <w:szCs w:val="20"/>
        </w:rPr>
        <w:t xml:space="preserve"> is transferred to the buyer, and the cost of the certificate, if any, is then recorded within “Cost of sales” on the Consolidated Statements of Income.</w:t>
      </w:r>
    </w:p>
    <w:p w:rsidR="00000000" w:rsidRDefault="00AC31B9">
      <w:pPr>
        <w:jc w:val="both"/>
        <w:divId w:val="42220511"/>
        <w:rPr>
          <w:rFonts w:eastAsia="Times New Roman"/>
        </w:rPr>
      </w:pPr>
      <w:r>
        <w:rPr>
          <w:rFonts w:eastAsia="Times New Roman"/>
          <w:b/>
          <w:bCs/>
          <w:color w:val="000000"/>
          <w:sz w:val="20"/>
          <w:szCs w:val="20"/>
        </w:rPr>
        <w:t>Property, Plant and Equipment and Related Depreciation</w:t>
      </w:r>
    </w:p>
    <w:p w:rsidR="00000000" w:rsidRDefault="00AC31B9">
      <w:pPr>
        <w:jc w:val="both"/>
        <w:divId w:val="2082554732"/>
        <w:rPr>
          <w:rFonts w:eastAsia="Times New Roman"/>
        </w:rPr>
      </w:pPr>
      <w:r>
        <w:rPr>
          <w:rFonts w:eastAsia="Times New Roman"/>
          <w:color w:val="000000"/>
          <w:sz w:val="20"/>
          <w:szCs w:val="20"/>
        </w:rPr>
        <w:t>We record property, plant and equipment at the l</w:t>
      </w:r>
      <w:r>
        <w:rPr>
          <w:rFonts w:eastAsia="Times New Roman"/>
          <w:color w:val="000000"/>
          <w:sz w:val="20"/>
          <w:szCs w:val="20"/>
        </w:rPr>
        <w:t>ower of original cost or fair value, if impaired. Capitalized costs include labor, materials and other direct and indirect costs, and for certain operations subject to cost-of-service rate regulation, AFUDC. We also include in property, plant and equipment</w:t>
      </w:r>
      <w:r>
        <w:rPr>
          <w:rFonts w:eastAsia="Times New Roman"/>
          <w:color w:val="000000"/>
          <w:sz w:val="20"/>
          <w:szCs w:val="20"/>
        </w:rPr>
        <w:t xml:space="preserve"> costs associated with computer software we develop or obtain for use in our businesses. The amounts assigned to property, plant and equipment of acquired businesses are based upon estimated fair value at date of acquisition. When we retire or otherwise di</w:t>
      </w:r>
      <w:r>
        <w:rPr>
          <w:rFonts w:eastAsia="Times New Roman"/>
          <w:color w:val="000000"/>
          <w:sz w:val="20"/>
          <w:szCs w:val="20"/>
        </w:rPr>
        <w:t>spose of non-utility plant and equipment, we eliminate the associated cost and accumulated depreciation and recognize any resulting gain or loss in "Other operating income, net" on the Consolidated Statements of Income. For property subject to cost of serv</w:t>
      </w:r>
      <w:r>
        <w:rPr>
          <w:rFonts w:eastAsia="Times New Roman"/>
          <w:color w:val="000000"/>
          <w:sz w:val="20"/>
          <w:szCs w:val="20"/>
        </w:rPr>
        <w:t>ice rate regulation, upon retirement we charge the original cost to accumulated depreciation for financial accounting purposes. Costs incurred to retire UGI Utilities plant and equipment, net of salvage, are recorded in regulatory assets and amortized over</w:t>
      </w:r>
      <w:r>
        <w:rPr>
          <w:rFonts w:eastAsia="Times New Roman"/>
          <w:color w:val="000000"/>
          <w:sz w:val="20"/>
          <w:szCs w:val="20"/>
        </w:rPr>
        <w:t xml:space="preserve"> five years, consistent with prior ratemaking treatment.</w:t>
      </w:r>
    </w:p>
    <w:p w:rsidR="00000000" w:rsidRDefault="00AC31B9">
      <w:pPr>
        <w:jc w:val="center"/>
        <w:divId w:val="700209602"/>
        <w:rPr>
          <w:rFonts w:eastAsia="Times New Roman"/>
        </w:rPr>
      </w:pPr>
      <w:r>
        <w:rPr>
          <w:rFonts w:eastAsia="Times New Roman"/>
          <w:color w:val="000000"/>
          <w:sz w:val="20"/>
          <w:szCs w:val="20"/>
        </w:rPr>
        <w:t>F-15</w:t>
      </w:r>
    </w:p>
    <w:p w:rsidR="00000000" w:rsidRDefault="00AC31B9">
      <w:pPr>
        <w:rPr>
          <w:rFonts w:eastAsia="Times New Roman"/>
        </w:rPr>
      </w:pPr>
      <w:r>
        <w:rPr>
          <w:rFonts w:eastAsia="Times New Roman"/>
        </w:rPr>
        <w:pict>
          <v:rect id="_x0000_i1133" style="width:0;height:1.5pt" o:hralign="center" o:hrstd="t" o:hr="t" fillcolor="#a0a0a0" stroked="f"/>
        </w:pict>
      </w:r>
    </w:p>
    <w:p w:rsidR="00000000" w:rsidRDefault="00AC31B9">
      <w:pPr>
        <w:divId w:val="237860876"/>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16027142"/>
        <w:rPr>
          <w:rFonts w:eastAsia="Times New Roman"/>
        </w:rPr>
      </w:pPr>
      <w:r>
        <w:rPr>
          <w:rFonts w:eastAsia="Times New Roman"/>
          <w:b/>
          <w:bCs/>
          <w:color w:val="000000"/>
          <w:sz w:val="20"/>
          <w:szCs w:val="20"/>
        </w:rPr>
        <w:t>UGI Corporation and Subsidiaries</w:t>
      </w:r>
    </w:p>
    <w:p w:rsidR="00000000" w:rsidRDefault="00AC31B9">
      <w:pPr>
        <w:divId w:val="1916932872"/>
        <w:rPr>
          <w:rFonts w:eastAsia="Times New Roman"/>
        </w:rPr>
      </w:pPr>
      <w:r>
        <w:rPr>
          <w:rFonts w:eastAsia="Times New Roman"/>
          <w:b/>
          <w:bCs/>
          <w:color w:val="000000"/>
          <w:sz w:val="20"/>
          <w:szCs w:val="20"/>
        </w:rPr>
        <w:t>Notes to Consolidated Financial Statements</w:t>
      </w:r>
    </w:p>
    <w:p w:rsidR="00000000" w:rsidRDefault="00AC31B9">
      <w:pPr>
        <w:divId w:val="806094256"/>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730275887"/>
        <w:rPr>
          <w:rFonts w:eastAsia="Times New Roman"/>
        </w:rPr>
      </w:pPr>
      <w:r>
        <w:rPr>
          <w:rFonts w:eastAsia="Times New Roman"/>
          <w:color w:val="000000"/>
          <w:sz w:val="20"/>
          <w:szCs w:val="20"/>
        </w:rPr>
        <w:t>We record depreciation expense on non-utility plant and equipment on a straight-line basis over estimated economic useful lives. We re</w:t>
      </w:r>
      <w:r>
        <w:rPr>
          <w:rFonts w:eastAsia="Times New Roman"/>
          <w:color w:val="000000"/>
          <w:sz w:val="20"/>
          <w:szCs w:val="20"/>
        </w:rPr>
        <w:t>cord depreciation expense for Utilities’ plant and equipment on a straight-line basis based upon the projected service lives of the various classes of its depreciable property. We classify amortization of computer software and related IT system installatio</w:t>
      </w:r>
      <w:r>
        <w:rPr>
          <w:rFonts w:eastAsia="Times New Roman"/>
          <w:color w:val="000000"/>
          <w:sz w:val="20"/>
          <w:szCs w:val="20"/>
        </w:rPr>
        <w:t>n costs included in property, plant and equipment as depreciation expense. No depreciation expense is included in cost of sales on the Consolidated Statements of Income.</w:t>
      </w:r>
    </w:p>
    <w:p w:rsidR="00000000" w:rsidRDefault="00AC31B9">
      <w:pPr>
        <w:jc w:val="both"/>
        <w:divId w:val="868908742"/>
        <w:rPr>
          <w:rFonts w:eastAsia="Times New Roman"/>
        </w:rPr>
      </w:pPr>
      <w:r>
        <w:rPr>
          <w:rFonts w:eastAsia="Times New Roman"/>
          <w:b/>
          <w:bCs/>
          <w:color w:val="000000"/>
          <w:sz w:val="20"/>
          <w:szCs w:val="20"/>
        </w:rPr>
        <w:t>Goodwill and Intangible Assets</w:t>
      </w:r>
    </w:p>
    <w:p w:rsidR="00000000" w:rsidRDefault="00AC31B9">
      <w:pPr>
        <w:jc w:val="both"/>
        <w:divId w:val="304511656"/>
        <w:rPr>
          <w:rFonts w:eastAsia="Times New Roman"/>
        </w:rPr>
      </w:pPr>
      <w:r>
        <w:rPr>
          <w:rFonts w:eastAsia="Times New Roman"/>
          <w:b/>
          <w:bCs/>
          <w:i/>
          <w:iCs/>
          <w:color w:val="000000"/>
          <w:sz w:val="20"/>
          <w:szCs w:val="20"/>
        </w:rPr>
        <w:t>Intangible Assets.</w:t>
      </w:r>
      <w:r>
        <w:rPr>
          <w:rFonts w:eastAsia="Times New Roman"/>
          <w:color w:val="000000"/>
          <w:sz w:val="20"/>
          <w:szCs w:val="20"/>
        </w:rPr>
        <w:t xml:space="preserve"> We amortize intangible assets over t</w:t>
      </w:r>
      <w:r>
        <w:rPr>
          <w:rFonts w:eastAsia="Times New Roman"/>
          <w:color w:val="000000"/>
          <w:sz w:val="20"/>
          <w:szCs w:val="20"/>
        </w:rPr>
        <w:t>heir estimated useful lives unless we determine their lives to be indefinite. Estimated useful lives of definite-lived intangible assets, primarily consisting of customer relationships. We test definite-lived intangible assets for impairment whenever event</w:t>
      </w:r>
      <w:r>
        <w:rPr>
          <w:rFonts w:eastAsia="Times New Roman"/>
          <w:color w:val="000000"/>
          <w:sz w:val="20"/>
          <w:szCs w:val="20"/>
        </w:rPr>
        <w:t>s or changes in circumstances indicate that the associated carrying amounts may be impaired. Determining whether an impairment loss occurred requires comparing the carrying amount to the estimated fair value of the asset in accordance with ASC 820. Intangi</w:t>
      </w:r>
      <w:r>
        <w:rPr>
          <w:rFonts w:eastAsia="Times New Roman"/>
          <w:color w:val="000000"/>
          <w:sz w:val="20"/>
          <w:szCs w:val="20"/>
        </w:rPr>
        <w:t>ble assets with indefinite lives are not amortized but are tested for impairment annually (and more frequently if events or changes in circumstances between annual tests indicate that it is more likely than not that they are impaired) and written down to f</w:t>
      </w:r>
      <w:r>
        <w:rPr>
          <w:rFonts w:eastAsia="Times New Roman"/>
          <w:color w:val="000000"/>
          <w:sz w:val="20"/>
          <w:szCs w:val="20"/>
        </w:rPr>
        <w:t>air value, if impaired. See Note 12 for additional information related to intangible asset impairments recognized in Fiscal 2023 and Fiscal 2021.</w:t>
      </w:r>
    </w:p>
    <w:p w:rsidR="00000000" w:rsidRDefault="00AC31B9">
      <w:pPr>
        <w:jc w:val="both"/>
        <w:divId w:val="444426488"/>
        <w:rPr>
          <w:rFonts w:eastAsia="Times New Roman"/>
        </w:rPr>
      </w:pPr>
      <w:r>
        <w:rPr>
          <w:rFonts w:eastAsia="Times New Roman"/>
          <w:b/>
          <w:bCs/>
          <w:i/>
          <w:iCs/>
          <w:color w:val="000000"/>
          <w:sz w:val="20"/>
          <w:szCs w:val="20"/>
        </w:rPr>
        <w:t>Goodwill.</w:t>
      </w:r>
      <w:r>
        <w:rPr>
          <w:rFonts w:eastAsia="Times New Roman"/>
          <w:color w:val="000000"/>
          <w:sz w:val="20"/>
          <w:szCs w:val="20"/>
        </w:rPr>
        <w:t xml:space="preserve"> We do not amortize goodwill, but test it at least annually for impairment at the reporting unit leve</w:t>
      </w:r>
      <w:r>
        <w:rPr>
          <w:rFonts w:eastAsia="Times New Roman"/>
          <w:color w:val="000000"/>
          <w:sz w:val="20"/>
          <w:szCs w:val="20"/>
        </w:rPr>
        <w:t>l. A reporting unit is an operating segment, or one level below an operating segment (a component) if it constitutes a business for which discrete financial information is available and regularly reviewed by segment management. Components are aggregated in</w:t>
      </w:r>
      <w:r>
        <w:rPr>
          <w:rFonts w:eastAsia="Times New Roman"/>
          <w:color w:val="000000"/>
          <w:sz w:val="20"/>
          <w:szCs w:val="20"/>
        </w:rPr>
        <w:t>to a single reporting unit if they have similar economic characteristics. Each of our reporting units with goodwill is required to perform impairment tests annually or whenever events or circumstances indicate that the value of goodwill may be impaired.</w:t>
      </w:r>
    </w:p>
    <w:p w:rsidR="00000000" w:rsidRDefault="00AC31B9">
      <w:pPr>
        <w:jc w:val="both"/>
        <w:divId w:val="395786703"/>
        <w:rPr>
          <w:rFonts w:eastAsia="Times New Roman"/>
        </w:rPr>
      </w:pPr>
      <w:r>
        <w:rPr>
          <w:rFonts w:eastAsia="Times New Roman"/>
          <w:color w:val="000000"/>
          <w:sz w:val="20"/>
          <w:szCs w:val="20"/>
        </w:rPr>
        <w:t>Fo</w:t>
      </w:r>
      <w:r>
        <w:rPr>
          <w:rFonts w:eastAsia="Times New Roman"/>
          <w:color w:val="000000"/>
          <w:sz w:val="20"/>
          <w:szCs w:val="20"/>
        </w:rPr>
        <w:t>r certain of our reporting units with goodwill, we assess qualitative factors to determine whether it is more likely than not that the fair value of such reporting unit is less than its carrying amount. For our other reporting units with goodwill, we bypas</w:t>
      </w:r>
      <w:r>
        <w:rPr>
          <w:rFonts w:eastAsia="Times New Roman"/>
          <w:color w:val="000000"/>
          <w:sz w:val="20"/>
          <w:szCs w:val="20"/>
        </w:rPr>
        <w:t xml:space="preserve">s the qualitative assessment and perform the quantitative assessment by comparing the fair values of the reporting units with their carrying amounts, including goodwill. If the carrying amount of a reporting unit exceeds its fair value, an impairment loss </w:t>
      </w:r>
      <w:r>
        <w:rPr>
          <w:rFonts w:eastAsia="Times New Roman"/>
          <w:color w:val="000000"/>
          <w:sz w:val="20"/>
          <w:szCs w:val="20"/>
        </w:rPr>
        <w:t xml:space="preserve">is recognized in an amount equal to such excess but not to exceed the total amount of the goodwill of the reporting unit. </w:t>
      </w:r>
    </w:p>
    <w:p w:rsidR="00000000" w:rsidRDefault="00AC31B9">
      <w:pPr>
        <w:jc w:val="both"/>
        <w:divId w:val="1337614628"/>
        <w:rPr>
          <w:rFonts w:eastAsia="Times New Roman"/>
        </w:rPr>
      </w:pPr>
      <w:r>
        <w:rPr>
          <w:rFonts w:eastAsia="Times New Roman"/>
          <w:color w:val="000000"/>
          <w:sz w:val="20"/>
          <w:szCs w:val="20"/>
        </w:rPr>
        <w:t xml:space="preserve">During the third quarter of Fiscal 2023, the Company identified interim impairment indicators at its AmeriGas Propane reporting unit </w:t>
      </w:r>
      <w:r>
        <w:rPr>
          <w:rFonts w:eastAsia="Times New Roman"/>
          <w:color w:val="000000"/>
          <w:sz w:val="20"/>
          <w:szCs w:val="20"/>
        </w:rPr>
        <w:t>and, as such, performed an interim impairment test of its goodwill as of May 31, 2023. Based on such impairment test, the Company recognized a non-cash pre-tax goodwill impairment charge of $656. See Note 12 for additional information.</w:t>
      </w:r>
    </w:p>
    <w:p w:rsidR="00000000" w:rsidRDefault="00AC31B9">
      <w:pPr>
        <w:jc w:val="both"/>
        <w:divId w:val="1493566586"/>
        <w:rPr>
          <w:rFonts w:eastAsia="Times New Roman"/>
        </w:rPr>
      </w:pPr>
      <w:r>
        <w:rPr>
          <w:rFonts w:eastAsia="Times New Roman"/>
          <w:color w:val="000000"/>
          <w:sz w:val="20"/>
          <w:szCs w:val="20"/>
        </w:rPr>
        <w:t xml:space="preserve">With respect to UGI </w:t>
      </w:r>
      <w:r>
        <w:rPr>
          <w:rFonts w:eastAsia="Times New Roman"/>
          <w:color w:val="000000"/>
          <w:sz w:val="20"/>
          <w:szCs w:val="20"/>
        </w:rPr>
        <w:t>International's Fiscal 2023 goodwill impairment test, the Company bypassed the qualitative assessment and performed a quantitative assessment. Such assessment used a weighting of income and market approaches to determine fair value. With respect to the inc</w:t>
      </w:r>
      <w:r>
        <w:rPr>
          <w:rFonts w:eastAsia="Times New Roman"/>
          <w:color w:val="000000"/>
          <w:sz w:val="20"/>
          <w:szCs w:val="20"/>
        </w:rPr>
        <w:t>ome approach, management used a discounted cash flow (“DCF”) method, using unobservable inputs. The significant assumptions in our DCF model include projected EBITDA, and a discount rate (and estimates in the discount rate inputs). With respect to the mark</w:t>
      </w:r>
      <w:r>
        <w:rPr>
          <w:rFonts w:eastAsia="Times New Roman"/>
          <w:color w:val="000000"/>
          <w:sz w:val="20"/>
          <w:szCs w:val="20"/>
        </w:rPr>
        <w:t>et approach, management used recent transaction market multiples for similar companies. Based on our evaluation, we determined that UGI International’s fair value exceeded its carrying value by approximately 10%. While the Company believes that its judgmen</w:t>
      </w:r>
      <w:r>
        <w:rPr>
          <w:rFonts w:eastAsia="Times New Roman"/>
          <w:color w:val="000000"/>
          <w:sz w:val="20"/>
          <w:szCs w:val="20"/>
        </w:rPr>
        <w:t>ts used in the quantitative assessment of UGI International’s fair value are reasonable based upon currently available facts and circumstances, if UGI International were not able to achieve its anticipated results and/or if its discount rate were to increa</w:t>
      </w:r>
      <w:r>
        <w:rPr>
          <w:rFonts w:eastAsia="Times New Roman"/>
          <w:color w:val="000000"/>
          <w:sz w:val="20"/>
          <w:szCs w:val="20"/>
        </w:rPr>
        <w:t>se, its fair value would be adversely affected, which may result in an impairment. There is approximately $911 of goodwill in this reporting unit as of September 30, 2023. The Company will continue to monitor its reporting units and related goodwill for an</w:t>
      </w:r>
      <w:r>
        <w:rPr>
          <w:rFonts w:eastAsia="Times New Roman"/>
          <w:color w:val="000000"/>
          <w:sz w:val="20"/>
          <w:szCs w:val="20"/>
        </w:rPr>
        <w:t>y possible future non-cash impairment charges.</w:t>
      </w:r>
    </w:p>
    <w:p w:rsidR="00000000" w:rsidRDefault="00AC31B9">
      <w:pPr>
        <w:jc w:val="both"/>
        <w:divId w:val="1352956998"/>
        <w:rPr>
          <w:rFonts w:eastAsia="Times New Roman"/>
        </w:rPr>
      </w:pPr>
      <w:r>
        <w:rPr>
          <w:rFonts w:eastAsia="Times New Roman"/>
          <w:color w:val="000000"/>
          <w:sz w:val="20"/>
          <w:szCs w:val="20"/>
        </w:rPr>
        <w:t xml:space="preserve">Accumulated goodwill impairment was $656 at September 30, 2023. There were no accumulated goodwill impairment losses at September 30, 2022. Except for the previously mentioned impairment charge of $656 at the </w:t>
      </w:r>
      <w:r>
        <w:rPr>
          <w:rFonts w:eastAsia="Times New Roman"/>
          <w:color w:val="000000"/>
          <w:sz w:val="20"/>
          <w:szCs w:val="20"/>
        </w:rPr>
        <w:t xml:space="preserve">AmeriGas Propane reporting unit, there were no other impairments of goodwill recognized in all periods presented. </w:t>
      </w:r>
    </w:p>
    <w:p w:rsidR="00000000" w:rsidRDefault="00AC31B9">
      <w:pPr>
        <w:jc w:val="both"/>
        <w:divId w:val="679163936"/>
        <w:rPr>
          <w:rFonts w:eastAsia="Times New Roman"/>
        </w:rPr>
      </w:pPr>
      <w:r>
        <w:rPr>
          <w:rFonts w:eastAsia="Times New Roman"/>
          <w:b/>
          <w:bCs/>
          <w:color w:val="000000"/>
          <w:sz w:val="20"/>
          <w:szCs w:val="20"/>
        </w:rPr>
        <w:t>Impairment of Long-Lived Assets</w:t>
      </w:r>
    </w:p>
    <w:p w:rsidR="00000000" w:rsidRDefault="00AC31B9">
      <w:pPr>
        <w:jc w:val="both"/>
        <w:divId w:val="788939675"/>
        <w:rPr>
          <w:rFonts w:eastAsia="Times New Roman"/>
        </w:rPr>
      </w:pPr>
      <w:r>
        <w:rPr>
          <w:rFonts w:eastAsia="Times New Roman"/>
          <w:color w:val="000000"/>
          <w:sz w:val="20"/>
          <w:szCs w:val="20"/>
        </w:rPr>
        <w:t>Impairment testing for long-lived assets (or an asset group) is required when circumstances indicate that suc</w:t>
      </w:r>
      <w:r>
        <w:rPr>
          <w:rFonts w:eastAsia="Times New Roman"/>
          <w:color w:val="000000"/>
          <w:sz w:val="20"/>
          <w:szCs w:val="20"/>
        </w:rPr>
        <w:t xml:space="preserve">h assets may be impaired. If it is determined that a triggering event has occurred, we perform a recoverability test based upon estimated undiscounted cash flow projections expected to be realized over the remaining useful life of the long-lived asset. If </w:t>
      </w:r>
      <w:r>
        <w:rPr>
          <w:rFonts w:eastAsia="Times New Roman"/>
          <w:color w:val="000000"/>
          <w:sz w:val="20"/>
          <w:szCs w:val="20"/>
        </w:rPr>
        <w:t>the undiscounted cash flows used in the recoverability test are less than the long-lived asset's carrying amount, we determine its fair value. If the fair value is determined to be less than its carrying amount, the long-lived asset is reduced to its estim</w:t>
      </w:r>
      <w:r>
        <w:rPr>
          <w:rFonts w:eastAsia="Times New Roman"/>
          <w:color w:val="000000"/>
          <w:sz w:val="20"/>
          <w:szCs w:val="20"/>
        </w:rPr>
        <w:t xml:space="preserve">ated fair </w:t>
      </w:r>
    </w:p>
    <w:p w:rsidR="00000000" w:rsidRDefault="00AC31B9">
      <w:pPr>
        <w:jc w:val="center"/>
        <w:divId w:val="853348693"/>
        <w:rPr>
          <w:rFonts w:eastAsia="Times New Roman"/>
        </w:rPr>
      </w:pPr>
      <w:r>
        <w:rPr>
          <w:rFonts w:eastAsia="Times New Roman"/>
          <w:color w:val="000000"/>
          <w:sz w:val="20"/>
          <w:szCs w:val="20"/>
        </w:rPr>
        <w:t>F-16</w:t>
      </w:r>
    </w:p>
    <w:p w:rsidR="00000000" w:rsidRDefault="00AC31B9">
      <w:pPr>
        <w:rPr>
          <w:rFonts w:eastAsia="Times New Roman"/>
        </w:rPr>
      </w:pPr>
      <w:r>
        <w:rPr>
          <w:rFonts w:eastAsia="Times New Roman"/>
        </w:rPr>
        <w:pict>
          <v:rect id="_x0000_i1134" style="width:0;height:1.5pt" o:hralign="center" o:hrstd="t" o:hr="t" fillcolor="#a0a0a0" stroked="f"/>
        </w:pict>
      </w:r>
    </w:p>
    <w:p w:rsidR="00000000" w:rsidRDefault="00AC31B9">
      <w:pPr>
        <w:divId w:val="604002331"/>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387535347"/>
        <w:rPr>
          <w:rFonts w:eastAsia="Times New Roman"/>
        </w:rPr>
      </w:pPr>
      <w:r>
        <w:rPr>
          <w:rFonts w:eastAsia="Times New Roman"/>
          <w:b/>
          <w:bCs/>
          <w:color w:val="000000"/>
          <w:sz w:val="20"/>
          <w:szCs w:val="20"/>
        </w:rPr>
        <w:t>UGI Corporation and Subsidiaries</w:t>
      </w:r>
    </w:p>
    <w:p w:rsidR="00000000" w:rsidRDefault="00AC31B9">
      <w:pPr>
        <w:divId w:val="88551469"/>
        <w:rPr>
          <w:rFonts w:eastAsia="Times New Roman"/>
        </w:rPr>
      </w:pPr>
      <w:r>
        <w:rPr>
          <w:rFonts w:eastAsia="Times New Roman"/>
          <w:b/>
          <w:bCs/>
          <w:color w:val="000000"/>
          <w:sz w:val="20"/>
          <w:szCs w:val="20"/>
        </w:rPr>
        <w:t>Notes to Consolidated Financial Statements</w:t>
      </w:r>
    </w:p>
    <w:p w:rsidR="00000000" w:rsidRDefault="00AC31B9">
      <w:pPr>
        <w:divId w:val="1057624440"/>
        <w:rPr>
          <w:rFonts w:eastAsia="Times New Roman"/>
        </w:rPr>
      </w:pPr>
      <w:r>
        <w:rPr>
          <w:rFonts w:eastAsia="Times New Roman"/>
          <w:color w:val="000000"/>
          <w:sz w:val="20"/>
          <w:szCs w:val="20"/>
        </w:rPr>
        <w:t xml:space="preserve">(Currency in millions, except per share amounts and </w:t>
      </w:r>
      <w:r>
        <w:rPr>
          <w:rFonts w:eastAsia="Times New Roman"/>
          <w:color w:val="000000"/>
          <w:sz w:val="20"/>
          <w:szCs w:val="20"/>
        </w:rPr>
        <w:t>where indicated otherwise)</w:t>
      </w:r>
    </w:p>
    <w:p w:rsidR="00000000" w:rsidRDefault="00AC31B9">
      <w:pPr>
        <w:jc w:val="both"/>
        <w:divId w:val="453404818"/>
        <w:rPr>
          <w:rFonts w:eastAsia="Times New Roman"/>
        </w:rPr>
      </w:pPr>
      <w:r>
        <w:rPr>
          <w:rFonts w:eastAsia="Times New Roman"/>
          <w:color w:val="000000"/>
          <w:sz w:val="20"/>
          <w:szCs w:val="20"/>
        </w:rPr>
        <w:t>value and an impairment loss is recognized in an amount equal to such shortfall. When determining whether a long-lived asset has been impaired, management groups assets at the lowest level that has identifiable cash flows that ar</w:t>
      </w:r>
      <w:r>
        <w:rPr>
          <w:rFonts w:eastAsia="Times New Roman"/>
          <w:color w:val="000000"/>
          <w:sz w:val="20"/>
          <w:szCs w:val="20"/>
        </w:rPr>
        <w:t>e independent of other assets.</w:t>
      </w:r>
    </w:p>
    <w:p w:rsidR="00000000" w:rsidRDefault="00AC31B9">
      <w:pPr>
        <w:jc w:val="both"/>
        <w:divId w:val="1106116751"/>
        <w:rPr>
          <w:rFonts w:eastAsia="Times New Roman"/>
        </w:rPr>
      </w:pPr>
      <w:r>
        <w:rPr>
          <w:rFonts w:eastAsia="Times New Roman"/>
          <w:color w:val="000000"/>
          <w:sz w:val="20"/>
          <w:szCs w:val="20"/>
        </w:rPr>
        <w:t>The impairment of AmeriGas Propane’s goodwill during the quarter ended June 30, 2023, was determined to be a triggering event requiring an interim impairment analysis of AmeriGas Propane’s long-lived and definite lived intang</w:t>
      </w:r>
      <w:r>
        <w:rPr>
          <w:rFonts w:eastAsia="Times New Roman"/>
          <w:color w:val="000000"/>
          <w:sz w:val="20"/>
          <w:szCs w:val="20"/>
        </w:rPr>
        <w:t>ible assets. Accordingly, the Company performed a recoverability test of AmeriGas Propane’s long-lived assets, including right-of-use (“ROU”) assets and definite lived intangible assets, as of May 31, 2023, using estimated undiscounted cash flow projection</w:t>
      </w:r>
      <w:r>
        <w:rPr>
          <w:rFonts w:eastAsia="Times New Roman"/>
          <w:color w:val="000000"/>
          <w:sz w:val="20"/>
          <w:szCs w:val="20"/>
        </w:rPr>
        <w:t>s expected to be generated over the remaining useful life of the primary asset of the asset group at the lowest level with identifiable cash flows that are independent of other assets. Based on the recoverability test performed, we determined that (1) Amer</w:t>
      </w:r>
      <w:r>
        <w:rPr>
          <w:rFonts w:eastAsia="Times New Roman"/>
          <w:color w:val="000000"/>
          <w:sz w:val="20"/>
          <w:szCs w:val="20"/>
        </w:rPr>
        <w:t>iGas Propane’s long-lived assets, including ROU assets and definite lived intangible assets, were recoverable and, as such, no impairment charges were recorded; and (2) no adjustments to the remaining useful lives were necessary.</w:t>
      </w:r>
    </w:p>
    <w:p w:rsidR="00000000" w:rsidRDefault="00AC31B9">
      <w:pPr>
        <w:jc w:val="both"/>
        <w:divId w:val="1726638990"/>
        <w:rPr>
          <w:rFonts w:eastAsia="Times New Roman"/>
        </w:rPr>
      </w:pPr>
      <w:r>
        <w:rPr>
          <w:rFonts w:eastAsia="Times New Roman"/>
          <w:color w:val="000000"/>
          <w:sz w:val="20"/>
          <w:szCs w:val="20"/>
        </w:rPr>
        <w:t>No material provisions for</w:t>
      </w:r>
      <w:r>
        <w:rPr>
          <w:rFonts w:eastAsia="Times New Roman"/>
          <w:color w:val="000000"/>
          <w:sz w:val="20"/>
          <w:szCs w:val="20"/>
        </w:rPr>
        <w:t xml:space="preserve"> impairments of long-lived assets were recorded for all periods presented. </w:t>
      </w:r>
    </w:p>
    <w:p w:rsidR="00000000" w:rsidRDefault="00AC31B9">
      <w:pPr>
        <w:jc w:val="both"/>
        <w:divId w:val="1452625634"/>
        <w:rPr>
          <w:rFonts w:eastAsia="Times New Roman"/>
        </w:rPr>
      </w:pPr>
      <w:r>
        <w:rPr>
          <w:rFonts w:eastAsia="Times New Roman"/>
          <w:b/>
          <w:bCs/>
          <w:color w:val="000000"/>
          <w:sz w:val="20"/>
          <w:szCs w:val="20"/>
        </w:rPr>
        <w:t>Refundable Tank and Cylinder Deposits</w:t>
      </w:r>
    </w:p>
    <w:p w:rsidR="00000000" w:rsidRDefault="00AC31B9">
      <w:pPr>
        <w:jc w:val="both"/>
        <w:divId w:val="1366517062"/>
        <w:rPr>
          <w:rFonts w:eastAsia="Times New Roman"/>
        </w:rPr>
      </w:pPr>
      <w:r>
        <w:rPr>
          <w:rFonts w:eastAsia="Times New Roman"/>
          <w:color w:val="000000"/>
          <w:sz w:val="20"/>
          <w:szCs w:val="20"/>
        </w:rPr>
        <w:t xml:space="preserve">Included in “Other noncurrent liabilities” </w:t>
      </w:r>
      <w:r>
        <w:rPr>
          <w:rFonts w:eastAsia="Times New Roman"/>
          <w:color w:val="000000"/>
          <w:sz w:val="20"/>
          <w:szCs w:val="20"/>
        </w:rPr>
        <w:t>on our Consolidated Balance Sheets are customer paid deposits on tanks and cylinders primarily owned by subsidiaries of UGI France of $249 and $243 at September 30, 2023 and 2022, respectively. Deposits are refundable to customers when the tanks or cylinde</w:t>
      </w:r>
      <w:r>
        <w:rPr>
          <w:rFonts w:eastAsia="Times New Roman"/>
          <w:color w:val="000000"/>
          <w:sz w:val="20"/>
          <w:szCs w:val="20"/>
        </w:rPr>
        <w:t xml:space="preserve">rs are returned in accordance with contract terms. </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Environmental Matters</w:t>
      </w:r>
    </w:p>
    <w:p w:rsidR="00000000" w:rsidRDefault="00AC31B9">
      <w:pPr>
        <w:jc w:val="both"/>
        <w:divId w:val="1295721461"/>
        <w:rPr>
          <w:rFonts w:eastAsia="Times New Roman"/>
        </w:rPr>
      </w:pPr>
      <w:r>
        <w:rPr>
          <w:rFonts w:eastAsia="Times New Roman"/>
          <w:color w:val="000000"/>
          <w:sz w:val="20"/>
          <w:szCs w:val="20"/>
        </w:rPr>
        <w:t>We are subject to environmental laws and regulations intended to mitigate or remove the effects of past operations and improve or maintain the quality of the environment. These laws and regulations require the removal or remedy of the effect on the environ</w:t>
      </w:r>
      <w:r>
        <w:rPr>
          <w:rFonts w:eastAsia="Times New Roman"/>
          <w:color w:val="000000"/>
          <w:sz w:val="20"/>
          <w:szCs w:val="20"/>
        </w:rPr>
        <w:t>ment of the disposal or release of certain specified hazardous substances at current or former operating sites.</w:t>
      </w:r>
    </w:p>
    <w:p w:rsidR="00000000" w:rsidRDefault="00AC31B9">
      <w:pPr>
        <w:jc w:val="both"/>
        <w:divId w:val="2133085470"/>
        <w:rPr>
          <w:rFonts w:eastAsia="Times New Roman"/>
        </w:rPr>
      </w:pPr>
      <w:r>
        <w:rPr>
          <w:rFonts w:eastAsia="Times New Roman"/>
          <w:color w:val="000000"/>
          <w:sz w:val="20"/>
          <w:szCs w:val="20"/>
        </w:rPr>
        <w:t>Environmental reserves are accrued when assessments indicate that it is probable that a liability has been incurred and an amount can be reasona</w:t>
      </w:r>
      <w:r>
        <w:rPr>
          <w:rFonts w:eastAsia="Times New Roman"/>
          <w:color w:val="000000"/>
          <w:sz w:val="20"/>
          <w:szCs w:val="20"/>
        </w:rPr>
        <w:t>bly estimated. Amounts recorded as environmental liabilities on the Consolidated Balance Sheets represent our best estimate of costs expected to be incurred or, if no best estimate can be made, the minimum liability associated with a range of expected envi</w:t>
      </w:r>
      <w:r>
        <w:rPr>
          <w:rFonts w:eastAsia="Times New Roman"/>
          <w:color w:val="000000"/>
          <w:sz w:val="20"/>
          <w:szCs w:val="20"/>
        </w:rPr>
        <w:t xml:space="preserve">ronmental investigation and remediation costs. These estimates are based upon a number of factors including whether the Company will be responsible for such remediation, the scope and cost of the remediation work to be performed, the portion of costs that </w:t>
      </w:r>
      <w:r>
        <w:rPr>
          <w:rFonts w:eastAsia="Times New Roman"/>
          <w:color w:val="000000"/>
          <w:sz w:val="20"/>
          <w:szCs w:val="20"/>
        </w:rPr>
        <w:t>will be shared with other potentially responsible parties, the timing of the remediation and possible impact of changes in technology, and the regulations and requirements of local governmental authorities. Our estimated liability for environmental contami</w:t>
      </w:r>
      <w:r>
        <w:rPr>
          <w:rFonts w:eastAsia="Times New Roman"/>
          <w:color w:val="000000"/>
          <w:sz w:val="20"/>
          <w:szCs w:val="20"/>
        </w:rPr>
        <w:t>nation is reduced to reflect anticipated participation of other responsible parties but is not reduced for possible recovery from insurance carriers. Under GAAP, if the amount and timing of cash payments associated with environmental investigation and clea</w:t>
      </w:r>
      <w:r>
        <w:rPr>
          <w:rFonts w:eastAsia="Times New Roman"/>
          <w:color w:val="000000"/>
          <w:sz w:val="20"/>
          <w:szCs w:val="20"/>
        </w:rPr>
        <w:t xml:space="preserve">nup are reliably determinable, such liabilities are discounted to reflect the time value of money. We intend to pursue recovery of incurred costs through all appropriate means, including regulatory relief. PA Gas Utility receives ratemaking recognition of </w:t>
      </w:r>
      <w:r>
        <w:rPr>
          <w:rFonts w:eastAsia="Times New Roman"/>
          <w:color w:val="000000"/>
          <w:sz w:val="20"/>
          <w:szCs w:val="20"/>
        </w:rPr>
        <w:t>environmental investigation and remediation costs associated with in-state environmental sites.  This ratemaking recognition balances the accumulated difference between historical costs and rate recoveries with an estimate of future costs associated with t</w:t>
      </w:r>
      <w:r>
        <w:rPr>
          <w:rFonts w:eastAsia="Times New Roman"/>
          <w:color w:val="000000"/>
          <w:sz w:val="20"/>
          <w:szCs w:val="20"/>
        </w:rPr>
        <w:t>he sites. For further information, see Note 16.</w:t>
      </w:r>
    </w:p>
    <w:p w:rsidR="00000000" w:rsidRDefault="00AC31B9">
      <w:pPr>
        <w:jc w:val="both"/>
        <w:divId w:val="108672470"/>
        <w:rPr>
          <w:rFonts w:eastAsia="Times New Roman"/>
        </w:rPr>
      </w:pPr>
      <w:r>
        <w:rPr>
          <w:rFonts w:eastAsia="Times New Roman"/>
          <w:b/>
          <w:bCs/>
          <w:color w:val="000000"/>
          <w:sz w:val="20"/>
          <w:szCs w:val="20"/>
        </w:rPr>
        <w:t>Loss Contingencies Subject to Insurance</w:t>
      </w:r>
    </w:p>
    <w:p w:rsidR="00000000" w:rsidRDefault="00AC31B9">
      <w:pPr>
        <w:jc w:val="both"/>
        <w:divId w:val="1890452067"/>
        <w:rPr>
          <w:rFonts w:eastAsia="Times New Roman"/>
        </w:rPr>
      </w:pPr>
      <w:r>
        <w:rPr>
          <w:rFonts w:eastAsia="Times New Roman"/>
          <w:color w:val="000000"/>
          <w:sz w:val="20"/>
          <w:szCs w:val="20"/>
        </w:rPr>
        <w:t>We are subject to risk of loss for general, automobile and product liability, and workers’ compensation claims for which we obtain insurance coverage under insurance po</w:t>
      </w:r>
      <w:r>
        <w:rPr>
          <w:rFonts w:eastAsia="Times New Roman"/>
          <w:color w:val="000000"/>
          <w:sz w:val="20"/>
          <w:szCs w:val="20"/>
        </w:rPr>
        <w:t>licies that are subject to self-insured retentions or deductibles. In accordance with GAAP, we record accruals when it is probable that a liability exists and the amount or range of amounts can be reasonably estimated. When no amount within a range of poss</w:t>
      </w:r>
      <w:r>
        <w:rPr>
          <w:rFonts w:eastAsia="Times New Roman"/>
          <w:color w:val="000000"/>
          <w:sz w:val="20"/>
          <w:szCs w:val="20"/>
        </w:rPr>
        <w:t>ible loss is a better estimate than any other amount within the range, liabilities recorded are based upon the low end of the range. For litigation and pending claims including those covered by insurance policies, the analysis of probable loss is performed</w:t>
      </w:r>
      <w:r>
        <w:rPr>
          <w:rFonts w:eastAsia="Times New Roman"/>
          <w:color w:val="000000"/>
          <w:sz w:val="20"/>
          <w:szCs w:val="20"/>
        </w:rPr>
        <w:t xml:space="preserve"> on a case by case basis and includes an evaluation of the nature of the claim, the procedural status of the matter, the probability or likelihood of success in prosecuting or defending the claim, the information available with respect to the claim, the op</w:t>
      </w:r>
      <w:r>
        <w:rPr>
          <w:rFonts w:eastAsia="Times New Roman"/>
          <w:color w:val="000000"/>
          <w:sz w:val="20"/>
          <w:szCs w:val="20"/>
        </w:rPr>
        <w:t>inions and views of outside counsel and other advisors, and past experience in similar matters. With respect to unasserted claims arising from unreported incidents, we may use the work of specialists to estimate the ultimate losses to be incurred using act</w:t>
      </w:r>
      <w:r>
        <w:rPr>
          <w:rFonts w:eastAsia="Times New Roman"/>
          <w:color w:val="000000"/>
          <w:sz w:val="20"/>
          <w:szCs w:val="20"/>
        </w:rPr>
        <w:t>uarially determined loss development factors applied to actual claims data. Our estimated reserves for loss contingencies may differ materially from the ultimate liability and such reserves may change materially as more information becomes available and es</w:t>
      </w:r>
      <w:r>
        <w:rPr>
          <w:rFonts w:eastAsia="Times New Roman"/>
          <w:color w:val="000000"/>
          <w:sz w:val="20"/>
          <w:szCs w:val="20"/>
        </w:rPr>
        <w:t xml:space="preserve">timated reserves are adjusted. We maintain insurance coverage such that our net exposure for claims covered by insurance would be limited to the self-insured retentions or </w:t>
      </w:r>
    </w:p>
    <w:p w:rsidR="00000000" w:rsidRDefault="00AC31B9">
      <w:pPr>
        <w:jc w:val="center"/>
        <w:divId w:val="224294492"/>
        <w:rPr>
          <w:rFonts w:eastAsia="Times New Roman"/>
        </w:rPr>
      </w:pPr>
      <w:r>
        <w:rPr>
          <w:rFonts w:eastAsia="Times New Roman"/>
          <w:color w:val="000000"/>
          <w:sz w:val="20"/>
          <w:szCs w:val="20"/>
        </w:rPr>
        <w:t>F-17</w:t>
      </w:r>
    </w:p>
    <w:p w:rsidR="00000000" w:rsidRDefault="00AC31B9">
      <w:pPr>
        <w:rPr>
          <w:rFonts w:eastAsia="Times New Roman"/>
        </w:rPr>
      </w:pPr>
      <w:r>
        <w:rPr>
          <w:rFonts w:eastAsia="Times New Roman"/>
        </w:rPr>
        <w:pict>
          <v:rect id="_x0000_i1135" style="width:0;height:1.5pt" o:hralign="center" o:hrstd="t" o:hr="t" fillcolor="#a0a0a0" stroked="f"/>
        </w:pict>
      </w:r>
    </w:p>
    <w:p w:rsidR="00000000" w:rsidRDefault="00AC31B9">
      <w:pPr>
        <w:divId w:val="2065635729"/>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440640799"/>
        <w:rPr>
          <w:rFonts w:eastAsia="Times New Roman"/>
        </w:rPr>
      </w:pPr>
      <w:r>
        <w:rPr>
          <w:rFonts w:eastAsia="Times New Roman"/>
          <w:b/>
          <w:bCs/>
          <w:color w:val="000000"/>
          <w:sz w:val="20"/>
          <w:szCs w:val="20"/>
        </w:rPr>
        <w:t>UGI Corporation and Subsidiaries</w:t>
      </w:r>
    </w:p>
    <w:p w:rsidR="00000000" w:rsidRDefault="00AC31B9">
      <w:pPr>
        <w:divId w:val="703212940"/>
        <w:rPr>
          <w:rFonts w:eastAsia="Times New Roman"/>
        </w:rPr>
      </w:pPr>
      <w:r>
        <w:rPr>
          <w:rFonts w:eastAsia="Times New Roman"/>
          <w:b/>
          <w:bCs/>
          <w:color w:val="000000"/>
          <w:sz w:val="20"/>
          <w:szCs w:val="20"/>
        </w:rPr>
        <w:t>Notes to Consolidated Financial Statements</w:t>
      </w:r>
    </w:p>
    <w:p w:rsidR="00000000" w:rsidRDefault="00AC31B9">
      <w:pPr>
        <w:divId w:val="1682195092"/>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1807548519"/>
        <w:rPr>
          <w:rFonts w:eastAsia="Times New Roman"/>
        </w:rPr>
      </w:pPr>
      <w:r>
        <w:rPr>
          <w:rFonts w:eastAsia="Times New Roman"/>
          <w:color w:val="000000"/>
          <w:sz w:val="20"/>
          <w:szCs w:val="20"/>
        </w:rPr>
        <w:t>deductibles, claims above which would be paid by the insurance carr</w:t>
      </w:r>
      <w:r>
        <w:rPr>
          <w:rFonts w:eastAsia="Times New Roman"/>
          <w:color w:val="000000"/>
          <w:sz w:val="20"/>
          <w:szCs w:val="20"/>
        </w:rPr>
        <w:t>ier. For such claims, we record a receivable related to the amount of the liability expected to be paid by insurance.</w:t>
      </w:r>
    </w:p>
    <w:p w:rsidR="00000000" w:rsidRDefault="00AC31B9">
      <w:pPr>
        <w:jc w:val="both"/>
        <w:divId w:val="2009214933"/>
        <w:rPr>
          <w:rFonts w:eastAsia="Times New Roman"/>
        </w:rPr>
      </w:pPr>
      <w:r>
        <w:rPr>
          <w:rFonts w:eastAsia="Times New Roman"/>
          <w:b/>
          <w:bCs/>
          <w:color w:val="000000"/>
          <w:sz w:val="20"/>
          <w:szCs w:val="20"/>
        </w:rPr>
        <w:t>Employee Retirement Plans</w:t>
      </w:r>
    </w:p>
    <w:p w:rsidR="00000000" w:rsidRDefault="00AC31B9">
      <w:pPr>
        <w:jc w:val="both"/>
        <w:divId w:val="376668004"/>
        <w:rPr>
          <w:rFonts w:eastAsia="Times New Roman"/>
        </w:rPr>
      </w:pPr>
      <w:r>
        <w:rPr>
          <w:rFonts w:eastAsia="Times New Roman"/>
          <w:color w:val="000000"/>
          <w:sz w:val="20"/>
          <w:szCs w:val="20"/>
        </w:rPr>
        <w:t xml:space="preserve">We use a market-related value of plan assets and an expected long-term rate of return to determine the expected </w:t>
      </w:r>
      <w:r>
        <w:rPr>
          <w:rFonts w:eastAsia="Times New Roman"/>
          <w:color w:val="000000"/>
          <w:sz w:val="20"/>
          <w:szCs w:val="20"/>
        </w:rPr>
        <w:t>return on assets of our U.S. pension and other postretirement plans. The market-related value of plan assets, other than equity investments, is based upon fair values. The market-related value of equity investments is calculated by rolling forward the prio</w:t>
      </w:r>
      <w:r>
        <w:rPr>
          <w:rFonts w:eastAsia="Times New Roman"/>
          <w:color w:val="000000"/>
          <w:sz w:val="20"/>
          <w:szCs w:val="20"/>
        </w:rPr>
        <w:t>r-year’s market-related value with contributions, disbursements and the expected return on plan assets. One third of the difference between the expected and the actual value is then added to or subtracted from the expected value to determine the new market</w:t>
      </w:r>
      <w:r>
        <w:rPr>
          <w:rFonts w:eastAsia="Times New Roman"/>
          <w:color w:val="000000"/>
          <w:sz w:val="20"/>
          <w:szCs w:val="20"/>
        </w:rPr>
        <w:t>-related value (see Note 8).</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 xml:space="preserve">Note 3 — Accounting Changes </w:t>
      </w:r>
    </w:p>
    <w:p w:rsidR="00000000" w:rsidRDefault="00AC31B9">
      <w:pPr>
        <w:jc w:val="both"/>
        <w:divId w:val="1225484268"/>
        <w:rPr>
          <w:rFonts w:eastAsia="Times New Roman"/>
        </w:rPr>
      </w:pPr>
      <w:r>
        <w:rPr>
          <w:rFonts w:eastAsia="Times New Roman"/>
          <w:b/>
          <w:bCs/>
          <w:color w:val="000000"/>
          <w:sz w:val="20"/>
          <w:szCs w:val="20"/>
        </w:rPr>
        <w:t>New Accounting Standard Adopted in Fiscal 2023</w:t>
      </w:r>
    </w:p>
    <w:p w:rsidR="00000000" w:rsidRDefault="00AC31B9">
      <w:pPr>
        <w:jc w:val="both"/>
        <w:divId w:val="1804499087"/>
        <w:rPr>
          <w:rFonts w:eastAsia="Times New Roman"/>
        </w:rPr>
      </w:pPr>
      <w:r>
        <w:rPr>
          <w:rFonts w:eastAsia="Times New Roman"/>
          <w:b/>
          <w:bCs/>
          <w:i/>
          <w:iCs/>
          <w:color w:val="000000"/>
          <w:sz w:val="20"/>
          <w:szCs w:val="20"/>
        </w:rPr>
        <w:t>Debt and Derivatives and Hedging</w:t>
      </w:r>
      <w:r>
        <w:rPr>
          <w:rFonts w:eastAsia="Times New Roman"/>
          <w:color w:val="000000"/>
          <w:sz w:val="20"/>
          <w:szCs w:val="20"/>
        </w:rPr>
        <w:t>. Effective October 1, 2022, the Company adopted ASU 2020-06, “Debt - Debt with Conversion and Other Options (Subtopi</w:t>
      </w:r>
      <w:r>
        <w:rPr>
          <w:rFonts w:eastAsia="Times New Roman"/>
          <w:color w:val="000000"/>
          <w:sz w:val="20"/>
          <w:szCs w:val="20"/>
        </w:rPr>
        <w:t>c 470-20) and Derivatives and Hedging – Contracts in Entity’s Own Equity (Subtopic 815-40),” using the modified retrospective approach. The amendments in this ASU affect entities that issue convertible instruments and/or contracts indexed to and potentiall</w:t>
      </w:r>
      <w:r>
        <w:rPr>
          <w:rFonts w:eastAsia="Times New Roman"/>
          <w:color w:val="000000"/>
          <w:sz w:val="20"/>
          <w:szCs w:val="20"/>
        </w:rPr>
        <w:t>y settled in an entity’s own equity. This ASU reduces the number of accounting models for convertible debt instruments and convertible preferred stock, expands disclosure requirements for convertible instruments, and simplifies the related earnings per sha</w:t>
      </w:r>
      <w:r>
        <w:rPr>
          <w:rFonts w:eastAsia="Times New Roman"/>
          <w:color w:val="000000"/>
          <w:sz w:val="20"/>
          <w:szCs w:val="20"/>
        </w:rPr>
        <w:t xml:space="preserve">re guidance. The adoption of the new guidance did not have a material impact on our consolidated financial statements. </w:t>
      </w:r>
    </w:p>
    <w:p w:rsidR="00000000" w:rsidRDefault="00AC31B9">
      <w:pPr>
        <w:jc w:val="both"/>
        <w:divId w:val="1044132887"/>
        <w:rPr>
          <w:rFonts w:eastAsia="Times New Roman"/>
        </w:rPr>
      </w:pPr>
      <w:r>
        <w:rPr>
          <w:rFonts w:eastAsia="Times New Roman"/>
          <w:color w:val="000000"/>
          <w:sz w:val="20"/>
          <w:szCs w:val="20"/>
        </w:rPr>
        <w:t>Upon adoption, we reclassified $6 from Common Stock to Preferred Stock associated with the previously separated equity-classified benefi</w:t>
      </w:r>
      <w:r>
        <w:rPr>
          <w:rFonts w:eastAsia="Times New Roman"/>
          <w:color w:val="000000"/>
          <w:sz w:val="20"/>
          <w:szCs w:val="20"/>
        </w:rPr>
        <w:t>cial conversion feature, which was accounted for as a deemed dividend. The increase to Preferred Stock was partially offset by an increase of $1 to opening retained earnings for the previously recognized non-cash amortization of the beneficial conversion f</w:t>
      </w:r>
      <w:r>
        <w:rPr>
          <w:rFonts w:eastAsia="Times New Roman"/>
          <w:color w:val="000000"/>
          <w:sz w:val="20"/>
          <w:szCs w:val="20"/>
        </w:rPr>
        <w:t>eature. The ASU 2020-06 also removes the presumption of cash settlement for contracts that may be settled in cash or shares. In accordance with the new guidance, we included the dilutive impact of the quarterly contract adjustment payment liability associa</w:t>
      </w:r>
      <w:r>
        <w:rPr>
          <w:rFonts w:eastAsia="Times New Roman"/>
          <w:color w:val="000000"/>
          <w:sz w:val="20"/>
          <w:szCs w:val="20"/>
        </w:rPr>
        <w:t>ted with the 2024 Purchase Contracts, which may be settled in cash or shares, in our computation of weighted average diluted common shares outstanding. The adoption of the new guidance did not, and is not expected to, have a material impact on our consolid</w:t>
      </w:r>
      <w:r>
        <w:rPr>
          <w:rFonts w:eastAsia="Times New Roman"/>
          <w:color w:val="000000"/>
          <w:sz w:val="20"/>
          <w:szCs w:val="20"/>
        </w:rPr>
        <w:t xml:space="preserve">ated financial statements. </w:t>
      </w:r>
    </w:p>
    <w:p w:rsidR="00000000" w:rsidRDefault="00AC31B9">
      <w:pPr>
        <w:jc w:val="both"/>
        <w:divId w:val="1618486075"/>
        <w:rPr>
          <w:rFonts w:eastAsia="Times New Roman"/>
        </w:rPr>
      </w:pPr>
    </w:p>
    <w:p w:rsidR="00000000" w:rsidRDefault="00AC31B9">
      <w:pPr>
        <w:divId w:val="630092165"/>
        <w:rPr>
          <w:rFonts w:eastAsia="Times New Roman"/>
        </w:rPr>
      </w:pPr>
      <w:r>
        <w:rPr>
          <w:rFonts w:eastAsia="Times New Roman"/>
          <w:b/>
          <w:bCs/>
          <w:color w:val="000000"/>
          <w:sz w:val="20"/>
          <w:szCs w:val="20"/>
          <w:u w:val="single"/>
        </w:rPr>
        <w:t>Note 4 — Revenue from Contracts with Customers</w:t>
      </w:r>
    </w:p>
    <w:p w:rsidR="00000000" w:rsidRDefault="00AC31B9">
      <w:pPr>
        <w:divId w:val="854461155"/>
        <w:rPr>
          <w:rFonts w:eastAsia="Times New Roman"/>
        </w:rPr>
      </w:pPr>
    </w:p>
    <w:p w:rsidR="00000000" w:rsidRDefault="00AC31B9">
      <w:pPr>
        <w:jc w:val="both"/>
        <w:rPr>
          <w:rFonts w:eastAsia="Times New Roman"/>
        </w:rPr>
      </w:pPr>
      <w:r>
        <w:rPr>
          <w:rFonts w:eastAsia="Times New Roman"/>
          <w:color w:val="000000"/>
          <w:sz w:val="20"/>
          <w:szCs w:val="20"/>
        </w:rPr>
        <w:t>The Company recognizes revenue when control of promised goods or services is transferred to customers in an amount that reflects the consideration to which we expect to be entit</w:t>
      </w:r>
      <w:r>
        <w:rPr>
          <w:rFonts w:eastAsia="Times New Roman"/>
          <w:color w:val="000000"/>
          <w:sz w:val="20"/>
          <w:szCs w:val="20"/>
        </w:rPr>
        <w:t>led in exchange for those goods or services. The Company generally has the right to consideration from a customer in an amount that corresponds directly with the value to the customer for performance completed to date. As such, we have elected to recognize</w:t>
      </w:r>
      <w:r>
        <w:rPr>
          <w:rFonts w:eastAsia="Times New Roman"/>
          <w:color w:val="000000"/>
          <w:sz w:val="20"/>
          <w:szCs w:val="20"/>
        </w:rPr>
        <w:t xml:space="preserve"> revenue in the amount to which we have a right to invoice except in the case of certain of Utilities’ large delivery service customers and Midstream &amp; Marketing’s peaking contracts for which we recognize revenue on a straight-line basis over the term of t</w:t>
      </w:r>
      <w:r>
        <w:rPr>
          <w:rFonts w:eastAsia="Times New Roman"/>
          <w:color w:val="000000"/>
          <w:sz w:val="20"/>
          <w:szCs w:val="20"/>
        </w:rPr>
        <w:t>he contract, consistent with when the performance obligations are satisfied by the Company.</w:t>
      </w:r>
    </w:p>
    <w:p w:rsidR="00000000" w:rsidRDefault="00AC31B9">
      <w:pPr>
        <w:divId w:val="956569678"/>
        <w:rPr>
          <w:rFonts w:eastAsia="Times New Roman"/>
        </w:rPr>
      </w:pPr>
    </w:p>
    <w:p w:rsidR="00000000" w:rsidRDefault="00AC31B9">
      <w:pPr>
        <w:jc w:val="both"/>
        <w:divId w:val="2138641738"/>
        <w:rPr>
          <w:rFonts w:eastAsia="Times New Roman"/>
        </w:rPr>
      </w:pPr>
      <w:r>
        <w:rPr>
          <w:rFonts w:eastAsia="Times New Roman"/>
          <w:color w:val="000000"/>
          <w:sz w:val="20"/>
          <w:szCs w:val="20"/>
        </w:rPr>
        <w:t>We do not have a significant financing component in our contracts because we receive payment shortly before, at, or shortly after the transfer of control of the g</w:t>
      </w:r>
      <w:r>
        <w:rPr>
          <w:rFonts w:eastAsia="Times New Roman"/>
          <w:color w:val="000000"/>
          <w:sz w:val="20"/>
          <w:szCs w:val="20"/>
        </w:rPr>
        <w:t>ood or service. Because the period between the time the performance obligation is satisfied and payment is received is generally one year or less, the Company has elected to apply the significant financing component practical expedient and no amount of con</w:t>
      </w:r>
      <w:r>
        <w:rPr>
          <w:rFonts w:eastAsia="Times New Roman"/>
          <w:color w:val="000000"/>
          <w:sz w:val="20"/>
          <w:szCs w:val="20"/>
        </w:rPr>
        <w:t>sideration has been allocated as a financing component.</w:t>
      </w:r>
    </w:p>
    <w:p w:rsidR="00000000" w:rsidRDefault="00AC31B9">
      <w:pPr>
        <w:jc w:val="both"/>
        <w:divId w:val="1415785847"/>
        <w:rPr>
          <w:rFonts w:eastAsia="Times New Roman"/>
        </w:rPr>
      </w:pPr>
      <w:r>
        <w:rPr>
          <w:rFonts w:eastAsia="Times New Roman"/>
          <w:color w:val="000000"/>
          <w:sz w:val="20"/>
          <w:szCs w:val="20"/>
        </w:rPr>
        <w:t>The Company’s revenues from contracts with customers are discussed below.</w:t>
      </w:r>
    </w:p>
    <w:p w:rsidR="00000000" w:rsidRDefault="00AC31B9">
      <w:pPr>
        <w:jc w:val="both"/>
        <w:divId w:val="1231306222"/>
        <w:rPr>
          <w:rFonts w:eastAsia="Times New Roman"/>
        </w:rPr>
      </w:pPr>
      <w:r>
        <w:rPr>
          <w:rFonts w:eastAsia="Times New Roman"/>
          <w:b/>
          <w:bCs/>
          <w:color w:val="000000"/>
          <w:sz w:val="20"/>
          <w:szCs w:val="20"/>
          <w:u w:val="single"/>
        </w:rPr>
        <w:t>Utility Revenues</w:t>
      </w:r>
    </w:p>
    <w:p w:rsidR="00000000" w:rsidRDefault="00AC31B9">
      <w:pPr>
        <w:jc w:val="both"/>
        <w:rPr>
          <w:rFonts w:eastAsia="Times New Roman"/>
        </w:rPr>
      </w:pPr>
      <w:r>
        <w:rPr>
          <w:rFonts w:eastAsia="Times New Roman"/>
          <w:color w:val="000000"/>
          <w:sz w:val="20"/>
          <w:szCs w:val="20"/>
        </w:rPr>
        <w:t>Utilities supplies natural gas and electricity and provides distribution services of natural gas and electricity to residential, commercial, and industrial customers who are generally billed at standard regulated tariff rates approved by the regulatory bod</w:t>
      </w:r>
      <w:r>
        <w:rPr>
          <w:rFonts w:eastAsia="Times New Roman"/>
          <w:color w:val="000000"/>
          <w:sz w:val="20"/>
          <w:szCs w:val="20"/>
        </w:rPr>
        <w:t xml:space="preserve">ies through the ratemaking process. Tariff rates include a component that provides for a reasonable opportunity to recover </w:t>
      </w:r>
    </w:p>
    <w:p w:rsidR="00000000" w:rsidRDefault="00AC31B9">
      <w:pPr>
        <w:jc w:val="center"/>
        <w:divId w:val="1548684557"/>
        <w:rPr>
          <w:rFonts w:eastAsia="Times New Roman"/>
        </w:rPr>
      </w:pPr>
      <w:r>
        <w:rPr>
          <w:rFonts w:eastAsia="Times New Roman"/>
          <w:color w:val="000000"/>
          <w:sz w:val="20"/>
          <w:szCs w:val="20"/>
        </w:rPr>
        <w:t>F-18</w:t>
      </w:r>
    </w:p>
    <w:p w:rsidR="00000000" w:rsidRDefault="00AC31B9">
      <w:pPr>
        <w:rPr>
          <w:rFonts w:eastAsia="Times New Roman"/>
        </w:rPr>
      </w:pPr>
      <w:r>
        <w:rPr>
          <w:rFonts w:eastAsia="Times New Roman"/>
        </w:rPr>
        <w:pict>
          <v:rect id="_x0000_i1136" style="width:0;height:1.5pt" o:hralign="center" o:hrstd="t" o:hr="t" fillcolor="#a0a0a0" stroked="f"/>
        </w:pict>
      </w:r>
    </w:p>
    <w:p w:rsidR="00000000" w:rsidRDefault="00AC31B9">
      <w:pPr>
        <w:divId w:val="1498380666"/>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758600554"/>
        <w:rPr>
          <w:rFonts w:eastAsia="Times New Roman"/>
        </w:rPr>
      </w:pPr>
      <w:r>
        <w:rPr>
          <w:rFonts w:eastAsia="Times New Roman"/>
          <w:b/>
          <w:bCs/>
          <w:color w:val="000000"/>
          <w:sz w:val="20"/>
          <w:szCs w:val="20"/>
        </w:rPr>
        <w:t>UGI Corporation and Subsidiaries</w:t>
      </w:r>
    </w:p>
    <w:p w:rsidR="00000000" w:rsidRDefault="00AC31B9">
      <w:pPr>
        <w:divId w:val="254285506"/>
        <w:rPr>
          <w:rFonts w:eastAsia="Times New Roman"/>
        </w:rPr>
      </w:pPr>
      <w:r>
        <w:rPr>
          <w:rFonts w:eastAsia="Times New Roman"/>
          <w:b/>
          <w:bCs/>
          <w:color w:val="000000"/>
          <w:sz w:val="20"/>
          <w:szCs w:val="20"/>
        </w:rPr>
        <w:t>Notes to Consolidated Financial Statements</w:t>
      </w:r>
    </w:p>
    <w:p w:rsidR="00000000" w:rsidRDefault="00AC31B9">
      <w:pPr>
        <w:divId w:val="803817125"/>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rPr>
          <w:rFonts w:eastAsia="Times New Roman"/>
        </w:rPr>
      </w:pPr>
      <w:r>
        <w:rPr>
          <w:rFonts w:eastAsia="Times New Roman"/>
          <w:color w:val="000000"/>
          <w:sz w:val="20"/>
          <w:szCs w:val="20"/>
        </w:rPr>
        <w:t>operating costs and expen</w:t>
      </w:r>
      <w:r>
        <w:rPr>
          <w:rFonts w:eastAsia="Times New Roman"/>
          <w:color w:val="000000"/>
          <w:sz w:val="20"/>
          <w:szCs w:val="20"/>
        </w:rPr>
        <w:t xml:space="preserve">ses and to earn a return on net investment, and a component that provides for the recovery, subject to reasonableness reviews, of PGC, PGA and DS costs.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Customers may choose to purchase their natural gas and electricity from Utilities, or, alternatively</w:t>
      </w:r>
      <w:r>
        <w:rPr>
          <w:rFonts w:eastAsia="Times New Roman"/>
          <w:color w:val="000000"/>
          <w:sz w:val="20"/>
          <w:szCs w:val="20"/>
        </w:rPr>
        <w:t>, may contract separately with alternate suppliers. Accordingly, our contracts with customers comprise two promised goods or services: (1) delivery service of natural gas and electricity through the Company’s utility distribution systems and (2) the natura</w:t>
      </w:r>
      <w:r>
        <w:rPr>
          <w:rFonts w:eastAsia="Times New Roman"/>
          <w:color w:val="000000"/>
          <w:sz w:val="20"/>
          <w:szCs w:val="20"/>
        </w:rPr>
        <w:t>l gas or electricity commodity itself for those customers who choose to purchase the natural gas or electricity directly from the Company. Revenue is not recorded for the sale of natural gas or electricity to customers who have contracted separately with a</w:t>
      </w:r>
      <w:r>
        <w:rPr>
          <w:rFonts w:eastAsia="Times New Roman"/>
          <w:color w:val="000000"/>
          <w:sz w:val="20"/>
          <w:szCs w:val="20"/>
        </w:rPr>
        <w:t xml:space="preserve">lternate suppliers. For those customers who choose to purchase their natural gas or electricity from the Company, the performance obligation includes both the supply of the commodity and the delivery service.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terms of our core market customer contra</w:t>
      </w:r>
      <w:r>
        <w:rPr>
          <w:rFonts w:eastAsia="Times New Roman"/>
          <w:color w:val="000000"/>
          <w:sz w:val="20"/>
          <w:szCs w:val="20"/>
        </w:rPr>
        <w:t>cts are generally considered day-to-day as customers can discontinue service at any time without penalty. Performance obligations are generally satisfied over time as the natural gas or electricity is delivered to customers, at which point the customers si</w:t>
      </w:r>
      <w:r>
        <w:rPr>
          <w:rFonts w:eastAsia="Times New Roman"/>
          <w:color w:val="000000"/>
          <w:sz w:val="20"/>
          <w:szCs w:val="20"/>
        </w:rPr>
        <w:t>multaneously receive and consume the benefits provided by the delivery service and, when applicable, the commodity. Amounts are billed to customers based upon the reading of a customer’s meter, which occurs on a cycle basis throughout each reporting period</w:t>
      </w:r>
      <w:r>
        <w:rPr>
          <w:rFonts w:eastAsia="Times New Roman"/>
          <w:color w:val="000000"/>
          <w:sz w:val="20"/>
          <w:szCs w:val="20"/>
        </w:rPr>
        <w:t>. An unbilled amount is recorded at the end of each reporting period based upon estimated amounts of natural gas or electricity delivered to customers since the date of the last meter reading. These unbilled estimates consider various factors such as histo</w:t>
      </w:r>
      <w:r>
        <w:rPr>
          <w:rFonts w:eastAsia="Times New Roman"/>
          <w:color w:val="000000"/>
          <w:sz w:val="20"/>
          <w:szCs w:val="20"/>
        </w:rPr>
        <w:t xml:space="preserve">rical customer usage patterns, customer rates and weather.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Utilities has certain fixed-term contracts with large commercial and industrial customers to provide natural gas delivery services at contracted rates and at volumes generally based on the custo</w:t>
      </w:r>
      <w:r>
        <w:rPr>
          <w:rFonts w:eastAsia="Times New Roman"/>
          <w:color w:val="000000"/>
          <w:sz w:val="20"/>
          <w:szCs w:val="20"/>
        </w:rPr>
        <w:t>mer’s needs. The performance obligation to provide the contracted delivery service for these large commercial and industrial customers is satisfied over time and revenue is generally recognized on a straight-line basis.</w:t>
      </w:r>
    </w:p>
    <w:p w:rsidR="00000000" w:rsidRDefault="00AC31B9">
      <w:pPr>
        <w:jc w:val="both"/>
        <w:rPr>
          <w:rFonts w:eastAsia="Times New Roman"/>
        </w:rPr>
      </w:pPr>
    </w:p>
    <w:p w:rsidR="00000000" w:rsidRDefault="00AC31B9">
      <w:pPr>
        <w:jc w:val="both"/>
        <w:divId w:val="1864055931"/>
        <w:rPr>
          <w:rFonts w:eastAsia="Times New Roman"/>
        </w:rPr>
      </w:pPr>
      <w:r>
        <w:rPr>
          <w:rFonts w:eastAsia="Times New Roman"/>
          <w:color w:val="000000"/>
          <w:sz w:val="20"/>
          <w:szCs w:val="20"/>
        </w:rPr>
        <w:t>Utilities makes off-system sales w</w:t>
      </w:r>
      <w:r>
        <w:rPr>
          <w:rFonts w:eastAsia="Times New Roman"/>
          <w:color w:val="000000"/>
          <w:sz w:val="20"/>
          <w:szCs w:val="20"/>
        </w:rPr>
        <w:t>hereby natural gas delivered to our system in excess of amounts needed to fulfill our distribution system needs is sold to other customers, primarily other distributors of natural gas, based on an agreed-upon price and volume between the Company and the co</w:t>
      </w:r>
      <w:r>
        <w:rPr>
          <w:rFonts w:eastAsia="Times New Roman"/>
          <w:color w:val="000000"/>
          <w:sz w:val="20"/>
          <w:szCs w:val="20"/>
        </w:rPr>
        <w:t>unterparty. Utilities also sells excess natural gas capacity whereby interstate pipeline capacity in excess of amounts needed to meet our customer obligations is sold to other distributors of natural gas based upon an agreed-upon rate. Off-system sales and</w:t>
      </w:r>
      <w:r>
        <w:rPr>
          <w:rFonts w:eastAsia="Times New Roman"/>
          <w:color w:val="000000"/>
          <w:sz w:val="20"/>
          <w:szCs w:val="20"/>
        </w:rPr>
        <w:t xml:space="preserve"> capacity releases are generally entered into one month at a time and comprise the sale of a specific volume of gas or pipeline capacity at a specific delivery point or points over a specific time. As such, performance obligations associated with off-syste</w:t>
      </w:r>
      <w:r>
        <w:rPr>
          <w:rFonts w:eastAsia="Times New Roman"/>
          <w:color w:val="000000"/>
          <w:sz w:val="20"/>
          <w:szCs w:val="20"/>
        </w:rPr>
        <w:t xml:space="preserve">m sales and capacity release customers are satisfied, and associated revenue is recorded, when the agreed upon volume of natural gas is delivered or capacity is provided, and title is transferred, in accordance with the contract terms. </w:t>
      </w:r>
    </w:p>
    <w:p w:rsidR="00000000" w:rsidRDefault="00AC31B9">
      <w:pPr>
        <w:jc w:val="both"/>
        <w:divId w:val="1104109603"/>
        <w:rPr>
          <w:rFonts w:eastAsia="Times New Roman"/>
        </w:rPr>
      </w:pPr>
      <w:r>
        <w:rPr>
          <w:rFonts w:eastAsia="Times New Roman"/>
          <w:color w:val="000000"/>
          <w:sz w:val="20"/>
          <w:szCs w:val="20"/>
        </w:rPr>
        <w:t>Electric Utility pr</w:t>
      </w:r>
      <w:r>
        <w:rPr>
          <w:rFonts w:eastAsia="Times New Roman"/>
          <w:color w:val="000000"/>
          <w:sz w:val="20"/>
          <w:szCs w:val="20"/>
        </w:rPr>
        <w:t>ovides transmission services to PJM by allowing PJM to access Electric Utility’s electricity transmission facilities. In exchange for providing access, PJM pays Electric Utility consideration determined by a formula-based rate approved by the FERC. The for</w:t>
      </w:r>
      <w:r>
        <w:rPr>
          <w:rFonts w:eastAsia="Times New Roman"/>
          <w:color w:val="000000"/>
          <w:sz w:val="20"/>
          <w:szCs w:val="20"/>
        </w:rPr>
        <w:t xml:space="preserve">mula-based rate, which is updated annually, allows recovery of costs incurred to provide transmission services and return on transmission-related net investment. We recognize revenue over time as we provide transmission service. </w:t>
      </w:r>
    </w:p>
    <w:p w:rsidR="00000000" w:rsidRDefault="00AC31B9">
      <w:pPr>
        <w:jc w:val="both"/>
        <w:divId w:val="1030494228"/>
        <w:rPr>
          <w:rFonts w:eastAsia="Times New Roman"/>
        </w:rPr>
      </w:pPr>
      <w:r>
        <w:rPr>
          <w:rFonts w:eastAsia="Times New Roman"/>
          <w:color w:val="000000"/>
          <w:sz w:val="20"/>
          <w:szCs w:val="20"/>
        </w:rPr>
        <w:t>Other Utility revenues rep</w:t>
      </w:r>
      <w:r>
        <w:rPr>
          <w:rFonts w:eastAsia="Times New Roman"/>
          <w:color w:val="000000"/>
          <w:sz w:val="20"/>
          <w:szCs w:val="20"/>
        </w:rPr>
        <w:t>resent revenues from other ancillary services provided to customers and are generally recorded as the service is provided to customers.</w:t>
      </w:r>
    </w:p>
    <w:p w:rsidR="00000000" w:rsidRDefault="00AC31B9">
      <w:pPr>
        <w:jc w:val="both"/>
        <w:divId w:val="1333332857"/>
        <w:rPr>
          <w:rFonts w:eastAsia="Times New Roman"/>
        </w:rPr>
      </w:pPr>
      <w:r>
        <w:rPr>
          <w:rFonts w:eastAsia="Times New Roman"/>
          <w:b/>
          <w:bCs/>
          <w:color w:val="000000"/>
          <w:sz w:val="20"/>
          <w:szCs w:val="20"/>
          <w:u w:val="single"/>
        </w:rPr>
        <w:t>Non-Utility Revenues</w:t>
      </w:r>
    </w:p>
    <w:p w:rsidR="00000000" w:rsidRDefault="00AC31B9">
      <w:pPr>
        <w:jc w:val="both"/>
        <w:divId w:val="460922462"/>
        <w:rPr>
          <w:rFonts w:eastAsia="Times New Roman"/>
        </w:rPr>
      </w:pPr>
      <w:r>
        <w:rPr>
          <w:rFonts w:eastAsia="Times New Roman"/>
          <w:color w:val="000000"/>
          <w:sz w:val="20"/>
          <w:szCs w:val="20"/>
          <w:u w:val="single"/>
        </w:rPr>
        <w:t>LPG</w:t>
      </w:r>
      <w:r>
        <w:rPr>
          <w:rFonts w:eastAsia="Times New Roman"/>
          <w:color w:val="000000"/>
          <w:sz w:val="20"/>
          <w:szCs w:val="20"/>
        </w:rPr>
        <w:t>. AmeriGas Propane and UGI International record revenue principally from the sale of LPG to reta</w:t>
      </w:r>
      <w:r>
        <w:rPr>
          <w:rFonts w:eastAsia="Times New Roman"/>
          <w:color w:val="000000"/>
          <w:sz w:val="20"/>
          <w:szCs w:val="20"/>
        </w:rPr>
        <w:t>il and wholesale customers. The primary performance obligation associated with the sale of LPG is the delivery of LPG to (1) the customer’s point of delivery for retail customers and (2) the customer’s specified location where LPG is picked up by wholesale</w:t>
      </w:r>
      <w:r>
        <w:rPr>
          <w:rFonts w:eastAsia="Times New Roman"/>
          <w:color w:val="000000"/>
          <w:sz w:val="20"/>
          <w:szCs w:val="20"/>
        </w:rPr>
        <w:t xml:space="preserve"> customers, at which point control of the LPG is transferred to the customer, the performance obligation is satisfied, and the associated revenue is recognized. </w:t>
      </w:r>
    </w:p>
    <w:p w:rsidR="00000000" w:rsidRDefault="00AC31B9">
      <w:pPr>
        <w:jc w:val="both"/>
        <w:divId w:val="132990670"/>
        <w:rPr>
          <w:rFonts w:eastAsia="Times New Roman"/>
        </w:rPr>
      </w:pPr>
      <w:r>
        <w:rPr>
          <w:rFonts w:eastAsia="Times New Roman"/>
          <w:color w:val="000000"/>
          <w:sz w:val="20"/>
          <w:szCs w:val="20"/>
        </w:rPr>
        <w:t>Contracts with customers comprise different types of contracts with varying length terms, fixe</w:t>
      </w:r>
      <w:r>
        <w:rPr>
          <w:rFonts w:eastAsia="Times New Roman"/>
          <w:color w:val="000000"/>
          <w:sz w:val="20"/>
          <w:szCs w:val="20"/>
        </w:rPr>
        <w:t>d or variable prices, and fixed or variable quantities. Contracts with our residential customers, which comprise a substantial number of our customer contracts, are generally one year or less. Customer contracts for the sale of LPG include fixed-price, fix</w:t>
      </w:r>
      <w:r>
        <w:rPr>
          <w:rFonts w:eastAsia="Times New Roman"/>
          <w:color w:val="000000"/>
          <w:sz w:val="20"/>
          <w:szCs w:val="20"/>
        </w:rPr>
        <w:t>ed-quantity contracts under which LPG is provided to customers at a fixed price and a fixed volume, and contracts that provide for the sale of LPG at market prices at date of delivery with no fixed volumes. AmeriGas Propane offers contracts that permit cus</w:t>
      </w:r>
      <w:r>
        <w:rPr>
          <w:rFonts w:eastAsia="Times New Roman"/>
          <w:color w:val="000000"/>
          <w:sz w:val="20"/>
          <w:szCs w:val="20"/>
        </w:rPr>
        <w:t xml:space="preserve">tomers to lock in a fixed price for their volumes for a fee and also provide customers with the option to pre-buy a fixed amount of LPG at a fixed price. </w:t>
      </w:r>
    </w:p>
    <w:p w:rsidR="00000000" w:rsidRDefault="00AC31B9">
      <w:pPr>
        <w:jc w:val="center"/>
        <w:divId w:val="1559634160"/>
        <w:rPr>
          <w:rFonts w:eastAsia="Times New Roman"/>
        </w:rPr>
      </w:pPr>
      <w:r>
        <w:rPr>
          <w:rFonts w:eastAsia="Times New Roman"/>
          <w:color w:val="000000"/>
          <w:sz w:val="20"/>
          <w:szCs w:val="20"/>
        </w:rPr>
        <w:t>F-19</w:t>
      </w:r>
    </w:p>
    <w:p w:rsidR="00000000" w:rsidRDefault="00AC31B9">
      <w:pPr>
        <w:rPr>
          <w:rFonts w:eastAsia="Times New Roman"/>
        </w:rPr>
      </w:pPr>
      <w:r>
        <w:rPr>
          <w:rFonts w:eastAsia="Times New Roman"/>
        </w:rPr>
        <w:pict>
          <v:rect id="_x0000_i1137" style="width:0;height:1.5pt" o:hralign="center" o:hrstd="t" o:hr="t" fillcolor="#a0a0a0" stroked="f"/>
        </w:pict>
      </w:r>
    </w:p>
    <w:p w:rsidR="00000000" w:rsidRDefault="00AC31B9">
      <w:pPr>
        <w:divId w:val="1175730441"/>
        <w:rPr>
          <w:rFonts w:eastAsia="Times New Roman"/>
        </w:rPr>
      </w:pPr>
      <w:hyperlink w:anchor="ic92dd05487854a4eaece953328045c39_7" w:history="1">
        <w:r>
          <w:rPr>
            <w:rStyle w:val="a3"/>
            <w:rFonts w:eastAsia="Times New Roman"/>
            <w:sz w:val="20"/>
            <w:szCs w:val="20"/>
          </w:rPr>
          <w:t>Ta</w:t>
        </w:r>
        <w:r>
          <w:rPr>
            <w:rStyle w:val="a3"/>
            <w:rFonts w:eastAsia="Times New Roman"/>
            <w:sz w:val="20"/>
            <w:szCs w:val="20"/>
          </w:rPr>
          <w:t>ble of Contents</w:t>
        </w:r>
      </w:hyperlink>
    </w:p>
    <w:p w:rsidR="00000000" w:rsidRDefault="00AC31B9">
      <w:pPr>
        <w:divId w:val="620499463"/>
        <w:rPr>
          <w:rFonts w:eastAsia="Times New Roman"/>
        </w:rPr>
      </w:pPr>
      <w:r>
        <w:rPr>
          <w:rFonts w:eastAsia="Times New Roman"/>
          <w:b/>
          <w:bCs/>
          <w:color w:val="000000"/>
          <w:sz w:val="20"/>
          <w:szCs w:val="20"/>
        </w:rPr>
        <w:t>UGI Corporation and Subsidiaries</w:t>
      </w:r>
    </w:p>
    <w:p w:rsidR="00000000" w:rsidRDefault="00AC31B9">
      <w:pPr>
        <w:divId w:val="705642919"/>
        <w:rPr>
          <w:rFonts w:eastAsia="Times New Roman"/>
        </w:rPr>
      </w:pPr>
      <w:r>
        <w:rPr>
          <w:rFonts w:eastAsia="Times New Roman"/>
          <w:b/>
          <w:bCs/>
          <w:color w:val="000000"/>
          <w:sz w:val="20"/>
          <w:szCs w:val="20"/>
        </w:rPr>
        <w:t>Notes to Consolidated Financial Statements</w:t>
      </w:r>
    </w:p>
    <w:p w:rsidR="00000000" w:rsidRDefault="00AC31B9">
      <w:pPr>
        <w:divId w:val="979072560"/>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1451120365"/>
        <w:rPr>
          <w:rFonts w:eastAsia="Times New Roman"/>
        </w:rPr>
      </w:pPr>
      <w:r>
        <w:rPr>
          <w:rFonts w:eastAsia="Times New Roman"/>
          <w:color w:val="000000"/>
          <w:sz w:val="20"/>
          <w:szCs w:val="20"/>
        </w:rPr>
        <w:t>Amounts received under pre-buy arrangements are recorded as a contract liability when received and recorded as revenue when LPG is delivered and control is transferred to the customer. Fee revenue associated with fixed-price contracts are recorded as contr</w:t>
      </w:r>
      <w:r>
        <w:rPr>
          <w:rFonts w:eastAsia="Times New Roman"/>
          <w:color w:val="000000"/>
          <w:sz w:val="20"/>
          <w:szCs w:val="20"/>
        </w:rPr>
        <w:t>act liabilities and recorded ratably over the contract period.</w:t>
      </w:r>
    </w:p>
    <w:p w:rsidR="00000000" w:rsidRDefault="00AC31B9">
      <w:pPr>
        <w:jc w:val="both"/>
        <w:divId w:val="1367103897"/>
        <w:rPr>
          <w:rFonts w:eastAsia="Times New Roman"/>
        </w:rPr>
      </w:pPr>
      <w:r>
        <w:rPr>
          <w:rFonts w:eastAsia="Times New Roman"/>
          <w:color w:val="000000"/>
          <w:sz w:val="20"/>
          <w:szCs w:val="20"/>
        </w:rPr>
        <w:t>AmeriGas Propane and UGI International also distribute LPG to customers in portable cylinders. Under certain contracts, filled cylinders are delivered, and control is transferred, to a reseller</w:t>
      </w:r>
      <w:r>
        <w:rPr>
          <w:rFonts w:eastAsia="Times New Roman"/>
          <w:color w:val="000000"/>
          <w:sz w:val="20"/>
          <w:szCs w:val="20"/>
        </w:rPr>
        <w:t>. In such instances, the reseller is our customer and we record revenue upon delivery to the reseller. Under other contracts, filled cylinders are delivered to a reseller, but the Company retains control of the cylinders. In such instances, we record reven</w:t>
      </w:r>
      <w:r>
        <w:rPr>
          <w:rFonts w:eastAsia="Times New Roman"/>
          <w:color w:val="000000"/>
          <w:sz w:val="20"/>
          <w:szCs w:val="20"/>
        </w:rPr>
        <w:t xml:space="preserve">ue at the time the reseller transfers control of the cylinder to the end user. </w:t>
      </w:r>
    </w:p>
    <w:p w:rsidR="00000000" w:rsidRDefault="00AC31B9">
      <w:pPr>
        <w:jc w:val="both"/>
        <w:divId w:val="1949194447"/>
        <w:rPr>
          <w:rFonts w:eastAsia="Times New Roman"/>
        </w:rPr>
      </w:pPr>
      <w:r>
        <w:rPr>
          <w:rFonts w:eastAsia="Times New Roman"/>
          <w:color w:val="000000"/>
          <w:sz w:val="20"/>
          <w:szCs w:val="20"/>
        </w:rPr>
        <w:t>Certain retail LPG customers for AmeriGas Propane receive credits which we account for as variable consideration. We estimate these credits based upon past practices and histor</w:t>
      </w:r>
      <w:r>
        <w:rPr>
          <w:rFonts w:eastAsia="Times New Roman"/>
          <w:color w:val="000000"/>
          <w:sz w:val="20"/>
          <w:szCs w:val="20"/>
        </w:rPr>
        <w:t>ical customer experience and we reduce our revenues recognized for these credits.</w:t>
      </w:r>
    </w:p>
    <w:p w:rsidR="00000000" w:rsidRDefault="00AC31B9">
      <w:pPr>
        <w:jc w:val="both"/>
        <w:divId w:val="668289587"/>
        <w:rPr>
          <w:rFonts w:eastAsia="Times New Roman"/>
        </w:rPr>
      </w:pPr>
      <w:r>
        <w:rPr>
          <w:rFonts w:eastAsia="Times New Roman"/>
          <w:color w:val="000000"/>
          <w:sz w:val="20"/>
          <w:szCs w:val="20"/>
          <w:u w:val="single"/>
        </w:rPr>
        <w:t>Energy Marketing.</w:t>
      </w:r>
      <w:r>
        <w:rPr>
          <w:rFonts w:eastAsia="Times New Roman"/>
          <w:color w:val="000000"/>
          <w:sz w:val="20"/>
          <w:szCs w:val="20"/>
        </w:rPr>
        <w:t xml:space="preserve"> Midstream &amp; </w:t>
      </w:r>
      <w:r>
        <w:rPr>
          <w:rFonts w:eastAsia="Times New Roman"/>
          <w:color w:val="000000"/>
          <w:sz w:val="20"/>
          <w:szCs w:val="20"/>
        </w:rPr>
        <w:t>Marketing and UGI International operate energy marketing businesses that sell energy commodities, principally natural gas and electricity, to residential, commercial, industrial and wholesale customers. See Note 5 regarding recent transactions related to U</w:t>
      </w:r>
      <w:r>
        <w:rPr>
          <w:rFonts w:eastAsia="Times New Roman"/>
          <w:color w:val="000000"/>
          <w:sz w:val="20"/>
          <w:szCs w:val="20"/>
        </w:rPr>
        <w:t>GI International’s energy marketing business.</w:t>
      </w:r>
    </w:p>
    <w:p w:rsidR="00000000" w:rsidRDefault="00AC31B9">
      <w:pPr>
        <w:jc w:val="both"/>
        <w:divId w:val="404493237"/>
        <w:rPr>
          <w:rFonts w:eastAsia="Times New Roman"/>
        </w:rPr>
      </w:pPr>
      <w:r>
        <w:rPr>
          <w:rFonts w:eastAsia="Times New Roman"/>
          <w:color w:val="000000"/>
          <w:sz w:val="20"/>
          <w:szCs w:val="20"/>
        </w:rPr>
        <w:t>Midstream &amp; Marketing and UGI International market natural gas and electricity on full-requirements or agreed-upon volume bases under contracts with varying length terms and at fixed or floating prices that are</w:t>
      </w:r>
      <w:r>
        <w:rPr>
          <w:rFonts w:eastAsia="Times New Roman"/>
          <w:color w:val="000000"/>
          <w:sz w:val="20"/>
          <w:szCs w:val="20"/>
        </w:rPr>
        <w:t xml:space="preserve"> based on market indices adjusted for differences in price between the market location and delivery locations. Performance obligations associated with these contracts primarily comprise the delivery of the natural gas and electricity over a contractual per</w:t>
      </w:r>
      <w:r>
        <w:rPr>
          <w:rFonts w:eastAsia="Times New Roman"/>
          <w:color w:val="000000"/>
          <w:sz w:val="20"/>
          <w:szCs w:val="20"/>
        </w:rPr>
        <w:t>iod of time. Performance obligations also include other energy-related ancillary services provided to customers such as capacity. For performance obligations that are satisfied at a point in time such as the delivery of natural gas, revenue is recorded whe</w:t>
      </w:r>
      <w:r>
        <w:rPr>
          <w:rFonts w:eastAsia="Times New Roman"/>
          <w:color w:val="000000"/>
          <w:sz w:val="20"/>
          <w:szCs w:val="20"/>
        </w:rPr>
        <w:t>n customers take control of the natural gas. Revenue is recorded for performance obligations that qualify as a series, when customers consume the natural gas or electricity is delivered, which corresponds to the amount invoiced to the customer. For transac</w:t>
      </w:r>
      <w:r>
        <w:rPr>
          <w:rFonts w:eastAsia="Times New Roman"/>
          <w:color w:val="000000"/>
          <w:sz w:val="20"/>
          <w:szCs w:val="20"/>
        </w:rPr>
        <w:t xml:space="preserve">tions where the price or volume is not fixed, the transaction price is not determined until delivery occurs. The billed amount, and the revenue recorded, is based upon consumption by the customer. </w:t>
      </w:r>
    </w:p>
    <w:p w:rsidR="00000000" w:rsidRDefault="00AC31B9">
      <w:pPr>
        <w:jc w:val="both"/>
        <w:divId w:val="421608063"/>
        <w:rPr>
          <w:rFonts w:eastAsia="Times New Roman"/>
        </w:rPr>
      </w:pPr>
      <w:r>
        <w:rPr>
          <w:rFonts w:eastAsia="Times New Roman"/>
          <w:color w:val="000000"/>
          <w:sz w:val="20"/>
          <w:szCs w:val="20"/>
          <w:u w:val="single"/>
        </w:rPr>
        <w:t>Midstream.</w:t>
      </w:r>
      <w:r>
        <w:rPr>
          <w:rFonts w:eastAsia="Times New Roman"/>
          <w:color w:val="000000"/>
          <w:sz w:val="20"/>
          <w:szCs w:val="20"/>
        </w:rPr>
        <w:t xml:space="preserve"> Midstream &amp; Marketing provides natural gas pipe</w:t>
      </w:r>
      <w:r>
        <w:rPr>
          <w:rFonts w:eastAsia="Times New Roman"/>
          <w:color w:val="000000"/>
          <w:sz w:val="20"/>
          <w:szCs w:val="20"/>
        </w:rPr>
        <w:t>line transportation, natural gas gathering, natural gas processing and natural gas underground storage services, which generally contain a performance obligation for the Company to have availability to transport or store a product. Additionally, the Compan</w:t>
      </w:r>
      <w:r>
        <w:rPr>
          <w:rFonts w:eastAsia="Times New Roman"/>
          <w:color w:val="000000"/>
          <w:sz w:val="20"/>
          <w:szCs w:val="20"/>
        </w:rPr>
        <w:t>y provides stand-ready services to sell supplemental energy products and related services, primarily LNG and propane-air mixtures during periods of high demand that typically result from cold weather. The Company also sells LNG to end-user customers for us</w:t>
      </w:r>
      <w:r>
        <w:rPr>
          <w:rFonts w:eastAsia="Times New Roman"/>
          <w:color w:val="000000"/>
          <w:sz w:val="20"/>
          <w:szCs w:val="20"/>
        </w:rPr>
        <w:t xml:space="preserve">e by trucks, drilling rigs and other motored vehicles and equipment, and facilities that are located off the natural gas grid. </w:t>
      </w:r>
    </w:p>
    <w:p w:rsidR="00000000" w:rsidRDefault="00AC31B9">
      <w:pPr>
        <w:jc w:val="both"/>
        <w:divId w:val="698049209"/>
        <w:rPr>
          <w:rFonts w:eastAsia="Times New Roman"/>
        </w:rPr>
      </w:pPr>
      <w:r>
        <w:rPr>
          <w:rFonts w:eastAsia="Times New Roman"/>
          <w:color w:val="000000"/>
          <w:sz w:val="20"/>
          <w:szCs w:val="20"/>
        </w:rPr>
        <w:t xml:space="preserve">Contracts for natural gas transportation and gathering services are typically long-term contracts with terms of up to 30 years, </w:t>
      </w:r>
      <w:r>
        <w:rPr>
          <w:rFonts w:eastAsia="Times New Roman"/>
          <w:color w:val="000000"/>
          <w:sz w:val="20"/>
          <w:szCs w:val="20"/>
        </w:rPr>
        <w:t>while contracts for storage are typically for one-year or multiple storage season periods. Contracts to provide natural gas during periods of high demand have terms of up to 15 years. Contracts to sell LNG for trucks, drilling rigs and other motor vehicles</w:t>
      </w:r>
      <w:r>
        <w:rPr>
          <w:rFonts w:eastAsia="Times New Roman"/>
          <w:color w:val="000000"/>
          <w:sz w:val="20"/>
          <w:szCs w:val="20"/>
        </w:rPr>
        <w:t xml:space="preserve"> and facilities are typically short-term (less than one year). Depending on the type of services provided or goods sold, midstream revenues may consist of demand rates, commodity rates, and transportation rates and may include other fees for ancillary serv</w:t>
      </w:r>
      <w:r>
        <w:rPr>
          <w:rFonts w:eastAsia="Times New Roman"/>
          <w:color w:val="000000"/>
          <w:sz w:val="20"/>
          <w:szCs w:val="20"/>
        </w:rPr>
        <w:t>ices. Pipeline transportation, natural gas gathering and storage services provided and services to stand ready to sell supplemental energy products and services each are considered to have a single performance obligation satisfied through the passage of ti</w:t>
      </w:r>
      <w:r>
        <w:rPr>
          <w:rFonts w:eastAsia="Times New Roman"/>
          <w:color w:val="000000"/>
          <w:sz w:val="20"/>
          <w:szCs w:val="20"/>
        </w:rPr>
        <w:t>me ratably based upon providing a stand-ready service generally on a monthly basis. Contracts to sell LNG to end-user customers contain performance obligations to deliver LNG over the term of the contract and revenue is recognized at a point in time when t</w:t>
      </w:r>
      <w:r>
        <w:rPr>
          <w:rFonts w:eastAsia="Times New Roman"/>
          <w:color w:val="000000"/>
          <w:sz w:val="20"/>
          <w:szCs w:val="20"/>
        </w:rPr>
        <w:t xml:space="preserve">he control of the energy products is transferred to the customer. The price in the contract corresponds to our efforts to satisfy the performance obligation and reflects the consideration we expect to receive for the satisfied performance obligation, and, </w:t>
      </w:r>
      <w:r>
        <w:rPr>
          <w:rFonts w:eastAsia="Times New Roman"/>
          <w:color w:val="000000"/>
          <w:sz w:val="20"/>
          <w:szCs w:val="20"/>
        </w:rPr>
        <w:t xml:space="preserve">therefore, the revenue is recognized based on the volume delivered and the price within the contract. In cases where shipping and handling occurs prior to the LNG being delivered to the customer’s storage vessel, we have elected to treat this as a cost of </w:t>
      </w:r>
      <w:r>
        <w:rPr>
          <w:rFonts w:eastAsia="Times New Roman"/>
          <w:color w:val="000000"/>
          <w:sz w:val="20"/>
          <w:szCs w:val="20"/>
        </w:rPr>
        <w:t>fulfillment and not a separate performance obligation. Revenues are typically billed and payment received monthly. Advance fees received from customers for stand-ready services are deferred as contract liabilities and revenue is recognized ratably over tim</w:t>
      </w:r>
      <w:r>
        <w:rPr>
          <w:rFonts w:eastAsia="Times New Roman"/>
          <w:color w:val="000000"/>
          <w:sz w:val="20"/>
          <w:szCs w:val="20"/>
        </w:rPr>
        <w:t xml:space="preserve">e as the performance obligation is satisfied over a period less than one year. </w:t>
      </w:r>
    </w:p>
    <w:p w:rsidR="00000000" w:rsidRDefault="00AC31B9">
      <w:pPr>
        <w:jc w:val="both"/>
        <w:divId w:val="1768038274"/>
        <w:rPr>
          <w:rFonts w:eastAsia="Times New Roman"/>
        </w:rPr>
      </w:pPr>
      <w:r>
        <w:rPr>
          <w:rFonts w:eastAsia="Times New Roman"/>
          <w:color w:val="000000"/>
          <w:sz w:val="20"/>
          <w:szCs w:val="20"/>
          <w:u w:val="single"/>
        </w:rPr>
        <w:t>Electricity Generation.</w:t>
      </w:r>
      <w:r>
        <w:rPr>
          <w:rFonts w:eastAsia="Times New Roman"/>
          <w:color w:val="000000"/>
          <w:sz w:val="20"/>
          <w:szCs w:val="20"/>
        </w:rPr>
        <w:t xml:space="preserve"> Midstream &amp; Marketing sells power generated from electricity generation assets in the wholesale electricity markets administered by PJM regional transmi</w:t>
      </w:r>
      <w:r>
        <w:rPr>
          <w:rFonts w:eastAsia="Times New Roman"/>
          <w:color w:val="000000"/>
          <w:sz w:val="20"/>
          <w:szCs w:val="20"/>
        </w:rPr>
        <w:t>ssion organization. Power contracts with PJM consist of the sale of power, capacity and ancillary services, all of which are considered a bundle of various services. Performance obligations are satisfied over time, generally on a daily basis, as electricit</w:t>
      </w:r>
      <w:r>
        <w:rPr>
          <w:rFonts w:eastAsia="Times New Roman"/>
          <w:color w:val="000000"/>
          <w:sz w:val="20"/>
          <w:szCs w:val="20"/>
        </w:rPr>
        <w:t xml:space="preserve">y is delivered to and simultaneously consumed by the customer. As </w:t>
      </w:r>
    </w:p>
    <w:p w:rsidR="00000000" w:rsidRDefault="00AC31B9">
      <w:pPr>
        <w:jc w:val="center"/>
        <w:divId w:val="1338188687"/>
        <w:rPr>
          <w:rFonts w:eastAsia="Times New Roman"/>
        </w:rPr>
      </w:pPr>
      <w:r>
        <w:rPr>
          <w:rFonts w:eastAsia="Times New Roman"/>
          <w:color w:val="000000"/>
          <w:sz w:val="20"/>
          <w:szCs w:val="20"/>
        </w:rPr>
        <w:t>F-20</w:t>
      </w:r>
    </w:p>
    <w:p w:rsidR="00000000" w:rsidRDefault="00AC31B9">
      <w:pPr>
        <w:rPr>
          <w:rFonts w:eastAsia="Times New Roman"/>
        </w:rPr>
      </w:pPr>
      <w:r>
        <w:rPr>
          <w:rFonts w:eastAsia="Times New Roman"/>
        </w:rPr>
        <w:pict>
          <v:rect id="_x0000_i1138" style="width:0;height:1.5pt" o:hralign="center" o:hrstd="t" o:hr="t" fillcolor="#a0a0a0" stroked="f"/>
        </w:pict>
      </w:r>
    </w:p>
    <w:p w:rsidR="00000000" w:rsidRDefault="00AC31B9">
      <w:pPr>
        <w:divId w:val="1378428559"/>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291519248"/>
        <w:rPr>
          <w:rFonts w:eastAsia="Times New Roman"/>
        </w:rPr>
      </w:pPr>
      <w:r>
        <w:rPr>
          <w:rFonts w:eastAsia="Times New Roman"/>
          <w:b/>
          <w:bCs/>
          <w:color w:val="000000"/>
          <w:sz w:val="20"/>
          <w:szCs w:val="20"/>
        </w:rPr>
        <w:t>UGI Corporation and Subsidiaries</w:t>
      </w:r>
    </w:p>
    <w:p w:rsidR="00000000" w:rsidRDefault="00AC31B9">
      <w:pPr>
        <w:divId w:val="1273049364"/>
        <w:rPr>
          <w:rFonts w:eastAsia="Times New Roman"/>
        </w:rPr>
      </w:pPr>
      <w:r>
        <w:rPr>
          <w:rFonts w:eastAsia="Times New Roman"/>
          <w:b/>
          <w:bCs/>
          <w:color w:val="000000"/>
          <w:sz w:val="20"/>
          <w:szCs w:val="20"/>
        </w:rPr>
        <w:t>Notes to Consolidated Financial Stateme</w:t>
      </w:r>
      <w:r>
        <w:rPr>
          <w:rFonts w:eastAsia="Times New Roman"/>
          <w:b/>
          <w:bCs/>
          <w:color w:val="000000"/>
          <w:sz w:val="20"/>
          <w:szCs w:val="20"/>
        </w:rPr>
        <w:t>nts</w:t>
      </w:r>
    </w:p>
    <w:p w:rsidR="00000000" w:rsidRDefault="00AC31B9">
      <w:pPr>
        <w:divId w:val="1366518311"/>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266280010"/>
        <w:rPr>
          <w:rFonts w:eastAsia="Times New Roman"/>
        </w:rPr>
      </w:pPr>
      <w:r>
        <w:rPr>
          <w:rFonts w:eastAsia="Times New Roman"/>
          <w:color w:val="000000"/>
          <w:sz w:val="20"/>
          <w:szCs w:val="20"/>
        </w:rPr>
        <w:t>such, the Company has elected to recognize revenue in the amount to which we have a right to invoice which is based on market prices at the time of the delivery of the elect</w:t>
      </w:r>
      <w:r>
        <w:rPr>
          <w:rFonts w:eastAsia="Times New Roman"/>
          <w:color w:val="000000"/>
          <w:sz w:val="20"/>
          <w:szCs w:val="20"/>
        </w:rPr>
        <w:t>ricity to the customers.</w:t>
      </w:r>
    </w:p>
    <w:p w:rsidR="00000000" w:rsidRDefault="00AC31B9">
      <w:pPr>
        <w:jc w:val="both"/>
        <w:rPr>
          <w:rFonts w:eastAsia="Times New Roman"/>
        </w:rPr>
      </w:pPr>
      <w:r>
        <w:rPr>
          <w:rFonts w:eastAsia="Times New Roman"/>
          <w:color w:val="000000"/>
          <w:sz w:val="20"/>
          <w:szCs w:val="20"/>
          <w:u w:val="single"/>
        </w:rPr>
        <w:t>Other.</w:t>
      </w:r>
      <w:r>
        <w:rPr>
          <w:rFonts w:eastAsia="Times New Roman"/>
          <w:color w:val="000000"/>
          <w:sz w:val="20"/>
          <w:szCs w:val="20"/>
        </w:rPr>
        <w:t xml:space="preserve"> Other revenues from contracts with customers are generated primarily from AmeriGas Propane’s parts and services business. The performance obligations of this business include installation and repair services. The performance</w:t>
      </w:r>
      <w:r>
        <w:rPr>
          <w:rFonts w:eastAsia="Times New Roman"/>
          <w:color w:val="000000"/>
          <w:sz w:val="20"/>
          <w:szCs w:val="20"/>
        </w:rPr>
        <w:t xml:space="preserve"> obligations under these contracts are satisfied, and revenue is recognized, as control of the product is transferred or the services are rendered. Other LPG revenues from contracts with customers are generated primarily from certain fees AmeriGas Propane </w:t>
      </w:r>
      <w:r>
        <w:rPr>
          <w:rFonts w:eastAsia="Times New Roman"/>
          <w:color w:val="000000"/>
          <w:sz w:val="20"/>
          <w:szCs w:val="20"/>
        </w:rPr>
        <w:t>and UGI International charge associated with the delivery of LPG, including hazmat safety compliance, inspection, metering, installation, fuel recovery and certain other services. Revenues from fees are typically recorded when the LPG is delivered to the c</w:t>
      </w:r>
      <w:r>
        <w:rPr>
          <w:rFonts w:eastAsia="Times New Roman"/>
          <w:color w:val="000000"/>
          <w:sz w:val="20"/>
          <w:szCs w:val="20"/>
        </w:rPr>
        <w:t xml:space="preserve">ustomer or the associated service is completed. </w:t>
      </w:r>
    </w:p>
    <w:p w:rsidR="00000000" w:rsidRDefault="00AC31B9">
      <w:pPr>
        <w:divId w:val="1693217795"/>
        <w:rPr>
          <w:rFonts w:eastAsia="Times New Roman"/>
        </w:rPr>
      </w:pPr>
    </w:p>
    <w:p w:rsidR="00000000" w:rsidRDefault="00AC31B9">
      <w:pPr>
        <w:jc w:val="both"/>
        <w:divId w:val="1109814069"/>
        <w:rPr>
          <w:rFonts w:eastAsia="Times New Roman"/>
        </w:rPr>
      </w:pPr>
      <w:r>
        <w:rPr>
          <w:rFonts w:eastAsia="Times New Roman"/>
          <w:b/>
          <w:bCs/>
          <w:color w:val="000000"/>
          <w:sz w:val="20"/>
          <w:szCs w:val="20"/>
        </w:rPr>
        <w:t>Revenue Disaggregation</w:t>
      </w:r>
    </w:p>
    <w:p w:rsidR="00000000" w:rsidRDefault="00AC31B9">
      <w:pPr>
        <w:jc w:val="both"/>
        <w:divId w:val="554514235"/>
        <w:rPr>
          <w:rFonts w:eastAsia="Times New Roman"/>
        </w:rPr>
      </w:pPr>
      <w:r>
        <w:rPr>
          <w:rFonts w:eastAsia="Times New Roman"/>
          <w:color w:val="000000"/>
          <w:sz w:val="20"/>
          <w:szCs w:val="20"/>
        </w:rPr>
        <w:t>The following tables present our disaggregated revenues by reportable segment during Fiscal 2023, Fiscal 2022 and Fiscal 2021:</w:t>
      </w:r>
    </w:p>
    <w:tbl>
      <w:tblPr>
        <w:tblW w:w="5000" w:type="pct"/>
        <w:tblCellMar>
          <w:top w:w="15" w:type="dxa"/>
          <w:left w:w="15" w:type="dxa"/>
          <w:bottom w:w="15" w:type="dxa"/>
          <w:right w:w="15" w:type="dxa"/>
        </w:tblCellMar>
        <w:tblLook w:val="04A0" w:firstRow="1" w:lastRow="0" w:firstColumn="1" w:lastColumn="0" w:noHBand="0" w:noVBand="1"/>
      </w:tblPr>
      <w:tblGrid>
        <w:gridCol w:w="42"/>
        <w:gridCol w:w="1510"/>
        <w:gridCol w:w="38"/>
        <w:gridCol w:w="36"/>
        <w:gridCol w:w="36"/>
        <w:gridCol w:w="36"/>
        <w:gridCol w:w="110"/>
        <w:gridCol w:w="450"/>
        <w:gridCol w:w="36"/>
        <w:gridCol w:w="36"/>
        <w:gridCol w:w="36"/>
        <w:gridCol w:w="36"/>
        <w:gridCol w:w="111"/>
        <w:gridCol w:w="900"/>
        <w:gridCol w:w="36"/>
        <w:gridCol w:w="36"/>
        <w:gridCol w:w="36"/>
        <w:gridCol w:w="36"/>
        <w:gridCol w:w="111"/>
        <w:gridCol w:w="723"/>
        <w:gridCol w:w="36"/>
        <w:gridCol w:w="36"/>
        <w:gridCol w:w="36"/>
        <w:gridCol w:w="36"/>
        <w:gridCol w:w="111"/>
        <w:gridCol w:w="855"/>
        <w:gridCol w:w="36"/>
        <w:gridCol w:w="36"/>
        <w:gridCol w:w="36"/>
        <w:gridCol w:w="36"/>
        <w:gridCol w:w="111"/>
        <w:gridCol w:w="764"/>
        <w:gridCol w:w="36"/>
        <w:gridCol w:w="36"/>
        <w:gridCol w:w="36"/>
        <w:gridCol w:w="36"/>
        <w:gridCol w:w="111"/>
        <w:gridCol w:w="538"/>
        <w:gridCol w:w="36"/>
        <w:gridCol w:w="36"/>
        <w:gridCol w:w="36"/>
        <w:gridCol w:w="36"/>
        <w:gridCol w:w="111"/>
        <w:gridCol w:w="702"/>
        <w:gridCol w:w="36"/>
      </w:tblGrid>
      <w:tr w:rsidR="00000000">
        <w:trPr>
          <w:divId w:val="554514235"/>
        </w:trPr>
        <w:tc>
          <w:tcPr>
            <w:tcW w:w="50" w:type="pct"/>
            <w:vAlign w:val="center"/>
            <w:hideMark/>
          </w:tcPr>
          <w:p w:rsidR="00000000" w:rsidRDefault="00AC31B9">
            <w:pPr>
              <w:jc w:val="both"/>
              <w:rPr>
                <w:rFonts w:eastAsia="Times New Roman"/>
              </w:rPr>
            </w:pPr>
          </w:p>
        </w:tc>
        <w:tc>
          <w:tcPr>
            <w:tcW w:w="134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8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7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9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4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2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6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7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554514235"/>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Total</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Eliminations</w:t>
            </w:r>
            <w:r>
              <w:rPr>
                <w:rFonts w:eastAsia="Times New Roman"/>
                <w:color w:val="000000"/>
                <w:sz w:val="18"/>
                <w:szCs w:val="18"/>
              </w:rPr>
              <w:br/>
              <w:t>(a)</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AmeriGas Propane</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UGI International</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Midstream &amp; Marketing</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Utilities</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Corporate &amp; Other</w:t>
            </w:r>
          </w:p>
        </w:tc>
      </w:tr>
      <w:tr w:rsidR="00000000">
        <w:trPr>
          <w:divId w:val="554514235"/>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18"/>
                <w:szCs w:val="18"/>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554514235"/>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554514235"/>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Core Market: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AC31B9">
        <w:trPr>
          <w:divId w:val="554514235"/>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Residential</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1,020 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1,020 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54514235"/>
        </w:trPr>
        <w:tc>
          <w:tcPr>
            <w:tcW w:w="0" w:type="auto"/>
            <w:gridSpan w:val="3"/>
            <w:shd w:val="clear" w:color="auto" w:fill="CCEE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413 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413 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54514235"/>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177 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177 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54514235"/>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89 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(73)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162 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54514235"/>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43 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54514235"/>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Total Utility</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1,742 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1,816 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54514235"/>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554514235"/>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LPG:</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554514235"/>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Retail</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3,952 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2,184 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1,768 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54514235"/>
        </w:trPr>
        <w:tc>
          <w:tcPr>
            <w:tcW w:w="0" w:type="auto"/>
            <w:gridSpan w:val="3"/>
            <w:shd w:val="clear" w:color="auto" w:fill="CCEE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Wholesale</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325 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118 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207 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54514235"/>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2,139 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(143)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872 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1,410 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54514235"/>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Midstream:</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554514235"/>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Pipeline</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251 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251 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54514235"/>
        </w:trPr>
        <w:tc>
          <w:tcPr>
            <w:tcW w:w="0" w:type="auto"/>
            <w:gridSpan w:val="3"/>
            <w:shd w:val="clear" w:color="auto" w:fill="CCEE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Peaking</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(106)</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137 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54514235"/>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54514235"/>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54514235"/>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274 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194 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54514235"/>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7,019 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2,496 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2,927 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54514235"/>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18"/>
                <w:szCs w:val="18"/>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8,761 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2,496 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2,927 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1,845 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1,816 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554514235"/>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Other revenues (b)(c)</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167 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85 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554514235"/>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18"/>
                <w:szCs w:val="18"/>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8,928 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2,581 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2,965 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1,847 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1,854 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center"/>
        <w:divId w:val="2095081496"/>
        <w:rPr>
          <w:rFonts w:eastAsia="Times New Roman"/>
        </w:rPr>
      </w:pPr>
      <w:r>
        <w:rPr>
          <w:rFonts w:eastAsia="Times New Roman"/>
          <w:color w:val="000000"/>
          <w:sz w:val="20"/>
          <w:szCs w:val="20"/>
        </w:rPr>
        <w:t>F-21</w:t>
      </w:r>
    </w:p>
    <w:p w:rsidR="00000000" w:rsidRDefault="00AC31B9">
      <w:pPr>
        <w:rPr>
          <w:rFonts w:eastAsia="Times New Roman"/>
        </w:rPr>
      </w:pPr>
      <w:r>
        <w:rPr>
          <w:rFonts w:eastAsia="Times New Roman"/>
        </w:rPr>
        <w:pict>
          <v:rect id="_x0000_i1139" style="width:0;height:1.5pt" o:hralign="center" o:hrstd="t" o:hr="t" fillcolor="#a0a0a0" stroked="f"/>
        </w:pict>
      </w:r>
    </w:p>
    <w:p w:rsidR="00000000" w:rsidRDefault="00AC31B9">
      <w:pPr>
        <w:divId w:val="1567833504"/>
        <w:rPr>
          <w:rFonts w:eastAsia="Times New Roman"/>
        </w:rPr>
      </w:pPr>
      <w:hyperlink w:anchor="ic92dd05487854a4eaece953328045c39_7" w:history="1">
        <w:r>
          <w:rPr>
            <w:rStyle w:val="a3"/>
            <w:rFonts w:eastAsia="Times New Roman"/>
            <w:sz w:val="20"/>
            <w:szCs w:val="20"/>
          </w:rPr>
          <w:t>Ta</w:t>
        </w:r>
        <w:r>
          <w:rPr>
            <w:rStyle w:val="a3"/>
            <w:rFonts w:eastAsia="Times New Roman"/>
            <w:sz w:val="20"/>
            <w:szCs w:val="20"/>
          </w:rPr>
          <w:t>ble of Contents</w:t>
        </w:r>
      </w:hyperlink>
    </w:p>
    <w:p w:rsidR="00000000" w:rsidRDefault="00AC31B9">
      <w:pPr>
        <w:divId w:val="1066075086"/>
        <w:rPr>
          <w:rFonts w:eastAsia="Times New Roman"/>
        </w:rPr>
      </w:pPr>
      <w:r>
        <w:rPr>
          <w:rFonts w:eastAsia="Times New Roman"/>
          <w:b/>
          <w:bCs/>
          <w:color w:val="000000"/>
          <w:sz w:val="20"/>
          <w:szCs w:val="20"/>
        </w:rPr>
        <w:t>UGI Corporation and Subsidiaries</w:t>
      </w:r>
    </w:p>
    <w:p w:rsidR="00000000" w:rsidRDefault="00AC31B9">
      <w:pPr>
        <w:divId w:val="1818306166"/>
        <w:rPr>
          <w:rFonts w:eastAsia="Times New Roman"/>
        </w:rPr>
      </w:pPr>
      <w:r>
        <w:rPr>
          <w:rFonts w:eastAsia="Times New Roman"/>
          <w:b/>
          <w:bCs/>
          <w:color w:val="000000"/>
          <w:sz w:val="20"/>
          <w:szCs w:val="20"/>
        </w:rPr>
        <w:t>Notes to Consolidated Financial Statements</w:t>
      </w:r>
    </w:p>
    <w:p w:rsidR="00000000" w:rsidRDefault="00AC31B9">
      <w:pPr>
        <w:divId w:val="470754336"/>
        <w:rPr>
          <w:rFonts w:eastAsia="Times New Roman"/>
        </w:rPr>
      </w:pPr>
      <w:r>
        <w:rPr>
          <w:rFonts w:eastAsia="Times New Roman"/>
          <w:color w:val="000000"/>
          <w:sz w:val="20"/>
          <w:szCs w:val="20"/>
        </w:rPr>
        <w:t>(Currency in millions, except per share amounts and where indicated otherwise)</w:t>
      </w:r>
    </w:p>
    <w:tbl>
      <w:tblPr>
        <w:tblW w:w="5000" w:type="pct"/>
        <w:tblCellMar>
          <w:top w:w="15" w:type="dxa"/>
          <w:left w:w="15" w:type="dxa"/>
          <w:bottom w:w="15" w:type="dxa"/>
          <w:right w:w="15" w:type="dxa"/>
        </w:tblCellMar>
        <w:tblLook w:val="04A0" w:firstRow="1" w:lastRow="0" w:firstColumn="1" w:lastColumn="0" w:noHBand="0" w:noVBand="1"/>
      </w:tblPr>
      <w:tblGrid>
        <w:gridCol w:w="42"/>
        <w:gridCol w:w="1420"/>
        <w:gridCol w:w="38"/>
        <w:gridCol w:w="36"/>
        <w:gridCol w:w="36"/>
        <w:gridCol w:w="36"/>
        <w:gridCol w:w="110"/>
        <w:gridCol w:w="540"/>
        <w:gridCol w:w="36"/>
        <w:gridCol w:w="36"/>
        <w:gridCol w:w="36"/>
        <w:gridCol w:w="36"/>
        <w:gridCol w:w="111"/>
        <w:gridCol w:w="900"/>
        <w:gridCol w:w="36"/>
        <w:gridCol w:w="36"/>
        <w:gridCol w:w="36"/>
        <w:gridCol w:w="36"/>
        <w:gridCol w:w="111"/>
        <w:gridCol w:w="723"/>
        <w:gridCol w:w="36"/>
        <w:gridCol w:w="36"/>
        <w:gridCol w:w="36"/>
        <w:gridCol w:w="36"/>
        <w:gridCol w:w="111"/>
        <w:gridCol w:w="855"/>
        <w:gridCol w:w="36"/>
        <w:gridCol w:w="36"/>
        <w:gridCol w:w="36"/>
        <w:gridCol w:w="36"/>
        <w:gridCol w:w="111"/>
        <w:gridCol w:w="764"/>
        <w:gridCol w:w="36"/>
        <w:gridCol w:w="36"/>
        <w:gridCol w:w="36"/>
        <w:gridCol w:w="36"/>
        <w:gridCol w:w="111"/>
        <w:gridCol w:w="538"/>
        <w:gridCol w:w="36"/>
        <w:gridCol w:w="36"/>
        <w:gridCol w:w="36"/>
        <w:gridCol w:w="36"/>
        <w:gridCol w:w="111"/>
        <w:gridCol w:w="702"/>
        <w:gridCol w:w="36"/>
      </w:tblGrid>
      <w:tr w:rsidR="00000000">
        <w:trPr>
          <w:divId w:val="304359754"/>
        </w:trPr>
        <w:tc>
          <w:tcPr>
            <w:tcW w:w="50" w:type="pct"/>
            <w:vAlign w:val="center"/>
            <w:hideMark/>
          </w:tcPr>
          <w:p w:rsidR="00000000" w:rsidRDefault="00AC31B9">
            <w:pPr>
              <w:rPr>
                <w:rFonts w:eastAsia="Times New Roman"/>
              </w:rPr>
            </w:pPr>
          </w:p>
        </w:tc>
        <w:tc>
          <w:tcPr>
            <w:tcW w:w="134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8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7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9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4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2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6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7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304359754"/>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Total</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w:t>
            </w:r>
            <w:r>
              <w:rPr>
                <w:rFonts w:eastAsia="Times New Roman"/>
                <w:color w:val="000000"/>
                <w:sz w:val="18"/>
                <w:szCs w:val="18"/>
              </w:rPr>
              <w:t>Eliminations</w:t>
            </w:r>
            <w:r>
              <w:rPr>
                <w:rFonts w:eastAsia="Times New Roman"/>
                <w:color w:val="000000"/>
                <w:sz w:val="18"/>
                <w:szCs w:val="18"/>
              </w:rPr>
              <w:br/>
              <w:t>(a)</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AmeriGas Propane</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UGI International</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Midstream &amp; Marketing</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Utilities</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Corporate &amp; Other</w:t>
            </w:r>
          </w:p>
        </w:tc>
      </w:tr>
      <w:tr w:rsidR="00000000">
        <w:trPr>
          <w:divId w:val="304359754"/>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18"/>
                <w:szCs w:val="18"/>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304359754"/>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304359754"/>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Core Market: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AC31B9">
        <w:trPr>
          <w:divId w:val="304359754"/>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Residential</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875 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875 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04359754"/>
        </w:trPr>
        <w:tc>
          <w:tcPr>
            <w:tcW w:w="0" w:type="auto"/>
            <w:gridSpan w:val="3"/>
            <w:shd w:val="clear" w:color="auto" w:fill="CCEE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365 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365 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04359754"/>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171 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171 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04359754"/>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(104)</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180 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04359754"/>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04359754"/>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Total Utility</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1,615 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04359754"/>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304359754"/>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LPG:</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304359754"/>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Retail</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4,436 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2,439 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1,997 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04359754"/>
        </w:trPr>
        <w:tc>
          <w:tcPr>
            <w:tcW w:w="0" w:type="auto"/>
            <w:gridSpan w:val="3"/>
            <w:shd w:val="clear" w:color="auto" w:fill="CCEE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Wholesale</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496 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218 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278 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04359754"/>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2,951 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(264)</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1,298 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1,917 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04359754"/>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Midstream:</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304359754"/>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Pipeline</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211 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211 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04359754"/>
        </w:trPr>
        <w:tc>
          <w:tcPr>
            <w:tcW w:w="0" w:type="auto"/>
            <w:gridSpan w:val="3"/>
            <w:shd w:val="clear" w:color="auto" w:fill="CCEE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Peaking</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(105)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153 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04359754"/>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04359754"/>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04359754"/>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286 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207 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79 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04359754"/>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8,471 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2,864 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04359754"/>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18"/>
                <w:szCs w:val="18"/>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9,981 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(474)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3,652 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2,324 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1,615 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04359754"/>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125 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79 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304359754"/>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18"/>
                <w:szCs w:val="18"/>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10,106 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(477)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2,943 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3,686 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2,326 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1,620 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center"/>
        <w:divId w:val="124127460"/>
        <w:rPr>
          <w:rFonts w:eastAsia="Times New Roman"/>
        </w:rPr>
      </w:pPr>
      <w:r>
        <w:rPr>
          <w:rFonts w:eastAsia="Times New Roman"/>
          <w:color w:val="000000"/>
          <w:sz w:val="20"/>
          <w:szCs w:val="20"/>
        </w:rPr>
        <w:t>F-22</w:t>
      </w:r>
    </w:p>
    <w:p w:rsidR="00000000" w:rsidRDefault="00AC31B9">
      <w:pPr>
        <w:rPr>
          <w:rFonts w:eastAsia="Times New Roman"/>
        </w:rPr>
      </w:pPr>
      <w:r>
        <w:rPr>
          <w:rFonts w:eastAsia="Times New Roman"/>
        </w:rPr>
        <w:pict>
          <v:rect id="_x0000_i1140" style="width:0;height:1.5pt" o:hralign="center" o:hrstd="t" o:hr="t" fillcolor="#a0a0a0" stroked="f"/>
        </w:pict>
      </w:r>
    </w:p>
    <w:p w:rsidR="00000000" w:rsidRDefault="00AC31B9">
      <w:pPr>
        <w:divId w:val="261300092"/>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606571766"/>
        <w:rPr>
          <w:rFonts w:eastAsia="Times New Roman"/>
        </w:rPr>
      </w:pPr>
      <w:r>
        <w:rPr>
          <w:rFonts w:eastAsia="Times New Roman"/>
          <w:b/>
          <w:bCs/>
          <w:color w:val="000000"/>
          <w:sz w:val="20"/>
          <w:szCs w:val="20"/>
        </w:rPr>
        <w:t>UGI Corporation and Subsidiaries</w:t>
      </w:r>
    </w:p>
    <w:p w:rsidR="00000000" w:rsidRDefault="00AC31B9">
      <w:pPr>
        <w:divId w:val="1097361343"/>
        <w:rPr>
          <w:rFonts w:eastAsia="Times New Roman"/>
        </w:rPr>
      </w:pPr>
      <w:r>
        <w:rPr>
          <w:rFonts w:eastAsia="Times New Roman"/>
          <w:b/>
          <w:bCs/>
          <w:color w:val="000000"/>
          <w:sz w:val="20"/>
          <w:szCs w:val="20"/>
        </w:rPr>
        <w:t>Notes to Consolidated Financial Statements</w:t>
      </w:r>
    </w:p>
    <w:p w:rsidR="00000000" w:rsidRDefault="00AC31B9">
      <w:pPr>
        <w:divId w:val="610165564"/>
        <w:rPr>
          <w:rFonts w:eastAsia="Times New Roman"/>
        </w:rPr>
      </w:pPr>
      <w:r>
        <w:rPr>
          <w:rFonts w:eastAsia="Times New Roman"/>
          <w:color w:val="000000"/>
          <w:sz w:val="20"/>
          <w:szCs w:val="20"/>
        </w:rPr>
        <w:t>(Currency in millions, except per share amounts and where indicated otherwise)</w:t>
      </w:r>
    </w:p>
    <w:tbl>
      <w:tblPr>
        <w:tblW w:w="5000" w:type="pct"/>
        <w:tblCellMar>
          <w:top w:w="15" w:type="dxa"/>
          <w:left w:w="15" w:type="dxa"/>
          <w:bottom w:w="15" w:type="dxa"/>
          <w:right w:w="15" w:type="dxa"/>
        </w:tblCellMar>
        <w:tblLook w:val="04A0" w:firstRow="1" w:lastRow="0" w:firstColumn="1" w:lastColumn="0" w:noHBand="0" w:noVBand="1"/>
      </w:tblPr>
      <w:tblGrid>
        <w:gridCol w:w="42"/>
        <w:gridCol w:w="1510"/>
        <w:gridCol w:w="38"/>
        <w:gridCol w:w="36"/>
        <w:gridCol w:w="36"/>
        <w:gridCol w:w="36"/>
        <w:gridCol w:w="110"/>
        <w:gridCol w:w="450"/>
        <w:gridCol w:w="36"/>
        <w:gridCol w:w="36"/>
        <w:gridCol w:w="36"/>
        <w:gridCol w:w="36"/>
        <w:gridCol w:w="111"/>
        <w:gridCol w:w="900"/>
        <w:gridCol w:w="36"/>
        <w:gridCol w:w="36"/>
        <w:gridCol w:w="36"/>
        <w:gridCol w:w="36"/>
        <w:gridCol w:w="111"/>
        <w:gridCol w:w="723"/>
        <w:gridCol w:w="36"/>
        <w:gridCol w:w="36"/>
        <w:gridCol w:w="36"/>
        <w:gridCol w:w="36"/>
        <w:gridCol w:w="111"/>
        <w:gridCol w:w="855"/>
        <w:gridCol w:w="36"/>
        <w:gridCol w:w="36"/>
        <w:gridCol w:w="36"/>
        <w:gridCol w:w="36"/>
        <w:gridCol w:w="111"/>
        <w:gridCol w:w="764"/>
        <w:gridCol w:w="36"/>
        <w:gridCol w:w="36"/>
        <w:gridCol w:w="36"/>
        <w:gridCol w:w="36"/>
        <w:gridCol w:w="111"/>
        <w:gridCol w:w="538"/>
        <w:gridCol w:w="36"/>
        <w:gridCol w:w="36"/>
        <w:gridCol w:w="36"/>
        <w:gridCol w:w="36"/>
        <w:gridCol w:w="111"/>
        <w:gridCol w:w="702"/>
        <w:gridCol w:w="36"/>
      </w:tblGrid>
      <w:tr w:rsidR="00000000">
        <w:trPr>
          <w:divId w:val="774207145"/>
        </w:trPr>
        <w:tc>
          <w:tcPr>
            <w:tcW w:w="50" w:type="pct"/>
            <w:vAlign w:val="center"/>
            <w:hideMark/>
          </w:tcPr>
          <w:p w:rsidR="00000000" w:rsidRDefault="00AC31B9">
            <w:pPr>
              <w:rPr>
                <w:rFonts w:eastAsia="Times New Roman"/>
              </w:rPr>
            </w:pPr>
          </w:p>
        </w:tc>
        <w:tc>
          <w:tcPr>
            <w:tcW w:w="134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8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7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9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4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2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6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7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774207145"/>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Total</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w:t>
            </w:r>
            <w:r>
              <w:rPr>
                <w:rFonts w:eastAsia="Times New Roman"/>
                <w:color w:val="000000"/>
                <w:sz w:val="18"/>
                <w:szCs w:val="18"/>
              </w:rPr>
              <w:t>Eliminations</w:t>
            </w:r>
            <w:r>
              <w:rPr>
                <w:rFonts w:eastAsia="Times New Roman"/>
                <w:color w:val="000000"/>
                <w:sz w:val="18"/>
                <w:szCs w:val="18"/>
              </w:rPr>
              <w:br/>
              <w:t>(a)</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AmeriGas Propane</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UGI International</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Midstream &amp; Marketing</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Utilities</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Corporate &amp; Other</w:t>
            </w:r>
          </w:p>
        </w:tc>
      </w:tr>
      <w:tr w:rsidR="00000000">
        <w:trPr>
          <w:divId w:val="774207145"/>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18"/>
                <w:szCs w:val="18"/>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774207145"/>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774207145"/>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Core Market: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AC31B9">
        <w:trPr>
          <w:divId w:val="774207145"/>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Residential</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568 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568 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74207145"/>
        </w:trPr>
        <w:tc>
          <w:tcPr>
            <w:tcW w:w="0" w:type="auto"/>
            <w:gridSpan w:val="3"/>
            <w:shd w:val="clear" w:color="auto" w:fill="CCEE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218 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218 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74207145"/>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148 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148 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74207145"/>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(62)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113 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74207145"/>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74207145"/>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Total Utility</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1,006 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1,070 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74207145"/>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774207145"/>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LPG:</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774207145"/>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Retail</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3,957 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2,203 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1,754 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74207145"/>
        </w:trPr>
        <w:tc>
          <w:tcPr>
            <w:tcW w:w="0" w:type="auto"/>
            <w:gridSpan w:val="3"/>
            <w:shd w:val="clear" w:color="auto" w:fill="CCEE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Wholesale</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328 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139 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189 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74207145"/>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1,564 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(126)</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605 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1,085 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74207145"/>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Midstream:</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774207145"/>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Pipeline</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181 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181 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74207145"/>
        </w:trPr>
        <w:tc>
          <w:tcPr>
            <w:tcW w:w="0" w:type="auto"/>
            <w:gridSpan w:val="3"/>
            <w:shd w:val="clear" w:color="auto" w:fill="CCEE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Peaking</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(98)</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114 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74207145"/>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74207145"/>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74207145"/>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275 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206 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69 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74207145"/>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6,342 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2,548 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2,617 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1,401 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74207145"/>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18"/>
                <w:szCs w:val="18"/>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7,348 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2,548 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2,617 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1,401 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1,070 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774207145"/>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99 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66 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774207145"/>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18"/>
                <w:szCs w:val="18"/>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7,447 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(291)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2,614 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2,651 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1,406 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1,079 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ind w:hanging="360"/>
        <w:divId w:val="1407920076"/>
        <w:rPr>
          <w:rFonts w:eastAsia="Times New Roman"/>
        </w:rPr>
      </w:pPr>
      <w:r>
        <w:rPr>
          <w:rFonts w:eastAsia="Times New Roman"/>
          <w:color w:val="000000"/>
          <w:sz w:val="20"/>
          <w:szCs w:val="20"/>
        </w:rPr>
        <w:t>(a)Includes intersegment revenues principally among Midstream &amp; Marketing, Utilities and AmeriGas Pro</w:t>
      </w:r>
      <w:r>
        <w:rPr>
          <w:rFonts w:eastAsia="Times New Roman"/>
          <w:color w:val="000000"/>
          <w:sz w:val="20"/>
          <w:szCs w:val="20"/>
        </w:rPr>
        <w:t>pane.</w:t>
      </w:r>
    </w:p>
    <w:p w:rsidR="00000000" w:rsidRDefault="00AC31B9">
      <w:pPr>
        <w:ind w:hanging="360"/>
        <w:jc w:val="both"/>
        <w:rPr>
          <w:rFonts w:eastAsia="Times New Roman"/>
        </w:rPr>
      </w:pPr>
      <w:r>
        <w:rPr>
          <w:rFonts w:eastAsia="Times New Roman"/>
          <w:color w:val="000000"/>
          <w:sz w:val="20"/>
          <w:szCs w:val="20"/>
        </w:rPr>
        <w:t>(b)Primarily represents revenues from tank rentals at AmeriGas Propane and UGI International, revenues from certain gathering assets at Midstream &amp; Marketing, revenues from alternative revenue programs at Utilities and gains and losses on commodity d</w:t>
      </w:r>
      <w:r>
        <w:rPr>
          <w:rFonts w:eastAsia="Times New Roman"/>
          <w:color w:val="000000"/>
          <w:sz w:val="20"/>
          <w:szCs w:val="20"/>
        </w:rPr>
        <w:t>erivative instruments not associated with current-period transactions reflected in Corporate &amp; Other, none of which are within the scope of ASC 606 and are accounted for in accordance with other GAAP.</w:t>
      </w:r>
    </w:p>
    <w:p w:rsidR="00000000" w:rsidRDefault="00AC31B9">
      <w:pPr>
        <w:ind w:hanging="360"/>
        <w:jc w:val="both"/>
        <w:rPr>
          <w:rFonts w:eastAsia="Times New Roman"/>
        </w:rPr>
      </w:pPr>
      <w:r>
        <w:rPr>
          <w:rFonts w:eastAsia="Times New Roman"/>
          <w:color w:val="000000"/>
          <w:sz w:val="20"/>
          <w:szCs w:val="20"/>
        </w:rPr>
        <w:t>(c)Includes the impact of the weather normalization adj</w:t>
      </w:r>
      <w:r>
        <w:rPr>
          <w:rFonts w:eastAsia="Times New Roman"/>
          <w:color w:val="000000"/>
          <w:sz w:val="20"/>
          <w:szCs w:val="20"/>
        </w:rPr>
        <w:t>ustment rider, a five-year pilot program beginning on November 1, 2022 for PA Gas Utility. See Note 9 for additional information.</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Contract Balances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timing of revenue recognition may differ from the timing of invoicing to customers or cash receipts.</w:t>
      </w:r>
      <w:r>
        <w:rPr>
          <w:rFonts w:eastAsia="Times New Roman"/>
          <w:color w:val="000000"/>
          <w:sz w:val="20"/>
          <w:szCs w:val="20"/>
        </w:rPr>
        <w:t xml:space="preserve"> Contract assets represent our right to consideration after the performance obligations have been satisfied when such right is conditioned on something other than the passage of time. Contract assets were not material at September 30, 2023 and 2022. Substa</w:t>
      </w:r>
      <w:r>
        <w:rPr>
          <w:rFonts w:eastAsia="Times New Roman"/>
          <w:color w:val="000000"/>
          <w:sz w:val="20"/>
          <w:szCs w:val="20"/>
        </w:rPr>
        <w:t>ntially all of our receivables are unconditional rights to consideration and are included in “Accounts receivable” and, in the case of Utilities, “Accrued utility revenues” on the Consolidated Balance Sheets. Amounts billed are generally due within the fol</w:t>
      </w:r>
      <w:r>
        <w:rPr>
          <w:rFonts w:eastAsia="Times New Roman"/>
          <w:color w:val="000000"/>
          <w:sz w:val="20"/>
          <w:szCs w:val="20"/>
        </w:rPr>
        <w:t xml:space="preserve">lowing month.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Contract liabilities arise when payment from a customer is received before the performance obligations have been satisfied and represent the Company’s obligations to transfer goods or services to a customer for which we have received consi</w:t>
      </w:r>
      <w:r>
        <w:rPr>
          <w:rFonts w:eastAsia="Times New Roman"/>
          <w:color w:val="000000"/>
          <w:sz w:val="20"/>
          <w:szCs w:val="20"/>
        </w:rPr>
        <w:t>deration. The balances of contract liabilities were $158 and $164 at September 30, 2023 and 2022, respectively, and are primarily included in “Deposits and advances” on the Consolidated Balance Sheets. Revenues recognized during Fiscal 2023, Fiscal 2022 an</w:t>
      </w:r>
      <w:r>
        <w:rPr>
          <w:rFonts w:eastAsia="Times New Roman"/>
          <w:color w:val="000000"/>
          <w:sz w:val="20"/>
          <w:szCs w:val="20"/>
        </w:rPr>
        <w:t xml:space="preserve">d Fiscal 2021 from the amounts included in contract liabilities at September 30, 2022, September 30, 2021 and September 30, 2020 was $127, $119 and $138, respectively. </w:t>
      </w:r>
    </w:p>
    <w:p w:rsidR="00000000" w:rsidRDefault="00AC31B9">
      <w:pPr>
        <w:jc w:val="center"/>
        <w:divId w:val="1606230239"/>
        <w:rPr>
          <w:rFonts w:eastAsia="Times New Roman"/>
        </w:rPr>
      </w:pPr>
      <w:r>
        <w:rPr>
          <w:rFonts w:eastAsia="Times New Roman"/>
          <w:color w:val="000000"/>
          <w:sz w:val="20"/>
          <w:szCs w:val="20"/>
        </w:rPr>
        <w:t>F-23</w:t>
      </w:r>
    </w:p>
    <w:p w:rsidR="00000000" w:rsidRDefault="00AC31B9">
      <w:pPr>
        <w:rPr>
          <w:rFonts w:eastAsia="Times New Roman"/>
        </w:rPr>
      </w:pPr>
      <w:r>
        <w:rPr>
          <w:rFonts w:eastAsia="Times New Roman"/>
        </w:rPr>
        <w:pict>
          <v:rect id="_x0000_i1141" style="width:0;height:1.5pt" o:hralign="center" o:hrstd="t" o:hr="t" fillcolor="#a0a0a0" stroked="f"/>
        </w:pict>
      </w:r>
    </w:p>
    <w:p w:rsidR="00000000" w:rsidRDefault="00AC31B9">
      <w:pPr>
        <w:divId w:val="1516847905"/>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444884059"/>
        <w:rPr>
          <w:rFonts w:eastAsia="Times New Roman"/>
        </w:rPr>
      </w:pPr>
      <w:r>
        <w:rPr>
          <w:rFonts w:eastAsia="Times New Roman"/>
          <w:b/>
          <w:bCs/>
          <w:color w:val="000000"/>
          <w:sz w:val="20"/>
          <w:szCs w:val="20"/>
        </w:rPr>
        <w:t>UGI Corporation and Subsidiaries</w:t>
      </w:r>
    </w:p>
    <w:p w:rsidR="00000000" w:rsidRDefault="00AC31B9">
      <w:pPr>
        <w:divId w:val="1978607351"/>
        <w:rPr>
          <w:rFonts w:eastAsia="Times New Roman"/>
        </w:rPr>
      </w:pPr>
      <w:r>
        <w:rPr>
          <w:rFonts w:eastAsia="Times New Roman"/>
          <w:b/>
          <w:bCs/>
          <w:color w:val="000000"/>
          <w:sz w:val="20"/>
          <w:szCs w:val="20"/>
        </w:rPr>
        <w:t>Notes to Consolidated Financial Statements</w:t>
      </w:r>
    </w:p>
    <w:p w:rsidR="00000000" w:rsidRDefault="00AC31B9">
      <w:pPr>
        <w:divId w:val="1557660763"/>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188640185"/>
        <w:rPr>
          <w:rFonts w:eastAsia="Times New Roman"/>
        </w:rPr>
      </w:pPr>
      <w:r>
        <w:rPr>
          <w:rFonts w:eastAsia="Times New Roman"/>
          <w:b/>
          <w:bCs/>
          <w:color w:val="000000"/>
          <w:sz w:val="20"/>
          <w:szCs w:val="20"/>
        </w:rPr>
        <w:t>Remaining Performance Obligations</w:t>
      </w:r>
    </w:p>
    <w:p w:rsidR="00000000" w:rsidRDefault="00AC31B9">
      <w:pPr>
        <w:jc w:val="both"/>
        <w:divId w:val="1034189834"/>
        <w:rPr>
          <w:rFonts w:eastAsia="Times New Roman"/>
        </w:rPr>
      </w:pPr>
      <w:r>
        <w:rPr>
          <w:rFonts w:eastAsia="Times New Roman"/>
          <w:color w:val="000000"/>
          <w:sz w:val="20"/>
          <w:szCs w:val="20"/>
        </w:rPr>
        <w:t>The Company excludes disclosures related to the aggregate amount of the transaction price allocated to certain performance obligations that are</w:t>
      </w:r>
      <w:r>
        <w:rPr>
          <w:rFonts w:eastAsia="Times New Roman"/>
          <w:color w:val="000000"/>
          <w:sz w:val="20"/>
          <w:szCs w:val="20"/>
        </w:rPr>
        <w:t xml:space="preserve"> unsatisfied as of the end of the reporting period because these contracts have an initial expected term of one year or less, or we have a right to bill the customer in an amount that corresponds directly with the value of services provided to the customer</w:t>
      </w:r>
      <w:r>
        <w:rPr>
          <w:rFonts w:eastAsia="Times New Roman"/>
          <w:color w:val="000000"/>
          <w:sz w:val="20"/>
          <w:szCs w:val="20"/>
        </w:rPr>
        <w:t xml:space="preserve"> to date. Certain contracts with customers at Midstream &amp; Marketing and Utilities contain minimum future performance obligations through 2047 and 2053, respectively. At September 30, 2023, Midstream &amp; Marketing and Utilities expect to record approximately </w:t>
      </w:r>
      <w:r>
        <w:rPr>
          <w:rFonts w:eastAsia="Times New Roman"/>
          <w:color w:val="000000"/>
          <w:sz w:val="20"/>
          <w:szCs w:val="20"/>
        </w:rPr>
        <w:t>$2.2 billion and $0.2 billion of revenues, respectively, related to the minimum future performance obligations over the remaining terms of the related contracts.</w:t>
      </w:r>
    </w:p>
    <w:p w:rsidR="00000000" w:rsidRDefault="00AC31B9">
      <w:pPr>
        <w:jc w:val="both"/>
        <w:rPr>
          <w:rFonts w:eastAsia="Times New Roman"/>
        </w:rPr>
      </w:pPr>
      <w:r>
        <w:rPr>
          <w:rFonts w:eastAsia="Times New Roman"/>
          <w:b/>
          <w:bCs/>
          <w:color w:val="000000"/>
          <w:sz w:val="20"/>
          <w:szCs w:val="20"/>
          <w:u w:val="single"/>
        </w:rPr>
        <w:t>Note 5 — Acquisitions and Dispositions</w:t>
      </w:r>
      <w:r>
        <w:rPr>
          <w:rFonts w:eastAsia="Times New Roman"/>
          <w:b/>
          <w:bCs/>
          <w:color w:val="000000"/>
          <w:sz w:val="20"/>
          <w:szCs w:val="20"/>
        </w:rPr>
        <w:t xml:space="preserve"> </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Mountaineer Acquisition</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On September 1, 2021, UGI </w:t>
      </w:r>
      <w:r>
        <w:rPr>
          <w:rFonts w:eastAsia="Times New Roman"/>
          <w:color w:val="000000"/>
          <w:sz w:val="20"/>
          <w:szCs w:val="20"/>
        </w:rPr>
        <w:t>completed the Mountaineer Acquisition in which UGI acquired all of the equity interests in Mountaineer, the largest natural gas distribution company in West Virginia, for a purchase price of $540, including the assumption of $140 principal amounts of long-</w:t>
      </w:r>
      <w:r>
        <w:rPr>
          <w:rFonts w:eastAsia="Times New Roman"/>
          <w:color w:val="000000"/>
          <w:sz w:val="20"/>
          <w:szCs w:val="20"/>
        </w:rPr>
        <w:t>term debt. The Mountaineer Acquisition was consummated pursuant to a purchase and sale agreement between UGI and the iCON Sellers and is consistent with our growth strategies, including expanding our core utility operations in the mid-Atlantic region.</w:t>
      </w:r>
      <w:r>
        <w:rPr>
          <w:rFonts w:eastAsia="Times New Roman"/>
          <w:color w:val="000000"/>
        </w:rPr>
        <w:t xml:space="preserve"> </w:t>
      </w:r>
      <w:r>
        <w:rPr>
          <w:rFonts w:eastAsia="Times New Roman"/>
          <w:color w:val="000000"/>
          <w:sz w:val="20"/>
          <w:szCs w:val="20"/>
        </w:rPr>
        <w:t xml:space="preserve">The </w:t>
      </w:r>
      <w:r>
        <w:rPr>
          <w:rFonts w:eastAsia="Times New Roman"/>
          <w:color w:val="000000"/>
          <w:sz w:val="20"/>
          <w:szCs w:val="20"/>
        </w:rPr>
        <w:t xml:space="preserve">Mountaineer Acquisition was funded with cash proceeds from </w:t>
      </w:r>
      <w:r>
        <w:rPr>
          <w:rFonts w:eastAsia="Times New Roman"/>
          <w:color w:val="000000"/>
          <w:sz w:val="20"/>
          <w:szCs w:val="20"/>
          <w:shd w:val="clear" w:color="auto" w:fill="FFFFFF"/>
        </w:rPr>
        <w:t>the 2021 UGI Corporation Senior Credit Facility $215 term loan and cash on hand including proceeds from the issuance of Equity Units</w:t>
      </w:r>
      <w:r>
        <w:rPr>
          <w:rFonts w:eastAsia="Times New Roman"/>
          <w:color w:val="000000"/>
          <w:sz w:val="20"/>
          <w:szCs w:val="20"/>
        </w:rPr>
        <w:t>. Accounts associated with Mountaineer are included within our Ut</w:t>
      </w:r>
      <w:r>
        <w:rPr>
          <w:rFonts w:eastAsia="Times New Roman"/>
          <w:color w:val="000000"/>
          <w:sz w:val="20"/>
          <w:szCs w:val="20"/>
        </w:rPr>
        <w:t xml:space="preserve">ilities reportable segment. The Company has accounted for the Mountaineer Acquisition using the acquisition method. </w:t>
      </w:r>
    </w:p>
    <w:p w:rsidR="00000000" w:rsidRDefault="00AC31B9">
      <w:pPr>
        <w:jc w:val="center"/>
        <w:divId w:val="1150561628"/>
        <w:rPr>
          <w:rFonts w:eastAsia="Times New Roman"/>
        </w:rPr>
      </w:pPr>
      <w:r>
        <w:rPr>
          <w:rFonts w:eastAsia="Times New Roman"/>
          <w:color w:val="000000"/>
          <w:sz w:val="20"/>
          <w:szCs w:val="20"/>
        </w:rPr>
        <w:t>F-24</w:t>
      </w:r>
    </w:p>
    <w:p w:rsidR="00000000" w:rsidRDefault="00AC31B9">
      <w:pPr>
        <w:rPr>
          <w:rFonts w:eastAsia="Times New Roman"/>
        </w:rPr>
      </w:pPr>
      <w:r>
        <w:rPr>
          <w:rFonts w:eastAsia="Times New Roman"/>
        </w:rPr>
        <w:pict>
          <v:rect id="_x0000_i1142" style="width:0;height:1.5pt" o:hralign="center" o:hrstd="t" o:hr="t" fillcolor="#a0a0a0" stroked="f"/>
        </w:pict>
      </w:r>
    </w:p>
    <w:p w:rsidR="00000000" w:rsidRDefault="00AC31B9">
      <w:pPr>
        <w:divId w:val="861481966"/>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615482394"/>
        <w:rPr>
          <w:rFonts w:eastAsia="Times New Roman"/>
        </w:rPr>
      </w:pPr>
      <w:r>
        <w:rPr>
          <w:rFonts w:eastAsia="Times New Roman"/>
          <w:b/>
          <w:bCs/>
          <w:color w:val="000000"/>
          <w:sz w:val="20"/>
          <w:szCs w:val="20"/>
        </w:rPr>
        <w:t>UGI Corporation and Subsidiaries</w:t>
      </w:r>
    </w:p>
    <w:p w:rsidR="00000000" w:rsidRDefault="00AC31B9">
      <w:pPr>
        <w:divId w:val="1664624555"/>
        <w:rPr>
          <w:rFonts w:eastAsia="Times New Roman"/>
        </w:rPr>
      </w:pPr>
      <w:r>
        <w:rPr>
          <w:rFonts w:eastAsia="Times New Roman"/>
          <w:b/>
          <w:bCs/>
          <w:color w:val="000000"/>
          <w:sz w:val="20"/>
          <w:szCs w:val="20"/>
        </w:rPr>
        <w:t>Notes to Consolidated Financial Statements</w:t>
      </w:r>
    </w:p>
    <w:p w:rsidR="00000000" w:rsidRDefault="00AC31B9">
      <w:pPr>
        <w:divId w:val="1845583847"/>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AC31B9">
      <w:pPr>
        <w:jc w:val="both"/>
        <w:rPr>
          <w:rFonts w:eastAsia="Times New Roman"/>
        </w:rPr>
      </w:pPr>
      <w:r>
        <w:rPr>
          <w:rFonts w:eastAsia="Times New Roman"/>
          <w:color w:val="000000"/>
          <w:sz w:val="20"/>
          <w:szCs w:val="20"/>
        </w:rPr>
        <w:t xml:space="preserve">The components of the Mountaineer purchase accounting are as follows: </w:t>
      </w:r>
    </w:p>
    <w:p w:rsidR="00000000" w:rsidRDefault="00AC31B9">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2"/>
        <w:gridCol w:w="7006"/>
        <w:gridCol w:w="37"/>
        <w:gridCol w:w="120"/>
        <w:gridCol w:w="1055"/>
        <w:gridCol w:w="36"/>
      </w:tblGrid>
      <w:tr w:rsidR="00000000">
        <w:tc>
          <w:tcPr>
            <w:tcW w:w="50" w:type="pct"/>
            <w:vAlign w:val="center"/>
            <w:hideMark/>
          </w:tcPr>
          <w:p w:rsidR="00000000" w:rsidRDefault="00AC31B9">
            <w:pPr>
              <w:jc w:val="both"/>
              <w:rPr>
                <w:rFonts w:eastAsia="Times New Roman"/>
              </w:rPr>
            </w:pPr>
          </w:p>
        </w:tc>
        <w:tc>
          <w:tcPr>
            <w:tcW w:w="423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65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Assets acquired:</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Cash and cash equivalents </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Accounts receivable </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Inventories </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Property, plant and equipment </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397 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Other noncurrent assets </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assets acquired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trHeight w:val="300"/>
        </w:trPr>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Liabilities assumed:</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 Short-term borrowings </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 Accounts payable </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 Other current liabilities </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r>
              <w:rPr>
                <w:rFonts w:eastAsia="Times New Roman"/>
                <w:color w:val="000000"/>
                <w:sz w:val="20"/>
                <w:szCs w:val="20"/>
              </w:rPr>
              <w:t xml:space="preserve">Long-term debt </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Pension and other postretirement benefit obligation </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 Other noncurrent liabilities </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liabilities assumed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Goodwill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consideration transferred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Mountaineer is a regulated entity which accounts for the financial effects of regulation in accordance with ASC 980. The effects of regulation can impact the fair value of certain assets and liabilities acquired, and as such, the measurement of the fair va</w:t>
      </w:r>
      <w:r>
        <w:rPr>
          <w:rFonts w:eastAsia="Times New Roman"/>
          <w:color w:val="000000"/>
          <w:sz w:val="20"/>
          <w:szCs w:val="20"/>
        </w:rPr>
        <w:t>lue of regulated property assets using the predecessor’s carrying value is generally accepted since regulation attaches to the assets and regulation is so pervasive that the regulation extends to the individual assets. In certain other instances where asse</w:t>
      </w:r>
      <w:r>
        <w:rPr>
          <w:rFonts w:eastAsia="Times New Roman"/>
          <w:color w:val="000000"/>
          <w:sz w:val="20"/>
          <w:szCs w:val="20"/>
        </w:rPr>
        <w:t>ts or liabilities are subject to rate recovery, we recorded fair value adjustments to such assets and liabilities as regulatory assets and liabilities.</w:t>
      </w:r>
    </w:p>
    <w:p w:rsidR="00000000" w:rsidRDefault="00AC31B9">
      <w:pPr>
        <w:jc w:val="both"/>
        <w:rPr>
          <w:rFonts w:eastAsia="Times New Roman"/>
        </w:rPr>
      </w:pPr>
      <w:r>
        <w:rPr>
          <w:rFonts w:eastAsia="Times New Roman"/>
          <w:color w:val="000000"/>
          <w:sz w:val="20"/>
          <w:szCs w:val="20"/>
        </w:rPr>
        <w:t>The excess of the purchase price for the Mountaineer Acquisition over the fair values of the assets acqu</w:t>
      </w:r>
      <w:r>
        <w:rPr>
          <w:rFonts w:eastAsia="Times New Roman"/>
          <w:color w:val="000000"/>
          <w:sz w:val="20"/>
          <w:szCs w:val="20"/>
        </w:rPr>
        <w:t>ired and liabilities assumed has been reflected as goodwill, assigned to the Utilities reportable segment. Goodwill is attributable to the assembled workforce of Mountaineer, planned customer growth and planned growth in rate base through continued investm</w:t>
      </w:r>
      <w:r>
        <w:rPr>
          <w:rFonts w:eastAsia="Times New Roman"/>
          <w:color w:val="000000"/>
          <w:sz w:val="20"/>
          <w:szCs w:val="20"/>
        </w:rPr>
        <w:t>ent in utility infrastructure. The goodwill recognized from the Mountaineer Acquisition is not expected to be deductible for income tax purposes.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Company recognized $13 of direct transaction-related costs associated with the Mountaineer Acquisition d</w:t>
      </w:r>
      <w:r>
        <w:rPr>
          <w:rFonts w:eastAsia="Times New Roman"/>
          <w:color w:val="000000"/>
          <w:sz w:val="20"/>
          <w:szCs w:val="20"/>
        </w:rPr>
        <w:t>uring Fiscal 2021, which costs are reflected in “Operating and administrative expenses” on the 2021 Consolidated Statement of Income. The Mountaineer Acquisition did not have a material impact on the Company’s revenues or net income attributable to UGI for</w:t>
      </w:r>
      <w:r>
        <w:rPr>
          <w:rFonts w:eastAsia="Times New Roman"/>
          <w:color w:val="000000"/>
          <w:sz w:val="20"/>
          <w:szCs w:val="20"/>
        </w:rPr>
        <w:t xml:space="preserve"> Fiscal 2021. In addition, the impact of the Mountaineer Acquisition on a pro forma basis as if the Mountaineer Acquisition had occurred on October 1, 2019 was not material to the Company’s revenues or net income for Fiscal 2021.</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Acquisitions of Assets</w:t>
      </w:r>
    </w:p>
    <w:p w:rsidR="00000000" w:rsidRDefault="00AC31B9">
      <w:pPr>
        <w:divId w:val="842822301"/>
        <w:rPr>
          <w:rFonts w:eastAsia="Times New Roman"/>
        </w:rPr>
      </w:pPr>
    </w:p>
    <w:p w:rsidR="00000000" w:rsidRDefault="00AC31B9">
      <w:pPr>
        <w:jc w:val="both"/>
        <w:rPr>
          <w:rFonts w:eastAsia="Times New Roman"/>
        </w:rPr>
      </w:pPr>
      <w:r>
        <w:rPr>
          <w:rFonts w:eastAsia="Times New Roman"/>
          <w:b/>
          <w:bCs/>
          <w:i/>
          <w:iCs/>
          <w:color w:val="000000"/>
          <w:sz w:val="20"/>
          <w:szCs w:val="20"/>
        </w:rPr>
        <w:t>Pennant</w:t>
      </w:r>
      <w:r>
        <w:rPr>
          <w:rFonts w:eastAsia="Times New Roman"/>
          <w:b/>
          <w:bCs/>
          <w:color w:val="000000"/>
          <w:sz w:val="20"/>
          <w:szCs w:val="20"/>
        </w:rPr>
        <w:t xml:space="preserve">. </w:t>
      </w:r>
      <w:r>
        <w:rPr>
          <w:rFonts w:eastAsia="Times New Roman"/>
          <w:color w:val="000000"/>
          <w:sz w:val="20"/>
          <w:szCs w:val="20"/>
        </w:rPr>
        <w:t>During the fourth quarter of Fiscal 2022, Energy Services completed the Pennant Acquisition and acquired the remaining 53</w:t>
      </w:r>
      <w:r>
        <w:rPr>
          <w:rFonts w:eastAsia="Times New Roman"/>
          <w:color w:val="000000"/>
          <w:sz w:val="20"/>
          <w:szCs w:val="20"/>
        </w:rPr>
        <w:t xml:space="preserve">% of the equity interests in Pennant for total cash consideration of approximately $61. The Pennant Acquisition was funded using available cash. The acquisition of the remaining interests has been accounted for as an acquisition of assets, </w:t>
      </w:r>
    </w:p>
    <w:p w:rsidR="00000000" w:rsidRDefault="00AC31B9">
      <w:pPr>
        <w:jc w:val="center"/>
        <w:divId w:val="414978185"/>
        <w:rPr>
          <w:rFonts w:eastAsia="Times New Roman"/>
        </w:rPr>
      </w:pPr>
      <w:r>
        <w:rPr>
          <w:rFonts w:eastAsia="Times New Roman"/>
          <w:color w:val="000000"/>
          <w:sz w:val="20"/>
          <w:szCs w:val="20"/>
        </w:rPr>
        <w:t>F-25</w:t>
      </w:r>
    </w:p>
    <w:p w:rsidR="00000000" w:rsidRDefault="00AC31B9">
      <w:pPr>
        <w:rPr>
          <w:rFonts w:eastAsia="Times New Roman"/>
        </w:rPr>
      </w:pPr>
      <w:r>
        <w:rPr>
          <w:rFonts w:eastAsia="Times New Roman"/>
        </w:rPr>
        <w:pict>
          <v:rect id="_x0000_i1143" style="width:0;height:1.5pt" o:hralign="center" o:hrstd="t" o:hr="t" fillcolor="#a0a0a0" stroked="f"/>
        </w:pict>
      </w:r>
    </w:p>
    <w:p w:rsidR="00000000" w:rsidRDefault="00AC31B9">
      <w:pPr>
        <w:divId w:val="151677814"/>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836726340"/>
        <w:rPr>
          <w:rFonts w:eastAsia="Times New Roman"/>
        </w:rPr>
      </w:pPr>
      <w:r>
        <w:rPr>
          <w:rFonts w:eastAsia="Times New Roman"/>
          <w:b/>
          <w:bCs/>
          <w:color w:val="000000"/>
          <w:sz w:val="20"/>
          <w:szCs w:val="20"/>
        </w:rPr>
        <w:t>UGI Corporation and Subsidiaries</w:t>
      </w:r>
    </w:p>
    <w:p w:rsidR="00000000" w:rsidRDefault="00AC31B9">
      <w:pPr>
        <w:divId w:val="1043943380"/>
        <w:rPr>
          <w:rFonts w:eastAsia="Times New Roman"/>
        </w:rPr>
      </w:pPr>
      <w:r>
        <w:rPr>
          <w:rFonts w:eastAsia="Times New Roman"/>
          <w:b/>
          <w:bCs/>
          <w:color w:val="000000"/>
          <w:sz w:val="20"/>
          <w:szCs w:val="20"/>
        </w:rPr>
        <w:t>Notes to Consolidated Financial Statements</w:t>
      </w:r>
    </w:p>
    <w:p w:rsidR="00000000" w:rsidRDefault="00AC31B9">
      <w:pPr>
        <w:divId w:val="265426530"/>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rPr>
          <w:rFonts w:eastAsia="Times New Roman"/>
        </w:rPr>
      </w:pPr>
      <w:r>
        <w:rPr>
          <w:rFonts w:eastAsia="Times New Roman"/>
          <w:color w:val="000000"/>
          <w:sz w:val="20"/>
          <w:szCs w:val="20"/>
        </w:rPr>
        <w:t xml:space="preserve">and the purchase price has been primarily allocated to property, plant and equipment. See Note 21 for additional information related to the acquired interest in Pennant.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Ston</w:t>
      </w:r>
      <w:r>
        <w:rPr>
          <w:rFonts w:eastAsia="Times New Roman"/>
          <w:b/>
          <w:bCs/>
          <w:i/>
          <w:iCs/>
          <w:color w:val="000000"/>
          <w:sz w:val="20"/>
          <w:szCs w:val="20"/>
        </w:rPr>
        <w:t>ehenge</w:t>
      </w:r>
      <w:r>
        <w:rPr>
          <w:rFonts w:eastAsia="Times New Roman"/>
          <w:b/>
          <w:bCs/>
          <w:color w:val="000000"/>
          <w:sz w:val="20"/>
          <w:szCs w:val="20"/>
        </w:rPr>
        <w:t xml:space="preserve">. </w:t>
      </w:r>
      <w:r>
        <w:rPr>
          <w:rFonts w:eastAsia="Times New Roman"/>
          <w:color w:val="000000"/>
          <w:sz w:val="20"/>
          <w:szCs w:val="20"/>
        </w:rPr>
        <w:t>In January 2022, Energy Services completed the Stonehenge Acquisition and acquired all of the equity interests in Stonehenge for total cash consideration of approximately $190. The Stonehenge business includes a natural gas gathering system, locate</w:t>
      </w:r>
      <w:r>
        <w:rPr>
          <w:rFonts w:eastAsia="Times New Roman"/>
          <w:color w:val="000000"/>
          <w:sz w:val="20"/>
          <w:szCs w:val="20"/>
        </w:rPr>
        <w:t>d in western Pennsylvania, with more than 47 miles of pipeline and associated compression assets. The Stonehenge Acquisition is consistent with our growth strategies, including expanding our midstream natural gas gathering assets within the Appalachian bas</w:t>
      </w:r>
      <w:r>
        <w:rPr>
          <w:rFonts w:eastAsia="Times New Roman"/>
          <w:color w:val="000000"/>
          <w:sz w:val="20"/>
          <w:szCs w:val="20"/>
        </w:rPr>
        <w:t>in production region. The Stonehenge Acquisition was funded using available cash. This transaction has been accounted for as an acquisition of assets, and the purchase price has been primarily allocated to property, plant and equipment. We refer to Stonehe</w:t>
      </w:r>
      <w:r>
        <w:rPr>
          <w:rFonts w:eastAsia="Times New Roman"/>
          <w:color w:val="000000"/>
          <w:sz w:val="20"/>
          <w:szCs w:val="20"/>
        </w:rPr>
        <w:t>nge and its assets as “UGI Moraine East.”</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Dispositions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UGI International Energy Marketing Transactions</w:t>
      </w:r>
    </w:p>
    <w:p w:rsidR="00000000" w:rsidRDefault="00AC31B9">
      <w:pPr>
        <w:divId w:val="1065176293"/>
        <w:rPr>
          <w:rFonts w:eastAsia="Times New Roman"/>
        </w:rPr>
      </w:pPr>
    </w:p>
    <w:p w:rsidR="00000000" w:rsidRDefault="00AC31B9">
      <w:pPr>
        <w:jc w:val="both"/>
        <w:rPr>
          <w:rFonts w:eastAsia="Times New Roman"/>
        </w:rPr>
      </w:pPr>
      <w:r>
        <w:rPr>
          <w:rFonts w:eastAsia="Times New Roman"/>
          <w:color w:val="000000"/>
          <w:sz w:val="20"/>
          <w:szCs w:val="20"/>
        </w:rPr>
        <w:t>During Fiscal 2023 and in October 2023, the Company entered into a number of transactions pursuant to its previously announced decision to exit its</w:t>
      </w:r>
      <w:r>
        <w:rPr>
          <w:rFonts w:eastAsia="Times New Roman"/>
          <w:color w:val="000000"/>
          <w:sz w:val="20"/>
          <w:szCs w:val="20"/>
        </w:rPr>
        <w:t xml:space="preserve"> European energy marketing business. The European energy marketing business primarily markets natural gas and electricity to customers through third-party distribution systems in France, the Netherlands and, prior to its sales, in Belgium and the United Ki</w:t>
      </w:r>
      <w:r>
        <w:rPr>
          <w:rFonts w:eastAsia="Times New Roman"/>
          <w:color w:val="000000"/>
          <w:sz w:val="20"/>
          <w:szCs w:val="20"/>
        </w:rPr>
        <w:t>ngdom.</w:t>
      </w:r>
    </w:p>
    <w:p w:rsidR="00000000" w:rsidRDefault="00AC31B9">
      <w:pPr>
        <w:divId w:val="192885028"/>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France. </w:t>
      </w:r>
      <w:r>
        <w:rPr>
          <w:rFonts w:eastAsia="Times New Roman"/>
          <w:color w:val="000000"/>
          <w:sz w:val="20"/>
          <w:szCs w:val="20"/>
        </w:rPr>
        <w:t>In October 2023, UGI International, through a wholly-owned subsidiary, sold substantially all of its energy marketing business located in France for a net cash payment to the buyer of $25 (which approximates a pre-tax loss), subject to cer</w:t>
      </w:r>
      <w:r>
        <w:rPr>
          <w:rFonts w:eastAsia="Times New Roman"/>
          <w:color w:val="000000"/>
          <w:sz w:val="20"/>
          <w:szCs w:val="20"/>
        </w:rPr>
        <w:t>tain adjustments principally related to the pending transfer of certain customer contracts. As of September 30, 2023, the $25 cash to be paid to the buyer in October 2023 had been placed in escrow and is reflected in “Other current assets” on the September</w:t>
      </w:r>
      <w:r>
        <w:rPr>
          <w:rFonts w:eastAsia="Times New Roman"/>
          <w:color w:val="000000"/>
          <w:sz w:val="20"/>
          <w:szCs w:val="20"/>
        </w:rPr>
        <w:t xml:space="preserve"> 30, 2023 Consolidated Balance Sheet. The carrying values of the assets and liabilities associated with this business, principally comprising certain commodity derivative instruments, energy certificates and certain working capital, have been classified as</w:t>
      </w:r>
      <w:r>
        <w:rPr>
          <w:rFonts w:eastAsia="Times New Roman"/>
          <w:color w:val="000000"/>
          <w:sz w:val="20"/>
          <w:szCs w:val="20"/>
        </w:rPr>
        <w:t xml:space="preserve"> held-for-sale on the September 30, 2023 Consolidated Balance Sheet. The Company did not recognize any impairment associated with the assets held for sale in Fiscal 2023 because, in accordance with our policy related to such assets, any impairment is limit</w:t>
      </w:r>
      <w:r>
        <w:rPr>
          <w:rFonts w:eastAsia="Times New Roman"/>
          <w:color w:val="000000"/>
          <w:sz w:val="20"/>
          <w:szCs w:val="20"/>
        </w:rPr>
        <w:t xml:space="preserve">ed to the disposal group’s long-lived assets, and such assets were not material. </w:t>
      </w:r>
    </w:p>
    <w:p w:rsidR="00000000" w:rsidRDefault="00AC31B9">
      <w:pPr>
        <w:divId w:val="1011489562"/>
        <w:rPr>
          <w:rFonts w:eastAsia="Times New Roman"/>
        </w:rPr>
      </w:pPr>
    </w:p>
    <w:p w:rsidR="00000000" w:rsidRDefault="00AC31B9">
      <w:pPr>
        <w:jc w:val="both"/>
        <w:rPr>
          <w:rFonts w:eastAsia="Times New Roman"/>
        </w:rPr>
      </w:pPr>
      <w:r>
        <w:rPr>
          <w:rFonts w:eastAsia="Times New Roman"/>
          <w:b/>
          <w:bCs/>
          <w:i/>
          <w:iCs/>
          <w:color w:val="000000"/>
          <w:sz w:val="20"/>
          <w:szCs w:val="20"/>
        </w:rPr>
        <w:t>Belgium.</w:t>
      </w:r>
      <w:r>
        <w:rPr>
          <w:rFonts w:eastAsia="Times New Roman"/>
          <w:color w:val="000000"/>
          <w:sz w:val="20"/>
          <w:szCs w:val="20"/>
        </w:rPr>
        <w:t xml:space="preserve"> In September 2023, UGI International, through a wholly-owned subsidiary, sold its energy marketing business located in Belgium for a net cash payment to the buyer </w:t>
      </w:r>
      <w:r>
        <w:rPr>
          <w:rFonts w:eastAsia="Times New Roman"/>
          <w:color w:val="000000"/>
          <w:sz w:val="20"/>
          <w:szCs w:val="20"/>
        </w:rPr>
        <w:t>of $3. Pursuant to the sale agreement, the Company transferred to the buyer certain assets, principally comprising customer and energy broker contracts. In conjunction with the sale, the Company recorded a pre-tax loss of $6 ($5 after-tax) which amount inc</w:t>
      </w:r>
      <w:r>
        <w:rPr>
          <w:rFonts w:eastAsia="Times New Roman"/>
          <w:color w:val="000000"/>
          <w:sz w:val="20"/>
          <w:szCs w:val="20"/>
        </w:rPr>
        <w:t>ludes the net payment to the buyer, the write-off of certain prepaid energy broker payments and associated transaction costs and fees. The loss is reflected in “Loss on disposal of UGI International energy marketing business” on the Consolidated Statements</w:t>
      </w:r>
      <w:r>
        <w:rPr>
          <w:rFonts w:eastAsia="Times New Roman"/>
          <w:color w:val="000000"/>
          <w:sz w:val="20"/>
          <w:szCs w:val="20"/>
        </w:rPr>
        <w:t xml:space="preserve"> of Income.</w:t>
      </w:r>
    </w:p>
    <w:p w:rsidR="00000000" w:rsidRDefault="00AC31B9">
      <w:pPr>
        <w:divId w:val="1456832244"/>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United Kingdom. </w:t>
      </w:r>
      <w:r>
        <w:rPr>
          <w:rFonts w:eastAsia="Times New Roman"/>
          <w:color w:val="000000"/>
          <w:sz w:val="20"/>
          <w:szCs w:val="20"/>
        </w:rPr>
        <w:t xml:space="preserve">In October 2022, UGI International, through a wholly-owned subsidiary, sold its natural gas marketing business located in the U.K. for a net cash payment to the buyer of $19 which includes certain working capital adjustments. </w:t>
      </w:r>
      <w:r>
        <w:rPr>
          <w:rFonts w:eastAsia="Times New Roman"/>
          <w:color w:val="000000"/>
          <w:sz w:val="20"/>
          <w:szCs w:val="20"/>
        </w:rPr>
        <w:t xml:space="preserve">In conjunction with the sale, the Company recorded a pre-tax loss of $215 ($151 after-tax) substantially all of which loss was due to the non-cash transfer of commodity derivative instruments associated with the business. The loss is reflected in </w:t>
      </w:r>
      <w:r>
        <w:rPr>
          <w:rFonts w:eastAsia="Times New Roman"/>
          <w:color w:val="000000"/>
          <w:sz w:val="20"/>
          <w:szCs w:val="20"/>
        </w:rPr>
        <w:t>“</w:t>
      </w:r>
      <w:r>
        <w:rPr>
          <w:rFonts w:eastAsia="Times New Roman"/>
          <w:color w:val="000000"/>
          <w:sz w:val="20"/>
          <w:szCs w:val="20"/>
        </w:rPr>
        <w:t xml:space="preserve">Loss on </w:t>
      </w:r>
      <w:r>
        <w:rPr>
          <w:rFonts w:eastAsia="Times New Roman"/>
          <w:color w:val="000000"/>
          <w:sz w:val="20"/>
          <w:szCs w:val="20"/>
        </w:rPr>
        <w:t>disposal of UGI International energy marketing busines</w:t>
      </w:r>
      <w:r>
        <w:rPr>
          <w:rFonts w:eastAsia="Times New Roman"/>
          <w:color w:val="000000"/>
          <w:sz w:val="20"/>
          <w:szCs w:val="20"/>
        </w:rPr>
        <w:t>s</w:t>
      </w:r>
      <w:r>
        <w:rPr>
          <w:rFonts w:eastAsia="Times New Roman"/>
          <w:color w:val="000000"/>
          <w:sz w:val="20"/>
          <w:szCs w:val="20"/>
        </w:rPr>
        <w:t xml:space="preserve">” on the Consolidated Statements of Income. At the date of closing of the sale, these commodity derivative instruments had a net carrying value of $206 which is attributable to net unrealized gains on </w:t>
      </w:r>
      <w:r>
        <w:rPr>
          <w:rFonts w:eastAsia="Times New Roman"/>
          <w:color w:val="000000"/>
          <w:sz w:val="20"/>
          <w:szCs w:val="20"/>
        </w:rPr>
        <w:t>such instruments. At September 30, 2022, these derivative instruments were classified as held-for-sale assets and liabilities on the Consolidated Balance Sheets and had a net carrying value of $276. The change in the carrying value of these derivative inst</w:t>
      </w:r>
      <w:r>
        <w:rPr>
          <w:rFonts w:eastAsia="Times New Roman"/>
          <w:color w:val="000000"/>
          <w:sz w:val="20"/>
          <w:szCs w:val="20"/>
        </w:rPr>
        <w:t>ruments between September 30, 2022 and October 21, 2022 resulted from changes in their fair values during that period.</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Netherlands.</w:t>
      </w:r>
      <w:r>
        <w:rPr>
          <w:rFonts w:eastAsia="Times New Roman"/>
          <w:color w:val="000000"/>
          <w:sz w:val="20"/>
          <w:szCs w:val="20"/>
        </w:rPr>
        <w:t xml:space="preserve"> In September 2023, a substantial number of DVEP’s customers agreed to modify their energy marketing contracts whereby the </w:t>
      </w:r>
      <w:r>
        <w:rPr>
          <w:rFonts w:eastAsia="Times New Roman"/>
          <w:color w:val="000000"/>
          <w:sz w:val="20"/>
          <w:szCs w:val="20"/>
        </w:rPr>
        <w:t>Company will continue to provide for the delivery of electricity and natural gas at fixed prices through December 31, 2023, but the Company’s obligations to provide future services will be terminated effective January 1, 2024. As consideration for the earl</w:t>
      </w:r>
      <w:r>
        <w:rPr>
          <w:rFonts w:eastAsia="Times New Roman"/>
          <w:color w:val="000000"/>
          <w:sz w:val="20"/>
          <w:szCs w:val="20"/>
        </w:rPr>
        <w:t>y termination of such contracts, the Company has agreed to make cash payments to the customers equal to the fair values of specific commodity derivative instruments associated with periods after December 31, 2023. The carrying values of these commodity der</w:t>
      </w:r>
      <w:r>
        <w:rPr>
          <w:rFonts w:eastAsia="Times New Roman"/>
          <w:color w:val="000000"/>
          <w:sz w:val="20"/>
          <w:szCs w:val="20"/>
        </w:rPr>
        <w:t>ivative instruments are subject to change until such contracts are settled, and the cash payments are made during the first quarter of Fiscal 2024. At September 30, 2023, the carrying value of these commodity derivative instruments was $44. The early termi</w:t>
      </w:r>
      <w:r>
        <w:rPr>
          <w:rFonts w:eastAsia="Times New Roman"/>
          <w:color w:val="000000"/>
          <w:sz w:val="20"/>
          <w:szCs w:val="20"/>
        </w:rPr>
        <w:t xml:space="preserve">nation agreements with DVEP customers are considered contract modifications and the cash consideration to be paid to these customers has been, and will be reflected as a reduction in revenues, on a pro-rata </w:t>
      </w:r>
    </w:p>
    <w:p w:rsidR="00000000" w:rsidRDefault="00AC31B9">
      <w:pPr>
        <w:jc w:val="center"/>
        <w:divId w:val="40256624"/>
        <w:rPr>
          <w:rFonts w:eastAsia="Times New Roman"/>
        </w:rPr>
      </w:pPr>
      <w:r>
        <w:rPr>
          <w:rFonts w:eastAsia="Times New Roman"/>
          <w:color w:val="000000"/>
          <w:sz w:val="20"/>
          <w:szCs w:val="20"/>
        </w:rPr>
        <w:t>F-26</w:t>
      </w:r>
    </w:p>
    <w:p w:rsidR="00000000" w:rsidRDefault="00AC31B9">
      <w:pPr>
        <w:rPr>
          <w:rFonts w:eastAsia="Times New Roman"/>
        </w:rPr>
      </w:pPr>
      <w:r>
        <w:rPr>
          <w:rFonts w:eastAsia="Times New Roman"/>
        </w:rPr>
        <w:pict>
          <v:rect id="_x0000_i1144" style="width:0;height:1.5pt" o:hralign="center" o:hrstd="t" o:hr="t" fillcolor="#a0a0a0" stroked="f"/>
        </w:pict>
      </w:r>
    </w:p>
    <w:p w:rsidR="00000000" w:rsidRDefault="00AC31B9">
      <w:pPr>
        <w:divId w:val="1646624214"/>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846675321"/>
        <w:rPr>
          <w:rFonts w:eastAsia="Times New Roman"/>
        </w:rPr>
      </w:pPr>
      <w:r>
        <w:rPr>
          <w:rFonts w:eastAsia="Times New Roman"/>
          <w:b/>
          <w:bCs/>
          <w:color w:val="000000"/>
          <w:sz w:val="20"/>
          <w:szCs w:val="20"/>
        </w:rPr>
        <w:t>UGI Corporation and Subsidiaries</w:t>
      </w:r>
    </w:p>
    <w:p w:rsidR="00000000" w:rsidRDefault="00AC31B9">
      <w:pPr>
        <w:divId w:val="1694768079"/>
        <w:rPr>
          <w:rFonts w:eastAsia="Times New Roman"/>
        </w:rPr>
      </w:pPr>
      <w:r>
        <w:rPr>
          <w:rFonts w:eastAsia="Times New Roman"/>
          <w:b/>
          <w:bCs/>
          <w:color w:val="000000"/>
          <w:sz w:val="20"/>
          <w:szCs w:val="20"/>
        </w:rPr>
        <w:t>Notes to Consolidated Financial Statements</w:t>
      </w:r>
    </w:p>
    <w:p w:rsidR="00000000" w:rsidRDefault="00AC31B9">
      <w:pPr>
        <w:divId w:val="1510867979"/>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rPr>
          <w:rFonts w:eastAsia="Times New Roman"/>
        </w:rPr>
      </w:pPr>
      <w:r>
        <w:rPr>
          <w:rFonts w:eastAsia="Times New Roman"/>
          <w:color w:val="000000"/>
          <w:sz w:val="20"/>
          <w:szCs w:val="20"/>
        </w:rPr>
        <w:t>basis, over the remaining perfo</w:t>
      </w:r>
      <w:r>
        <w:rPr>
          <w:rFonts w:eastAsia="Times New Roman"/>
          <w:color w:val="000000"/>
          <w:sz w:val="20"/>
          <w:szCs w:val="20"/>
        </w:rPr>
        <w:t>rmance period of such agreements through December 31, 2023. Accordingly, during the fourth quarter of Fiscal 2023, the Company reduced its revenues from these customers by $4, which represents the pro-rated performance obligation through September 30, 2023</w:t>
      </w:r>
      <w:r>
        <w:rPr>
          <w:rFonts w:eastAsia="Times New Roman"/>
          <w:color w:val="000000"/>
          <w:sz w:val="20"/>
          <w:szCs w:val="20"/>
        </w:rPr>
        <w:t xml:space="preserve"> from the aforementioned $44.</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conjunction with the wind-down of its European energy marketing business, in July 2023, DVEP agreed to sell a substantial portion of its power purchase agreements to a third party for a cash payment to the buyer of $6. The closing of the sale is expecte</w:t>
      </w:r>
      <w:r>
        <w:rPr>
          <w:rFonts w:eastAsia="Times New Roman"/>
          <w:color w:val="000000"/>
          <w:sz w:val="20"/>
          <w:szCs w:val="20"/>
        </w:rPr>
        <w:t>d to occur during the first quarter of Fiscal 2024. The loss from the sale is not expected to be material.</w:t>
      </w:r>
    </w:p>
    <w:p w:rsidR="00000000" w:rsidRDefault="00AC31B9">
      <w:pPr>
        <w:divId w:val="827870385"/>
        <w:rPr>
          <w:rFonts w:eastAsia="Times New Roman"/>
        </w:rPr>
      </w:pPr>
    </w:p>
    <w:p w:rsidR="00000000" w:rsidRDefault="00AC31B9">
      <w:pPr>
        <w:jc w:val="both"/>
        <w:rPr>
          <w:rFonts w:eastAsia="Times New Roman"/>
        </w:rPr>
      </w:pPr>
      <w:r>
        <w:rPr>
          <w:rFonts w:eastAsia="Times New Roman"/>
          <w:color w:val="000000"/>
          <w:sz w:val="20"/>
          <w:szCs w:val="20"/>
        </w:rPr>
        <w:t xml:space="preserve">During the first quarter of Fiscal 2023, the Company recorded a $19 </w:t>
      </w:r>
      <w:r>
        <w:rPr>
          <w:rFonts w:eastAsia="Times New Roman"/>
          <w:color w:val="000000"/>
          <w:sz w:val="20"/>
          <w:szCs w:val="20"/>
        </w:rPr>
        <w:t>pre-tax impairment charge to reduce the carrying values of certain assets associated with its energy marketing business in the Netherlands, comprising property, plant and equipment and intangible assets. The impairment charge is reflected in “Operating and</w:t>
      </w:r>
      <w:r>
        <w:rPr>
          <w:rFonts w:eastAsia="Times New Roman"/>
          <w:color w:val="000000"/>
          <w:sz w:val="20"/>
          <w:szCs w:val="20"/>
        </w:rPr>
        <w:t xml:space="preserve"> administrative expenses” on the Consolidated Statements of Income and included in the UGI International reportable segment.</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 xml:space="preserve">Note 6 — Debt </w:t>
      </w:r>
    </w:p>
    <w:p w:rsidR="00000000" w:rsidRDefault="00AC31B9">
      <w:pPr>
        <w:jc w:val="both"/>
        <w:divId w:val="856236522"/>
        <w:rPr>
          <w:rFonts w:eastAsia="Times New Roman"/>
        </w:rPr>
      </w:pPr>
      <w:r>
        <w:rPr>
          <w:rFonts w:eastAsia="Times New Roman"/>
          <w:b/>
          <w:bCs/>
          <w:color w:val="000000"/>
          <w:sz w:val="20"/>
          <w:szCs w:val="20"/>
        </w:rPr>
        <w:t>Significant Financing Activities Since September 30, 2022</w:t>
      </w:r>
    </w:p>
    <w:p w:rsidR="00000000" w:rsidRDefault="00AC31B9">
      <w:pPr>
        <w:jc w:val="both"/>
        <w:divId w:val="756514133"/>
        <w:rPr>
          <w:rFonts w:eastAsia="Times New Roman"/>
        </w:rPr>
      </w:pPr>
      <w:r>
        <w:rPr>
          <w:rFonts w:eastAsia="Times New Roman"/>
          <w:b/>
          <w:bCs/>
          <w:i/>
          <w:iCs/>
          <w:color w:val="000000"/>
          <w:sz w:val="20"/>
          <w:szCs w:val="20"/>
        </w:rPr>
        <w:t>UGI Utilities 2023 Credit Agreement.</w:t>
      </w:r>
      <w:r>
        <w:rPr>
          <w:rFonts w:eastAsia="Times New Roman"/>
          <w:color w:val="000000"/>
          <w:sz w:val="20"/>
          <w:szCs w:val="20"/>
        </w:rPr>
        <w:t xml:space="preserve"> On November 9, 2023</w:t>
      </w:r>
      <w:r>
        <w:rPr>
          <w:rFonts w:eastAsia="Times New Roman"/>
          <w:color w:val="000000"/>
          <w:sz w:val="20"/>
          <w:szCs w:val="20"/>
        </w:rPr>
        <w:t>, UGI Utilities entered into the UGI Utilities 2023 Credit Agreement providing for borrowings up to $375 (including a $50 sublimit for letters of credit and a $38 sublimit for swingline loans). UGI Utilities may request an increase in the amount of loan co</w:t>
      </w:r>
      <w:r>
        <w:rPr>
          <w:rFonts w:eastAsia="Times New Roman"/>
          <w:color w:val="000000"/>
          <w:sz w:val="20"/>
          <w:szCs w:val="20"/>
        </w:rPr>
        <w:t>mmitments under the credit agreement to a maximum aggregate amount of $125. The interest rate applicable to borrowings under the UGI Utilities 2023 Credit Agreement will remain unchanged. The credit agreement contains customary covenants and default provis</w:t>
      </w:r>
      <w:r>
        <w:rPr>
          <w:rFonts w:eastAsia="Times New Roman"/>
          <w:color w:val="000000"/>
          <w:sz w:val="20"/>
          <w:szCs w:val="20"/>
        </w:rPr>
        <w:t>ions and requires compliance with certain financial covenants including a maximum debt to capitalization ratio as defined in the agreement. The maturity of the credit agreement was extended to November 2024 with an additional automatic 5-year extension upo</w:t>
      </w:r>
      <w:r>
        <w:rPr>
          <w:rFonts w:eastAsia="Times New Roman"/>
          <w:color w:val="000000"/>
          <w:sz w:val="20"/>
          <w:szCs w:val="20"/>
        </w:rPr>
        <w:t>n receipt of authorization for such extension from the PAPUC. Borrowings under the credit agreement may be used to refinance UGI Utilities existing indebtedness and for general corporate purposes and ongoing working capital needs of UGI Utilities.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On Dec</w:t>
      </w:r>
      <w:r>
        <w:rPr>
          <w:rFonts w:eastAsia="Times New Roman"/>
          <w:color w:val="000000"/>
          <w:sz w:val="20"/>
          <w:szCs w:val="20"/>
        </w:rPr>
        <w:t xml:space="preserve">ember 13, 2022, UGI Utilities entered into an amendment to the UGI Utilities Credit Agreement, providing for borrowings up to $425 and to replace the use of LIBOR with Term SOFR.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Borrowings under the amended UGI Utilities Credit Agreement bear interest,</w:t>
      </w:r>
      <w:r>
        <w:rPr>
          <w:rFonts w:eastAsia="Times New Roman"/>
          <w:color w:val="000000"/>
          <w:sz w:val="20"/>
          <w:szCs w:val="20"/>
        </w:rPr>
        <w:t xml:space="preserve"> subject to our election, at a floating rate of either (i) Term SOFR plus the applicable margin plus a credit spread adjustment of 0.10% or (ii) the base rate plus the applicable margin. The applicable margin remains unchanged from the original credit agre</w:t>
      </w:r>
      <w:r>
        <w:rPr>
          <w:rFonts w:eastAsia="Times New Roman"/>
          <w:color w:val="000000"/>
          <w:sz w:val="20"/>
          <w:szCs w:val="20"/>
        </w:rPr>
        <w:t>ement.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AmeriGas Partners Senior Notes.</w:t>
      </w:r>
      <w:r>
        <w:rPr>
          <w:rFonts w:eastAsia="Times New Roman"/>
          <w:color w:val="000000"/>
          <w:sz w:val="20"/>
          <w:szCs w:val="20"/>
        </w:rPr>
        <w:t xml:space="preserve"> On May 31, 2023, AmeriGas Partners and AmeriGas Finance Corp. issued $500 principal amount of 9.375% Senior Notes due May 2028. The 9.375% Senior Notes rank equally with AmeriGas Partners’ existing senior notes. The</w:t>
      </w:r>
      <w:r>
        <w:rPr>
          <w:rFonts w:eastAsia="Times New Roman"/>
          <w:color w:val="000000"/>
          <w:sz w:val="20"/>
          <w:szCs w:val="20"/>
        </w:rPr>
        <w:t xml:space="preserve"> net proceeds from the issuance of the 9.375% Senior Notes, together with cash on hand, a $150 cash contribution from the Company and other sources of liquidity, were used for the early repayment, pursuant to a tender offer and notice of redemption, of all</w:t>
      </w:r>
      <w:r>
        <w:rPr>
          <w:rFonts w:eastAsia="Times New Roman"/>
          <w:color w:val="000000"/>
          <w:sz w:val="20"/>
          <w:szCs w:val="20"/>
        </w:rPr>
        <w:t xml:space="preserve"> AmeriGas Partners 5.625% Senior Notes having an aggregate principal balance of $675, plus tender premiums and accrued and unpaid interest. In conjunction with the early repayment of the 5.625% Senior Notes, in June 2023 the Partnership recognized a pre-ta</w:t>
      </w:r>
      <w:r>
        <w:rPr>
          <w:rFonts w:eastAsia="Times New Roman"/>
          <w:color w:val="000000"/>
          <w:sz w:val="20"/>
          <w:szCs w:val="20"/>
        </w:rPr>
        <w:t xml:space="preserve">x loss of $9 primarily comprising tender premiums and the write-off of unamortized debt issuance costs, which is reflected in “Loss on extinguishments of debt” on the Consolidated Statement of Income.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9.375% Senior Notes are redeemable at the issuer</w:t>
      </w:r>
      <w:r>
        <w:rPr>
          <w:rFonts w:eastAsia="Times New Roman"/>
          <w:color w:val="000000"/>
          <w:sz w:val="20"/>
          <w:szCs w:val="20"/>
        </w:rPr>
        <w:t xml:space="preserve">s’ option prior to June 2025 at a make whole premium or, on or after June 2025, at a call premium that declines from 4.688% to 0% depending on the year of redemption.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The 9.375% Senior Notes indenture contains customary covenants and default provisions </w:t>
      </w:r>
      <w:r>
        <w:rPr>
          <w:rFonts w:eastAsia="Times New Roman"/>
          <w:color w:val="000000"/>
          <w:sz w:val="20"/>
          <w:szCs w:val="20"/>
        </w:rPr>
        <w:t>that limit AmeriGas Partners’ ability to, among other things: incur additional indebtedness; create or incur liens; engage in transactions with affiliates; engage in mergers or consolidations or sell all or substantially all of the issuers’ assets; make re</w:t>
      </w:r>
      <w:r>
        <w:rPr>
          <w:rFonts w:eastAsia="Times New Roman"/>
          <w:color w:val="000000"/>
          <w:sz w:val="20"/>
          <w:szCs w:val="20"/>
        </w:rPr>
        <w:t xml:space="preserve">stricted payments, loans and investments; enter into business combinations and sell assets; and engage in other lines of business.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International 2023 Credit Facilities Agreement.</w:t>
      </w:r>
      <w:r>
        <w:rPr>
          <w:rFonts w:eastAsia="Times New Roman"/>
          <w:color w:val="000000"/>
          <w:sz w:val="20"/>
          <w:szCs w:val="20"/>
        </w:rPr>
        <w:t xml:space="preserve"> On March 7, 2023, UGI International, LLC and its indirect wholly-owned</w:t>
      </w:r>
      <w:r>
        <w:rPr>
          <w:rFonts w:eastAsia="Times New Roman"/>
          <w:color w:val="000000"/>
          <w:sz w:val="20"/>
          <w:szCs w:val="20"/>
        </w:rPr>
        <w:t xml:space="preserve"> subsidiary, UGI International Holdings B.V., entered into the UGI International 2023 Credit Facilities Agreement, a five-year unsecured senior facilities agreement, maturing March 7, 2028, with a consortium of banks. The UGI International 2023 Credit Faci</w:t>
      </w:r>
      <w:r>
        <w:rPr>
          <w:rFonts w:eastAsia="Times New Roman"/>
          <w:color w:val="000000"/>
          <w:sz w:val="20"/>
          <w:szCs w:val="20"/>
        </w:rPr>
        <w:t xml:space="preserve">lities Agreement consists of (1) a €300 variable-rate term loan facility ("Facility A") and (2) a €500 multicurrency revolving credit facility, including a €100 sublimit for swingline loans ("Facility B"). We have designated </w:t>
      </w:r>
    </w:p>
    <w:p w:rsidR="00000000" w:rsidRDefault="00AC31B9">
      <w:pPr>
        <w:jc w:val="center"/>
        <w:divId w:val="1719468903"/>
        <w:rPr>
          <w:rFonts w:eastAsia="Times New Roman"/>
        </w:rPr>
      </w:pPr>
      <w:r>
        <w:rPr>
          <w:rFonts w:eastAsia="Times New Roman"/>
          <w:color w:val="000000"/>
          <w:sz w:val="20"/>
          <w:szCs w:val="20"/>
        </w:rPr>
        <w:t>F-27</w:t>
      </w:r>
    </w:p>
    <w:p w:rsidR="00000000" w:rsidRDefault="00AC31B9">
      <w:pPr>
        <w:rPr>
          <w:rFonts w:eastAsia="Times New Roman"/>
        </w:rPr>
      </w:pPr>
      <w:r>
        <w:rPr>
          <w:rFonts w:eastAsia="Times New Roman"/>
        </w:rPr>
        <w:pict>
          <v:rect id="_x0000_i1145" style="width:0;height:1.5pt" o:hralign="center" o:hrstd="t" o:hr="t" fillcolor="#a0a0a0" stroked="f"/>
        </w:pict>
      </w:r>
    </w:p>
    <w:p w:rsidR="00000000" w:rsidRDefault="00AC31B9">
      <w:pPr>
        <w:divId w:val="1230922285"/>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2074156135"/>
        <w:rPr>
          <w:rFonts w:eastAsia="Times New Roman"/>
        </w:rPr>
      </w:pPr>
      <w:r>
        <w:rPr>
          <w:rFonts w:eastAsia="Times New Roman"/>
          <w:b/>
          <w:bCs/>
          <w:color w:val="000000"/>
          <w:sz w:val="20"/>
          <w:szCs w:val="20"/>
        </w:rPr>
        <w:t>UGI Corporation and Subsidiaries</w:t>
      </w:r>
    </w:p>
    <w:p w:rsidR="00000000" w:rsidRDefault="00AC31B9">
      <w:pPr>
        <w:divId w:val="799495405"/>
        <w:rPr>
          <w:rFonts w:eastAsia="Times New Roman"/>
        </w:rPr>
      </w:pPr>
      <w:r>
        <w:rPr>
          <w:rFonts w:eastAsia="Times New Roman"/>
          <w:b/>
          <w:bCs/>
          <w:color w:val="000000"/>
          <w:sz w:val="20"/>
          <w:szCs w:val="20"/>
        </w:rPr>
        <w:t>Notes to Consolidated Financial Statements</w:t>
      </w:r>
    </w:p>
    <w:p w:rsidR="00000000" w:rsidRDefault="00AC31B9">
      <w:pPr>
        <w:divId w:val="445347430"/>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rPr>
          <w:rFonts w:eastAsia="Times New Roman"/>
        </w:rPr>
      </w:pPr>
      <w:r>
        <w:rPr>
          <w:rFonts w:eastAsia="Times New Roman"/>
          <w:color w:val="000000"/>
          <w:sz w:val="20"/>
          <w:szCs w:val="20"/>
        </w:rPr>
        <w:t>borrowings un</w:t>
      </w:r>
      <w:r>
        <w:rPr>
          <w:rFonts w:eastAsia="Times New Roman"/>
          <w:color w:val="000000"/>
          <w:sz w:val="20"/>
          <w:szCs w:val="20"/>
        </w:rPr>
        <w:t>der Facility A as a net investment hedge. In connection with entering into the UGI International 2023 Credit Facilities Agreement, UGI International, LLC paid off in full and terminated the UGI International Credit Facilities Agreement, dated as of October</w:t>
      </w:r>
      <w:r>
        <w:rPr>
          <w:rFonts w:eastAsia="Times New Roman"/>
          <w:color w:val="000000"/>
          <w:sz w:val="20"/>
          <w:szCs w:val="20"/>
        </w:rPr>
        <w:t xml:space="preserve"> 18, 2018. Borrowings under the multicurrency revolving credit facility may be used to finance the working capital needs of UGI International, LLC and its subsidiaries and for general corporate purposes.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Borrowings under Facility A bear interest at the e</w:t>
      </w:r>
      <w:r>
        <w:rPr>
          <w:rFonts w:eastAsia="Times New Roman"/>
          <w:color w:val="000000"/>
          <w:sz w:val="20"/>
          <w:szCs w:val="20"/>
        </w:rPr>
        <w:t>uro interbank offered rate plus the applicable margin and borrowings under Facility B bear interest at the daily non-cumulative compounded Reference Rate Terms, as defined in the Agreement, plus the applicable margin. The applicable margin for Facility A r</w:t>
      </w:r>
      <w:r>
        <w:rPr>
          <w:rFonts w:eastAsia="Times New Roman"/>
          <w:color w:val="000000"/>
          <w:sz w:val="20"/>
          <w:szCs w:val="20"/>
        </w:rPr>
        <w:t>anges from 1.70% to 3.35%, and for Facility B from 1.35% to 3.35%, and are dependent on the total net leverage ratio of UGI International, LLC and its subsidiaries on a consolidated basis. UGI International, LLC entered into an interest rate swap, effectiv</w:t>
      </w:r>
      <w:r>
        <w:rPr>
          <w:rFonts w:eastAsia="Times New Roman"/>
          <w:color w:val="000000"/>
          <w:sz w:val="20"/>
          <w:szCs w:val="20"/>
        </w:rPr>
        <w:t xml:space="preserve">e March 31, 2023, that fixes the underlying market-based interest rate on Facility A at 3.10% through March 2026.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UGI International 2023 Credit Facilities Agreement contains customary covenants and default provisions and requires compliance with certain financial covenants including a consolidated net leverage ratio as defined in the agreement.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Energy Servic</w:t>
      </w:r>
      <w:r>
        <w:rPr>
          <w:rFonts w:eastAsia="Times New Roman"/>
          <w:b/>
          <w:bCs/>
          <w:i/>
          <w:iCs/>
          <w:color w:val="000000"/>
          <w:sz w:val="20"/>
          <w:szCs w:val="20"/>
        </w:rPr>
        <w:t xml:space="preserve">es Credit Agreement. </w:t>
      </w:r>
      <w:r>
        <w:rPr>
          <w:rFonts w:eastAsia="Times New Roman"/>
          <w:color w:val="000000"/>
          <w:sz w:val="20"/>
          <w:szCs w:val="20"/>
        </w:rPr>
        <w:t>On May 12, 2023, Energy Services entered into the second amendment to the UGI Energy Services Credit Agreement, which provides that the Term SOFR rate (as defined in the UGI Energy Services Credit Agreement) shall replace LIBOR as a re</w:t>
      </w:r>
      <w:r>
        <w:rPr>
          <w:rFonts w:eastAsia="Times New Roman"/>
          <w:color w:val="000000"/>
          <w:sz w:val="20"/>
          <w:szCs w:val="20"/>
        </w:rPr>
        <w:t xml:space="preserve">ference rate. After giving effect to the second amendment, the UGI Energy Services Credit Agreement shall bear interest at a floating rate of, at Energy Services’ option, either (i) Term SOFR plus the Applicable Rate (as defined in the UGI Energy Services </w:t>
      </w:r>
      <w:r>
        <w:rPr>
          <w:rFonts w:eastAsia="Times New Roman"/>
          <w:color w:val="000000"/>
          <w:sz w:val="20"/>
          <w:szCs w:val="20"/>
        </w:rPr>
        <w:t xml:space="preserve">Credit Agreement) plus a credit spread adjustment of 0.10%, or (ii) the base rate plus the applicable margin that is based on the leverage of Energy Services.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Energy Services Amended Term Loan Credit Agreement.</w:t>
      </w:r>
      <w:r>
        <w:rPr>
          <w:rFonts w:eastAsia="Times New Roman"/>
          <w:color w:val="000000"/>
          <w:sz w:val="20"/>
          <w:szCs w:val="20"/>
        </w:rPr>
        <w:t xml:space="preserve"> On February 23, 2023, Energy Services ente</w:t>
      </w:r>
      <w:r>
        <w:rPr>
          <w:rFonts w:eastAsia="Times New Roman"/>
          <w:color w:val="000000"/>
          <w:sz w:val="20"/>
          <w:szCs w:val="20"/>
        </w:rPr>
        <w:t xml:space="preserve">red into the Energy Services Amended Term Loan Credit Agreement, the first amendment to the Energy Services Term Loan Credit Agreement, dated August 13, 2019. The Energy Services Amended Term Loan Credit Agreement provides, among other items, that (i) the </w:t>
      </w:r>
      <w:r>
        <w:rPr>
          <w:rFonts w:eastAsia="Times New Roman"/>
          <w:color w:val="000000"/>
          <w:sz w:val="20"/>
          <w:szCs w:val="20"/>
        </w:rPr>
        <w:t>outstanding principal amount of the loans shall be increased by $125 to $800, (ii) the maturity date of the loans shall be extended to February 22, 2030, (iii) Term SOFR (as defined in the Energy Services Amended Term Loan Credit Agreement) shall replace L</w:t>
      </w:r>
      <w:r>
        <w:rPr>
          <w:rFonts w:eastAsia="Times New Roman"/>
          <w:color w:val="000000"/>
          <w:sz w:val="20"/>
          <w:szCs w:val="20"/>
        </w:rPr>
        <w:t>IBOR as a reference rate and (iv) borrowings under the Energy Services Amended Term Loan Credit Agreement shall bear interest at a floating rate of, at Energy Services’ option, either (x) Term SOFR plus the applicable margin plus a credit spread adjustment</w:t>
      </w:r>
      <w:r>
        <w:rPr>
          <w:rFonts w:eastAsia="Times New Roman"/>
          <w:color w:val="000000"/>
          <w:sz w:val="20"/>
          <w:szCs w:val="20"/>
        </w:rPr>
        <w:t xml:space="preserve"> of 0.10% or (y) the base rate, as defined in the Agreement, plus the applicable margin. The applicable margin shall be 3.25% per annum for Term SOFR loans and 2.25% per annum for base rate loans. Borrowings under the Energy Services Amended Term Loan Cred</w:t>
      </w:r>
      <w:r>
        <w:rPr>
          <w:rFonts w:eastAsia="Times New Roman"/>
          <w:color w:val="000000"/>
          <w:sz w:val="20"/>
          <w:szCs w:val="20"/>
        </w:rPr>
        <w:t>it Agreement are payable in equal quarterly installments of $2, commencing in March 2023, with the balance of the principal being due and payable in full at maturity.</w:t>
      </w:r>
    </w:p>
    <w:p w:rsidR="00000000" w:rsidRDefault="00AC31B9">
      <w:pPr>
        <w:jc w:val="both"/>
        <w:rPr>
          <w:rFonts w:eastAsia="Times New Roman"/>
        </w:rPr>
      </w:pPr>
    </w:p>
    <w:p w:rsidR="00000000" w:rsidRDefault="00AC31B9">
      <w:pPr>
        <w:divId w:val="1804153425"/>
        <w:rPr>
          <w:rFonts w:eastAsia="Times New Roman"/>
        </w:rPr>
      </w:pPr>
      <w:r>
        <w:rPr>
          <w:rFonts w:eastAsia="Times New Roman"/>
          <w:color w:val="000000"/>
          <w:sz w:val="20"/>
          <w:szCs w:val="20"/>
        </w:rPr>
        <w:t>The Energy Services Amended Term Loan Credit Agreement contains customary covenants and</w:t>
      </w:r>
      <w:r>
        <w:rPr>
          <w:rFonts w:eastAsia="Times New Roman"/>
          <w:color w:val="000000"/>
          <w:sz w:val="20"/>
          <w:szCs w:val="20"/>
        </w:rPr>
        <w:t xml:space="preserve"> default provisions and requires compliance with certain financial covenants including a minimum debt service coverage ratio as defined in the Agreement.</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March 2023, in connection with the Energy Services Amended Term Loan Credit Agreement, Energy Ser</w:t>
      </w:r>
      <w:r>
        <w:rPr>
          <w:rFonts w:eastAsia="Times New Roman"/>
          <w:color w:val="000000"/>
          <w:sz w:val="20"/>
          <w:szCs w:val="20"/>
        </w:rPr>
        <w:t>vices terminated and settled its existing interest rate swap associated with the Energy Services Term Loan Credit Agreement at a $32 gain. This gain has been deferred in AOCI and is being amortized to interest expense over the remaining term of the initial</w:t>
      </w:r>
      <w:r>
        <w:rPr>
          <w:rFonts w:eastAsia="Times New Roman"/>
          <w:color w:val="000000"/>
          <w:sz w:val="20"/>
          <w:szCs w:val="20"/>
        </w:rPr>
        <w:t xml:space="preserve"> interest rate swap ending July 2024. Energy Services entered into a new interest rate swap, effective March 31, 2023, that fixes the underlying market-based interest rate on this variable-rate term loan at 4.53% through September 2026.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Mountaineer 2023</w:t>
      </w:r>
      <w:r>
        <w:rPr>
          <w:rFonts w:eastAsia="Times New Roman"/>
          <w:b/>
          <w:bCs/>
          <w:i/>
          <w:iCs/>
          <w:color w:val="000000"/>
          <w:sz w:val="20"/>
          <w:szCs w:val="20"/>
        </w:rPr>
        <w:t xml:space="preserve"> Credit Agreement.</w:t>
      </w:r>
      <w:r>
        <w:rPr>
          <w:rFonts w:eastAsia="Times New Roman"/>
          <w:b/>
          <w:bCs/>
          <w:color w:val="000000"/>
          <w:sz w:val="20"/>
          <w:szCs w:val="20"/>
        </w:rPr>
        <w:t xml:space="preserve"> </w:t>
      </w:r>
      <w:r>
        <w:rPr>
          <w:rFonts w:eastAsia="Times New Roman"/>
          <w:color w:val="000000"/>
          <w:sz w:val="20"/>
          <w:szCs w:val="20"/>
        </w:rPr>
        <w:t>On October 20, 2022, Mountaineer entered into the Mountaineer 2023 Credit Agreement with a group of lenders. The Mountaineer 2023 Credit Agreement amends and restates a previous credit agreement and provides for borrowings up to $150</w:t>
      </w:r>
      <w:r>
        <w:rPr>
          <w:rFonts w:eastAsia="Times New Roman"/>
          <w:color w:val="000000"/>
          <w:sz w:val="20"/>
          <w:szCs w:val="20"/>
        </w:rPr>
        <w:t>, including a $20 sublimit for letters of credit. Mountaineer may request an increase in the amount of loan commitments to a maximum aggregate amount of $250, subject to certain terms and conditions. Borrowings under the Mountaineer 2023 Credit Agreement c</w:t>
      </w:r>
      <w:r>
        <w:rPr>
          <w:rFonts w:eastAsia="Times New Roman"/>
          <w:color w:val="000000"/>
          <w:sz w:val="20"/>
          <w:szCs w:val="20"/>
        </w:rPr>
        <w:t>an be used to finance the working capital needs of Mountaineer and for general corporate purposes. The Mountaineer 2023 Credit Agreement is scheduled to expire in November 2024, and Mountaineer has the option, with the consent of the lenders, to extend the</w:t>
      </w:r>
      <w:r>
        <w:rPr>
          <w:rFonts w:eastAsia="Times New Roman"/>
          <w:color w:val="000000"/>
          <w:sz w:val="20"/>
          <w:szCs w:val="20"/>
        </w:rPr>
        <w:t xml:space="preserve"> maturity date up to November 2026. </w:t>
      </w:r>
    </w:p>
    <w:p w:rsidR="00000000" w:rsidRDefault="00AC31B9">
      <w:pPr>
        <w:jc w:val="both"/>
        <w:rPr>
          <w:rFonts w:eastAsia="Times New Roman"/>
        </w:rPr>
      </w:pPr>
    </w:p>
    <w:p w:rsidR="00000000" w:rsidRDefault="00AC31B9">
      <w:pPr>
        <w:jc w:val="center"/>
        <w:divId w:val="1905217149"/>
        <w:rPr>
          <w:rFonts w:eastAsia="Times New Roman"/>
        </w:rPr>
      </w:pPr>
      <w:r>
        <w:rPr>
          <w:rFonts w:eastAsia="Times New Roman"/>
          <w:color w:val="000000"/>
          <w:sz w:val="20"/>
          <w:szCs w:val="20"/>
        </w:rPr>
        <w:t>F-28</w:t>
      </w:r>
    </w:p>
    <w:p w:rsidR="00000000" w:rsidRDefault="00AC31B9">
      <w:pPr>
        <w:rPr>
          <w:rFonts w:eastAsia="Times New Roman"/>
        </w:rPr>
      </w:pPr>
      <w:r>
        <w:rPr>
          <w:rFonts w:eastAsia="Times New Roman"/>
        </w:rPr>
        <w:pict>
          <v:rect id="_x0000_i1146" style="width:0;height:1.5pt" o:hralign="center" o:hrstd="t" o:hr="t" fillcolor="#a0a0a0" stroked="f"/>
        </w:pict>
      </w:r>
    </w:p>
    <w:p w:rsidR="00000000" w:rsidRDefault="00AC31B9">
      <w:pPr>
        <w:divId w:val="442725660"/>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277634557"/>
        <w:rPr>
          <w:rFonts w:eastAsia="Times New Roman"/>
        </w:rPr>
      </w:pPr>
      <w:r>
        <w:rPr>
          <w:rFonts w:eastAsia="Times New Roman"/>
          <w:b/>
          <w:bCs/>
          <w:color w:val="000000"/>
          <w:sz w:val="20"/>
          <w:szCs w:val="20"/>
        </w:rPr>
        <w:t>UGI Corporation and Subsidiaries</w:t>
      </w:r>
    </w:p>
    <w:p w:rsidR="00000000" w:rsidRDefault="00AC31B9">
      <w:pPr>
        <w:divId w:val="579994449"/>
        <w:rPr>
          <w:rFonts w:eastAsia="Times New Roman"/>
        </w:rPr>
      </w:pPr>
      <w:r>
        <w:rPr>
          <w:rFonts w:eastAsia="Times New Roman"/>
          <w:b/>
          <w:bCs/>
          <w:color w:val="000000"/>
          <w:sz w:val="20"/>
          <w:szCs w:val="20"/>
        </w:rPr>
        <w:t>Notes to Consolidated Financial Statements</w:t>
      </w:r>
    </w:p>
    <w:p w:rsidR="00000000" w:rsidRDefault="00AC31B9">
      <w:pPr>
        <w:divId w:val="1057556772"/>
        <w:rPr>
          <w:rFonts w:eastAsia="Times New Roman"/>
        </w:rPr>
      </w:pPr>
      <w:r>
        <w:rPr>
          <w:rFonts w:eastAsia="Times New Roman"/>
          <w:color w:val="000000"/>
          <w:sz w:val="20"/>
          <w:szCs w:val="20"/>
        </w:rPr>
        <w:t>(Currency in millions, e</w:t>
      </w:r>
      <w:r>
        <w:rPr>
          <w:rFonts w:eastAsia="Times New Roman"/>
          <w:color w:val="000000"/>
          <w:sz w:val="20"/>
          <w:szCs w:val="20"/>
        </w:rPr>
        <w:t>xcept per share amounts and where indicated otherwise)</w:t>
      </w:r>
    </w:p>
    <w:p w:rsidR="00000000" w:rsidRDefault="00AC31B9">
      <w:pPr>
        <w:jc w:val="both"/>
        <w:rPr>
          <w:rFonts w:eastAsia="Times New Roman"/>
        </w:rPr>
      </w:pPr>
      <w:r>
        <w:rPr>
          <w:rFonts w:eastAsia="Times New Roman"/>
          <w:color w:val="000000"/>
          <w:sz w:val="20"/>
          <w:szCs w:val="20"/>
        </w:rPr>
        <w:t>Borrowings under the Mountaineer 2023 Credit Agreement bear interest, subject to our election, at either (i) the base rate, defined as the highest of (a) the prime rate, (b) the federal funds rate plus</w:t>
      </w:r>
      <w:r>
        <w:rPr>
          <w:rFonts w:eastAsia="Times New Roman"/>
          <w:color w:val="000000"/>
          <w:sz w:val="20"/>
          <w:szCs w:val="20"/>
        </w:rPr>
        <w:t xml:space="preserve"> 0.50% and (c) the adjusted Term SOFR rate for a one-month tenor plus 1%, in each case, plus the applicable margin or (ii) the adjusted Term SOFR rate plus the applicable margin. The applicable margin for base rate loans ranges from 0% to 1.25%, and for Te</w:t>
      </w:r>
      <w:r>
        <w:rPr>
          <w:rFonts w:eastAsia="Times New Roman"/>
          <w:color w:val="000000"/>
          <w:sz w:val="20"/>
          <w:szCs w:val="20"/>
        </w:rPr>
        <w:t>rm SOFR loans from 1.00% to 2.25%, depending on the debt rating of Mountaineer. The adjusted Term SOFR rate is defined as the Term SOFR reference rate for the selected interest period, plus 0.10% per annum for a one-month interest period, 0.15% per annum f</w:t>
      </w:r>
      <w:r>
        <w:rPr>
          <w:rFonts w:eastAsia="Times New Roman"/>
          <w:color w:val="000000"/>
          <w:sz w:val="20"/>
          <w:szCs w:val="20"/>
        </w:rPr>
        <w:t>or a three-month interest period, or 0.25% per annum for a six-month interest period. The Mountaineer Credit Agreement contains customary covenants and default provisions and requires compliance with certain financial covenants including a maximum leverage</w:t>
      </w:r>
      <w:r>
        <w:rPr>
          <w:rFonts w:eastAsia="Times New Roman"/>
          <w:color w:val="000000"/>
          <w:sz w:val="20"/>
          <w:szCs w:val="20"/>
        </w:rPr>
        <w:t xml:space="preserve"> ratio and a minimum interest coverage ratio as defined in the agreement.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Corporation Credit Facility Agreement</w:t>
      </w:r>
      <w:r>
        <w:rPr>
          <w:rFonts w:eastAsia="Times New Roman"/>
          <w:b/>
          <w:bCs/>
          <w:color w:val="000000"/>
          <w:sz w:val="20"/>
          <w:szCs w:val="20"/>
        </w:rPr>
        <w:t xml:space="preserve">. </w:t>
      </w:r>
      <w:r>
        <w:rPr>
          <w:rFonts w:eastAsia="Times New Roman"/>
          <w:color w:val="000000"/>
          <w:sz w:val="20"/>
          <w:szCs w:val="20"/>
        </w:rPr>
        <w:t>On May 12, 2023, the Company entered into the second amendment to the UGI Corporation Credit Agreement, which provides that the Term SOFR</w:t>
      </w:r>
      <w:r>
        <w:rPr>
          <w:rFonts w:eastAsia="Times New Roman"/>
          <w:color w:val="000000"/>
          <w:sz w:val="20"/>
          <w:szCs w:val="20"/>
        </w:rPr>
        <w:t xml:space="preserve"> rate (as defined in the UGI Corporation Credit Agreement) shall replace LIBOR as a reference rate. After giving effect to the second amendment, the UGI Corporation Credit Agreement shall bear interest at a floating rate of, at the Company’s option, either</w:t>
      </w:r>
      <w:r>
        <w:rPr>
          <w:rFonts w:eastAsia="Times New Roman"/>
          <w:color w:val="000000"/>
          <w:sz w:val="20"/>
          <w:szCs w:val="20"/>
        </w:rPr>
        <w:t xml:space="preserve"> (i) Term SOFR plus the Applicable Rate (as defined in the UGI Corporation Credit Agreement) plus a credit spread adjustment of 0.10%, or (ii) the base rate plus the applicable margin that will be based on the leverage of the Company or credit ratings assi</w:t>
      </w:r>
      <w:r>
        <w:rPr>
          <w:rFonts w:eastAsia="Times New Roman"/>
          <w:color w:val="000000"/>
          <w:sz w:val="20"/>
          <w:szCs w:val="20"/>
        </w:rPr>
        <w:t>gned to certain indebtedness of the Company.</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On September 20, 2023, UGI amended the UGI Corporation Credit Facility Agreement which extended the maturity date of the (1) five-year $250 amortizing variable-rate term loan and (2) five-year $300 revolving c</w:t>
      </w:r>
      <w:r>
        <w:rPr>
          <w:rFonts w:eastAsia="Times New Roman"/>
          <w:color w:val="000000"/>
          <w:sz w:val="20"/>
          <w:szCs w:val="20"/>
        </w:rPr>
        <w:t>redit facility to May 2025 and increased the applicable rate (as defined in the amended UGI Corporation Credit Agreement) by 0.125%.</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Credit Facilities and Short-term Borrowings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Information about the Company’s principal credit agreements (excluding the </w:t>
      </w:r>
      <w:r>
        <w:rPr>
          <w:rFonts w:eastAsia="Times New Roman"/>
          <w:color w:val="000000"/>
          <w:sz w:val="20"/>
          <w:szCs w:val="20"/>
        </w:rPr>
        <w:t xml:space="preserve">Energy Services Receivables Facility, which is discussed below) as of September 30, 2023 and 2022, is presented in the following table. Borrowings on these credit agreements bear interest at rates indexed to short-term market rates. Borrowings outstanding </w:t>
      </w:r>
      <w:r>
        <w:rPr>
          <w:rFonts w:eastAsia="Times New Roman"/>
          <w:color w:val="000000"/>
          <w:sz w:val="20"/>
          <w:szCs w:val="20"/>
        </w:rPr>
        <w:t xml:space="preserve">under these agreements (other than the 2021 UGI Corporation Senior Credit Facility) are classified as “Short-term borrowings” on the Consolidated Balance Sheets. </w:t>
      </w:r>
    </w:p>
    <w:tbl>
      <w:tblPr>
        <w:tblW w:w="4992" w:type="pct"/>
        <w:jc w:val="center"/>
        <w:tblCellMar>
          <w:top w:w="15" w:type="dxa"/>
          <w:left w:w="15" w:type="dxa"/>
          <w:bottom w:w="15" w:type="dxa"/>
          <w:right w:w="15" w:type="dxa"/>
        </w:tblCellMar>
        <w:tblLook w:val="04A0" w:firstRow="1" w:lastRow="0" w:firstColumn="1" w:lastColumn="0" w:noHBand="0" w:noVBand="1"/>
      </w:tblPr>
      <w:tblGrid>
        <w:gridCol w:w="50"/>
        <w:gridCol w:w="1681"/>
        <w:gridCol w:w="38"/>
        <w:gridCol w:w="36"/>
        <w:gridCol w:w="36"/>
        <w:gridCol w:w="36"/>
        <w:gridCol w:w="58"/>
        <w:gridCol w:w="822"/>
        <w:gridCol w:w="36"/>
        <w:gridCol w:w="36"/>
        <w:gridCol w:w="36"/>
        <w:gridCol w:w="36"/>
        <w:gridCol w:w="121"/>
        <w:gridCol w:w="673"/>
        <w:gridCol w:w="36"/>
        <w:gridCol w:w="36"/>
        <w:gridCol w:w="36"/>
        <w:gridCol w:w="36"/>
        <w:gridCol w:w="121"/>
        <w:gridCol w:w="920"/>
        <w:gridCol w:w="36"/>
        <w:gridCol w:w="36"/>
        <w:gridCol w:w="36"/>
        <w:gridCol w:w="36"/>
        <w:gridCol w:w="121"/>
        <w:gridCol w:w="921"/>
        <w:gridCol w:w="36"/>
        <w:gridCol w:w="36"/>
        <w:gridCol w:w="36"/>
        <w:gridCol w:w="36"/>
        <w:gridCol w:w="121"/>
        <w:gridCol w:w="821"/>
        <w:gridCol w:w="36"/>
        <w:gridCol w:w="36"/>
        <w:gridCol w:w="36"/>
        <w:gridCol w:w="36"/>
        <w:gridCol w:w="84"/>
        <w:gridCol w:w="726"/>
        <w:gridCol w:w="187"/>
      </w:tblGrid>
      <w:tr w:rsidR="00000000">
        <w:trPr>
          <w:divId w:val="1051883548"/>
          <w:jc w:val="center"/>
        </w:trPr>
        <w:tc>
          <w:tcPr>
            <w:tcW w:w="50" w:type="pct"/>
            <w:vAlign w:val="center"/>
            <w:hideMark/>
          </w:tcPr>
          <w:p w:rsidR="00000000" w:rsidRDefault="00AC31B9">
            <w:pPr>
              <w:jc w:val="both"/>
              <w:rPr>
                <w:rFonts w:eastAsia="Times New Roman"/>
              </w:rPr>
            </w:pPr>
          </w:p>
        </w:tc>
        <w:tc>
          <w:tcPr>
            <w:tcW w:w="120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71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7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1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2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2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3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051883548"/>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Expiration Date</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Total Capacity</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Borrowings Outstanding</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Letters of Credit and Guarantees Outstanding</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Available Borrowing Capacity</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Weighted Average Interest Rate - End of Year</w:t>
            </w:r>
          </w:p>
        </w:tc>
      </w:tr>
      <w:tr w:rsidR="00000000">
        <w:trPr>
          <w:divId w:val="1051883548"/>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September 30, 2023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051883548"/>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AmeriGas OLP (a)</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September 2026</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598 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N.A.</w:t>
            </w:r>
          </w:p>
        </w:tc>
      </w:tr>
      <w:tr w:rsidR="00000000">
        <w:trPr>
          <w:divId w:val="1051883548"/>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International, LLC (b)</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March 2028</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5.17 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051883548"/>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Energy Services (c)</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March 2025</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7.67 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051883548"/>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Utilities (d)</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June 2024</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425 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6.30 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051883548"/>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Mountaineer (e)</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November 2024</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6.68 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051883548"/>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Corporation (f)</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May 2025</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7.80 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051883548"/>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September 30, 2022</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051883548"/>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AmeriGas OLP (a)</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September 2026</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467 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7.27 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051883548"/>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International, LLC (b)</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October 2023</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N.A.</w:t>
            </w:r>
          </w:p>
        </w:tc>
      </w:tr>
      <w:tr w:rsidR="00000000">
        <w:trPr>
          <w:divId w:val="1051883548"/>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Energy Services (c)</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March 2025</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N.A.</w:t>
            </w:r>
          </w:p>
        </w:tc>
      </w:tr>
      <w:tr w:rsidR="00000000">
        <w:trPr>
          <w:divId w:val="1051883548"/>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Utilities (d)</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June 2024</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4.37 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051883548"/>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Mountaineer (e)</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November 2024</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1051883548"/>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Corporation (f)</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August 2024</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5.62 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bl>
    <w:p w:rsidR="00000000" w:rsidRDefault="00AC31B9">
      <w:pPr>
        <w:ind w:hanging="360"/>
        <w:jc w:val="both"/>
        <w:rPr>
          <w:rFonts w:eastAsia="Times New Roman"/>
        </w:rPr>
      </w:pPr>
      <w:r>
        <w:rPr>
          <w:rFonts w:eastAsia="Times New Roman"/>
          <w:color w:val="000000"/>
          <w:sz w:val="20"/>
          <w:szCs w:val="20"/>
        </w:rPr>
        <w:t>(a)At Sep</w:t>
      </w:r>
      <w:r>
        <w:rPr>
          <w:rFonts w:eastAsia="Times New Roman"/>
          <w:color w:val="000000"/>
          <w:sz w:val="20"/>
          <w:szCs w:val="20"/>
        </w:rPr>
        <w:t xml:space="preserve">tember 30, 2023 and 2022 the 2022 AmeriGas OLP Credit Agreement includes a $100 sublimit for letters of credit. </w:t>
      </w:r>
    </w:p>
    <w:p w:rsidR="00000000" w:rsidRDefault="00AC31B9">
      <w:pPr>
        <w:ind w:hanging="360"/>
        <w:jc w:val="both"/>
        <w:rPr>
          <w:rFonts w:eastAsia="Times New Roman"/>
        </w:rPr>
      </w:pPr>
      <w:r>
        <w:rPr>
          <w:rFonts w:eastAsia="Times New Roman"/>
          <w:color w:val="000000"/>
          <w:sz w:val="20"/>
          <w:szCs w:val="20"/>
        </w:rPr>
        <w:t xml:space="preserve">(b)The UGI International 2023 Credit Facilities Agreement and the previous UGI International Credit Facilities Agreement permits borrowings in </w:t>
      </w:r>
      <w:r>
        <w:rPr>
          <w:rFonts w:eastAsia="Times New Roman"/>
          <w:color w:val="000000"/>
          <w:sz w:val="20"/>
          <w:szCs w:val="20"/>
        </w:rPr>
        <w:t xml:space="preserve">euros or USD. </w:t>
      </w:r>
    </w:p>
    <w:p w:rsidR="00000000" w:rsidRDefault="00AC31B9">
      <w:pPr>
        <w:ind w:hanging="360"/>
        <w:jc w:val="both"/>
        <w:rPr>
          <w:rFonts w:eastAsia="Times New Roman"/>
        </w:rPr>
      </w:pPr>
      <w:r>
        <w:rPr>
          <w:rFonts w:eastAsia="Times New Roman"/>
          <w:color w:val="000000"/>
          <w:sz w:val="20"/>
          <w:szCs w:val="20"/>
        </w:rPr>
        <w:t xml:space="preserve">(c)The Energy Services Credit Agreement includes a $50 sublimit for letters of credit and is guaranteed by certain subsidiaries of Energy Services. </w:t>
      </w:r>
    </w:p>
    <w:p w:rsidR="00000000" w:rsidRDefault="00AC31B9">
      <w:pPr>
        <w:jc w:val="center"/>
        <w:divId w:val="1747725081"/>
        <w:rPr>
          <w:rFonts w:eastAsia="Times New Roman"/>
        </w:rPr>
      </w:pPr>
      <w:r>
        <w:rPr>
          <w:rFonts w:eastAsia="Times New Roman"/>
          <w:color w:val="000000"/>
          <w:sz w:val="20"/>
          <w:szCs w:val="20"/>
        </w:rPr>
        <w:t>F-29</w:t>
      </w:r>
    </w:p>
    <w:p w:rsidR="00000000" w:rsidRDefault="00AC31B9">
      <w:pPr>
        <w:rPr>
          <w:rFonts w:eastAsia="Times New Roman"/>
        </w:rPr>
      </w:pPr>
      <w:r>
        <w:rPr>
          <w:rFonts w:eastAsia="Times New Roman"/>
        </w:rPr>
        <w:pict>
          <v:rect id="_x0000_i1147" style="width:0;height:1.5pt" o:hralign="center" o:hrstd="t" o:hr="t" fillcolor="#a0a0a0" stroked="f"/>
        </w:pict>
      </w:r>
    </w:p>
    <w:p w:rsidR="00000000" w:rsidRDefault="00AC31B9">
      <w:pPr>
        <w:divId w:val="419719405"/>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975061491"/>
        <w:rPr>
          <w:rFonts w:eastAsia="Times New Roman"/>
        </w:rPr>
      </w:pPr>
      <w:r>
        <w:rPr>
          <w:rFonts w:eastAsia="Times New Roman"/>
          <w:b/>
          <w:bCs/>
          <w:color w:val="000000"/>
          <w:sz w:val="20"/>
          <w:szCs w:val="20"/>
        </w:rPr>
        <w:t>UGI Corporation and Subsidiaries</w:t>
      </w:r>
    </w:p>
    <w:p w:rsidR="00000000" w:rsidRDefault="00AC31B9">
      <w:pPr>
        <w:divId w:val="49303970"/>
        <w:rPr>
          <w:rFonts w:eastAsia="Times New Roman"/>
        </w:rPr>
      </w:pPr>
      <w:r>
        <w:rPr>
          <w:rFonts w:eastAsia="Times New Roman"/>
          <w:b/>
          <w:bCs/>
          <w:color w:val="000000"/>
          <w:sz w:val="20"/>
          <w:szCs w:val="20"/>
        </w:rPr>
        <w:t>Notes to Consolidated Financial Statements</w:t>
      </w:r>
    </w:p>
    <w:p w:rsidR="00000000" w:rsidRDefault="00AC31B9">
      <w:pPr>
        <w:divId w:val="1210800327"/>
        <w:rPr>
          <w:rFonts w:eastAsia="Times New Roman"/>
        </w:rPr>
      </w:pPr>
      <w:r>
        <w:rPr>
          <w:rFonts w:eastAsia="Times New Roman"/>
          <w:color w:val="000000"/>
          <w:sz w:val="20"/>
          <w:szCs w:val="20"/>
        </w:rPr>
        <w:t>(Currency in millions, except per share amounts and where indicated otherwise)</w:t>
      </w:r>
    </w:p>
    <w:p w:rsidR="00000000" w:rsidRDefault="00AC31B9">
      <w:pPr>
        <w:ind w:hanging="360"/>
        <w:jc w:val="both"/>
        <w:rPr>
          <w:rFonts w:eastAsia="Times New Roman"/>
        </w:rPr>
      </w:pPr>
      <w:r>
        <w:rPr>
          <w:rFonts w:eastAsia="Times New Roman"/>
          <w:color w:val="000000"/>
          <w:sz w:val="20"/>
          <w:szCs w:val="20"/>
        </w:rPr>
        <w:t xml:space="preserve">(d)The UGI Utilities Credit Agreement includes a $100 sublimit for letters </w:t>
      </w:r>
      <w:r>
        <w:rPr>
          <w:rFonts w:eastAsia="Times New Roman"/>
          <w:color w:val="000000"/>
          <w:sz w:val="20"/>
          <w:szCs w:val="20"/>
        </w:rPr>
        <w:t xml:space="preserve">of credit. On November 9, 2023, UGI Utilities entered into the UGI Utilities 2023 Credit Agreement and concurrently terminated the UGI Utilities Credit Agreement, a predecessor agreement. See </w:t>
      </w:r>
      <w:r>
        <w:rPr>
          <w:rFonts w:eastAsia="Times New Roman"/>
          <w:i/>
          <w:iCs/>
          <w:color w:val="000000"/>
          <w:sz w:val="20"/>
          <w:szCs w:val="20"/>
        </w:rPr>
        <w:t>Significant Financing Activities</w:t>
      </w:r>
      <w:r>
        <w:rPr>
          <w:rFonts w:eastAsia="Times New Roman"/>
          <w:color w:val="000000"/>
          <w:sz w:val="20"/>
          <w:szCs w:val="20"/>
        </w:rPr>
        <w:t xml:space="preserve"> above and Note 6 for additional</w:t>
      </w:r>
      <w:r>
        <w:rPr>
          <w:rFonts w:eastAsia="Times New Roman"/>
          <w:color w:val="000000"/>
          <w:sz w:val="20"/>
          <w:szCs w:val="20"/>
        </w:rPr>
        <w:t xml:space="preserve"> information. See </w:t>
      </w:r>
      <w:r>
        <w:rPr>
          <w:rFonts w:eastAsia="Times New Roman"/>
          <w:i/>
          <w:iCs/>
          <w:color w:val="000000"/>
          <w:sz w:val="20"/>
          <w:szCs w:val="20"/>
        </w:rPr>
        <w:t>Significant Financing Activities Since September 30, 2022</w:t>
      </w:r>
      <w:r>
        <w:rPr>
          <w:rFonts w:eastAsia="Times New Roman"/>
          <w:color w:val="000000"/>
          <w:sz w:val="20"/>
          <w:szCs w:val="20"/>
        </w:rPr>
        <w:t xml:space="preserve"> above for additional information. </w:t>
      </w:r>
    </w:p>
    <w:p w:rsidR="00000000" w:rsidRDefault="00AC31B9">
      <w:pPr>
        <w:ind w:hanging="360"/>
        <w:jc w:val="both"/>
        <w:rPr>
          <w:rFonts w:eastAsia="Times New Roman"/>
        </w:rPr>
      </w:pPr>
      <w:r>
        <w:rPr>
          <w:rFonts w:eastAsia="Times New Roman"/>
          <w:color w:val="000000"/>
          <w:sz w:val="20"/>
          <w:szCs w:val="20"/>
        </w:rPr>
        <w:t xml:space="preserve">(e)The Mountaineer 2023 Credit Agreements includes a $20 sublimit for letters of credit. </w:t>
      </w:r>
    </w:p>
    <w:p w:rsidR="00000000" w:rsidRDefault="00AC31B9">
      <w:pPr>
        <w:ind w:hanging="360"/>
        <w:jc w:val="both"/>
        <w:rPr>
          <w:rFonts w:eastAsia="Times New Roman"/>
        </w:rPr>
      </w:pPr>
      <w:r>
        <w:rPr>
          <w:rFonts w:eastAsia="Times New Roman"/>
          <w:color w:val="000000"/>
          <w:sz w:val="20"/>
          <w:szCs w:val="20"/>
        </w:rPr>
        <w:t xml:space="preserve">(f)At September 30, 2023 and 2022, management intended </w:t>
      </w:r>
      <w:r>
        <w:rPr>
          <w:rFonts w:eastAsia="Times New Roman"/>
          <w:color w:val="000000"/>
          <w:sz w:val="20"/>
          <w:szCs w:val="20"/>
        </w:rPr>
        <w:t>to maintain a substantial portion of amounts outstanding under the UGI Corporation Senior Credit Facility beyond twelve months from the respective balance sheet dates. As such, borrowings outstanding are classified as “Long-term debt” on the Consolidated B</w:t>
      </w:r>
      <w:r>
        <w:rPr>
          <w:rFonts w:eastAsia="Times New Roman"/>
          <w:color w:val="000000"/>
          <w:sz w:val="20"/>
          <w:szCs w:val="20"/>
        </w:rPr>
        <w:t>alance Sheets. Subsequent to September 30, 2022, the Company repaid $87 of such borrowings and classified these repayments as “Current maturities of long-term debt” on the Consolidated Balance Sheets. The UGI Corporation Senior Credit Facility includes a $</w:t>
      </w:r>
      <w:r>
        <w:rPr>
          <w:rFonts w:eastAsia="Times New Roman"/>
          <w:color w:val="000000"/>
          <w:sz w:val="20"/>
          <w:szCs w:val="20"/>
        </w:rPr>
        <w:t>10 sublimit for letters of credit.</w:t>
      </w:r>
    </w:p>
    <w:p w:rsidR="00000000" w:rsidRDefault="00AC31B9">
      <w:pPr>
        <w:jc w:val="both"/>
        <w:rPr>
          <w:rFonts w:eastAsia="Times New Roman"/>
        </w:rPr>
      </w:pPr>
      <w:r>
        <w:rPr>
          <w:rFonts w:eastAsia="Times New Roman"/>
          <w:color w:val="000000"/>
          <w:sz w:val="20"/>
          <w:szCs w:val="20"/>
        </w:rPr>
        <w:t>N.A. - Not applicable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Energy Services Receivables Facility.</w:t>
      </w:r>
      <w:r>
        <w:rPr>
          <w:rFonts w:eastAsia="Times New Roman"/>
          <w:i/>
          <w:iCs/>
          <w:color w:val="000000"/>
          <w:sz w:val="20"/>
          <w:szCs w:val="20"/>
        </w:rPr>
        <w:t xml:space="preserve"> </w:t>
      </w:r>
      <w:r>
        <w:rPr>
          <w:rFonts w:eastAsia="Times New Roman"/>
          <w:color w:val="000000"/>
          <w:sz w:val="20"/>
          <w:szCs w:val="20"/>
        </w:rPr>
        <w:t>Energy Services has a Receivables Facility with an issuer of receivables-backed commercial paper. On October 20, 2023, the expiration date of the Receivables F</w:t>
      </w:r>
      <w:r>
        <w:rPr>
          <w:rFonts w:eastAsia="Times New Roman"/>
          <w:color w:val="000000"/>
          <w:sz w:val="20"/>
          <w:szCs w:val="20"/>
        </w:rPr>
        <w:t>acility was extended to October 18, 2024. The Receivables Facility provides Energy Services with the ability to borrow up to $200 of eligible receivables during the period October 20, 2023 to April 30, 2024, and up to $100 of eligible receivables during th</w:t>
      </w:r>
      <w:r>
        <w:rPr>
          <w:rFonts w:eastAsia="Times New Roman"/>
          <w:color w:val="000000"/>
          <w:sz w:val="20"/>
          <w:szCs w:val="20"/>
        </w:rPr>
        <w:t xml:space="preserve">e period May 1, 2024 to October 18, 2024. Energy Services uses the Receivables Facility to fund working capital, margin calls under commodity futures contracts, capital expenditures, dividends and for general corporate purposes.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Under the Receivables Fa</w:t>
      </w:r>
      <w:r>
        <w:rPr>
          <w:rFonts w:eastAsia="Times New Roman"/>
          <w:color w:val="000000"/>
          <w:sz w:val="20"/>
          <w:szCs w:val="20"/>
        </w:rPr>
        <w:t>cility, Energy Services transfers, on an ongoing basis and without recourse, its trade accounts receivable to its wholly owned, special purpose subsidiary, ESFC, which is consolidated for financial statement purposes. ESFC, in turn, has sold and, subject t</w:t>
      </w:r>
      <w:r>
        <w:rPr>
          <w:rFonts w:eastAsia="Times New Roman"/>
          <w:color w:val="000000"/>
          <w:sz w:val="20"/>
          <w:szCs w:val="20"/>
        </w:rPr>
        <w:t>o certain conditions, may from time to time sell, an undivided interest in some or all of the receivables to a major bank. Amounts sold to the bank are reflected as “Short-term borrowings” on the Consolidated Balance Sheets. ESFC was created and has been s</w:t>
      </w:r>
      <w:r>
        <w:rPr>
          <w:rFonts w:eastAsia="Times New Roman"/>
          <w:color w:val="000000"/>
          <w:sz w:val="20"/>
          <w:szCs w:val="20"/>
        </w:rPr>
        <w:t>tructured to isolate its assets from creditors of Energy Services and its affiliates, including UGI. Trade receivables sold to the bank remain on the Company’s balance sheet and the Company reflects a liability equal to the amount advanced by the bank. The</w:t>
      </w:r>
      <w:r>
        <w:rPr>
          <w:rFonts w:eastAsia="Times New Roman"/>
          <w:color w:val="000000"/>
          <w:sz w:val="20"/>
          <w:szCs w:val="20"/>
        </w:rPr>
        <w:t xml:space="preserve"> Company records interest expense on amounts owed to the bank. Energy Services continues to service, administer and collect trade receivables on behalf of the bank, as applicable.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Information regarding the amounts of trade receivables transferred to ESF</w:t>
      </w:r>
      <w:r>
        <w:rPr>
          <w:rFonts w:eastAsia="Times New Roman"/>
          <w:color w:val="000000"/>
          <w:sz w:val="20"/>
          <w:szCs w:val="20"/>
        </w:rPr>
        <w:t>C and the amounts sold to the bank are as follows:</w:t>
      </w:r>
    </w:p>
    <w:tbl>
      <w:tblPr>
        <w:tblW w:w="4992" w:type="pct"/>
        <w:tblCellMar>
          <w:top w:w="15" w:type="dxa"/>
          <w:left w:w="15" w:type="dxa"/>
          <w:bottom w:w="15" w:type="dxa"/>
          <w:right w:w="15" w:type="dxa"/>
        </w:tblCellMar>
        <w:tblLook w:val="04A0" w:firstRow="1" w:lastRow="0" w:firstColumn="1" w:lastColumn="0" w:noHBand="0" w:noVBand="1"/>
      </w:tblPr>
      <w:tblGrid>
        <w:gridCol w:w="37"/>
        <w:gridCol w:w="4802"/>
        <w:gridCol w:w="36"/>
        <w:gridCol w:w="36"/>
        <w:gridCol w:w="36"/>
        <w:gridCol w:w="36"/>
        <w:gridCol w:w="120"/>
        <w:gridCol w:w="875"/>
        <w:gridCol w:w="36"/>
        <w:gridCol w:w="36"/>
        <w:gridCol w:w="36"/>
        <w:gridCol w:w="36"/>
        <w:gridCol w:w="120"/>
        <w:gridCol w:w="875"/>
        <w:gridCol w:w="36"/>
        <w:gridCol w:w="36"/>
        <w:gridCol w:w="36"/>
        <w:gridCol w:w="36"/>
        <w:gridCol w:w="120"/>
        <w:gridCol w:w="876"/>
        <w:gridCol w:w="36"/>
      </w:tblGrid>
      <w:tr w:rsidR="00000000">
        <w:trPr>
          <w:divId w:val="372847440"/>
        </w:trPr>
        <w:tc>
          <w:tcPr>
            <w:tcW w:w="50" w:type="pct"/>
            <w:vAlign w:val="center"/>
            <w:hideMark/>
          </w:tcPr>
          <w:p w:rsidR="00000000" w:rsidRDefault="00AC31B9">
            <w:pPr>
              <w:jc w:val="both"/>
              <w:rPr>
                <w:rFonts w:eastAsia="Times New Roman"/>
              </w:rPr>
            </w:pPr>
          </w:p>
        </w:tc>
        <w:tc>
          <w:tcPr>
            <w:tcW w:w="292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372847440"/>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r>
      <w:tr w:rsidR="00000000">
        <w:trPr>
          <w:divId w:val="372847440"/>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Trade receivables transferred to ESFC during the year</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72847440"/>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ESFC trade receivables sold to the bank during the year</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535 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72847440"/>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ESFC trade receivables - end of year (a)</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ind w:hanging="360"/>
        <w:jc w:val="both"/>
        <w:rPr>
          <w:rFonts w:eastAsia="Times New Roman"/>
        </w:rPr>
      </w:pPr>
      <w:r>
        <w:rPr>
          <w:rFonts w:eastAsia="Times New Roman"/>
          <w:color w:val="000000"/>
          <w:sz w:val="20"/>
          <w:szCs w:val="20"/>
        </w:rPr>
        <w:t>(a)At September 30, 2023, the amounts of ESFC trade receivables sold to the b</w:t>
      </w:r>
      <w:r>
        <w:rPr>
          <w:rFonts w:eastAsia="Times New Roman"/>
          <w:color w:val="000000"/>
          <w:sz w:val="20"/>
          <w:szCs w:val="20"/>
        </w:rPr>
        <w:t>ank was $46, and is reflected as “Short-term borrowings” on the Consolidated Balance Sheets. At September 30, 2022 there were no ESFC trade receivables sold to the bank.</w:t>
      </w:r>
    </w:p>
    <w:p w:rsidR="00000000" w:rsidRDefault="00AC31B9">
      <w:pPr>
        <w:jc w:val="both"/>
        <w:rPr>
          <w:rFonts w:eastAsia="Times New Roman"/>
        </w:rPr>
      </w:pPr>
    </w:p>
    <w:p w:rsidR="00000000" w:rsidRDefault="00AC31B9">
      <w:pPr>
        <w:jc w:val="both"/>
        <w:rPr>
          <w:rFonts w:eastAsia="Times New Roman"/>
        </w:rPr>
      </w:pPr>
    </w:p>
    <w:p w:rsidR="00000000" w:rsidRDefault="00AC31B9">
      <w:pPr>
        <w:jc w:val="center"/>
        <w:divId w:val="679819452"/>
        <w:rPr>
          <w:rFonts w:eastAsia="Times New Roman"/>
        </w:rPr>
      </w:pPr>
      <w:r>
        <w:rPr>
          <w:rFonts w:eastAsia="Times New Roman"/>
          <w:color w:val="000000"/>
          <w:sz w:val="20"/>
          <w:szCs w:val="20"/>
        </w:rPr>
        <w:t>F-30</w:t>
      </w:r>
    </w:p>
    <w:p w:rsidR="00000000" w:rsidRDefault="00AC31B9">
      <w:pPr>
        <w:rPr>
          <w:rFonts w:eastAsia="Times New Roman"/>
        </w:rPr>
      </w:pPr>
      <w:r>
        <w:rPr>
          <w:rFonts w:eastAsia="Times New Roman"/>
        </w:rPr>
        <w:pict>
          <v:rect id="_x0000_i1148" style="width:0;height:1.5pt" o:hralign="center" o:hrstd="t" o:hr="t" fillcolor="#a0a0a0" stroked="f"/>
        </w:pict>
      </w:r>
    </w:p>
    <w:p w:rsidR="00000000" w:rsidRDefault="00AC31B9">
      <w:pPr>
        <w:divId w:val="1173371868"/>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2049908493"/>
        <w:rPr>
          <w:rFonts w:eastAsia="Times New Roman"/>
        </w:rPr>
      </w:pPr>
      <w:r>
        <w:rPr>
          <w:rFonts w:eastAsia="Times New Roman"/>
          <w:b/>
          <w:bCs/>
          <w:color w:val="000000"/>
          <w:sz w:val="20"/>
          <w:szCs w:val="20"/>
        </w:rPr>
        <w:t>UGI Corporation and Subsidiaries</w:t>
      </w:r>
    </w:p>
    <w:p w:rsidR="00000000" w:rsidRDefault="00AC31B9">
      <w:pPr>
        <w:divId w:val="1433092790"/>
        <w:rPr>
          <w:rFonts w:eastAsia="Times New Roman"/>
        </w:rPr>
      </w:pPr>
      <w:r>
        <w:rPr>
          <w:rFonts w:eastAsia="Times New Roman"/>
          <w:b/>
          <w:bCs/>
          <w:color w:val="000000"/>
          <w:sz w:val="20"/>
          <w:szCs w:val="20"/>
        </w:rPr>
        <w:t>Notes to Consolidated Financial Statements</w:t>
      </w:r>
    </w:p>
    <w:p w:rsidR="00000000" w:rsidRDefault="00AC31B9">
      <w:pPr>
        <w:divId w:val="1448769709"/>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rPr>
          <w:rFonts w:eastAsia="Times New Roman"/>
        </w:rPr>
      </w:pPr>
      <w:r>
        <w:rPr>
          <w:rFonts w:eastAsia="Times New Roman"/>
          <w:b/>
          <w:bCs/>
          <w:color w:val="000000"/>
          <w:sz w:val="20"/>
          <w:szCs w:val="20"/>
        </w:rPr>
        <w:t>Long-term Debt</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Long-term debt comprises the following at September 30:</w:t>
      </w:r>
    </w:p>
    <w:tbl>
      <w:tblPr>
        <w:tblW w:w="4992" w:type="pct"/>
        <w:tblCellMar>
          <w:top w:w="15" w:type="dxa"/>
          <w:left w:w="15" w:type="dxa"/>
          <w:bottom w:w="15" w:type="dxa"/>
          <w:right w:w="15" w:type="dxa"/>
        </w:tblCellMar>
        <w:tblLook w:val="04A0" w:firstRow="1" w:lastRow="0" w:firstColumn="1" w:lastColumn="0" w:noHBand="0" w:noVBand="1"/>
      </w:tblPr>
      <w:tblGrid>
        <w:gridCol w:w="42"/>
        <w:gridCol w:w="5990"/>
        <w:gridCol w:w="39"/>
        <w:gridCol w:w="115"/>
        <w:gridCol w:w="923"/>
        <w:gridCol w:w="36"/>
        <w:gridCol w:w="36"/>
        <w:gridCol w:w="36"/>
        <w:gridCol w:w="36"/>
        <w:gridCol w:w="115"/>
        <w:gridCol w:w="889"/>
        <w:gridCol w:w="36"/>
      </w:tblGrid>
      <w:tr w:rsidR="00000000">
        <w:trPr>
          <w:divId w:val="532882218"/>
        </w:trPr>
        <w:tc>
          <w:tcPr>
            <w:tcW w:w="50" w:type="pct"/>
            <w:vAlign w:val="center"/>
            <w:hideMark/>
          </w:tcPr>
          <w:p w:rsidR="00000000" w:rsidRDefault="00AC31B9">
            <w:pPr>
              <w:jc w:val="both"/>
              <w:rPr>
                <w:rFonts w:eastAsia="Times New Roman"/>
              </w:rPr>
            </w:pPr>
          </w:p>
        </w:tc>
        <w:tc>
          <w:tcPr>
            <w:tcW w:w="363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532882218"/>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AC31B9">
            <w:pPr>
              <w:spacing w:after="100"/>
              <w:jc w:val="center"/>
              <w:rPr>
                <w:rFonts w:eastAsia="Times New Roman"/>
              </w:rPr>
            </w:pPr>
            <w:r>
              <w:rPr>
                <w:rFonts w:eastAsia="Times New Roman"/>
                <w:color w:val="000000"/>
                <w:sz w:val="19"/>
                <w:szCs w:val="19"/>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AC31B9">
            <w:pPr>
              <w:spacing w:after="100"/>
              <w:jc w:val="center"/>
              <w:rPr>
                <w:rFonts w:eastAsia="Times New Roman"/>
              </w:rPr>
            </w:pPr>
            <w:r>
              <w:rPr>
                <w:rFonts w:eastAsia="Times New Roman"/>
                <w:color w:val="000000"/>
                <w:sz w:val="19"/>
                <w:szCs w:val="19"/>
              </w:rPr>
              <w:t>2022</w:t>
            </w: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b/>
                <w:bCs/>
                <w:color w:val="000000"/>
                <w:sz w:val="19"/>
                <w:szCs w:val="19"/>
              </w:rPr>
              <w:t>AmeriGas Propane:</w:t>
            </w: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 </w:t>
            </w: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AmeriGas Partners Senior Notes:</w:t>
            </w:r>
          </w:p>
        </w:tc>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 </w:t>
            </w: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divId w:val="54941129"/>
              <w:rPr>
                <w:rFonts w:eastAsia="Times New Roman"/>
              </w:rPr>
            </w:pPr>
            <w:r>
              <w:rPr>
                <w:rFonts w:eastAsia="Times New Roman"/>
                <w:color w:val="000000"/>
                <w:sz w:val="19"/>
                <w:szCs w:val="19"/>
              </w:rPr>
              <w:t>   5.50% due May 2025</w:t>
            </w:r>
          </w:p>
        </w:tc>
        <w:tc>
          <w:tcPr>
            <w:tcW w:w="0" w:type="auto"/>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700 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700 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divId w:val="721560811"/>
              <w:rPr>
                <w:rFonts w:eastAsia="Times New Roman"/>
              </w:rPr>
            </w:pPr>
            <w:r>
              <w:rPr>
                <w:rFonts w:eastAsia="Times New Roman"/>
                <w:color w:val="000000"/>
                <w:sz w:val="19"/>
                <w:szCs w:val="19"/>
              </w:rPr>
              <w:t>   5.875% due August 2026</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675 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675 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divId w:val="1660887024"/>
              <w:rPr>
                <w:rFonts w:eastAsia="Times New Roman"/>
              </w:rPr>
            </w:pPr>
            <w:r>
              <w:rPr>
                <w:rFonts w:eastAsia="Times New Roman"/>
                <w:color w:val="000000"/>
                <w:sz w:val="19"/>
                <w:szCs w:val="19"/>
              </w:rPr>
              <w:t>   5.625% due May 2024</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675 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divId w:val="1082526912"/>
              <w:rPr>
                <w:rFonts w:eastAsia="Times New Roman"/>
              </w:rPr>
            </w:pPr>
            <w:r>
              <w:rPr>
                <w:rFonts w:eastAsia="Times New Roman"/>
                <w:color w:val="000000"/>
                <w:sz w:val="19"/>
                <w:szCs w:val="19"/>
              </w:rPr>
              <w:t>   5.75% due May 2027</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525 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525 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divId w:val="704987114"/>
              <w:rPr>
                <w:rFonts w:eastAsia="Times New Roman"/>
              </w:rPr>
            </w:pPr>
            <w:r>
              <w:rPr>
                <w:rFonts w:eastAsia="Times New Roman"/>
                <w:color w:val="000000"/>
                <w:sz w:val="19"/>
                <w:szCs w:val="19"/>
              </w:rPr>
              <w:t>   9.375% due May 2028</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500 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Unamortized debt issuance costs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(15)</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(12)</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Total AmeriGas Propane</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2,385 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2,563 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b/>
                <w:bCs/>
                <w:color w:val="000000"/>
                <w:sz w:val="19"/>
                <w:szCs w:val="19"/>
              </w:rPr>
              <w:t>UGI International:</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 </w:t>
            </w: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divId w:val="9140622"/>
              <w:rPr>
                <w:rFonts w:eastAsia="Times New Roman"/>
              </w:rPr>
            </w:pPr>
            <w:r>
              <w:rPr>
                <w:rFonts w:eastAsia="Times New Roman"/>
                <w:color w:val="000000"/>
                <w:sz w:val="19"/>
                <w:szCs w:val="19"/>
              </w:rPr>
              <w:t>2.50% Senior Notes due December 2029</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424 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392 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UGI International, LLC variable-rate term loan due March 2028 (a)</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317 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UGI International, LLC variable-rate term loan due October 2023 (b)</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294 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Other</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6 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Unamortized debt issuance costs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(8)</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(6)</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Total UGI International</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739 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682 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b/>
                <w:bCs/>
                <w:color w:val="000000"/>
                <w:sz w:val="19"/>
                <w:szCs w:val="19"/>
              </w:rPr>
              <w:t>Midstream &amp; Marketing:</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Energy Services variable-rate term loan due through February 2030 (c)</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794 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677 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 xml:space="preserve">Other </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41 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40 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Unamortized discount and debt issuance costs</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(15)</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(7)</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Total Energy Services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820 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710 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b/>
                <w:bCs/>
                <w:color w:val="000000"/>
                <w:sz w:val="19"/>
                <w:szCs w:val="19"/>
              </w:rPr>
              <w:t>Utilities:</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 </w:t>
            </w: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UGI Utilities Senior Notes: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divId w:val="1927885628"/>
              <w:rPr>
                <w:rFonts w:eastAsia="Times New Roman"/>
              </w:rPr>
            </w:pPr>
            <w:r>
              <w:rPr>
                <w:rFonts w:eastAsia="Times New Roman"/>
                <w:color w:val="000000"/>
                <w:sz w:val="19"/>
                <w:szCs w:val="19"/>
              </w:rPr>
              <w:t>4.12% due September 2046</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200 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200 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divId w:val="676076227"/>
              <w:rPr>
                <w:rFonts w:eastAsia="Times New Roman"/>
              </w:rPr>
            </w:pPr>
            <w:r>
              <w:rPr>
                <w:rFonts w:eastAsia="Times New Roman"/>
                <w:color w:val="000000"/>
                <w:sz w:val="19"/>
                <w:szCs w:val="19"/>
              </w:rPr>
              <w:t>4.98% due March 2044</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175 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175 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divId w:val="934827300"/>
              <w:rPr>
                <w:rFonts w:eastAsia="Times New Roman"/>
              </w:rPr>
            </w:pPr>
            <w:r>
              <w:rPr>
                <w:rFonts w:eastAsia="Times New Roman"/>
                <w:color w:val="000000"/>
                <w:sz w:val="19"/>
                <w:szCs w:val="19"/>
              </w:rPr>
              <w:t>3.12% due April 2050</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150 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150 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divId w:val="1972662011"/>
              <w:rPr>
                <w:rFonts w:eastAsia="Times New Roman"/>
              </w:rPr>
            </w:pPr>
            <w:r>
              <w:rPr>
                <w:rFonts w:eastAsia="Times New Roman"/>
                <w:color w:val="000000"/>
                <w:sz w:val="19"/>
                <w:szCs w:val="19"/>
              </w:rPr>
              <w:t>4.55% due February 2049</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150 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150 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divId w:val="843472082"/>
              <w:rPr>
                <w:rFonts w:eastAsia="Times New Roman"/>
              </w:rPr>
            </w:pPr>
            <w:r>
              <w:rPr>
                <w:rFonts w:eastAsia="Times New Roman"/>
                <w:color w:val="000000"/>
                <w:sz w:val="19"/>
                <w:szCs w:val="19"/>
              </w:rPr>
              <w:t>4.12% due October 2046</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100 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100 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divId w:val="149104150"/>
              <w:rPr>
                <w:rFonts w:eastAsia="Times New Roman"/>
              </w:rPr>
            </w:pPr>
            <w:r>
              <w:rPr>
                <w:rFonts w:eastAsia="Times New Roman"/>
                <w:color w:val="000000"/>
                <w:sz w:val="19"/>
                <w:szCs w:val="19"/>
              </w:rPr>
              <w:t>6.21% due September 2036</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100 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100 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divId w:val="587422119"/>
              <w:rPr>
                <w:rFonts w:eastAsia="Times New Roman"/>
              </w:rPr>
            </w:pPr>
            <w:r>
              <w:rPr>
                <w:rFonts w:eastAsia="Times New Roman"/>
                <w:color w:val="000000"/>
                <w:sz w:val="19"/>
                <w:szCs w:val="19"/>
              </w:rPr>
              <w:t>2.95% due June 2026</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100 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100 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divId w:val="11226359"/>
              <w:rPr>
                <w:rFonts w:eastAsia="Times New Roman"/>
              </w:rPr>
            </w:pPr>
            <w:r>
              <w:rPr>
                <w:rFonts w:eastAsia="Times New Roman"/>
                <w:color w:val="000000"/>
                <w:sz w:val="19"/>
                <w:szCs w:val="19"/>
              </w:rPr>
              <w:t>1.59% due June 2026</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100 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100 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divId w:val="874972995"/>
              <w:rPr>
                <w:rFonts w:eastAsia="Times New Roman"/>
              </w:rPr>
            </w:pPr>
            <w:r>
              <w:rPr>
                <w:rFonts w:eastAsia="Times New Roman"/>
                <w:color w:val="000000"/>
                <w:sz w:val="19"/>
                <w:szCs w:val="19"/>
              </w:rPr>
              <w:t>1.64% due September 2026</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75 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75 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divId w:val="416246956"/>
              <w:rPr>
                <w:rFonts w:eastAsia="Times New Roman"/>
              </w:rPr>
            </w:pPr>
            <w:r>
              <w:rPr>
                <w:rFonts w:eastAsia="Times New Roman"/>
                <w:color w:val="000000"/>
                <w:sz w:val="19"/>
                <w:szCs w:val="19"/>
              </w:rPr>
              <w:t>4.75% due July 2032</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90 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90 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divId w:val="835148272"/>
              <w:rPr>
                <w:rFonts w:eastAsia="Times New Roman"/>
              </w:rPr>
            </w:pPr>
            <w:r>
              <w:rPr>
                <w:rFonts w:eastAsia="Times New Roman"/>
                <w:color w:val="000000"/>
                <w:sz w:val="19"/>
                <w:szCs w:val="19"/>
              </w:rPr>
              <w:t>4.99% due September 2052</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85 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85 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UGI Utilities Medium-Term Notes: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divId w:val="1625190794"/>
              <w:rPr>
                <w:rFonts w:eastAsia="Times New Roman"/>
              </w:rPr>
            </w:pPr>
            <w:r>
              <w:rPr>
                <w:rFonts w:eastAsia="Times New Roman"/>
                <w:color w:val="000000"/>
                <w:sz w:val="19"/>
                <w:szCs w:val="19"/>
              </w:rPr>
              <w:t>6.13% due October 2034</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divId w:val="1667200680"/>
              <w:rPr>
                <w:rFonts w:eastAsia="Times New Roman"/>
              </w:rPr>
            </w:pPr>
            <w:r>
              <w:rPr>
                <w:rFonts w:eastAsia="Times New Roman"/>
                <w:color w:val="000000"/>
                <w:sz w:val="19"/>
                <w:szCs w:val="19"/>
              </w:rPr>
              <w:t>6.50% due August 2033</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Mountaineer senior notes (d)</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199 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201 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UGI Utilities variable-rate term loan due through July 2027 (e)</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89 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95 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Other</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Unamortized debt issuance costs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(6)</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(6)</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Total Utilities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1,649 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1,656 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b/>
                <w:bCs/>
                <w:color w:val="000000"/>
                <w:sz w:val="19"/>
                <w:szCs w:val="19"/>
              </w:rPr>
              <w:t>UGI Corporation: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UGI Corporation Credit Facilities: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532882218"/>
        </w:trPr>
        <w:tc>
          <w:tcPr>
            <w:tcW w:w="0" w:type="auto"/>
            <w:gridSpan w:val="3"/>
            <w:shd w:val="clear" w:color="auto" w:fill="CCEE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UGI Corporation revolving credit facility maturing May 2025 (f)</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283 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252 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UGI Corporation variable-rate term loan due May 2025 (g)</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300 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300 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UGI Corporation variable-rate term loan due through May 2025 (h)</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212 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250 </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155"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UGI Corporation variable-rate term loan due May 2025 (i)</w:t>
            </w: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215 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215 </w:t>
            </w:r>
          </w:p>
        </w:tc>
        <w:tc>
          <w:tcPr>
            <w:tcW w:w="0" w:type="auto"/>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Unamortized debt issuance costs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(3)</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(2)</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Total UGI Corporation</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1,007 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1,015 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Other</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Total 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6,600 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6,632 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CCEE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Less: current maturities</w:t>
            </w: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(57)</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(149)</w:t>
            </w:r>
          </w:p>
        </w:tc>
        <w:tc>
          <w:tcPr>
            <w:tcW w:w="0" w:type="auto"/>
            <w:shd w:val="clear" w:color="auto" w:fill="CCEEFF"/>
            <w:tcMar>
              <w:top w:w="30" w:type="dxa"/>
              <w:left w:w="0" w:type="dxa"/>
              <w:bottom w:w="30" w:type="dxa"/>
              <w:right w:w="20" w:type="dxa"/>
            </w:tcMar>
            <w:vAlign w:val="center"/>
            <w:hideMark/>
          </w:tcPr>
          <w:p w:rsidR="00000000" w:rsidRDefault="00AC31B9">
            <w:pPr>
              <w:spacing w:after="100"/>
              <w:jc w:val="right"/>
              <w:rPr>
                <w:rFonts w:eastAsia="Times New Roman"/>
              </w:rPr>
            </w:pPr>
          </w:p>
        </w:tc>
      </w:tr>
      <w:tr w:rsidR="00000000">
        <w:trPr>
          <w:divId w:val="532882218"/>
        </w:trPr>
        <w:tc>
          <w:tcPr>
            <w:tcW w:w="0" w:type="auto"/>
            <w:gridSpan w:val="3"/>
            <w:shd w:val="clear" w:color="auto" w:fill="FFFFFF"/>
            <w:tcMar>
              <w:top w:w="30" w:type="dxa"/>
              <w:left w:w="20" w:type="dxa"/>
              <w:bottom w:w="30" w:type="dxa"/>
              <w:right w:w="20" w:type="dxa"/>
            </w:tcMar>
            <w:vAlign w:val="center"/>
            <w:hideMark/>
          </w:tcPr>
          <w:p w:rsidR="00000000" w:rsidRDefault="00AC31B9">
            <w:pPr>
              <w:spacing w:after="100"/>
              <w:rPr>
                <w:rFonts w:eastAsia="Times New Roman"/>
              </w:rPr>
            </w:pPr>
            <w:r>
              <w:rPr>
                <w:rFonts w:eastAsia="Times New Roman"/>
                <w:color w:val="000000"/>
                <w:sz w:val="19"/>
                <w:szCs w:val="19"/>
              </w:rPr>
              <w:t>Total long-term debt due after one year</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6,543 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C31B9">
            <w:pPr>
              <w:spacing w:after="100"/>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C31B9">
            <w:pPr>
              <w:spacing w:after="100"/>
              <w:jc w:val="right"/>
              <w:rPr>
                <w:rFonts w:eastAsia="Times New Roman"/>
              </w:rPr>
            </w:pPr>
            <w:r>
              <w:rPr>
                <w:rFonts w:eastAsia="Times New Roman"/>
                <w:color w:val="000000"/>
                <w:sz w:val="19"/>
                <w:szCs w:val="19"/>
              </w:rPr>
              <w:t>6,483 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C31B9">
            <w:pPr>
              <w:spacing w:after="100"/>
              <w:jc w:val="right"/>
              <w:rPr>
                <w:rFonts w:eastAsia="Times New Roman"/>
              </w:rPr>
            </w:pPr>
          </w:p>
        </w:tc>
      </w:tr>
    </w:tbl>
    <w:p w:rsidR="00000000" w:rsidRDefault="00AC31B9">
      <w:pPr>
        <w:jc w:val="center"/>
        <w:divId w:val="328219578"/>
        <w:rPr>
          <w:rFonts w:eastAsia="Times New Roman"/>
        </w:rPr>
      </w:pPr>
      <w:r>
        <w:rPr>
          <w:rFonts w:eastAsia="Times New Roman"/>
          <w:color w:val="000000"/>
          <w:sz w:val="20"/>
          <w:szCs w:val="20"/>
        </w:rPr>
        <w:t>F-31</w:t>
      </w:r>
    </w:p>
    <w:p w:rsidR="00000000" w:rsidRDefault="00AC31B9">
      <w:pPr>
        <w:rPr>
          <w:rFonts w:eastAsia="Times New Roman"/>
        </w:rPr>
      </w:pPr>
      <w:r>
        <w:rPr>
          <w:rFonts w:eastAsia="Times New Roman"/>
        </w:rPr>
        <w:pict>
          <v:rect id="_x0000_i1149" style="width:0;height:1.5pt" o:hralign="center" o:hrstd="t" o:hr="t" fillcolor="#a0a0a0" stroked="f"/>
        </w:pict>
      </w:r>
    </w:p>
    <w:p w:rsidR="00000000" w:rsidRDefault="00AC31B9">
      <w:pPr>
        <w:divId w:val="1672103096"/>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444573941"/>
        <w:rPr>
          <w:rFonts w:eastAsia="Times New Roman"/>
        </w:rPr>
      </w:pPr>
      <w:r>
        <w:rPr>
          <w:rFonts w:eastAsia="Times New Roman"/>
          <w:b/>
          <w:bCs/>
          <w:color w:val="000000"/>
          <w:sz w:val="20"/>
          <w:szCs w:val="20"/>
        </w:rPr>
        <w:t>UGI Corporation and Subsidiaries</w:t>
      </w:r>
    </w:p>
    <w:p w:rsidR="00000000" w:rsidRDefault="00AC31B9">
      <w:pPr>
        <w:divId w:val="948003087"/>
        <w:rPr>
          <w:rFonts w:eastAsia="Times New Roman"/>
        </w:rPr>
      </w:pPr>
      <w:r>
        <w:rPr>
          <w:rFonts w:eastAsia="Times New Roman"/>
          <w:b/>
          <w:bCs/>
          <w:color w:val="000000"/>
          <w:sz w:val="20"/>
          <w:szCs w:val="20"/>
        </w:rPr>
        <w:t>Notes to Consolidated Financial Statements</w:t>
      </w:r>
    </w:p>
    <w:p w:rsidR="00000000" w:rsidRDefault="00AC31B9">
      <w:pPr>
        <w:divId w:val="417989482"/>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829517465"/>
        <w:rPr>
          <w:rFonts w:eastAsia="Times New Roman"/>
        </w:rPr>
      </w:pPr>
    </w:p>
    <w:p w:rsidR="00000000" w:rsidRDefault="00AC31B9">
      <w:pPr>
        <w:ind w:hanging="360"/>
        <w:jc w:val="both"/>
        <w:rPr>
          <w:rFonts w:eastAsia="Times New Roman"/>
        </w:rPr>
      </w:pPr>
      <w:r>
        <w:rPr>
          <w:rFonts w:eastAsia="Times New Roman"/>
          <w:color w:val="000000"/>
          <w:sz w:val="20"/>
          <w:szCs w:val="20"/>
        </w:rPr>
        <w:t>(a)At September 30, 2023, the effective interest rate on the term loan was 4.95</w:t>
      </w:r>
      <w:r>
        <w:rPr>
          <w:rFonts w:eastAsia="Times New Roman"/>
          <w:color w:val="000000"/>
          <w:sz w:val="20"/>
          <w:szCs w:val="20"/>
        </w:rPr>
        <w:t xml:space="preserve">%. We have entered into pay-fixed, receive-variable interest rate swaps that fix the underlying variable rate at 3.10% through March 2026. </w:t>
      </w:r>
    </w:p>
    <w:p w:rsidR="00000000" w:rsidRDefault="00AC31B9">
      <w:pPr>
        <w:ind w:hanging="360"/>
        <w:jc w:val="both"/>
        <w:rPr>
          <w:rFonts w:eastAsia="Times New Roman"/>
        </w:rPr>
      </w:pPr>
      <w:r>
        <w:rPr>
          <w:rFonts w:eastAsia="Times New Roman"/>
          <w:color w:val="000000"/>
          <w:sz w:val="20"/>
          <w:szCs w:val="20"/>
        </w:rPr>
        <w:t>(b)At September 30, 2022, the effective interest rate on the term loan was 1.89%. The term loan was repaid in full a</w:t>
      </w:r>
      <w:r>
        <w:rPr>
          <w:rFonts w:eastAsia="Times New Roman"/>
          <w:color w:val="000000"/>
          <w:sz w:val="20"/>
          <w:szCs w:val="20"/>
        </w:rPr>
        <w:t>nd terminated concurrently with the execution of the UGI International 2023 Credit Facilities Agreement.</w:t>
      </w:r>
    </w:p>
    <w:p w:rsidR="00000000" w:rsidRDefault="00AC31B9">
      <w:pPr>
        <w:ind w:hanging="360"/>
        <w:jc w:val="both"/>
        <w:rPr>
          <w:rFonts w:eastAsia="Times New Roman"/>
        </w:rPr>
      </w:pPr>
      <w:r>
        <w:rPr>
          <w:rFonts w:eastAsia="Times New Roman"/>
          <w:color w:val="000000"/>
          <w:sz w:val="20"/>
          <w:szCs w:val="20"/>
        </w:rPr>
        <w:t xml:space="preserve">(c)At September 30, 2023 and 2022, the effective interest rates on the term loan were 7.82% and 5.13%, respectively. We have entered into a pay-fixed, </w:t>
      </w:r>
      <w:r>
        <w:rPr>
          <w:rFonts w:eastAsia="Times New Roman"/>
          <w:color w:val="000000"/>
          <w:sz w:val="20"/>
          <w:szCs w:val="20"/>
        </w:rPr>
        <w:t>receive-variable interest rate swap to effectively fix the underlying variable rate at 4.53% on these borrowings through September 2026. Term loan borrowings are due in equal quarterly installments of $2, with the balance of the principal being due in full</w:t>
      </w:r>
      <w:r>
        <w:rPr>
          <w:rFonts w:eastAsia="Times New Roman"/>
          <w:color w:val="000000"/>
          <w:sz w:val="20"/>
          <w:szCs w:val="20"/>
        </w:rPr>
        <w:t xml:space="preserve"> at maturity. Under certain circumstances, Energy Services is required to make additional principal payments if the consolidated total leverage ratio, as defined, is greater than defined thresholds. This term loan is collateralized by substantially all of </w:t>
      </w:r>
      <w:r>
        <w:rPr>
          <w:rFonts w:eastAsia="Times New Roman"/>
          <w:color w:val="000000"/>
          <w:sz w:val="20"/>
          <w:szCs w:val="20"/>
        </w:rPr>
        <w:t>the assets of Energy Services, subject to certain exceptions and carveouts including, but not limited to, accounts receivable and certain real property.</w:t>
      </w:r>
    </w:p>
    <w:p w:rsidR="00000000" w:rsidRDefault="00AC31B9">
      <w:pPr>
        <w:ind w:hanging="360"/>
        <w:jc w:val="both"/>
        <w:rPr>
          <w:rFonts w:eastAsia="Times New Roman"/>
        </w:rPr>
      </w:pPr>
      <w:r>
        <w:rPr>
          <w:rFonts w:eastAsia="Times New Roman"/>
          <w:color w:val="000000"/>
          <w:sz w:val="20"/>
          <w:szCs w:val="20"/>
        </w:rPr>
        <w:t xml:space="preserve">(d)Total long-term debt at September 30, 2023 and 2022, comprises $180 principal amount of Mountaineer </w:t>
      </w:r>
      <w:r>
        <w:rPr>
          <w:rFonts w:eastAsia="Times New Roman"/>
          <w:color w:val="000000"/>
          <w:sz w:val="20"/>
          <w:szCs w:val="20"/>
        </w:rPr>
        <w:t>senior secured notes plus unamortized premium of $19 and $21 for September 30, 2023 and 2022, respectively. The face interest rates on the Mountaineer senior notes range from 3.50% to 4.49%, with maturities ranging from 2027 to 2052.</w:t>
      </w:r>
    </w:p>
    <w:p w:rsidR="00000000" w:rsidRDefault="00AC31B9">
      <w:pPr>
        <w:ind w:hanging="360"/>
        <w:jc w:val="both"/>
        <w:rPr>
          <w:rFonts w:eastAsia="Times New Roman"/>
        </w:rPr>
      </w:pPr>
      <w:r>
        <w:rPr>
          <w:rFonts w:eastAsia="Times New Roman"/>
          <w:color w:val="000000"/>
          <w:sz w:val="20"/>
          <w:szCs w:val="20"/>
        </w:rPr>
        <w:t>(e)At September 30, 20</w:t>
      </w:r>
      <w:r>
        <w:rPr>
          <w:rFonts w:eastAsia="Times New Roman"/>
          <w:color w:val="000000"/>
          <w:sz w:val="20"/>
          <w:szCs w:val="20"/>
        </w:rPr>
        <w:t>23 and 2022, the effective interest rate on this term loan was 3.92%. We have entered into a pay-fixed, receive-variable interest rate swap to effectively fix the underlying variable rate at approximately 2.82% on a portion of these borrowings through June</w:t>
      </w:r>
      <w:r>
        <w:rPr>
          <w:rFonts w:eastAsia="Times New Roman"/>
          <w:color w:val="000000"/>
          <w:sz w:val="20"/>
          <w:szCs w:val="20"/>
        </w:rPr>
        <w:t xml:space="preserve"> 2026. Term loan borrowings are due in equal quarterly installments of $2, with the balance of the principal being due in full at maturity.</w:t>
      </w:r>
    </w:p>
    <w:p w:rsidR="00000000" w:rsidRDefault="00AC31B9">
      <w:pPr>
        <w:ind w:hanging="360"/>
        <w:jc w:val="both"/>
        <w:rPr>
          <w:rFonts w:eastAsia="Times New Roman"/>
        </w:rPr>
      </w:pPr>
      <w:r>
        <w:rPr>
          <w:rFonts w:eastAsia="Times New Roman"/>
          <w:color w:val="000000"/>
          <w:sz w:val="20"/>
          <w:szCs w:val="20"/>
        </w:rPr>
        <w:t xml:space="preserve">(f)At September 30, 2023 and 2022, the effective interest rates on credit facility borrowings were 7.80% and 5.61%, </w:t>
      </w:r>
      <w:r>
        <w:rPr>
          <w:rFonts w:eastAsia="Times New Roman"/>
          <w:color w:val="000000"/>
          <w:sz w:val="20"/>
          <w:szCs w:val="20"/>
        </w:rPr>
        <w:t xml:space="preserve">respectively. </w:t>
      </w:r>
    </w:p>
    <w:p w:rsidR="00000000" w:rsidRDefault="00AC31B9">
      <w:pPr>
        <w:ind w:hanging="360"/>
        <w:jc w:val="both"/>
        <w:rPr>
          <w:rFonts w:eastAsia="Times New Roman"/>
        </w:rPr>
      </w:pPr>
      <w:r>
        <w:rPr>
          <w:rFonts w:eastAsia="Times New Roman"/>
          <w:color w:val="000000"/>
          <w:sz w:val="20"/>
          <w:szCs w:val="20"/>
        </w:rPr>
        <w:t>(g)At September 30, 2023 and 2022, the effective interest rates on the term loan were 2.77% and 2.67%, respectively. We have entered into pay-fixed, receive-variable interest rate swaps to effectively fix the underlying variable rate at appr</w:t>
      </w:r>
      <w:r>
        <w:rPr>
          <w:rFonts w:eastAsia="Times New Roman"/>
          <w:color w:val="000000"/>
          <w:sz w:val="20"/>
          <w:szCs w:val="20"/>
        </w:rPr>
        <w:t xml:space="preserve">oximately 0.70% on these borrowings through September 2024. </w:t>
      </w:r>
    </w:p>
    <w:p w:rsidR="00000000" w:rsidRDefault="00AC31B9">
      <w:pPr>
        <w:ind w:hanging="360"/>
        <w:jc w:val="both"/>
        <w:rPr>
          <w:rFonts w:eastAsia="Times New Roman"/>
        </w:rPr>
      </w:pPr>
      <w:r>
        <w:rPr>
          <w:rFonts w:eastAsia="Times New Roman"/>
          <w:color w:val="000000"/>
          <w:sz w:val="20"/>
          <w:szCs w:val="20"/>
        </w:rPr>
        <w:t>(h)At September 30, 2023 and 2022, the effective interest rates on the term loan were 7.79% and 4.15%, respectively. Term loan borrowings are due in equal quarterly installments of $9, commencing</w:t>
      </w:r>
      <w:r>
        <w:rPr>
          <w:rFonts w:eastAsia="Times New Roman"/>
          <w:color w:val="000000"/>
          <w:sz w:val="20"/>
          <w:szCs w:val="20"/>
        </w:rPr>
        <w:t xml:space="preserve"> December 2022, which the balance of the principal being due in full at maturity. </w:t>
      </w:r>
    </w:p>
    <w:p w:rsidR="00000000" w:rsidRDefault="00AC31B9">
      <w:pPr>
        <w:ind w:hanging="360"/>
        <w:jc w:val="both"/>
        <w:rPr>
          <w:rFonts w:eastAsia="Times New Roman"/>
        </w:rPr>
      </w:pPr>
      <w:r>
        <w:rPr>
          <w:rFonts w:eastAsia="Times New Roman"/>
          <w:color w:val="000000"/>
          <w:sz w:val="20"/>
          <w:szCs w:val="20"/>
        </w:rPr>
        <w:t>(i)At September 30, 2023 and 2022, the effective interest rates on the term loan were 4.73% and 3.53%, respectively. We have entered into pay-fixed, receive-variable interes</w:t>
      </w:r>
      <w:r>
        <w:rPr>
          <w:rFonts w:eastAsia="Times New Roman"/>
          <w:color w:val="000000"/>
          <w:sz w:val="20"/>
          <w:szCs w:val="20"/>
        </w:rPr>
        <w:t>t rate swaps to effectively fix the underlying variable rate at approximately 0.70% on a portion of these borrowings through September 2024.</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Scheduled principal repayments of long-term debt for each of the next five fiscal years ending September 30 are a</w:t>
      </w:r>
      <w:r>
        <w:rPr>
          <w:rFonts w:eastAsia="Times New Roman"/>
          <w:color w:val="000000"/>
          <w:sz w:val="20"/>
          <w:szCs w:val="20"/>
        </w:rPr>
        <w:t xml:space="preserve">s follows: </w:t>
      </w:r>
    </w:p>
    <w:tbl>
      <w:tblPr>
        <w:tblW w:w="4992" w:type="pct"/>
        <w:tblCellMar>
          <w:top w:w="15" w:type="dxa"/>
          <w:left w:w="15" w:type="dxa"/>
          <w:bottom w:w="15" w:type="dxa"/>
          <w:right w:w="15" w:type="dxa"/>
        </w:tblCellMar>
        <w:tblLook w:val="04A0" w:firstRow="1" w:lastRow="0" w:firstColumn="1" w:lastColumn="0" w:noHBand="0" w:noVBand="1"/>
      </w:tblPr>
      <w:tblGrid>
        <w:gridCol w:w="38"/>
        <w:gridCol w:w="2619"/>
        <w:gridCol w:w="37"/>
        <w:gridCol w:w="121"/>
        <w:gridCol w:w="912"/>
        <w:gridCol w:w="36"/>
        <w:gridCol w:w="36"/>
        <w:gridCol w:w="36"/>
        <w:gridCol w:w="36"/>
        <w:gridCol w:w="120"/>
        <w:gridCol w:w="868"/>
        <w:gridCol w:w="36"/>
        <w:gridCol w:w="36"/>
        <w:gridCol w:w="36"/>
        <w:gridCol w:w="36"/>
        <w:gridCol w:w="120"/>
        <w:gridCol w:w="868"/>
        <w:gridCol w:w="36"/>
        <w:gridCol w:w="36"/>
        <w:gridCol w:w="36"/>
        <w:gridCol w:w="36"/>
        <w:gridCol w:w="120"/>
        <w:gridCol w:w="868"/>
        <w:gridCol w:w="36"/>
        <w:gridCol w:w="36"/>
        <w:gridCol w:w="36"/>
        <w:gridCol w:w="36"/>
        <w:gridCol w:w="120"/>
        <w:gridCol w:w="870"/>
        <w:gridCol w:w="36"/>
      </w:tblGrid>
      <w:tr w:rsidR="00000000">
        <w:trPr>
          <w:divId w:val="1355040671"/>
        </w:trPr>
        <w:tc>
          <w:tcPr>
            <w:tcW w:w="50" w:type="pct"/>
            <w:vAlign w:val="center"/>
            <w:hideMark/>
          </w:tcPr>
          <w:p w:rsidR="00000000" w:rsidRDefault="00AC31B9">
            <w:pPr>
              <w:jc w:val="both"/>
              <w:rPr>
                <w:rFonts w:eastAsia="Times New Roman"/>
              </w:rPr>
            </w:pPr>
          </w:p>
        </w:tc>
        <w:tc>
          <w:tcPr>
            <w:tcW w:w="161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355040671"/>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2027</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2028</w:t>
            </w:r>
          </w:p>
        </w:tc>
      </w:tr>
      <w:tr w:rsidR="00000000">
        <w:trPr>
          <w:divId w:val="1355040671"/>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AmeriGas Propane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55040671"/>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International</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317 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55040671"/>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Midstream &amp; Marketing</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55040671"/>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Utilities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55040671"/>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UGI Corporation</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973 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55040671"/>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55040671"/>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both"/>
        <w:rPr>
          <w:rFonts w:eastAsia="Times New Roman"/>
        </w:rPr>
      </w:pPr>
    </w:p>
    <w:p w:rsidR="00000000" w:rsidRDefault="00AC31B9">
      <w:pPr>
        <w:jc w:val="center"/>
        <w:divId w:val="968977231"/>
        <w:rPr>
          <w:rFonts w:eastAsia="Times New Roman"/>
        </w:rPr>
      </w:pPr>
      <w:r>
        <w:rPr>
          <w:rFonts w:eastAsia="Times New Roman"/>
          <w:color w:val="000000"/>
          <w:sz w:val="20"/>
          <w:szCs w:val="20"/>
        </w:rPr>
        <w:t>F-32</w:t>
      </w:r>
    </w:p>
    <w:p w:rsidR="00000000" w:rsidRDefault="00AC31B9">
      <w:pPr>
        <w:rPr>
          <w:rFonts w:eastAsia="Times New Roman"/>
        </w:rPr>
      </w:pPr>
      <w:r>
        <w:rPr>
          <w:rFonts w:eastAsia="Times New Roman"/>
        </w:rPr>
        <w:pict>
          <v:rect id="_x0000_i1150" style="width:0;height:1.5pt" o:hralign="center" o:hrstd="t" o:hr="t" fillcolor="#a0a0a0" stroked="f"/>
        </w:pict>
      </w:r>
    </w:p>
    <w:p w:rsidR="00000000" w:rsidRDefault="00AC31B9">
      <w:pPr>
        <w:divId w:val="989292211"/>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2002150886"/>
        <w:rPr>
          <w:rFonts w:eastAsia="Times New Roman"/>
        </w:rPr>
      </w:pPr>
      <w:r>
        <w:rPr>
          <w:rFonts w:eastAsia="Times New Roman"/>
          <w:b/>
          <w:bCs/>
          <w:color w:val="000000"/>
          <w:sz w:val="20"/>
          <w:szCs w:val="20"/>
        </w:rPr>
        <w:t>UGI Corporation and Subsidiaries</w:t>
      </w:r>
    </w:p>
    <w:p w:rsidR="00000000" w:rsidRDefault="00AC31B9">
      <w:pPr>
        <w:divId w:val="1030836190"/>
        <w:rPr>
          <w:rFonts w:eastAsia="Times New Roman"/>
        </w:rPr>
      </w:pPr>
      <w:r>
        <w:rPr>
          <w:rFonts w:eastAsia="Times New Roman"/>
          <w:b/>
          <w:bCs/>
          <w:color w:val="000000"/>
          <w:sz w:val="20"/>
          <w:szCs w:val="20"/>
        </w:rPr>
        <w:t>Notes to Consolidated Financial Statements</w:t>
      </w:r>
    </w:p>
    <w:p w:rsidR="00000000" w:rsidRDefault="00AC31B9">
      <w:pPr>
        <w:divId w:val="596404657"/>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Restrictive Covenants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Our long-term debt and credit facility agreements generally contain customary covenants and default provisions which may include, among other things, r</w:t>
      </w:r>
      <w:r>
        <w:rPr>
          <w:rFonts w:eastAsia="Times New Roman"/>
          <w:color w:val="000000"/>
          <w:sz w:val="20"/>
          <w:szCs w:val="20"/>
        </w:rPr>
        <w:t>estrictions on the incurrence of additional indebtedness and also restrict liens, guarantees, investments, loans and advances, payments, mergers, consolidations, asset transfers, transactions with affiliates, sales of assets, acquisitions and other transac</w:t>
      </w:r>
      <w:r>
        <w:rPr>
          <w:rFonts w:eastAsia="Times New Roman"/>
          <w:color w:val="000000"/>
          <w:sz w:val="20"/>
          <w:szCs w:val="20"/>
        </w:rPr>
        <w:t>tions. These agreements contain standard provisions which require compliance with certain financial ratios. Certain of the subsidiaries nonrecourse debt agreements contain cross-default provisions, whereby default under an agreement with one lender simulta</w:t>
      </w:r>
      <w:r>
        <w:rPr>
          <w:rFonts w:eastAsia="Times New Roman"/>
          <w:color w:val="000000"/>
          <w:sz w:val="20"/>
          <w:szCs w:val="20"/>
        </w:rPr>
        <w:t>neously causes default under agreements with other lenders. In addition, under the default provisions, a default of a subsidiary results in or is at risk of triggering a cross-default under the debt of the parent company. UGI and its subsidiaries were in c</w:t>
      </w:r>
      <w:r>
        <w:rPr>
          <w:rFonts w:eastAsia="Times New Roman"/>
          <w:color w:val="000000"/>
          <w:sz w:val="20"/>
          <w:szCs w:val="20"/>
        </w:rPr>
        <w:t>ompliance with all debt covenants as of September 30, 2023.</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2022 AmeriGas OLP Credit Agreement.</w:t>
      </w:r>
      <w:r>
        <w:rPr>
          <w:rFonts w:eastAsia="Times New Roman"/>
          <w:i/>
          <w:iCs/>
          <w:color w:val="000000"/>
          <w:sz w:val="20"/>
          <w:szCs w:val="20"/>
        </w:rPr>
        <w:t xml:space="preserve"> </w:t>
      </w:r>
      <w:r>
        <w:rPr>
          <w:rFonts w:eastAsia="Times New Roman"/>
          <w:color w:val="000000"/>
          <w:sz w:val="20"/>
          <w:szCs w:val="20"/>
        </w:rPr>
        <w:t>Under the 2022 AmeriGas OLP Credit Agreement, AmeriGas OLP, as borrower, is required to comply with financial covenants related to leverage and interest cover</w:t>
      </w:r>
      <w:r>
        <w:rPr>
          <w:rFonts w:eastAsia="Times New Roman"/>
          <w:color w:val="000000"/>
          <w:sz w:val="20"/>
          <w:szCs w:val="20"/>
        </w:rPr>
        <w:t>age measured at the Partnership and at AmeriGas OLP. On November 15 2023, the Company entered into an amendment to the 2022 AmeriGas OLP Credit Agreement, which amends certain provisions of the credit agreement dated as of September 28, 2022 to, among othe</w:t>
      </w:r>
      <w:r>
        <w:rPr>
          <w:rFonts w:eastAsia="Times New Roman"/>
          <w:color w:val="000000"/>
          <w:sz w:val="20"/>
          <w:szCs w:val="20"/>
        </w:rPr>
        <w:t>r things, (i) reduce the maximum revolver amount from $600 to $400, (ii) reduce the minimum interest coverage ratio, effective for the fourth quarter of Fiscal 2023 through the end of the fourth quarter of Fiscal 2024 and (iii) beginning for the first quar</w:t>
      </w:r>
      <w:r>
        <w:rPr>
          <w:rFonts w:eastAsia="Times New Roman"/>
          <w:color w:val="000000"/>
          <w:sz w:val="20"/>
          <w:szCs w:val="20"/>
        </w:rPr>
        <w:t>ter of Fiscal 2025, the minimum interest coverage ratio will remain reduced if the net leverage ratio is below a threshold as defined by the agreement; if the net leverage ratio exceeds such threshold, the minimum interest coverage ratio will revert to the</w:t>
      </w:r>
      <w:r>
        <w:rPr>
          <w:rFonts w:eastAsia="Times New Roman"/>
          <w:color w:val="000000"/>
          <w:sz w:val="20"/>
          <w:szCs w:val="20"/>
        </w:rPr>
        <w:t xml:space="preserve"> original ratio as defined by the agreement.</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As of March 31, 2023, AmeriGas OLP was in breach of the leverage ratio debt covenant and interest coverage ratio, which it cured with the funds received from UGI. The 2022 AmeriGas OLP Credit Agreement contain</w:t>
      </w:r>
      <w:r>
        <w:rPr>
          <w:rFonts w:eastAsia="Times New Roman"/>
          <w:color w:val="000000"/>
          <w:sz w:val="20"/>
          <w:szCs w:val="20"/>
        </w:rPr>
        <w:t xml:space="preserve">s an equity cure provision, which allows AmeriGas OLP’s direct or indirect parent, including UGI and its other subsidiaries, to fund capital contributions to eliminate any EBITDA (as defined in the 2022 AmeriGas OLP Credit Agreement) shortfalls that would </w:t>
      </w:r>
      <w:r>
        <w:rPr>
          <w:rFonts w:eastAsia="Times New Roman"/>
          <w:color w:val="000000"/>
          <w:sz w:val="20"/>
          <w:szCs w:val="20"/>
        </w:rPr>
        <w:t xml:space="preserve">otherwise result in non-compliance with these financial covenants. UGI made capital contributions to AmeriGas OLP of $20 and $11 on March 31, 2023 and April 24, 2023, respectively, which in aggregate represented one equity cure in accordance with the 2022 </w:t>
      </w:r>
      <w:r>
        <w:rPr>
          <w:rFonts w:eastAsia="Times New Roman"/>
          <w:color w:val="000000"/>
          <w:sz w:val="20"/>
          <w:szCs w:val="20"/>
        </w:rPr>
        <w:t xml:space="preserve">AmeriGas OLP Credit Agreement. As a result of these capital contributions, AmeriGas OLP and the Partnership were in compliance with its financial covenants after considering the equity cure provision as of June 30, 2023 and March 31, 2023. As of September </w:t>
      </w:r>
      <w:r>
        <w:rPr>
          <w:rFonts w:eastAsia="Times New Roman"/>
          <w:color w:val="000000"/>
          <w:sz w:val="20"/>
          <w:szCs w:val="20"/>
        </w:rPr>
        <w:t>30, 2023, the Partnership was in compliance with all debt covenants as set forth in the amended 2022 AmeriGas OLP Credit Agreement without the consideration of the equity cure provision.</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UGI also provided an irrevocable letter of support whereby UGI has committed to fund any such EBITDA shortfalls and debt service, if any. Based on the support and the projected EBITDA, AmeriGas OLP is expected to remain in compliance with its financial deb</w:t>
      </w:r>
      <w:r>
        <w:rPr>
          <w:rFonts w:eastAsia="Times New Roman"/>
          <w:color w:val="000000"/>
          <w:sz w:val="20"/>
          <w:szCs w:val="20"/>
        </w:rPr>
        <w:t>t covenants for the succeeding twelve-month period. In addition, in May 2023, the Company contributed $52 in an equity contribution principally to fund debt service on the senior notes.</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Restricted Net Assets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At September 30, 2023, the amount of net ass</w:t>
      </w:r>
      <w:r>
        <w:rPr>
          <w:rFonts w:eastAsia="Times New Roman"/>
          <w:color w:val="000000"/>
          <w:sz w:val="20"/>
          <w:szCs w:val="20"/>
        </w:rPr>
        <w:t>ets of UGI’s consolidated subsidiaries that were restricted from transfer to UGI under debt agreements, subsidiary partnership agreements and regulatory requirements under foreign laws totaled approximately $3,600.</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 xml:space="preserve">Note 7 — Income Taxes </w:t>
      </w:r>
    </w:p>
    <w:p w:rsidR="00000000" w:rsidRDefault="00AC31B9">
      <w:pPr>
        <w:jc w:val="both"/>
        <w:divId w:val="839199140"/>
        <w:rPr>
          <w:rFonts w:eastAsia="Times New Roman"/>
        </w:rPr>
      </w:pPr>
      <w:r>
        <w:rPr>
          <w:rFonts w:eastAsia="Times New Roman"/>
          <w:color w:val="000000"/>
          <w:sz w:val="20"/>
          <w:szCs w:val="20"/>
        </w:rPr>
        <w:t>(Loss) income be</w:t>
      </w:r>
      <w:r>
        <w:rPr>
          <w:rFonts w:eastAsia="Times New Roman"/>
          <w:color w:val="000000"/>
          <w:sz w:val="20"/>
          <w:szCs w:val="20"/>
        </w:rPr>
        <w:t>fore income taxes comprises the following:</w:t>
      </w:r>
    </w:p>
    <w:tbl>
      <w:tblPr>
        <w:tblW w:w="4992" w:type="pct"/>
        <w:tblCellMar>
          <w:top w:w="15" w:type="dxa"/>
          <w:left w:w="15" w:type="dxa"/>
          <w:bottom w:w="15" w:type="dxa"/>
          <w:right w:w="15" w:type="dxa"/>
        </w:tblCellMar>
        <w:tblLook w:val="04A0" w:firstRow="1" w:lastRow="0" w:firstColumn="1" w:lastColumn="0" w:noHBand="0" w:noVBand="1"/>
      </w:tblPr>
      <w:tblGrid>
        <w:gridCol w:w="37"/>
        <w:gridCol w:w="4864"/>
        <w:gridCol w:w="36"/>
        <w:gridCol w:w="120"/>
        <w:gridCol w:w="917"/>
        <w:gridCol w:w="36"/>
        <w:gridCol w:w="36"/>
        <w:gridCol w:w="36"/>
        <w:gridCol w:w="36"/>
        <w:gridCol w:w="120"/>
        <w:gridCol w:w="877"/>
        <w:gridCol w:w="36"/>
        <w:gridCol w:w="36"/>
        <w:gridCol w:w="36"/>
        <w:gridCol w:w="36"/>
        <w:gridCol w:w="120"/>
        <w:gridCol w:w="878"/>
        <w:gridCol w:w="36"/>
      </w:tblGrid>
      <w:tr w:rsidR="00000000">
        <w:trPr>
          <w:divId w:val="1371221456"/>
        </w:trPr>
        <w:tc>
          <w:tcPr>
            <w:tcW w:w="50" w:type="pct"/>
            <w:vAlign w:val="center"/>
            <w:hideMark/>
          </w:tcPr>
          <w:p w:rsidR="00000000" w:rsidRDefault="00AC31B9">
            <w:pPr>
              <w:jc w:val="both"/>
              <w:rPr>
                <w:rFonts w:eastAsia="Times New Roman"/>
              </w:rPr>
            </w:pPr>
          </w:p>
        </w:tc>
        <w:tc>
          <w:tcPr>
            <w:tcW w:w="296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371221456"/>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r>
      <w:tr w:rsidR="00000000">
        <w:trPr>
          <w:divId w:val="137122145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Domestic</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7122145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(1,491)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1,025 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1,342 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7122145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(loss) income before income taxes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(1,837)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divId w:val="520777741"/>
        <w:rPr>
          <w:rFonts w:eastAsia="Times New Roman"/>
        </w:rPr>
      </w:pPr>
    </w:p>
    <w:p w:rsidR="00000000" w:rsidRDefault="00AC31B9">
      <w:pPr>
        <w:jc w:val="center"/>
        <w:divId w:val="1282690027"/>
        <w:rPr>
          <w:rFonts w:eastAsia="Times New Roman"/>
        </w:rPr>
      </w:pPr>
      <w:r>
        <w:rPr>
          <w:rFonts w:eastAsia="Times New Roman"/>
          <w:color w:val="000000"/>
          <w:sz w:val="20"/>
          <w:szCs w:val="20"/>
        </w:rPr>
        <w:t>F-33</w:t>
      </w:r>
    </w:p>
    <w:p w:rsidR="00000000" w:rsidRDefault="00AC31B9">
      <w:pPr>
        <w:rPr>
          <w:rFonts w:eastAsia="Times New Roman"/>
        </w:rPr>
      </w:pPr>
      <w:r>
        <w:rPr>
          <w:rFonts w:eastAsia="Times New Roman"/>
        </w:rPr>
        <w:pict>
          <v:rect id="_x0000_i1151" style="width:0;height:1.5pt" o:hralign="center" o:hrstd="t" o:hr="t" fillcolor="#a0a0a0" stroked="f"/>
        </w:pict>
      </w:r>
    </w:p>
    <w:p w:rsidR="00000000" w:rsidRDefault="00AC31B9">
      <w:pPr>
        <w:divId w:val="1563717067"/>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836187324"/>
        <w:rPr>
          <w:rFonts w:eastAsia="Times New Roman"/>
        </w:rPr>
      </w:pPr>
      <w:r>
        <w:rPr>
          <w:rFonts w:eastAsia="Times New Roman"/>
          <w:b/>
          <w:bCs/>
          <w:color w:val="000000"/>
          <w:sz w:val="20"/>
          <w:szCs w:val="20"/>
        </w:rPr>
        <w:t>UGI Corporation and Subsidiaries</w:t>
      </w:r>
    </w:p>
    <w:p w:rsidR="00000000" w:rsidRDefault="00AC31B9">
      <w:pPr>
        <w:divId w:val="688796401"/>
        <w:rPr>
          <w:rFonts w:eastAsia="Times New Roman"/>
        </w:rPr>
      </w:pPr>
      <w:r>
        <w:rPr>
          <w:rFonts w:eastAsia="Times New Roman"/>
          <w:b/>
          <w:bCs/>
          <w:color w:val="000000"/>
          <w:sz w:val="20"/>
          <w:szCs w:val="20"/>
        </w:rPr>
        <w:t>Notes to Consolidated Financial Statements</w:t>
      </w:r>
    </w:p>
    <w:p w:rsidR="00000000" w:rsidRDefault="00AC31B9">
      <w:pPr>
        <w:divId w:val="1484394705"/>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AC31B9">
      <w:pPr>
        <w:jc w:val="both"/>
        <w:rPr>
          <w:rFonts w:eastAsia="Times New Roman"/>
        </w:rPr>
      </w:pPr>
      <w:r>
        <w:rPr>
          <w:rFonts w:eastAsia="Times New Roman"/>
          <w:color w:val="000000"/>
          <w:sz w:val="20"/>
          <w:szCs w:val="20"/>
        </w:rPr>
        <w:t>The provisions for income taxes consist of the following:</w:t>
      </w:r>
    </w:p>
    <w:tbl>
      <w:tblPr>
        <w:tblW w:w="4992" w:type="pct"/>
        <w:tblCellMar>
          <w:top w:w="15" w:type="dxa"/>
          <w:left w:w="15" w:type="dxa"/>
          <w:bottom w:w="15" w:type="dxa"/>
          <w:right w:w="15" w:type="dxa"/>
        </w:tblCellMar>
        <w:tblLook w:val="04A0" w:firstRow="1" w:lastRow="0" w:firstColumn="1" w:lastColumn="0" w:noHBand="0" w:noVBand="1"/>
      </w:tblPr>
      <w:tblGrid>
        <w:gridCol w:w="38"/>
        <w:gridCol w:w="4863"/>
        <w:gridCol w:w="37"/>
        <w:gridCol w:w="120"/>
        <w:gridCol w:w="916"/>
        <w:gridCol w:w="36"/>
        <w:gridCol w:w="36"/>
        <w:gridCol w:w="36"/>
        <w:gridCol w:w="36"/>
        <w:gridCol w:w="120"/>
        <w:gridCol w:w="877"/>
        <w:gridCol w:w="36"/>
        <w:gridCol w:w="36"/>
        <w:gridCol w:w="36"/>
        <w:gridCol w:w="36"/>
        <w:gridCol w:w="120"/>
        <w:gridCol w:w="878"/>
        <w:gridCol w:w="36"/>
      </w:tblGrid>
      <w:tr w:rsidR="00000000">
        <w:trPr>
          <w:divId w:val="1855344517"/>
        </w:trPr>
        <w:tc>
          <w:tcPr>
            <w:tcW w:w="50" w:type="pct"/>
            <w:vAlign w:val="center"/>
            <w:hideMark/>
          </w:tcPr>
          <w:p w:rsidR="00000000" w:rsidRDefault="00AC31B9">
            <w:pPr>
              <w:jc w:val="both"/>
              <w:rPr>
                <w:rFonts w:eastAsia="Times New Roman"/>
              </w:rPr>
            </w:pPr>
          </w:p>
        </w:tc>
        <w:tc>
          <w:tcPr>
            <w:tcW w:w="296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855344517"/>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r>
      <w:tr w:rsidR="00000000">
        <w:trPr>
          <w:divId w:val="1855344517"/>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Current expense (benefit):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855344517"/>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Federal</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855344517"/>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State</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855344517"/>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855344517"/>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55344517"/>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ind w:firstLine="180"/>
              <w:rPr>
                <w:rFonts w:eastAsia="Times New Roman"/>
              </w:rPr>
            </w:pPr>
            <w:r>
              <w:rPr>
                <w:rFonts w:eastAsia="Times New Roman"/>
                <w:color w:val="000000"/>
                <w:sz w:val="20"/>
                <w:szCs w:val="20"/>
              </w:rPr>
              <w:t>Total current expense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855344517"/>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Deferred expense (benefit):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855344517"/>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Federal</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855344517"/>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State</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855344517"/>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Foreign</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(433)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855344517"/>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55344517"/>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ind w:firstLine="180"/>
              <w:rPr>
                <w:rFonts w:eastAsia="Times New Roman"/>
              </w:rPr>
            </w:pPr>
            <w:r>
              <w:rPr>
                <w:rFonts w:eastAsia="Times New Roman"/>
                <w:color w:val="000000"/>
                <w:sz w:val="20"/>
                <w:szCs w:val="20"/>
              </w:rPr>
              <w:t>Total deferred (benefit) expense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855344517"/>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income tax (benefit)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divId w:val="853425977"/>
        <w:rPr>
          <w:rFonts w:eastAsia="Times New Roman"/>
        </w:rPr>
      </w:pPr>
    </w:p>
    <w:p w:rsidR="00000000" w:rsidRDefault="00AC31B9">
      <w:pPr>
        <w:jc w:val="both"/>
        <w:rPr>
          <w:rFonts w:eastAsia="Times New Roman"/>
        </w:rPr>
      </w:pPr>
      <w:r>
        <w:rPr>
          <w:rFonts w:eastAsia="Times New Roman"/>
          <w:color w:val="000000"/>
          <w:sz w:val="20"/>
          <w:szCs w:val="20"/>
        </w:rPr>
        <w:t>Federal income taxes for Fiscal 2023 and Fiscal 2022 are net of foreign tax credits of $25 and $5, respectively. There were no foreign tax credits utilized in Fiscal 2021.</w:t>
      </w:r>
    </w:p>
    <w:p w:rsidR="00000000" w:rsidRDefault="00AC31B9">
      <w:pPr>
        <w:jc w:val="both"/>
        <w:divId w:val="34552063"/>
        <w:rPr>
          <w:rFonts w:eastAsia="Times New Roman"/>
        </w:rPr>
      </w:pPr>
      <w:r>
        <w:rPr>
          <w:rFonts w:eastAsia="Times New Roman"/>
          <w:color w:val="000000"/>
          <w:sz w:val="20"/>
          <w:szCs w:val="20"/>
        </w:rPr>
        <w:t>A recon</w:t>
      </w:r>
      <w:r>
        <w:rPr>
          <w:rFonts w:eastAsia="Times New Roman"/>
          <w:color w:val="000000"/>
          <w:sz w:val="20"/>
          <w:szCs w:val="20"/>
        </w:rPr>
        <w:t>ciliation from the U.S. federal statutory tax rate to our effective tax rate is as follows:</w:t>
      </w:r>
    </w:p>
    <w:tbl>
      <w:tblPr>
        <w:tblW w:w="4992" w:type="pct"/>
        <w:tblCellMar>
          <w:top w:w="15" w:type="dxa"/>
          <w:left w:w="15" w:type="dxa"/>
          <w:bottom w:w="15" w:type="dxa"/>
          <w:right w:w="15" w:type="dxa"/>
        </w:tblCellMar>
        <w:tblLook w:val="04A0" w:firstRow="1" w:lastRow="0" w:firstColumn="1" w:lastColumn="0" w:noHBand="0" w:noVBand="1"/>
      </w:tblPr>
      <w:tblGrid>
        <w:gridCol w:w="40"/>
        <w:gridCol w:w="4821"/>
        <w:gridCol w:w="39"/>
        <w:gridCol w:w="37"/>
        <w:gridCol w:w="874"/>
        <w:gridCol w:w="187"/>
        <w:gridCol w:w="36"/>
        <w:gridCol w:w="36"/>
        <w:gridCol w:w="36"/>
        <w:gridCol w:w="37"/>
        <w:gridCol w:w="814"/>
        <w:gridCol w:w="187"/>
        <w:gridCol w:w="36"/>
        <w:gridCol w:w="36"/>
        <w:gridCol w:w="36"/>
        <w:gridCol w:w="37"/>
        <w:gridCol w:w="817"/>
        <w:gridCol w:w="187"/>
      </w:tblGrid>
      <w:tr w:rsidR="00000000">
        <w:trPr>
          <w:divId w:val="464201569"/>
        </w:trPr>
        <w:tc>
          <w:tcPr>
            <w:tcW w:w="50" w:type="pct"/>
            <w:vAlign w:val="center"/>
            <w:hideMark/>
          </w:tcPr>
          <w:p w:rsidR="00000000" w:rsidRDefault="00AC31B9">
            <w:pPr>
              <w:jc w:val="both"/>
              <w:rPr>
                <w:rFonts w:eastAsia="Times New Roman"/>
              </w:rPr>
            </w:pPr>
          </w:p>
        </w:tc>
        <w:tc>
          <w:tcPr>
            <w:tcW w:w="296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464201569"/>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r>
      <w:tr w:rsidR="00000000">
        <w:trPr>
          <w:divId w:val="464201569"/>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U.S. federal statutory tax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rPr>
          <w:divId w:val="464201569"/>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Difference in tax rate due to:</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464201569"/>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Goodwill impairment not deductible for tax</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464201569"/>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Effects of foreign operations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464201569"/>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State income taxes, net of federal benefit</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464201569"/>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Valuation allowance adjustments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464201569"/>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Effects of tax rate changes – State, net of federal benefit</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464201569"/>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Effects of tax rate changes - International</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464201569"/>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Effects of U.S. tax legislation</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(0.8)</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464201569"/>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464201569"/>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(0.2)</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464201569"/>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Effective tax rate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bl>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July 2022, tax legislation was enacted in Pennsylvania reducing the state’</w:t>
      </w:r>
      <w:r>
        <w:rPr>
          <w:rFonts w:eastAsia="Times New Roman"/>
          <w:color w:val="000000"/>
          <w:sz w:val="20"/>
          <w:szCs w:val="20"/>
        </w:rPr>
        <w:t>s corporate net income tax rate from 9.99% to 4.99% over a nine-year period, beginning with an initial reduction to 8.99% beginning in Fiscal 2024. The legislation resulted in $4 and $20 of tax benefits being recorded in Fiscal 2023 and Fiscal 2022, respec</w:t>
      </w:r>
      <w:r>
        <w:rPr>
          <w:rFonts w:eastAsia="Times New Roman"/>
          <w:color w:val="000000"/>
          <w:sz w:val="20"/>
          <w:szCs w:val="20"/>
        </w:rPr>
        <w:t>tively, based on the Company’s analysis of future reversals of net deferred tax liabilities.</w:t>
      </w:r>
      <w:r>
        <w:rPr>
          <w:rFonts w:eastAsia="Times New Roman"/>
          <w:color w:val="0033CC"/>
          <w:sz w:val="20"/>
          <w:szCs w:val="20"/>
        </w:rPr>
        <w:t xml:space="preserve">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February 2021, tax legislation was enacted in Italy which allowed the Company to align book basis with tax basis on certain assets in exchange for paying a t</w:t>
      </w:r>
      <w:r>
        <w:rPr>
          <w:rFonts w:eastAsia="Times New Roman"/>
          <w:color w:val="000000"/>
          <w:sz w:val="20"/>
          <w:szCs w:val="20"/>
        </w:rPr>
        <w:t>hree percent substitute tax payment payable in three annual installments. This election resulted in a $23 net benefit in Fiscal 2021. Timing of the recovery of the resulting incremental tax basis was changed with legislation in Fiscal 2022 extending the de</w:t>
      </w:r>
      <w:r>
        <w:rPr>
          <w:rFonts w:eastAsia="Times New Roman"/>
          <w:color w:val="000000"/>
          <w:sz w:val="20"/>
          <w:szCs w:val="20"/>
        </w:rPr>
        <w:t>ductible period of recovery from 18 to 50 years</w:t>
      </w:r>
      <w:r>
        <w:rPr>
          <w:rFonts w:eastAsia="Times New Roman"/>
          <w:color w:val="0033CC"/>
          <w:sz w:val="20"/>
          <w:szCs w:val="20"/>
        </w:rPr>
        <w:t>.</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On March 27, 2020 the CARES Act was enacted into law. The primary impact of the legislation was the change in federal net operating loss carryback rules which allowed the Company’s U.S. federal tax losses </w:t>
      </w:r>
      <w:r>
        <w:rPr>
          <w:rFonts w:eastAsia="Times New Roman"/>
          <w:color w:val="000000"/>
          <w:sz w:val="20"/>
          <w:szCs w:val="20"/>
        </w:rPr>
        <w:t xml:space="preserve">generated in Fiscal 2021 to be carried back to Fiscal 2016. The carryback of our Fiscal 2021 U.S. federal tax losses from a 21% rate environment to offset taxable income in Fiscal 2016 in a 35% rate environment generated incremental benefits of $15. A $37 </w:t>
      </w:r>
      <w:r>
        <w:rPr>
          <w:rFonts w:eastAsia="Times New Roman"/>
          <w:color w:val="000000"/>
          <w:sz w:val="20"/>
          <w:szCs w:val="20"/>
        </w:rPr>
        <w:t xml:space="preserve">refund claim for the Fiscal 2021 claim has been filed and is included in “Income taxes receivable” on the Consolidated Balance Sheet at September 30, 2023 and 2022. </w:t>
      </w:r>
    </w:p>
    <w:p w:rsidR="00000000" w:rsidRDefault="00AC31B9">
      <w:pPr>
        <w:divId w:val="1497262952"/>
        <w:rPr>
          <w:rFonts w:eastAsia="Times New Roman"/>
        </w:rPr>
      </w:pPr>
    </w:p>
    <w:p w:rsidR="00000000" w:rsidRDefault="00AC31B9">
      <w:pPr>
        <w:jc w:val="center"/>
        <w:divId w:val="316961704"/>
        <w:rPr>
          <w:rFonts w:eastAsia="Times New Roman"/>
        </w:rPr>
      </w:pPr>
      <w:r>
        <w:rPr>
          <w:rFonts w:eastAsia="Times New Roman"/>
          <w:color w:val="000000"/>
          <w:sz w:val="20"/>
          <w:szCs w:val="20"/>
        </w:rPr>
        <w:t>F-34</w:t>
      </w:r>
    </w:p>
    <w:p w:rsidR="00000000" w:rsidRDefault="00AC31B9">
      <w:pPr>
        <w:rPr>
          <w:rFonts w:eastAsia="Times New Roman"/>
        </w:rPr>
      </w:pPr>
      <w:r>
        <w:rPr>
          <w:rFonts w:eastAsia="Times New Roman"/>
        </w:rPr>
        <w:pict>
          <v:rect id="_x0000_i1152" style="width:0;height:1.5pt" o:hralign="center" o:hrstd="t" o:hr="t" fillcolor="#a0a0a0" stroked="f"/>
        </w:pict>
      </w:r>
    </w:p>
    <w:p w:rsidR="00000000" w:rsidRDefault="00AC31B9">
      <w:pPr>
        <w:divId w:val="1052577252"/>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49227820"/>
        <w:rPr>
          <w:rFonts w:eastAsia="Times New Roman"/>
        </w:rPr>
      </w:pPr>
      <w:r>
        <w:rPr>
          <w:rFonts w:eastAsia="Times New Roman"/>
          <w:b/>
          <w:bCs/>
          <w:color w:val="000000"/>
          <w:sz w:val="20"/>
          <w:szCs w:val="20"/>
        </w:rPr>
        <w:t>UGI Corporation and Subsidiaries</w:t>
      </w:r>
    </w:p>
    <w:p w:rsidR="00000000" w:rsidRDefault="00AC31B9">
      <w:pPr>
        <w:divId w:val="862596511"/>
        <w:rPr>
          <w:rFonts w:eastAsia="Times New Roman"/>
        </w:rPr>
      </w:pPr>
      <w:r>
        <w:rPr>
          <w:rFonts w:eastAsia="Times New Roman"/>
          <w:b/>
          <w:bCs/>
          <w:color w:val="000000"/>
          <w:sz w:val="20"/>
          <w:szCs w:val="20"/>
        </w:rPr>
        <w:t>Notes to Consolidated Financial Statements</w:t>
      </w:r>
    </w:p>
    <w:p w:rsidR="00000000" w:rsidRDefault="00AC31B9">
      <w:pPr>
        <w:divId w:val="1138575866"/>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rPr>
          <w:rFonts w:eastAsia="Times New Roman"/>
        </w:rPr>
      </w:pPr>
      <w:r>
        <w:rPr>
          <w:rFonts w:eastAsia="Times New Roman"/>
          <w:color w:val="000000"/>
          <w:sz w:val="20"/>
          <w:szCs w:val="20"/>
        </w:rPr>
        <w:t>Our effective tax rate is subject to the impact of changes to the taxat</w:t>
      </w:r>
      <w:r>
        <w:rPr>
          <w:rFonts w:eastAsia="Times New Roman"/>
          <w:color w:val="000000"/>
          <w:sz w:val="20"/>
          <w:szCs w:val="20"/>
        </w:rPr>
        <w:t>ion of foreign source income made by the TCJA and the high tax exception regulations issued in July 2020. Income tax expense for Fiscal 2023, Fiscal 2022 and Fiscal 2021 includes $13, $3, and $8, respectively, of GILTI taxes that are treated as current per</w:t>
      </w:r>
      <w:r>
        <w:rPr>
          <w:rFonts w:eastAsia="Times New Roman"/>
          <w:color w:val="000000"/>
          <w:sz w:val="20"/>
          <w:szCs w:val="20"/>
        </w:rPr>
        <w:t>iod costs and carry no related deferred taxes.</w:t>
      </w:r>
    </w:p>
    <w:p w:rsidR="00000000" w:rsidRDefault="00AC31B9">
      <w:pPr>
        <w:jc w:val="both"/>
        <w:divId w:val="2041853845"/>
        <w:rPr>
          <w:rFonts w:eastAsia="Times New Roman"/>
        </w:rPr>
      </w:pPr>
      <w:r>
        <w:rPr>
          <w:rFonts w:eastAsia="Times New Roman"/>
          <w:color w:val="000000"/>
          <w:sz w:val="20"/>
          <w:szCs w:val="20"/>
        </w:rPr>
        <w:t>Pennsylvania and West Virginia utility ratemaking practices permit the flow through to ratepayers of state tax benefits resulting from accelerated tax depreciation. For Fiscal 2023, Fiscal 2022 and Fiscal 2021</w:t>
      </w:r>
      <w:r>
        <w:rPr>
          <w:rFonts w:eastAsia="Times New Roman"/>
          <w:color w:val="000000"/>
          <w:sz w:val="20"/>
          <w:szCs w:val="20"/>
        </w:rPr>
        <w:t>, the beneficial effects of state tax flow through of accelerated depreciation reduced income tax expense by $11, $10, and $9, respectively.</w:t>
      </w:r>
    </w:p>
    <w:p w:rsidR="00000000" w:rsidRDefault="00AC31B9">
      <w:pPr>
        <w:jc w:val="both"/>
        <w:divId w:val="1952083593"/>
        <w:rPr>
          <w:rFonts w:eastAsia="Times New Roman"/>
        </w:rPr>
      </w:pPr>
      <w:r>
        <w:rPr>
          <w:rFonts w:eastAsia="Times New Roman"/>
          <w:color w:val="000000"/>
          <w:sz w:val="20"/>
          <w:szCs w:val="20"/>
        </w:rPr>
        <w:t xml:space="preserve">Deferred tax liabilities (assets) comprise the following at September 30: </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7"/>
        <w:gridCol w:w="121"/>
        <w:gridCol w:w="921"/>
        <w:gridCol w:w="36"/>
        <w:gridCol w:w="36"/>
        <w:gridCol w:w="36"/>
        <w:gridCol w:w="36"/>
        <w:gridCol w:w="120"/>
        <w:gridCol w:w="886"/>
        <w:gridCol w:w="36"/>
      </w:tblGrid>
      <w:tr w:rsidR="00000000">
        <w:trPr>
          <w:divId w:val="1684823666"/>
        </w:trPr>
        <w:tc>
          <w:tcPr>
            <w:tcW w:w="50" w:type="pct"/>
            <w:vAlign w:val="center"/>
            <w:hideMark/>
          </w:tcPr>
          <w:p w:rsidR="00000000" w:rsidRDefault="00AC31B9">
            <w:pPr>
              <w:jc w:val="both"/>
              <w:rPr>
                <w:rFonts w:eastAsia="Times New Roman"/>
              </w:rPr>
            </w:pPr>
          </w:p>
        </w:tc>
        <w:tc>
          <w:tcPr>
            <w:tcW w:w="363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684823666"/>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r>
      <w:tr w:rsidR="00000000">
        <w:trPr>
          <w:divId w:val="168482366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Excess book basis over tax basis of property, plant and equipment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84823666"/>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8482366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Utility regulatory assets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8482366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Intangible assets and goodwill</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84823666"/>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8482366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Derivative instrument assets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514 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8482366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8482366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Gross deferred tax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84823666"/>
          <w:trHeight w:val="300"/>
        </w:trPr>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68482366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Investment in AmeriGas Partners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8482366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Pension plan liabilities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8482366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Employee-related benefits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8482366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loss carryforwards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8482366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Foreign tax credit carryforwards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(64)</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8482366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Utility regulatory liabilities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84823666"/>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84823666"/>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8482366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Utility environmental liabilities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8482366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8482366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(58)</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8482366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Gross deferred tax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8482366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Deferred tax assets valuation allowance</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8482366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deferred tax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both"/>
        <w:divId w:val="1689059910"/>
        <w:rPr>
          <w:rFonts w:eastAsia="Times New Roman"/>
        </w:rPr>
      </w:pPr>
      <w:r>
        <w:rPr>
          <w:rFonts w:eastAsia="Times New Roman"/>
          <w:color w:val="000000"/>
          <w:sz w:val="20"/>
          <w:szCs w:val="20"/>
        </w:rPr>
        <w:t xml:space="preserve">At September 30, 2023, we carried foreign net operating loss carryforwards of $6 relating to Flaga, $23 </w:t>
      </w:r>
      <w:r>
        <w:rPr>
          <w:rFonts w:eastAsia="Times New Roman"/>
          <w:color w:val="000000"/>
          <w:sz w:val="20"/>
          <w:szCs w:val="20"/>
        </w:rPr>
        <w:t xml:space="preserve">at certain subsidiaries of UGI France, $10 relating to Belgium, $5 relating to U.K., and $44 in the Netherlands with no expiration dates. We have state net operating loss carryforwards primarily relating to certain subsidiaries that approximate $1,071 and </w:t>
      </w:r>
      <w:r>
        <w:rPr>
          <w:rFonts w:eastAsia="Times New Roman"/>
          <w:color w:val="000000"/>
          <w:sz w:val="20"/>
          <w:szCs w:val="20"/>
        </w:rPr>
        <w:t>expire through 2043. We also have federal operating loss carryforwards of $9 for certain operations of AmeriGas Propane. At September 30, 2023, deferred tax assets relating to operating loss carryforwards amounted to $75 related to various UGI subsidiaries</w:t>
      </w:r>
      <w:r>
        <w:rPr>
          <w:rFonts w:eastAsia="Times New Roman"/>
          <w:color w:val="000000"/>
          <w:sz w:val="20"/>
          <w:szCs w:val="20"/>
        </w:rPr>
        <w:t>.</w:t>
      </w:r>
    </w:p>
    <w:p w:rsidR="00000000" w:rsidRDefault="00AC31B9">
      <w:pPr>
        <w:jc w:val="both"/>
        <w:divId w:val="1281064691"/>
        <w:rPr>
          <w:rFonts w:eastAsia="Times New Roman"/>
        </w:rPr>
      </w:pPr>
      <w:r>
        <w:rPr>
          <w:rFonts w:eastAsia="Times New Roman"/>
          <w:color w:val="000000"/>
          <w:sz w:val="20"/>
          <w:szCs w:val="20"/>
        </w:rPr>
        <w:t xml:space="preserve">Valuation allowances against deferred tax assets exist for foreign tax credit carryforwards, net operating loss carryforwards of foreign subsidiaries, capital loss carryforwards and a notional interest deduction. The valuation allowance for all deferred </w:t>
      </w:r>
      <w:r>
        <w:rPr>
          <w:rFonts w:eastAsia="Times New Roman"/>
          <w:color w:val="000000"/>
          <w:sz w:val="20"/>
          <w:szCs w:val="20"/>
        </w:rPr>
        <w:t>tax remained the same in Fiscal 2023, which included an increase of $19 for disallowed interest, an increase of $11 for foreign net operating losses, $5 for a notional interest deduction and $3 from state tax rate decreases were offset by $22 decrease agai</w:t>
      </w:r>
      <w:r>
        <w:rPr>
          <w:rFonts w:eastAsia="Times New Roman"/>
          <w:color w:val="000000"/>
          <w:sz w:val="20"/>
          <w:szCs w:val="20"/>
        </w:rPr>
        <w:t xml:space="preserve">nst capital losses and a $16 decrease against FTC’s. </w:t>
      </w:r>
    </w:p>
    <w:p w:rsidR="00000000" w:rsidRDefault="00AC31B9">
      <w:pPr>
        <w:jc w:val="both"/>
        <w:divId w:val="1386685873"/>
        <w:rPr>
          <w:rFonts w:eastAsia="Times New Roman"/>
        </w:rPr>
      </w:pPr>
      <w:r>
        <w:rPr>
          <w:rFonts w:eastAsia="Times New Roman"/>
          <w:color w:val="000000"/>
          <w:sz w:val="20"/>
          <w:szCs w:val="20"/>
        </w:rPr>
        <w:t xml:space="preserve">The valuation allowance for all deferred tax assets increased by $3 in Fiscal 2022, which included a $17 </w:t>
      </w:r>
      <w:r>
        <w:rPr>
          <w:rFonts w:eastAsia="Times New Roman"/>
          <w:color w:val="000000"/>
          <w:sz w:val="20"/>
          <w:szCs w:val="20"/>
        </w:rPr>
        <w:t>increase in a notional interest deduction carryover, offset by a release of $6 against FTCs that will be realizable in the future, a $4 decrease from state tax rate changes, and a $4 decrease related to foreign net operating loss carry forwards.</w:t>
      </w:r>
    </w:p>
    <w:p w:rsidR="00000000" w:rsidRDefault="00AC31B9">
      <w:pPr>
        <w:jc w:val="both"/>
        <w:divId w:val="316692161"/>
        <w:rPr>
          <w:rFonts w:eastAsia="Times New Roman"/>
        </w:rPr>
      </w:pPr>
      <w:r>
        <w:rPr>
          <w:rFonts w:eastAsia="Times New Roman"/>
          <w:color w:val="000000"/>
          <w:sz w:val="20"/>
          <w:szCs w:val="20"/>
        </w:rPr>
        <w:t>We conduct</w:t>
      </w:r>
      <w:r>
        <w:rPr>
          <w:rFonts w:eastAsia="Times New Roman"/>
          <w:color w:val="000000"/>
          <w:sz w:val="20"/>
          <w:szCs w:val="20"/>
        </w:rPr>
        <w:t xml:space="preserve"> business and file tax returns in the U.S., and various local, state and foreign jurisdictions. Our U.S. federal income tax returns are settled through the 2019 tax year, and our European tax returns are effectively settled for various years from 2015 to 2</w:t>
      </w:r>
      <w:r>
        <w:rPr>
          <w:rFonts w:eastAsia="Times New Roman"/>
          <w:color w:val="000000"/>
          <w:sz w:val="20"/>
          <w:szCs w:val="20"/>
        </w:rPr>
        <w:t xml:space="preserve">020. State and other income tax returns in the U.S. are generally subject to examination for a period of three to five years after the filing of the respective returns. </w:t>
      </w:r>
    </w:p>
    <w:p w:rsidR="00000000" w:rsidRDefault="00AC31B9">
      <w:pPr>
        <w:jc w:val="center"/>
        <w:divId w:val="1321232989"/>
        <w:rPr>
          <w:rFonts w:eastAsia="Times New Roman"/>
        </w:rPr>
      </w:pPr>
      <w:r>
        <w:rPr>
          <w:rFonts w:eastAsia="Times New Roman"/>
          <w:color w:val="000000"/>
          <w:sz w:val="20"/>
          <w:szCs w:val="20"/>
        </w:rPr>
        <w:t>F-35</w:t>
      </w:r>
    </w:p>
    <w:p w:rsidR="00000000" w:rsidRDefault="00AC31B9">
      <w:pPr>
        <w:rPr>
          <w:rFonts w:eastAsia="Times New Roman"/>
        </w:rPr>
      </w:pPr>
      <w:r>
        <w:rPr>
          <w:rFonts w:eastAsia="Times New Roman"/>
        </w:rPr>
        <w:pict>
          <v:rect id="_x0000_i1153" style="width:0;height:1.5pt" o:hralign="center" o:hrstd="t" o:hr="t" fillcolor="#a0a0a0" stroked="f"/>
        </w:pict>
      </w:r>
    </w:p>
    <w:p w:rsidR="00000000" w:rsidRDefault="00AC31B9">
      <w:pPr>
        <w:divId w:val="1876574256"/>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80054310"/>
        <w:rPr>
          <w:rFonts w:eastAsia="Times New Roman"/>
        </w:rPr>
      </w:pPr>
      <w:r>
        <w:rPr>
          <w:rFonts w:eastAsia="Times New Roman"/>
          <w:b/>
          <w:bCs/>
          <w:color w:val="000000"/>
          <w:sz w:val="20"/>
          <w:szCs w:val="20"/>
        </w:rPr>
        <w:t>UGI Corporation and Subsidiaries</w:t>
      </w:r>
    </w:p>
    <w:p w:rsidR="00000000" w:rsidRDefault="00AC31B9">
      <w:pPr>
        <w:divId w:val="1809518598"/>
        <w:rPr>
          <w:rFonts w:eastAsia="Times New Roman"/>
        </w:rPr>
      </w:pPr>
      <w:r>
        <w:rPr>
          <w:rFonts w:eastAsia="Times New Roman"/>
          <w:b/>
          <w:bCs/>
          <w:color w:val="000000"/>
          <w:sz w:val="20"/>
          <w:szCs w:val="20"/>
        </w:rPr>
        <w:t>Notes to Consolidated Financial Statements</w:t>
      </w:r>
    </w:p>
    <w:p w:rsidR="00000000" w:rsidRDefault="00AC31B9">
      <w:pPr>
        <w:divId w:val="1146356182"/>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758059009"/>
        <w:rPr>
          <w:rFonts w:eastAsia="Times New Roman"/>
        </w:rPr>
      </w:pPr>
      <w:r>
        <w:rPr>
          <w:rFonts w:eastAsia="Times New Roman"/>
          <w:color w:val="000000"/>
          <w:sz w:val="20"/>
          <w:szCs w:val="20"/>
        </w:rPr>
        <w:t xml:space="preserve">The Company’s unrecognized tax benefits including amounts related to accrued interest, which if subsequently recognized would be recorded as a benefit to income taxes, amounted </w:t>
      </w:r>
      <w:r>
        <w:rPr>
          <w:rFonts w:eastAsia="Times New Roman"/>
          <w:color w:val="000000"/>
          <w:sz w:val="20"/>
          <w:szCs w:val="20"/>
        </w:rPr>
        <w:t>to $26, $5, and $3 at September 30, 2023, 2022 and 2021, respectively. Generally, a net reduction in unrecognized tax benefits could occur because of the expiration of the statute of limitations in certain jurisdictions or as a result of settlements with t</w:t>
      </w:r>
      <w:r>
        <w:rPr>
          <w:rFonts w:eastAsia="Times New Roman"/>
          <w:color w:val="000000"/>
          <w:sz w:val="20"/>
          <w:szCs w:val="20"/>
        </w:rPr>
        <w:t>ax authorities. The expected change in unrecognized tax benefits and related interest in the next twelve months as the result of the expiration of certain statutes is immaterial.</w:t>
      </w:r>
    </w:p>
    <w:p w:rsidR="00000000" w:rsidRDefault="00AC31B9">
      <w:pPr>
        <w:jc w:val="both"/>
        <w:divId w:val="300505993"/>
        <w:rPr>
          <w:rFonts w:eastAsia="Times New Roman"/>
        </w:rPr>
      </w:pPr>
      <w:r>
        <w:rPr>
          <w:rFonts w:eastAsia="Times New Roman"/>
          <w:color w:val="000000"/>
          <w:sz w:val="20"/>
          <w:szCs w:val="20"/>
        </w:rPr>
        <w:t>A reconciliation of the beginning and ending amounts of unrecognized tax bene</w:t>
      </w:r>
      <w:r>
        <w:rPr>
          <w:rFonts w:eastAsia="Times New Roman"/>
          <w:color w:val="000000"/>
          <w:sz w:val="20"/>
          <w:szCs w:val="20"/>
        </w:rPr>
        <w:t xml:space="preserve">fits is as follows: </w:t>
      </w:r>
    </w:p>
    <w:tbl>
      <w:tblPr>
        <w:tblW w:w="4992" w:type="pct"/>
        <w:tblCellMar>
          <w:top w:w="15" w:type="dxa"/>
          <w:left w:w="15" w:type="dxa"/>
          <w:bottom w:w="15" w:type="dxa"/>
          <w:right w:w="15" w:type="dxa"/>
        </w:tblCellMar>
        <w:tblLook w:val="04A0" w:firstRow="1" w:lastRow="0" w:firstColumn="1" w:lastColumn="0" w:noHBand="0" w:noVBand="1"/>
      </w:tblPr>
      <w:tblGrid>
        <w:gridCol w:w="38"/>
        <w:gridCol w:w="4863"/>
        <w:gridCol w:w="37"/>
        <w:gridCol w:w="121"/>
        <w:gridCol w:w="916"/>
        <w:gridCol w:w="36"/>
        <w:gridCol w:w="36"/>
        <w:gridCol w:w="36"/>
        <w:gridCol w:w="36"/>
        <w:gridCol w:w="121"/>
        <w:gridCol w:w="875"/>
        <w:gridCol w:w="36"/>
        <w:gridCol w:w="36"/>
        <w:gridCol w:w="36"/>
        <w:gridCol w:w="36"/>
        <w:gridCol w:w="121"/>
        <w:gridCol w:w="877"/>
        <w:gridCol w:w="36"/>
      </w:tblGrid>
      <w:tr w:rsidR="00000000">
        <w:trPr>
          <w:divId w:val="1058436826"/>
        </w:trPr>
        <w:tc>
          <w:tcPr>
            <w:tcW w:w="50" w:type="pct"/>
            <w:vAlign w:val="center"/>
            <w:hideMark/>
          </w:tcPr>
          <w:p w:rsidR="00000000" w:rsidRDefault="00AC31B9">
            <w:pPr>
              <w:jc w:val="both"/>
              <w:rPr>
                <w:rFonts w:eastAsia="Times New Roman"/>
              </w:rPr>
            </w:pPr>
          </w:p>
        </w:tc>
        <w:tc>
          <w:tcPr>
            <w:tcW w:w="296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058436826"/>
          <w:trHeight w:val="60"/>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058436826"/>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r>
      <w:tr w:rsidR="00000000">
        <w:trPr>
          <w:divId w:val="105843682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Unrecognized tax benefits —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05843682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Additions for tax positions of the current year</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05843682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Decreases for tax positions taken in prior years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05843682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Increases for tax positions taken in prior years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05843682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Settlements with tax authorities/statute lapses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05843682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Unrecognized tax benefits — end of year</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both"/>
        <w:divId w:val="698318374"/>
        <w:rPr>
          <w:rFonts w:eastAsia="Times New Roman"/>
        </w:rPr>
      </w:pPr>
      <w:r>
        <w:rPr>
          <w:rFonts w:eastAsia="Times New Roman"/>
          <w:b/>
          <w:bCs/>
          <w:color w:val="000000"/>
          <w:sz w:val="20"/>
          <w:szCs w:val="20"/>
          <w:u w:val="single"/>
        </w:rPr>
        <w:t xml:space="preserve">Note 8 — Employee Retirement Plans </w:t>
      </w:r>
    </w:p>
    <w:p w:rsidR="00000000" w:rsidRDefault="00AC31B9">
      <w:pPr>
        <w:jc w:val="both"/>
        <w:divId w:val="630939781"/>
        <w:rPr>
          <w:rFonts w:eastAsia="Times New Roman"/>
        </w:rPr>
      </w:pPr>
      <w:r>
        <w:rPr>
          <w:rFonts w:eastAsia="Times New Roman"/>
          <w:b/>
          <w:bCs/>
          <w:color w:val="000000"/>
          <w:sz w:val="20"/>
          <w:szCs w:val="20"/>
        </w:rPr>
        <w:t>Defined Benefit Pension and Other Postretirement Plans</w:t>
      </w:r>
    </w:p>
    <w:p w:rsidR="00000000" w:rsidRDefault="00AC31B9">
      <w:pPr>
        <w:jc w:val="both"/>
        <w:divId w:val="2110930336"/>
        <w:rPr>
          <w:rFonts w:eastAsia="Times New Roman"/>
        </w:rPr>
      </w:pPr>
      <w:r>
        <w:rPr>
          <w:rFonts w:eastAsia="Times New Roman"/>
          <w:color w:val="000000"/>
          <w:sz w:val="20"/>
          <w:szCs w:val="20"/>
        </w:rPr>
        <w:t>The U.S. Pension Plans consist of (1) a defined benefit pension plan for employees hired prior to January 1, 2009, of UGI, UGI Utilities, and certain of UGI’s other domestic wholly owned subsidiaries and (2) a defined benefit pension plan for Mountaineer e</w:t>
      </w:r>
      <w:r>
        <w:rPr>
          <w:rFonts w:eastAsia="Times New Roman"/>
          <w:color w:val="000000"/>
          <w:sz w:val="20"/>
          <w:szCs w:val="20"/>
        </w:rPr>
        <w:t>mployees hired prior to January 1, 2023. U.S. Pension Plans’ benefits are based on years of service, age and employee compensation. In addition, certain UGI International employees in France and Belgium are covered by defined benefit pension and postretire</w:t>
      </w:r>
      <w:r>
        <w:rPr>
          <w:rFonts w:eastAsia="Times New Roman"/>
          <w:color w:val="000000"/>
          <w:sz w:val="20"/>
          <w:szCs w:val="20"/>
        </w:rPr>
        <w:t>ment plans. Although the disclosures in the tables below include amounts related to the UGI International plans, such amounts are not material.</w:t>
      </w:r>
    </w:p>
    <w:p w:rsidR="00000000" w:rsidRDefault="00AC31B9">
      <w:pPr>
        <w:jc w:val="both"/>
        <w:divId w:val="1036154385"/>
        <w:rPr>
          <w:rFonts w:eastAsia="Times New Roman"/>
        </w:rPr>
      </w:pPr>
      <w:r>
        <w:rPr>
          <w:rFonts w:eastAsia="Times New Roman"/>
          <w:color w:val="000000"/>
          <w:sz w:val="20"/>
          <w:szCs w:val="20"/>
        </w:rPr>
        <w:t>We also provide postretirement health care benefits to certain retirees and postretirement life insurance benefi</w:t>
      </w:r>
      <w:r>
        <w:rPr>
          <w:rFonts w:eastAsia="Times New Roman"/>
          <w:color w:val="000000"/>
          <w:sz w:val="20"/>
          <w:szCs w:val="20"/>
        </w:rPr>
        <w:t xml:space="preserve">ts to certain U.S. active and retired employees. The ABO of our other postretirement benefit plans was $21 and $22 as of September 30, 2023 and 2022, respectively. The fair value of the plan assets of our other postretirement benefit plans was $18 and $16 </w:t>
      </w:r>
      <w:r>
        <w:rPr>
          <w:rFonts w:eastAsia="Times New Roman"/>
          <w:color w:val="000000"/>
          <w:sz w:val="20"/>
          <w:szCs w:val="20"/>
        </w:rPr>
        <w:t xml:space="preserve">as of September 30, 2023 and 2022, respectively. </w:t>
      </w:r>
    </w:p>
    <w:p w:rsidR="00000000" w:rsidRDefault="00AC31B9">
      <w:pPr>
        <w:jc w:val="both"/>
        <w:divId w:val="168373446"/>
        <w:rPr>
          <w:rFonts w:eastAsia="Times New Roman"/>
        </w:rPr>
      </w:pPr>
      <w:r>
        <w:rPr>
          <w:rFonts w:eastAsia="Times New Roman"/>
          <w:color w:val="000000"/>
          <w:sz w:val="20"/>
          <w:szCs w:val="20"/>
        </w:rPr>
        <w:t>The following table provides a reconciliation of the PBOs of our pension plans (the U.S. Pension Plans and the UGI International pension plans), plan assets, and the related funded status of our pension pla</w:t>
      </w:r>
      <w:r>
        <w:rPr>
          <w:rFonts w:eastAsia="Times New Roman"/>
          <w:color w:val="000000"/>
          <w:sz w:val="20"/>
          <w:szCs w:val="20"/>
        </w:rPr>
        <w:t>ns as of September 30, 2023 and 2022. ABO is the present value of benefits earned to date with benefits based upon current compensation levels. PBO is ABO increased to reflect estimated future compensation.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5787"/>
        <w:gridCol w:w="37"/>
        <w:gridCol w:w="120"/>
        <w:gridCol w:w="886"/>
        <w:gridCol w:w="36"/>
        <w:gridCol w:w="36"/>
        <w:gridCol w:w="36"/>
        <w:gridCol w:w="36"/>
        <w:gridCol w:w="120"/>
        <w:gridCol w:w="850"/>
        <w:gridCol w:w="36"/>
        <w:gridCol w:w="36"/>
        <w:gridCol w:w="36"/>
        <w:gridCol w:w="36"/>
        <w:gridCol w:w="36"/>
        <w:gridCol w:w="36"/>
        <w:gridCol w:w="36"/>
        <w:gridCol w:w="36"/>
        <w:gridCol w:w="36"/>
      </w:tblGrid>
      <w:tr w:rsidR="00000000">
        <w:trPr>
          <w:divId w:val="1860586297"/>
        </w:trPr>
        <w:tc>
          <w:tcPr>
            <w:tcW w:w="50" w:type="pct"/>
            <w:vAlign w:val="center"/>
            <w:hideMark/>
          </w:tcPr>
          <w:p w:rsidR="00000000" w:rsidRDefault="00AC31B9">
            <w:pPr>
              <w:jc w:val="both"/>
              <w:rPr>
                <w:rFonts w:eastAsia="Times New Roman"/>
              </w:rPr>
            </w:pPr>
          </w:p>
        </w:tc>
        <w:tc>
          <w:tcPr>
            <w:tcW w:w="363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60586297"/>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Pension Benefits</w:t>
            </w:r>
          </w:p>
        </w:tc>
        <w:tc>
          <w:tcPr>
            <w:tcW w:w="0" w:type="auto"/>
            <w:vAlign w:val="center"/>
            <w:hideMark/>
          </w:tcPr>
          <w:p w:rsidR="00000000" w:rsidRDefault="00AC31B9">
            <w:pPr>
              <w:spacing w:after="100"/>
              <w:jc w:val="center"/>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860586297"/>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vAlign w:val="center"/>
            <w:hideMark/>
          </w:tcPr>
          <w:p w:rsidR="00000000" w:rsidRDefault="00AC31B9">
            <w:pPr>
              <w:spacing w:after="100"/>
              <w:jc w:val="center"/>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60586297"/>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Change in benefit obligations: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vAlign w:val="center"/>
            <w:hideMark/>
          </w:tcPr>
          <w:p w:rsidR="00000000" w:rsidRDefault="00AC31B9">
            <w:pPr>
              <w:spacing w:after="100"/>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60586297"/>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Benefit obligations — beginning of year</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633 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870 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60586297"/>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Service cost</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60586297"/>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60586297"/>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Actuarial gain</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60586297"/>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Plan amendments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60586297"/>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60586297"/>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60586297"/>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60586297"/>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Foreign currency </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60586297"/>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Benefits paid</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60586297"/>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Benefit obligations — end of year (a)</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bl>
    <w:p w:rsidR="00000000" w:rsidRDefault="00AC31B9">
      <w:pPr>
        <w:jc w:val="center"/>
        <w:divId w:val="1531259150"/>
        <w:rPr>
          <w:rFonts w:eastAsia="Times New Roman"/>
        </w:rPr>
      </w:pPr>
      <w:r>
        <w:rPr>
          <w:rFonts w:eastAsia="Times New Roman"/>
          <w:color w:val="000000"/>
          <w:sz w:val="20"/>
          <w:szCs w:val="20"/>
        </w:rPr>
        <w:t>F-36</w:t>
      </w:r>
    </w:p>
    <w:p w:rsidR="00000000" w:rsidRDefault="00AC31B9">
      <w:pPr>
        <w:rPr>
          <w:rFonts w:eastAsia="Times New Roman"/>
        </w:rPr>
      </w:pPr>
      <w:r>
        <w:rPr>
          <w:rFonts w:eastAsia="Times New Roman"/>
        </w:rPr>
        <w:pict>
          <v:rect id="_x0000_i1154" style="width:0;height:1.5pt" o:hralign="center" o:hrstd="t" o:hr="t" fillcolor="#a0a0a0" stroked="f"/>
        </w:pict>
      </w:r>
    </w:p>
    <w:p w:rsidR="00000000" w:rsidRDefault="00AC31B9">
      <w:pPr>
        <w:divId w:val="1735933423"/>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33179664"/>
        <w:rPr>
          <w:rFonts w:eastAsia="Times New Roman"/>
        </w:rPr>
      </w:pPr>
      <w:r>
        <w:rPr>
          <w:rFonts w:eastAsia="Times New Roman"/>
          <w:b/>
          <w:bCs/>
          <w:color w:val="000000"/>
          <w:sz w:val="20"/>
          <w:szCs w:val="20"/>
        </w:rPr>
        <w:t>UGI Corporation and Subsidiaries</w:t>
      </w:r>
    </w:p>
    <w:p w:rsidR="00000000" w:rsidRDefault="00AC31B9">
      <w:pPr>
        <w:divId w:val="1597861930"/>
        <w:rPr>
          <w:rFonts w:eastAsia="Times New Roman"/>
        </w:rPr>
      </w:pPr>
      <w:r>
        <w:rPr>
          <w:rFonts w:eastAsia="Times New Roman"/>
          <w:b/>
          <w:bCs/>
          <w:color w:val="000000"/>
          <w:sz w:val="20"/>
          <w:szCs w:val="20"/>
        </w:rPr>
        <w:t>Notes to Consolidated Financial Statements</w:t>
      </w:r>
    </w:p>
    <w:p w:rsidR="00000000" w:rsidRDefault="00AC31B9">
      <w:pPr>
        <w:divId w:val="910582824"/>
        <w:rPr>
          <w:rFonts w:eastAsia="Times New Roman"/>
        </w:rPr>
      </w:pPr>
      <w:r>
        <w:rPr>
          <w:rFonts w:eastAsia="Times New Roman"/>
          <w:color w:val="000000"/>
          <w:sz w:val="20"/>
          <w:szCs w:val="20"/>
        </w:rPr>
        <w:t>(Currency in millions, except per share amounts and where indicated otherwise)</w:t>
      </w:r>
    </w:p>
    <w:tbl>
      <w:tblPr>
        <w:tblW w:w="5000" w:type="pct"/>
        <w:tblCellMar>
          <w:top w:w="15" w:type="dxa"/>
          <w:left w:w="15" w:type="dxa"/>
          <w:bottom w:w="15" w:type="dxa"/>
          <w:right w:w="15" w:type="dxa"/>
        </w:tblCellMar>
        <w:tblLook w:val="04A0" w:firstRow="1" w:lastRow="0" w:firstColumn="1" w:lastColumn="0" w:noHBand="0" w:noVBand="1"/>
      </w:tblPr>
      <w:tblGrid>
        <w:gridCol w:w="39"/>
        <w:gridCol w:w="5785"/>
        <w:gridCol w:w="38"/>
        <w:gridCol w:w="120"/>
        <w:gridCol w:w="886"/>
        <w:gridCol w:w="36"/>
        <w:gridCol w:w="36"/>
        <w:gridCol w:w="36"/>
        <w:gridCol w:w="36"/>
        <w:gridCol w:w="120"/>
        <w:gridCol w:w="850"/>
        <w:gridCol w:w="36"/>
        <w:gridCol w:w="36"/>
        <w:gridCol w:w="36"/>
        <w:gridCol w:w="36"/>
        <w:gridCol w:w="36"/>
        <w:gridCol w:w="36"/>
        <w:gridCol w:w="36"/>
        <w:gridCol w:w="36"/>
        <w:gridCol w:w="36"/>
      </w:tblGrid>
      <w:tr w:rsidR="00000000">
        <w:trPr>
          <w:divId w:val="1629630691"/>
        </w:trPr>
        <w:tc>
          <w:tcPr>
            <w:tcW w:w="50" w:type="pct"/>
            <w:vAlign w:val="center"/>
            <w:hideMark/>
          </w:tcPr>
          <w:p w:rsidR="00000000" w:rsidRDefault="00AC31B9">
            <w:pPr>
              <w:rPr>
                <w:rFonts w:eastAsia="Times New Roman"/>
              </w:rPr>
            </w:pPr>
          </w:p>
        </w:tc>
        <w:tc>
          <w:tcPr>
            <w:tcW w:w="363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Pension Benefits</w:t>
            </w:r>
          </w:p>
        </w:tc>
        <w:tc>
          <w:tcPr>
            <w:tcW w:w="0" w:type="auto"/>
            <w:vAlign w:val="center"/>
            <w:hideMark/>
          </w:tcPr>
          <w:p w:rsidR="00000000" w:rsidRDefault="00AC31B9">
            <w:pPr>
              <w:spacing w:after="100"/>
              <w:jc w:val="center"/>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vAlign w:val="center"/>
            <w:hideMark/>
          </w:tcPr>
          <w:p w:rsidR="00000000" w:rsidRDefault="00AC31B9">
            <w:pPr>
              <w:spacing w:after="100"/>
              <w:jc w:val="center"/>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Change in plan assets:</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vAlign w:val="center"/>
            <w:hideMark/>
          </w:tcPr>
          <w:p w:rsidR="00000000" w:rsidRDefault="00AC31B9">
            <w:pPr>
              <w:spacing w:after="100"/>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Fair value of plan assets — beginning of year</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541 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736 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Actual gain (loss) on plan assets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Foreign currency </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Employer contributions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Benefits paid</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Fair value of plan assets —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Funded status of the plans — end of year (b)</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Amounts recorded in UGI Corporation stockholders’ equity (pre-tax):</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vAlign w:val="center"/>
            <w:hideMark/>
          </w:tcPr>
          <w:p w:rsidR="00000000" w:rsidRDefault="00AC31B9">
            <w:pPr>
              <w:spacing w:after="100"/>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Prior service cost</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actuarial gain</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Amounts recorded in regulatory assets and liabilities (pre-tax):</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vAlign w:val="center"/>
            <w:hideMark/>
          </w:tcPr>
          <w:p w:rsidR="00000000" w:rsidRDefault="00AC31B9">
            <w:pPr>
              <w:spacing w:after="100"/>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actuarial loss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629630691"/>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bl>
    <w:p w:rsidR="00000000" w:rsidRDefault="00AC31B9">
      <w:pPr>
        <w:divId w:val="283468342"/>
        <w:rPr>
          <w:rFonts w:eastAsia="Times New Roman"/>
        </w:rPr>
      </w:pPr>
      <w:r>
        <w:rPr>
          <w:rFonts w:eastAsia="Times New Roman"/>
          <w:color w:val="000000"/>
          <w:sz w:val="20"/>
          <w:szCs w:val="20"/>
        </w:rPr>
        <w:t xml:space="preserve">(a) The ABO for the U.S. Pension Plans was </w:t>
      </w:r>
      <w:r>
        <w:rPr>
          <w:rFonts w:eastAsia="Times New Roman"/>
          <w:color w:val="000000"/>
          <w:sz w:val="20"/>
          <w:szCs w:val="20"/>
          <w:shd w:val="clear" w:color="auto" w:fill="FFFFFF"/>
        </w:rPr>
        <w:t>$558</w:t>
      </w:r>
      <w:r>
        <w:rPr>
          <w:rFonts w:eastAsia="Times New Roman"/>
          <w:color w:val="000000"/>
          <w:sz w:val="20"/>
          <w:szCs w:val="20"/>
        </w:rPr>
        <w:t xml:space="preserve"> and $570 as of September 30, 2023 and 2022, respectively.</w:t>
      </w:r>
    </w:p>
    <w:p w:rsidR="00000000" w:rsidRDefault="00AC31B9">
      <w:pPr>
        <w:divId w:val="1770999829"/>
        <w:rPr>
          <w:rFonts w:eastAsia="Times New Roman"/>
        </w:rPr>
      </w:pPr>
      <w:r>
        <w:rPr>
          <w:rFonts w:eastAsia="Times New Roman"/>
          <w:color w:val="000000"/>
          <w:sz w:val="20"/>
          <w:szCs w:val="20"/>
        </w:rPr>
        <w:t>(b) Amounts are reflected in “</w:t>
      </w:r>
      <w:r>
        <w:rPr>
          <w:rFonts w:eastAsia="Times New Roman"/>
          <w:color w:val="000000"/>
          <w:sz w:val="20"/>
          <w:szCs w:val="20"/>
        </w:rPr>
        <w:t>Other noncurrent liabilities” and “Other assets” on the Consolidated Balance Sheets. Amounts reflected in “Other assets” are not material.</w:t>
      </w:r>
    </w:p>
    <w:p w:rsidR="00000000" w:rsidRDefault="00AC31B9">
      <w:pPr>
        <w:divId w:val="1670867619"/>
        <w:rPr>
          <w:rFonts w:eastAsia="Times New Roman"/>
        </w:rPr>
      </w:pPr>
    </w:p>
    <w:p w:rsidR="00000000" w:rsidRDefault="00AC31B9">
      <w:pPr>
        <w:jc w:val="both"/>
        <w:rPr>
          <w:rFonts w:eastAsia="Times New Roman"/>
        </w:rPr>
      </w:pPr>
      <w:r>
        <w:rPr>
          <w:rFonts w:eastAsia="Times New Roman"/>
          <w:color w:val="000000"/>
          <w:sz w:val="20"/>
          <w:szCs w:val="20"/>
        </w:rPr>
        <w:t>In Fiscal 2023 and Fiscal 2022, the change in the pension plans’ PBO due to actuarial gains is principally the resu</w:t>
      </w:r>
      <w:r>
        <w:rPr>
          <w:rFonts w:eastAsia="Times New Roman"/>
          <w:color w:val="000000"/>
          <w:sz w:val="20"/>
          <w:szCs w:val="20"/>
        </w:rPr>
        <w:t xml:space="preserve">lt of changes in discount rates. </w:t>
      </w:r>
    </w:p>
    <w:p w:rsidR="00000000" w:rsidRDefault="00AC31B9">
      <w:pPr>
        <w:jc w:val="both"/>
        <w:divId w:val="292710302"/>
        <w:rPr>
          <w:rFonts w:eastAsia="Times New Roman"/>
        </w:rPr>
      </w:pPr>
      <w:r>
        <w:rPr>
          <w:rFonts w:eastAsia="Times New Roman"/>
          <w:color w:val="000000"/>
          <w:sz w:val="20"/>
          <w:szCs w:val="20"/>
        </w:rPr>
        <w:t>Actuarial assumptions for our U.S. Pension Plans are described below. The discount rate assumption was determined by selecting a hypothetical portfolio of high quality corporate bonds appropriate to provide for the project</w:t>
      </w:r>
      <w:r>
        <w:rPr>
          <w:rFonts w:eastAsia="Times New Roman"/>
          <w:color w:val="000000"/>
          <w:sz w:val="20"/>
          <w:szCs w:val="20"/>
        </w:rPr>
        <w:t>ed benefit payments of the plans. The discount rate was then developed as the single rate that equates the market value of the bonds purchased to the discounted value of the plans’ benefit payments. The expected rate of return on assets assumption is based</w:t>
      </w:r>
      <w:r>
        <w:rPr>
          <w:rFonts w:eastAsia="Times New Roman"/>
          <w:color w:val="000000"/>
          <w:sz w:val="20"/>
          <w:szCs w:val="20"/>
        </w:rPr>
        <w:t xml:space="preserve"> on current and expected asset allocations as well as historical and expected returns on various categories of plan assets (as further described below).</w:t>
      </w:r>
    </w:p>
    <w:tbl>
      <w:tblPr>
        <w:tblW w:w="5000" w:type="pct"/>
        <w:tblCellMar>
          <w:top w:w="15" w:type="dxa"/>
          <w:left w:w="15" w:type="dxa"/>
          <w:bottom w:w="15" w:type="dxa"/>
          <w:right w:w="15" w:type="dxa"/>
        </w:tblCellMar>
        <w:tblLook w:val="04A0" w:firstRow="1" w:lastRow="0" w:firstColumn="1" w:lastColumn="0" w:noHBand="0" w:noVBand="1"/>
      </w:tblPr>
      <w:tblGrid>
        <w:gridCol w:w="37"/>
        <w:gridCol w:w="5218"/>
        <w:gridCol w:w="36"/>
        <w:gridCol w:w="45"/>
        <w:gridCol w:w="575"/>
        <w:gridCol w:w="187"/>
        <w:gridCol w:w="36"/>
        <w:gridCol w:w="36"/>
        <w:gridCol w:w="36"/>
        <w:gridCol w:w="45"/>
        <w:gridCol w:w="511"/>
        <w:gridCol w:w="187"/>
        <w:gridCol w:w="36"/>
        <w:gridCol w:w="36"/>
        <w:gridCol w:w="36"/>
        <w:gridCol w:w="45"/>
        <w:gridCol w:w="513"/>
        <w:gridCol w:w="187"/>
        <w:gridCol w:w="36"/>
        <w:gridCol w:w="36"/>
        <w:gridCol w:w="36"/>
        <w:gridCol w:w="36"/>
        <w:gridCol w:w="36"/>
        <w:gridCol w:w="36"/>
        <w:gridCol w:w="36"/>
        <w:gridCol w:w="36"/>
        <w:gridCol w:w="36"/>
        <w:gridCol w:w="36"/>
        <w:gridCol w:w="36"/>
        <w:gridCol w:w="36"/>
        <w:gridCol w:w="36"/>
        <w:gridCol w:w="36"/>
      </w:tblGrid>
      <w:tr w:rsidR="00000000">
        <w:trPr>
          <w:divId w:val="843319842"/>
        </w:trPr>
        <w:tc>
          <w:tcPr>
            <w:tcW w:w="50" w:type="pct"/>
            <w:vAlign w:val="center"/>
            <w:hideMark/>
          </w:tcPr>
          <w:p w:rsidR="00000000" w:rsidRDefault="00AC31B9">
            <w:pPr>
              <w:jc w:val="both"/>
              <w:rPr>
                <w:rFonts w:eastAsia="Times New Roman"/>
              </w:rPr>
            </w:pPr>
          </w:p>
        </w:tc>
        <w:tc>
          <w:tcPr>
            <w:tcW w:w="340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3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3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3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843319842"/>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Pension Plans</w:t>
            </w:r>
          </w:p>
        </w:tc>
        <w:tc>
          <w:tcPr>
            <w:tcW w:w="0" w:type="auto"/>
            <w:vAlign w:val="center"/>
            <w:hideMark/>
          </w:tcPr>
          <w:p w:rsidR="00000000" w:rsidRDefault="00AC31B9">
            <w:pPr>
              <w:spacing w:after="100"/>
              <w:jc w:val="center"/>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843319842"/>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c>
          <w:tcPr>
            <w:tcW w:w="0" w:type="auto"/>
            <w:vAlign w:val="center"/>
            <w:hideMark/>
          </w:tcPr>
          <w:p w:rsidR="00000000" w:rsidRDefault="00AC31B9">
            <w:pPr>
              <w:spacing w:after="100"/>
              <w:jc w:val="center"/>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843319842"/>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Weighted-average assumptions: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vAlign w:val="center"/>
            <w:hideMark/>
          </w:tcPr>
          <w:p w:rsidR="00000000" w:rsidRDefault="00AC31B9">
            <w:pPr>
              <w:spacing w:after="100"/>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843319842"/>
        </w:trPr>
        <w:tc>
          <w:tcPr>
            <w:tcW w:w="0" w:type="auto"/>
            <w:gridSpan w:val="3"/>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Discount rate – benefit obligations</w:t>
            </w:r>
          </w:p>
        </w:tc>
        <w:tc>
          <w:tcPr>
            <w:tcW w:w="0" w:type="auto"/>
            <w:gridSpan w:val="2"/>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6.09 </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5.70 </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3.13 </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C31B9">
            <w:pPr>
              <w:spacing w:after="100"/>
              <w:jc w:val="right"/>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843319842"/>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ind w:hanging="180"/>
              <w:divId w:val="960767668"/>
              <w:rPr>
                <w:rFonts w:eastAsia="Times New Roman"/>
              </w:rPr>
            </w:pPr>
            <w:r>
              <w:rPr>
                <w:rFonts w:eastAsia="Times New Roman"/>
                <w:color w:val="000000"/>
                <w:sz w:val="20"/>
                <w:szCs w:val="20"/>
              </w:rPr>
              <w:t>Discount rate – benefit cost</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5.70 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3.13 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C31B9">
            <w:pPr>
              <w:spacing w:after="100"/>
              <w:jc w:val="right"/>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843319842"/>
        </w:trPr>
        <w:tc>
          <w:tcPr>
            <w:tcW w:w="0" w:type="auto"/>
            <w:gridSpan w:val="3"/>
            <w:tcMar>
              <w:top w:w="30" w:type="dxa"/>
              <w:left w:w="20" w:type="dxa"/>
              <w:bottom w:w="30" w:type="dxa"/>
              <w:right w:w="20" w:type="dxa"/>
            </w:tcMar>
            <w:vAlign w:val="bottom"/>
            <w:hideMark/>
          </w:tcPr>
          <w:p w:rsidR="00000000" w:rsidRDefault="00AC31B9">
            <w:pPr>
              <w:spacing w:after="100"/>
              <w:ind w:hanging="180"/>
              <w:divId w:val="1666660735"/>
              <w:rPr>
                <w:rFonts w:eastAsia="Times New Roman"/>
              </w:rPr>
            </w:pPr>
            <w:r>
              <w:rPr>
                <w:rFonts w:eastAsia="Times New Roman"/>
                <w:color w:val="000000"/>
                <w:sz w:val="20"/>
                <w:szCs w:val="20"/>
              </w:rPr>
              <w:t>Expected return on plan assets</w:t>
            </w:r>
          </w:p>
        </w:tc>
        <w:tc>
          <w:tcPr>
            <w:tcW w:w="0" w:type="auto"/>
            <w:gridSpan w:val="2"/>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7.50 </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7.10 </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7.10 </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C31B9">
            <w:pPr>
              <w:spacing w:after="100"/>
              <w:jc w:val="right"/>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843319842"/>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ind w:hanging="180"/>
              <w:divId w:val="1586574145"/>
              <w:rPr>
                <w:rFonts w:eastAsia="Times New Roman"/>
              </w:rPr>
            </w:pPr>
            <w:r>
              <w:rPr>
                <w:rFonts w:eastAsia="Times New Roman"/>
                <w:color w:val="000000"/>
                <w:sz w:val="20"/>
                <w:szCs w:val="20"/>
              </w:rPr>
              <w:t>Rate of increase in salary levels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C31B9">
            <w:pPr>
              <w:spacing w:after="100"/>
              <w:jc w:val="right"/>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bl>
    <w:p w:rsidR="00000000" w:rsidRDefault="00AC31B9">
      <w:pPr>
        <w:jc w:val="center"/>
        <w:divId w:val="1413309860"/>
        <w:rPr>
          <w:rFonts w:eastAsia="Times New Roman"/>
        </w:rPr>
      </w:pPr>
      <w:r>
        <w:rPr>
          <w:rFonts w:eastAsia="Times New Roman"/>
          <w:color w:val="000000"/>
          <w:sz w:val="20"/>
          <w:szCs w:val="20"/>
        </w:rPr>
        <w:t>F-37</w:t>
      </w:r>
    </w:p>
    <w:p w:rsidR="00000000" w:rsidRDefault="00AC31B9">
      <w:pPr>
        <w:rPr>
          <w:rFonts w:eastAsia="Times New Roman"/>
        </w:rPr>
      </w:pPr>
      <w:r>
        <w:rPr>
          <w:rFonts w:eastAsia="Times New Roman"/>
        </w:rPr>
        <w:pict>
          <v:rect id="_x0000_i1155" style="width:0;height:1.5pt" o:hralign="center" o:hrstd="t" o:hr="t" fillcolor="#a0a0a0" stroked="f"/>
        </w:pict>
      </w:r>
    </w:p>
    <w:p w:rsidR="00000000" w:rsidRDefault="00AC31B9">
      <w:pPr>
        <w:divId w:val="105539015"/>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464859350"/>
        <w:rPr>
          <w:rFonts w:eastAsia="Times New Roman"/>
        </w:rPr>
      </w:pPr>
      <w:r>
        <w:rPr>
          <w:rFonts w:eastAsia="Times New Roman"/>
          <w:b/>
          <w:bCs/>
          <w:color w:val="000000"/>
          <w:sz w:val="20"/>
          <w:szCs w:val="20"/>
        </w:rPr>
        <w:t>UGI Corporation and Subsidiaries</w:t>
      </w:r>
    </w:p>
    <w:p w:rsidR="00000000" w:rsidRDefault="00AC31B9">
      <w:pPr>
        <w:divId w:val="99302214"/>
        <w:rPr>
          <w:rFonts w:eastAsia="Times New Roman"/>
        </w:rPr>
      </w:pPr>
      <w:r>
        <w:rPr>
          <w:rFonts w:eastAsia="Times New Roman"/>
          <w:b/>
          <w:bCs/>
          <w:color w:val="000000"/>
          <w:sz w:val="20"/>
          <w:szCs w:val="20"/>
        </w:rPr>
        <w:t>Notes to Consolidated Financial Statements</w:t>
      </w:r>
    </w:p>
    <w:p w:rsidR="00000000" w:rsidRDefault="00AC31B9">
      <w:pPr>
        <w:divId w:val="266036903"/>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AC31B9">
      <w:pPr>
        <w:jc w:val="both"/>
        <w:divId w:val="1592741003"/>
        <w:rPr>
          <w:rFonts w:eastAsia="Times New Roman"/>
        </w:rPr>
      </w:pPr>
      <w:r>
        <w:rPr>
          <w:rFonts w:eastAsia="Times New Roman"/>
          <w:color w:val="000000"/>
          <w:sz w:val="20"/>
          <w:szCs w:val="20"/>
        </w:rPr>
        <w:t>The service cost component of our pension and other postretirement plans, net of amounts capitalized, is reflected in “Operating and administrative expenses” on the Consolidated Statements of Income. The non-service cost components, net of amoun</w:t>
      </w:r>
      <w:r>
        <w:rPr>
          <w:rFonts w:eastAsia="Times New Roman"/>
          <w:color w:val="000000"/>
          <w:sz w:val="20"/>
          <w:szCs w:val="20"/>
        </w:rPr>
        <w:t>ts capitalized by Utilities as a regulatory asset, are reflected in “Other non-operating (expense) income, net” on the Consolidated Statements of Income. Other postretirement benefit cost was not material for all periods presented. Net periodic pension (in</w:t>
      </w:r>
      <w:r>
        <w:rPr>
          <w:rFonts w:eastAsia="Times New Roman"/>
          <w:color w:val="000000"/>
          <w:sz w:val="20"/>
          <w:szCs w:val="20"/>
        </w:rPr>
        <w:t>come) cost includes the following components:</w:t>
      </w:r>
    </w:p>
    <w:tbl>
      <w:tblPr>
        <w:tblW w:w="4956" w:type="pct"/>
        <w:tblCellMar>
          <w:top w:w="15" w:type="dxa"/>
          <w:left w:w="15" w:type="dxa"/>
          <w:bottom w:w="15" w:type="dxa"/>
          <w:right w:w="15" w:type="dxa"/>
        </w:tblCellMar>
        <w:tblLook w:val="04A0" w:firstRow="1" w:lastRow="0" w:firstColumn="1" w:lastColumn="0" w:noHBand="0" w:noVBand="1"/>
      </w:tblPr>
      <w:tblGrid>
        <w:gridCol w:w="39"/>
        <w:gridCol w:w="5177"/>
        <w:gridCol w:w="38"/>
        <w:gridCol w:w="121"/>
        <w:gridCol w:w="627"/>
        <w:gridCol w:w="36"/>
        <w:gridCol w:w="36"/>
        <w:gridCol w:w="36"/>
        <w:gridCol w:w="36"/>
        <w:gridCol w:w="121"/>
        <w:gridCol w:w="580"/>
        <w:gridCol w:w="36"/>
        <w:gridCol w:w="36"/>
        <w:gridCol w:w="36"/>
        <w:gridCol w:w="36"/>
        <w:gridCol w:w="121"/>
        <w:gridCol w:w="581"/>
        <w:gridCol w:w="36"/>
        <w:gridCol w:w="36"/>
        <w:gridCol w:w="36"/>
        <w:gridCol w:w="36"/>
        <w:gridCol w:w="36"/>
        <w:gridCol w:w="36"/>
        <w:gridCol w:w="36"/>
        <w:gridCol w:w="36"/>
        <w:gridCol w:w="36"/>
        <w:gridCol w:w="36"/>
        <w:gridCol w:w="36"/>
        <w:gridCol w:w="36"/>
        <w:gridCol w:w="36"/>
        <w:gridCol w:w="36"/>
        <w:gridCol w:w="36"/>
      </w:tblGrid>
      <w:tr w:rsidR="00000000">
        <w:trPr>
          <w:divId w:val="1811483095"/>
        </w:trPr>
        <w:tc>
          <w:tcPr>
            <w:tcW w:w="50" w:type="pct"/>
            <w:vAlign w:val="center"/>
            <w:hideMark/>
          </w:tcPr>
          <w:p w:rsidR="00000000" w:rsidRDefault="00AC31B9">
            <w:pPr>
              <w:jc w:val="both"/>
              <w:rPr>
                <w:rFonts w:eastAsia="Times New Roman"/>
              </w:rPr>
            </w:pPr>
          </w:p>
        </w:tc>
        <w:tc>
          <w:tcPr>
            <w:tcW w:w="338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3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3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3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11483095"/>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Pension Benefits</w:t>
            </w:r>
          </w:p>
        </w:tc>
        <w:tc>
          <w:tcPr>
            <w:tcW w:w="0" w:type="auto"/>
            <w:vAlign w:val="center"/>
            <w:hideMark/>
          </w:tcPr>
          <w:p w:rsidR="00000000" w:rsidRDefault="00AC31B9">
            <w:pPr>
              <w:spacing w:after="100"/>
              <w:jc w:val="center"/>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811483095"/>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c>
          <w:tcPr>
            <w:tcW w:w="0" w:type="auto"/>
            <w:vAlign w:val="center"/>
            <w:hideMark/>
          </w:tcPr>
          <w:p w:rsidR="00000000" w:rsidRDefault="00AC31B9">
            <w:pPr>
              <w:spacing w:after="100"/>
              <w:jc w:val="center"/>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11483095"/>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11483095"/>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11483095"/>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Expected return on assets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11483095"/>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11483095"/>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11483095"/>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Amortization of:</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11483095"/>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11483095"/>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Actuarial (gain) loss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11483095"/>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11483095"/>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811483095"/>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benefit (income) cost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bl>
    <w:p w:rsidR="00000000" w:rsidRDefault="00AC31B9">
      <w:pPr>
        <w:divId w:val="1960642822"/>
        <w:rPr>
          <w:rFonts w:eastAsia="Times New Roman"/>
        </w:rPr>
      </w:pPr>
    </w:p>
    <w:p w:rsidR="00000000" w:rsidRDefault="00AC31B9">
      <w:pPr>
        <w:jc w:val="both"/>
        <w:rPr>
          <w:rFonts w:eastAsia="Times New Roman"/>
        </w:rPr>
      </w:pPr>
      <w:r>
        <w:rPr>
          <w:rFonts w:eastAsia="Times New Roman"/>
          <w:color w:val="000000"/>
          <w:sz w:val="20"/>
          <w:szCs w:val="20"/>
        </w:rPr>
        <w:t xml:space="preserve">It is our general policy to fund amounts for U.S. Pension Plans benefits equal to at least the minimum required contribution set forth in applicable employee benefit laws. From time to time, we may, at our discretion, contribute additional amounts. During </w:t>
      </w:r>
      <w:r>
        <w:rPr>
          <w:rFonts w:eastAsia="Times New Roman"/>
          <w:color w:val="000000"/>
          <w:sz w:val="20"/>
          <w:szCs w:val="20"/>
        </w:rPr>
        <w:t xml:space="preserve">Fiscal 2023, Fiscal 2022 and Fiscal 2021, we made cash contributions to the U.S. Pension Plans of </w:t>
      </w:r>
      <w:r>
        <w:rPr>
          <w:rFonts w:eastAsia="Times New Roman"/>
          <w:color w:val="000000"/>
          <w:sz w:val="20"/>
          <w:szCs w:val="20"/>
          <w:shd w:val="clear" w:color="auto" w:fill="FFFFFF"/>
        </w:rPr>
        <w:t>$18</w:t>
      </w:r>
      <w:r>
        <w:rPr>
          <w:rFonts w:eastAsia="Times New Roman"/>
          <w:color w:val="000000"/>
          <w:sz w:val="20"/>
          <w:szCs w:val="20"/>
        </w:rPr>
        <w:t xml:space="preserve">, $14 and $13, respectively. </w:t>
      </w:r>
      <w:r>
        <w:rPr>
          <w:rFonts w:eastAsia="Times New Roman"/>
          <w:color w:val="000000"/>
          <w:sz w:val="20"/>
          <w:szCs w:val="20"/>
          <w:shd w:val="clear" w:color="auto" w:fill="FFFFFF"/>
        </w:rPr>
        <w:t>The minimum required contributions to the U.S. Pension Plans in Fiscal 2024 is $22.</w:t>
      </w:r>
    </w:p>
    <w:p w:rsidR="00000000" w:rsidRDefault="00AC31B9">
      <w:pPr>
        <w:jc w:val="both"/>
        <w:divId w:val="1187906051"/>
        <w:rPr>
          <w:rFonts w:eastAsia="Times New Roman"/>
        </w:rPr>
      </w:pPr>
      <w:r>
        <w:rPr>
          <w:rFonts w:eastAsia="Times New Roman"/>
          <w:color w:val="000000"/>
          <w:sz w:val="20"/>
          <w:szCs w:val="20"/>
        </w:rPr>
        <w:t>UGI Utilities has established a VEBA trust to pay certain retiree health care and life insurance benefits by depositing into the VEBA the annual amount of postretirement be</w:t>
      </w:r>
      <w:r>
        <w:rPr>
          <w:rFonts w:eastAsia="Times New Roman"/>
          <w:color w:val="000000"/>
          <w:sz w:val="20"/>
          <w:szCs w:val="20"/>
        </w:rPr>
        <w:t>nefits costs, if any. Assets associated with the VEBA are not material and we do not expect to be required to make any contributions to the VEBA during Fiscal 2024.</w:t>
      </w:r>
    </w:p>
    <w:p w:rsidR="00000000" w:rsidRDefault="00AC31B9">
      <w:pPr>
        <w:jc w:val="both"/>
        <w:divId w:val="705908293"/>
        <w:rPr>
          <w:rFonts w:eastAsia="Times New Roman"/>
        </w:rPr>
      </w:pPr>
      <w:r>
        <w:rPr>
          <w:rFonts w:eastAsia="Times New Roman"/>
          <w:color w:val="000000"/>
          <w:sz w:val="20"/>
          <w:szCs w:val="20"/>
        </w:rPr>
        <w:t>Expected payments for postretirement benefits over the next 10 years are not material. Expe</w:t>
      </w:r>
      <w:r>
        <w:rPr>
          <w:rFonts w:eastAsia="Times New Roman"/>
          <w:color w:val="000000"/>
          <w:sz w:val="20"/>
          <w:szCs w:val="20"/>
        </w:rPr>
        <w:t>cted payments for pension benefits are as follows:</w:t>
      </w:r>
    </w:p>
    <w:tbl>
      <w:tblPr>
        <w:tblW w:w="5000" w:type="pct"/>
        <w:tblCellMar>
          <w:top w:w="15" w:type="dxa"/>
          <w:left w:w="15" w:type="dxa"/>
          <w:bottom w:w="15" w:type="dxa"/>
          <w:right w:w="15" w:type="dxa"/>
        </w:tblCellMar>
        <w:tblLook w:val="04A0" w:firstRow="1" w:lastRow="0" w:firstColumn="1" w:lastColumn="0" w:noHBand="0" w:noVBand="1"/>
      </w:tblPr>
      <w:tblGrid>
        <w:gridCol w:w="51"/>
        <w:gridCol w:w="6993"/>
        <w:gridCol w:w="36"/>
        <w:gridCol w:w="121"/>
        <w:gridCol w:w="997"/>
        <w:gridCol w:w="36"/>
        <w:gridCol w:w="36"/>
        <w:gridCol w:w="36"/>
      </w:tblGrid>
      <w:tr w:rsidR="00000000">
        <w:trPr>
          <w:divId w:val="1647735387"/>
        </w:trPr>
        <w:tc>
          <w:tcPr>
            <w:tcW w:w="50" w:type="pct"/>
            <w:vAlign w:val="center"/>
            <w:hideMark/>
          </w:tcPr>
          <w:p w:rsidR="00000000" w:rsidRDefault="00AC31B9">
            <w:pPr>
              <w:jc w:val="both"/>
              <w:rPr>
                <w:rFonts w:eastAsia="Times New Roman"/>
              </w:rPr>
            </w:pPr>
          </w:p>
        </w:tc>
        <w:tc>
          <w:tcPr>
            <w:tcW w:w="426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62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647735387"/>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Pension</w:t>
            </w:r>
            <w:r>
              <w:rPr>
                <w:rFonts w:eastAsia="Times New Roman"/>
                <w:color w:val="000000"/>
                <w:sz w:val="20"/>
                <w:szCs w:val="20"/>
              </w:rPr>
              <w:br/>
              <w:t>Benefits</w:t>
            </w:r>
          </w:p>
        </w:tc>
        <w:tc>
          <w:tcPr>
            <w:tcW w:w="0" w:type="auto"/>
            <w:vAlign w:val="center"/>
            <w:hideMark/>
          </w:tcPr>
          <w:p w:rsidR="00000000" w:rsidRDefault="00AC31B9">
            <w:pPr>
              <w:spacing w:after="100"/>
              <w:jc w:val="center"/>
              <w:rPr>
                <w:rFonts w:eastAsia="Times New Roman"/>
              </w:rPr>
            </w:pPr>
          </w:p>
        </w:tc>
        <w:tc>
          <w:tcPr>
            <w:tcW w:w="0" w:type="auto"/>
            <w:vAlign w:val="center"/>
            <w:hideMark/>
          </w:tcPr>
          <w:p w:rsidR="00000000" w:rsidRDefault="00AC31B9">
            <w:pPr>
              <w:spacing w:after="100"/>
              <w:rPr>
                <w:rFonts w:eastAsia="Times New Roman"/>
                <w:sz w:val="20"/>
                <w:szCs w:val="20"/>
              </w:rPr>
            </w:pPr>
          </w:p>
        </w:tc>
      </w:tr>
      <w:tr w:rsidR="00000000">
        <w:trPr>
          <w:divId w:val="1647735387"/>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Fiscal 2024</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647735387"/>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Fiscal 2025</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647735387"/>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Fiscal 2026</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647735387"/>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Fiscal 2027</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647735387"/>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Fiscal 2028</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647735387"/>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Fiscal 2029 - 2033</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vAlign w:val="center"/>
            <w:hideMark/>
          </w:tcPr>
          <w:p w:rsidR="00000000" w:rsidRDefault="00AC31B9">
            <w:pPr>
              <w:spacing w:after="100"/>
              <w:jc w:val="right"/>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bl>
    <w:p w:rsidR="00000000" w:rsidRDefault="00AC31B9">
      <w:pPr>
        <w:jc w:val="both"/>
        <w:divId w:val="1097212070"/>
        <w:rPr>
          <w:rFonts w:eastAsia="Times New Roman"/>
        </w:rPr>
      </w:pPr>
      <w:r>
        <w:rPr>
          <w:rFonts w:eastAsia="Times New Roman"/>
          <w:color w:val="000000"/>
          <w:sz w:val="20"/>
          <w:szCs w:val="20"/>
        </w:rPr>
        <w:t>We also sponsor unfunded and non-qualified supplemental executive defined benefit retirement plans. At September 30, 2023 and 2022, the PBOs of these plans, including obligations for amounts held in grantor trusts, totale</w:t>
      </w:r>
      <w:r>
        <w:rPr>
          <w:rFonts w:eastAsia="Times New Roman"/>
          <w:color w:val="000000"/>
          <w:sz w:val="20"/>
          <w:szCs w:val="20"/>
          <w:shd w:val="clear" w:color="auto" w:fill="FFFFFF"/>
        </w:rPr>
        <w:t xml:space="preserve">d $34 </w:t>
      </w:r>
      <w:r>
        <w:rPr>
          <w:rFonts w:eastAsia="Times New Roman"/>
          <w:color w:val="000000"/>
          <w:sz w:val="20"/>
          <w:szCs w:val="20"/>
        </w:rPr>
        <w:t xml:space="preserve">and $44, respectively. Costs </w:t>
      </w:r>
      <w:r>
        <w:rPr>
          <w:rFonts w:eastAsia="Times New Roman"/>
          <w:color w:val="000000"/>
          <w:sz w:val="20"/>
          <w:szCs w:val="20"/>
        </w:rPr>
        <w:t xml:space="preserve">associated with these plans and amounts recorded in UGI’s stockholder’s equity representing actuarial gains and losses were not material for all periods presented and are excluded from the tables above. </w:t>
      </w:r>
      <w:r>
        <w:rPr>
          <w:rFonts w:eastAsia="Times New Roman"/>
          <w:color w:val="000000"/>
          <w:sz w:val="20"/>
          <w:szCs w:val="20"/>
          <w:shd w:val="clear" w:color="auto" w:fill="FFFFFF"/>
        </w:rPr>
        <w:t xml:space="preserve">During Fiscal 2023 and Fiscal 2022, the payments the </w:t>
      </w:r>
      <w:r>
        <w:rPr>
          <w:rFonts w:eastAsia="Times New Roman"/>
          <w:color w:val="000000"/>
          <w:sz w:val="20"/>
          <w:szCs w:val="20"/>
          <w:shd w:val="clear" w:color="auto" w:fill="FFFFFF"/>
        </w:rPr>
        <w:t>Company made with respect to the supplemental executive defined benefit retirement plans were not material</w:t>
      </w:r>
      <w:r>
        <w:rPr>
          <w:rFonts w:eastAsia="Times New Roman"/>
          <w:color w:val="000000"/>
          <w:sz w:val="20"/>
          <w:szCs w:val="20"/>
        </w:rPr>
        <w:t xml:space="preserve">. </w:t>
      </w:r>
      <w:r>
        <w:rPr>
          <w:rFonts w:eastAsia="Times New Roman"/>
          <w:color w:val="000000"/>
          <w:sz w:val="20"/>
          <w:szCs w:val="20"/>
          <w:shd w:val="clear" w:color="auto" w:fill="FFFFFF"/>
        </w:rPr>
        <w:t xml:space="preserve">During Fiscal 2021, the Company made $12 of payments for the supplemental executive defined benefit retirement plans. </w:t>
      </w:r>
      <w:r>
        <w:rPr>
          <w:rFonts w:eastAsia="Times New Roman"/>
          <w:color w:val="000000"/>
          <w:sz w:val="20"/>
          <w:szCs w:val="20"/>
        </w:rPr>
        <w:t>The total fair value of the gr</w:t>
      </w:r>
      <w:r>
        <w:rPr>
          <w:rFonts w:eastAsia="Times New Roman"/>
          <w:color w:val="000000"/>
          <w:sz w:val="20"/>
          <w:szCs w:val="20"/>
        </w:rPr>
        <w:t xml:space="preserve">antor trust investment assets associated with the supplemental executive defined benefit retirement plans, which are included in “Other assets” on the Consolidated Balance Sheets, totaled </w:t>
      </w:r>
      <w:r>
        <w:rPr>
          <w:rFonts w:eastAsia="Times New Roman"/>
          <w:color w:val="000000"/>
          <w:sz w:val="20"/>
          <w:szCs w:val="20"/>
          <w:shd w:val="clear" w:color="auto" w:fill="FFFFFF"/>
        </w:rPr>
        <w:t xml:space="preserve">$26 </w:t>
      </w:r>
      <w:r>
        <w:rPr>
          <w:rFonts w:eastAsia="Times New Roman"/>
          <w:color w:val="000000"/>
          <w:sz w:val="20"/>
          <w:szCs w:val="20"/>
        </w:rPr>
        <w:t>and $31 at September 30, 2023 and 2022, respectively.</w:t>
      </w:r>
    </w:p>
    <w:p w:rsidR="00000000" w:rsidRDefault="00AC31B9">
      <w:pPr>
        <w:jc w:val="both"/>
        <w:divId w:val="121119146"/>
        <w:rPr>
          <w:rFonts w:eastAsia="Times New Roman"/>
        </w:rPr>
      </w:pPr>
      <w:r>
        <w:rPr>
          <w:rFonts w:eastAsia="Times New Roman"/>
          <w:b/>
          <w:bCs/>
          <w:color w:val="000000"/>
          <w:sz w:val="20"/>
          <w:szCs w:val="20"/>
        </w:rPr>
        <w:t>U.S. Pensi</w:t>
      </w:r>
      <w:r>
        <w:rPr>
          <w:rFonts w:eastAsia="Times New Roman"/>
          <w:b/>
          <w:bCs/>
          <w:color w:val="000000"/>
          <w:sz w:val="20"/>
          <w:szCs w:val="20"/>
        </w:rPr>
        <w:t>on Plans’ Assets</w:t>
      </w:r>
    </w:p>
    <w:p w:rsidR="00000000" w:rsidRDefault="00AC31B9">
      <w:pPr>
        <w:jc w:val="both"/>
        <w:divId w:val="425423005"/>
        <w:rPr>
          <w:rFonts w:eastAsia="Times New Roman"/>
        </w:rPr>
      </w:pPr>
      <w:r>
        <w:rPr>
          <w:rFonts w:eastAsia="Times New Roman"/>
          <w:color w:val="000000"/>
          <w:sz w:val="20"/>
          <w:szCs w:val="20"/>
        </w:rPr>
        <w:t>The assets of the U.S. Pension Plans are held in trust. The investment policies and asset allocation strategies for the assets in these trusts are determined by the Retirement Plan Committee comprising certain members of UGI’s senior manag</w:t>
      </w:r>
      <w:r>
        <w:rPr>
          <w:rFonts w:eastAsia="Times New Roman"/>
          <w:color w:val="000000"/>
          <w:sz w:val="20"/>
          <w:szCs w:val="20"/>
        </w:rPr>
        <w:t>ement. The overall investment objective is to minimize projected funded status volatility by more closely aligning the duration of the U.S. Pension Plans’ fixed income portfolio to the duration of its liabilities. The proportion of plan assets allocated to</w:t>
      </w:r>
      <w:r>
        <w:rPr>
          <w:rFonts w:eastAsia="Times New Roman"/>
          <w:color w:val="000000"/>
          <w:sz w:val="20"/>
          <w:szCs w:val="20"/>
        </w:rPr>
        <w:t xml:space="preserve"> fixed income investments will increase as the funded status increases. Investments are made principally in common collective trust funds that </w:t>
      </w:r>
    </w:p>
    <w:p w:rsidR="00000000" w:rsidRDefault="00AC31B9">
      <w:pPr>
        <w:jc w:val="center"/>
        <w:divId w:val="1723018176"/>
        <w:rPr>
          <w:rFonts w:eastAsia="Times New Roman"/>
        </w:rPr>
      </w:pPr>
      <w:r>
        <w:rPr>
          <w:rFonts w:eastAsia="Times New Roman"/>
          <w:color w:val="000000"/>
          <w:sz w:val="20"/>
          <w:szCs w:val="20"/>
        </w:rPr>
        <w:t>F-38</w:t>
      </w:r>
    </w:p>
    <w:p w:rsidR="00000000" w:rsidRDefault="00AC31B9">
      <w:pPr>
        <w:rPr>
          <w:rFonts w:eastAsia="Times New Roman"/>
        </w:rPr>
      </w:pPr>
      <w:r>
        <w:rPr>
          <w:rFonts w:eastAsia="Times New Roman"/>
        </w:rPr>
        <w:pict>
          <v:rect id="_x0000_i1156" style="width:0;height:1.5pt" o:hralign="center" o:hrstd="t" o:hr="t" fillcolor="#a0a0a0" stroked="f"/>
        </w:pict>
      </w:r>
    </w:p>
    <w:p w:rsidR="00000000" w:rsidRDefault="00AC31B9">
      <w:pPr>
        <w:divId w:val="2042784476"/>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276377215"/>
        <w:rPr>
          <w:rFonts w:eastAsia="Times New Roman"/>
        </w:rPr>
      </w:pPr>
      <w:r>
        <w:rPr>
          <w:rFonts w:eastAsia="Times New Roman"/>
          <w:b/>
          <w:bCs/>
          <w:color w:val="000000"/>
          <w:sz w:val="20"/>
          <w:szCs w:val="20"/>
        </w:rPr>
        <w:t>UGI Corporation and Subsidiaries</w:t>
      </w:r>
    </w:p>
    <w:p w:rsidR="00000000" w:rsidRDefault="00AC31B9">
      <w:pPr>
        <w:divId w:val="1144351349"/>
        <w:rPr>
          <w:rFonts w:eastAsia="Times New Roman"/>
        </w:rPr>
      </w:pPr>
      <w:r>
        <w:rPr>
          <w:rFonts w:eastAsia="Times New Roman"/>
          <w:b/>
          <w:bCs/>
          <w:color w:val="000000"/>
          <w:sz w:val="20"/>
          <w:szCs w:val="20"/>
        </w:rPr>
        <w:t>Notes to Consolidated Financial Statements</w:t>
      </w:r>
    </w:p>
    <w:p w:rsidR="00000000" w:rsidRDefault="00AC31B9">
      <w:pPr>
        <w:divId w:val="734468721"/>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1737776066"/>
        <w:rPr>
          <w:rFonts w:eastAsia="Times New Roman"/>
        </w:rPr>
      </w:pPr>
      <w:r>
        <w:rPr>
          <w:rFonts w:eastAsia="Times New Roman"/>
          <w:color w:val="000000"/>
          <w:sz w:val="20"/>
          <w:szCs w:val="20"/>
        </w:rPr>
        <w:t>consist of equity index i</w:t>
      </w:r>
      <w:r>
        <w:rPr>
          <w:rFonts w:eastAsia="Times New Roman"/>
          <w:color w:val="000000"/>
          <w:sz w:val="20"/>
          <w:szCs w:val="20"/>
        </w:rPr>
        <w:t xml:space="preserve">nvestments, bond index investments and short-term investments, and, to a much less extent, UGI Common Stock. </w:t>
      </w:r>
    </w:p>
    <w:p w:rsidR="00000000" w:rsidRDefault="00AC31B9">
      <w:pPr>
        <w:jc w:val="both"/>
        <w:divId w:val="1460731966"/>
        <w:rPr>
          <w:rFonts w:eastAsia="Times New Roman"/>
        </w:rPr>
      </w:pPr>
      <w:r>
        <w:rPr>
          <w:rFonts w:eastAsia="Times New Roman"/>
          <w:color w:val="000000"/>
          <w:sz w:val="20"/>
          <w:szCs w:val="20"/>
        </w:rPr>
        <w:t>The targets and actual allocations for the U.S. Pension Plans’ trust assets at September 30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681"/>
        <w:gridCol w:w="36"/>
        <w:gridCol w:w="42"/>
        <w:gridCol w:w="844"/>
        <w:gridCol w:w="187"/>
        <w:gridCol w:w="36"/>
        <w:gridCol w:w="36"/>
        <w:gridCol w:w="36"/>
        <w:gridCol w:w="42"/>
        <w:gridCol w:w="774"/>
        <w:gridCol w:w="187"/>
        <w:gridCol w:w="36"/>
        <w:gridCol w:w="36"/>
        <w:gridCol w:w="36"/>
        <w:gridCol w:w="42"/>
        <w:gridCol w:w="774"/>
        <w:gridCol w:w="188"/>
        <w:gridCol w:w="37"/>
        <w:gridCol w:w="36"/>
        <w:gridCol w:w="36"/>
        <w:gridCol w:w="42"/>
        <w:gridCol w:w="846"/>
        <w:gridCol w:w="187"/>
        <w:gridCol w:w="36"/>
        <w:gridCol w:w="36"/>
      </w:tblGrid>
      <w:tr w:rsidR="00000000">
        <w:trPr>
          <w:divId w:val="1393191635"/>
        </w:trPr>
        <w:tc>
          <w:tcPr>
            <w:tcW w:w="50" w:type="pct"/>
            <w:vAlign w:val="center"/>
            <w:hideMark/>
          </w:tcPr>
          <w:p w:rsidR="00000000" w:rsidRDefault="00AC31B9">
            <w:pPr>
              <w:jc w:val="both"/>
              <w:rPr>
                <w:rFonts w:eastAsia="Times New Roman"/>
              </w:rPr>
            </w:pPr>
          </w:p>
        </w:tc>
        <w:tc>
          <w:tcPr>
            <w:tcW w:w="229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393191635"/>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Actual</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Target Asset Allocation (b)</w:t>
            </w:r>
          </w:p>
        </w:tc>
        <w:tc>
          <w:tcPr>
            <w:tcW w:w="0" w:type="auto"/>
            <w:vAlign w:val="center"/>
            <w:hideMark/>
          </w:tcPr>
          <w:p w:rsidR="00000000" w:rsidRDefault="00AC31B9">
            <w:pPr>
              <w:spacing w:after="100"/>
              <w:jc w:val="center"/>
              <w:rPr>
                <w:rFonts w:eastAsia="Times New Roman"/>
              </w:rPr>
            </w:pPr>
          </w:p>
        </w:tc>
        <w:tc>
          <w:tcPr>
            <w:tcW w:w="0" w:type="auto"/>
            <w:vAlign w:val="center"/>
            <w:hideMark/>
          </w:tcPr>
          <w:p w:rsidR="00000000" w:rsidRDefault="00AC31B9">
            <w:pPr>
              <w:spacing w:after="100"/>
              <w:rPr>
                <w:rFonts w:eastAsia="Times New Roman"/>
                <w:sz w:val="20"/>
                <w:szCs w:val="20"/>
              </w:rPr>
            </w:pPr>
          </w:p>
        </w:tc>
      </w:tr>
      <w:tr w:rsidR="00000000">
        <w:trPr>
          <w:divId w:val="1393191635"/>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vAlign w:val="center"/>
            <w:hideMark/>
          </w:tcPr>
          <w:p w:rsidR="00000000" w:rsidRDefault="00AC31B9">
            <w:pPr>
              <w:spacing w:after="100"/>
              <w:jc w:val="center"/>
              <w:rPr>
                <w:rFonts w:eastAsia="Times New Roman"/>
              </w:rPr>
            </w:pPr>
          </w:p>
        </w:tc>
        <w:tc>
          <w:tcPr>
            <w:tcW w:w="0" w:type="auto"/>
            <w:vAlign w:val="center"/>
            <w:hideMark/>
          </w:tcPr>
          <w:p w:rsidR="00000000" w:rsidRDefault="00AC31B9">
            <w:pPr>
              <w:spacing w:after="100"/>
              <w:rPr>
                <w:rFonts w:eastAsia="Times New Roman"/>
                <w:sz w:val="20"/>
                <w:szCs w:val="20"/>
              </w:rPr>
            </w:pPr>
          </w:p>
        </w:tc>
      </w:tr>
      <w:tr w:rsidR="00000000">
        <w:trPr>
          <w:divId w:val="1393191635"/>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Equity investments: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393191635"/>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U.S. equities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C31B9">
            <w:pPr>
              <w:spacing w:after="100"/>
              <w:jc w:val="right"/>
              <w:rPr>
                <w:rFonts w:eastAsia="Times New Roman"/>
              </w:rPr>
            </w:pPr>
          </w:p>
        </w:tc>
        <w:tc>
          <w:tcPr>
            <w:tcW w:w="0" w:type="auto"/>
            <w:vAlign w:val="center"/>
            <w:hideMark/>
          </w:tcPr>
          <w:p w:rsidR="00000000" w:rsidRDefault="00AC31B9">
            <w:pPr>
              <w:spacing w:after="100"/>
              <w:rPr>
                <w:rFonts w:eastAsia="Times New Roman"/>
                <w:sz w:val="20"/>
                <w:szCs w:val="20"/>
              </w:rPr>
            </w:pPr>
          </w:p>
        </w:tc>
      </w:tr>
      <w:tr w:rsidR="00000000">
        <w:trPr>
          <w:divId w:val="1393191635"/>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Non-U.S. equities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C31B9">
            <w:pPr>
              <w:spacing w:after="100"/>
              <w:jc w:val="right"/>
              <w:rPr>
                <w:rFonts w:eastAsia="Times New Roman"/>
              </w:rPr>
            </w:pPr>
          </w:p>
        </w:tc>
        <w:tc>
          <w:tcPr>
            <w:tcW w:w="0" w:type="auto"/>
            <w:vAlign w:val="center"/>
            <w:hideMark/>
          </w:tcPr>
          <w:p w:rsidR="00000000" w:rsidRDefault="00AC31B9">
            <w:pPr>
              <w:spacing w:after="100"/>
              <w:rPr>
                <w:rFonts w:eastAsia="Times New Roman"/>
                <w:sz w:val="20"/>
                <w:szCs w:val="20"/>
              </w:rPr>
            </w:pPr>
          </w:p>
        </w:tc>
      </w:tr>
      <w:tr w:rsidR="00000000">
        <w:trPr>
          <w:divId w:val="1393191635"/>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Global equities (a)</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C31B9">
            <w:pPr>
              <w:spacing w:after="100"/>
              <w:jc w:val="right"/>
              <w:rPr>
                <w:rFonts w:eastAsia="Times New Roman"/>
              </w:rPr>
            </w:pPr>
          </w:p>
        </w:tc>
        <w:tc>
          <w:tcPr>
            <w:tcW w:w="0" w:type="auto"/>
            <w:vAlign w:val="center"/>
            <w:hideMark/>
          </w:tcPr>
          <w:p w:rsidR="00000000" w:rsidRDefault="00AC31B9">
            <w:pPr>
              <w:spacing w:after="100"/>
              <w:rPr>
                <w:rFonts w:eastAsia="Times New Roman"/>
                <w:sz w:val="20"/>
                <w:szCs w:val="20"/>
              </w:rPr>
            </w:pPr>
          </w:p>
        </w:tc>
      </w:tr>
      <w:tr w:rsidR="00000000">
        <w:trPr>
          <w:divId w:val="1393191635"/>
        </w:trPr>
        <w:tc>
          <w:tcPr>
            <w:tcW w:w="0" w:type="auto"/>
            <w:gridSpan w:val="3"/>
            <w:shd w:val="clear" w:color="auto" w:fill="CCEE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C31B9">
            <w:pPr>
              <w:spacing w:after="100"/>
              <w:jc w:val="right"/>
              <w:rPr>
                <w:rFonts w:eastAsia="Times New Roman"/>
              </w:rPr>
            </w:pPr>
          </w:p>
        </w:tc>
        <w:tc>
          <w:tcPr>
            <w:tcW w:w="0" w:type="auto"/>
            <w:vAlign w:val="center"/>
            <w:hideMark/>
          </w:tcPr>
          <w:p w:rsidR="00000000" w:rsidRDefault="00AC31B9">
            <w:pPr>
              <w:spacing w:after="100"/>
              <w:rPr>
                <w:rFonts w:eastAsia="Times New Roman"/>
                <w:sz w:val="20"/>
                <w:szCs w:val="20"/>
              </w:rPr>
            </w:pPr>
          </w:p>
        </w:tc>
      </w:tr>
      <w:tr w:rsidR="00000000">
        <w:trPr>
          <w:divId w:val="1393191635"/>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Fixed income funds &amp; </w:t>
            </w:r>
            <w:r>
              <w:rPr>
                <w:rFonts w:eastAsia="Times New Roman"/>
                <w:color w:val="000000"/>
                <w:sz w:val="20"/>
                <w:szCs w:val="20"/>
              </w:rPr>
              <w:t>cash equivalents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35.5 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35.5 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C31B9">
            <w:pPr>
              <w:spacing w:after="100"/>
              <w:jc w:val="right"/>
              <w:rPr>
                <w:rFonts w:eastAsia="Times New Roman"/>
              </w:rPr>
            </w:pPr>
          </w:p>
        </w:tc>
        <w:tc>
          <w:tcPr>
            <w:tcW w:w="0" w:type="auto"/>
            <w:vAlign w:val="center"/>
            <w:hideMark/>
          </w:tcPr>
          <w:p w:rsidR="00000000" w:rsidRDefault="00AC31B9">
            <w:pPr>
              <w:spacing w:after="100"/>
              <w:rPr>
                <w:rFonts w:eastAsia="Times New Roman"/>
                <w:sz w:val="20"/>
                <w:szCs w:val="20"/>
              </w:rPr>
            </w:pPr>
          </w:p>
        </w:tc>
      </w:tr>
      <w:tr w:rsidR="00000000">
        <w:trPr>
          <w:divId w:val="1393191635"/>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Alternative investments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C31B9">
            <w:pPr>
              <w:spacing w:after="100"/>
              <w:jc w:val="right"/>
              <w:rPr>
                <w:rFonts w:eastAsia="Times New Roman"/>
              </w:rPr>
            </w:pPr>
          </w:p>
        </w:tc>
        <w:tc>
          <w:tcPr>
            <w:tcW w:w="0" w:type="auto"/>
            <w:vAlign w:val="center"/>
            <w:hideMark/>
          </w:tcPr>
          <w:p w:rsidR="00000000" w:rsidRDefault="00AC31B9">
            <w:pPr>
              <w:spacing w:after="100"/>
              <w:rPr>
                <w:rFonts w:eastAsia="Times New Roman"/>
                <w:sz w:val="20"/>
                <w:szCs w:val="20"/>
              </w:rPr>
            </w:pPr>
          </w:p>
        </w:tc>
      </w:tr>
      <w:tr w:rsidR="00000000">
        <w:trPr>
          <w:divId w:val="1393191635"/>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C31B9">
            <w:pPr>
              <w:spacing w:after="100"/>
              <w:jc w:val="right"/>
              <w:rPr>
                <w:rFonts w:eastAsia="Times New Roman"/>
              </w:rPr>
            </w:pPr>
          </w:p>
        </w:tc>
        <w:tc>
          <w:tcPr>
            <w:tcW w:w="0" w:type="auto"/>
            <w:vAlign w:val="center"/>
            <w:hideMark/>
          </w:tcPr>
          <w:p w:rsidR="00000000" w:rsidRDefault="00AC31B9">
            <w:pPr>
              <w:spacing w:after="100"/>
              <w:rPr>
                <w:rFonts w:eastAsia="Times New Roman"/>
                <w:sz w:val="20"/>
                <w:szCs w:val="20"/>
              </w:rPr>
            </w:pPr>
          </w:p>
        </w:tc>
      </w:tr>
    </w:tbl>
    <w:p w:rsidR="00000000" w:rsidRDefault="00AC31B9">
      <w:pPr>
        <w:divId w:val="1195772715"/>
        <w:rPr>
          <w:rFonts w:eastAsia="Times New Roman"/>
        </w:rPr>
      </w:pPr>
      <w:r>
        <w:rPr>
          <w:rFonts w:eastAsia="Times New Roman"/>
          <w:color w:val="000000"/>
          <w:sz w:val="20"/>
          <w:szCs w:val="20"/>
        </w:rPr>
        <w:t>(a) Comprises investment funds that consist of a mix of U.S. and Non-U.S. equity securities.</w:t>
      </w:r>
    </w:p>
    <w:p w:rsidR="00000000" w:rsidRDefault="00AC31B9">
      <w:pPr>
        <w:divId w:val="2136948673"/>
        <w:rPr>
          <w:rFonts w:eastAsia="Times New Roman"/>
        </w:rPr>
      </w:pPr>
      <w:r>
        <w:rPr>
          <w:rFonts w:eastAsia="Times New Roman"/>
          <w:color w:val="000000"/>
          <w:sz w:val="20"/>
          <w:szCs w:val="20"/>
        </w:rPr>
        <w:t xml:space="preserve">(b) There is a permitted range for the allocation of the trust assets for the U.S. Pension Plans, excluding the </w:t>
      </w:r>
      <w:r>
        <w:rPr>
          <w:rFonts w:eastAsia="Times New Roman"/>
          <w:color w:val="000000"/>
          <w:sz w:val="20"/>
          <w:szCs w:val="20"/>
        </w:rPr>
        <w:t>defined benefit pension plan for Mountaineer employees, which is 5% less than and greater than the target allocation.</w:t>
      </w:r>
    </w:p>
    <w:tbl>
      <w:tblPr>
        <w:tblW w:w="4941" w:type="pct"/>
        <w:tblCellMar>
          <w:top w:w="15" w:type="dxa"/>
          <w:left w:w="15" w:type="dxa"/>
          <w:bottom w:w="15" w:type="dxa"/>
          <w:right w:w="15" w:type="dxa"/>
        </w:tblCellMar>
        <w:tblLook w:val="04A0" w:firstRow="1" w:lastRow="0" w:firstColumn="1" w:lastColumn="0" w:noHBand="0" w:noVBand="1"/>
      </w:tblPr>
      <w:tblGrid>
        <w:gridCol w:w="58"/>
        <w:gridCol w:w="3615"/>
        <w:gridCol w:w="36"/>
        <w:gridCol w:w="58"/>
        <w:gridCol w:w="943"/>
        <w:gridCol w:w="36"/>
        <w:gridCol w:w="36"/>
        <w:gridCol w:w="36"/>
        <w:gridCol w:w="36"/>
        <w:gridCol w:w="41"/>
        <w:gridCol w:w="943"/>
        <w:gridCol w:w="36"/>
        <w:gridCol w:w="36"/>
        <w:gridCol w:w="36"/>
        <w:gridCol w:w="36"/>
        <w:gridCol w:w="41"/>
        <w:gridCol w:w="944"/>
        <w:gridCol w:w="36"/>
        <w:gridCol w:w="36"/>
        <w:gridCol w:w="36"/>
        <w:gridCol w:w="36"/>
        <w:gridCol w:w="43"/>
        <w:gridCol w:w="1018"/>
        <w:gridCol w:w="36"/>
      </w:tblGrid>
      <w:tr w:rsidR="00000000">
        <w:trPr>
          <w:divId w:val="593974188"/>
        </w:trPr>
        <w:tc>
          <w:tcPr>
            <w:tcW w:w="50" w:type="pct"/>
            <w:vAlign w:val="center"/>
            <w:hideMark/>
          </w:tcPr>
          <w:p w:rsidR="00000000" w:rsidRDefault="00AC31B9">
            <w:pPr>
              <w:rPr>
                <w:rFonts w:eastAsia="Times New Roman"/>
              </w:rPr>
            </w:pPr>
          </w:p>
        </w:tc>
        <w:tc>
          <w:tcPr>
            <w:tcW w:w="221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63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593974188"/>
          <w:trHeight w:val="60"/>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593974188"/>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593974188"/>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593974188"/>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593974188"/>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593974188"/>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bl>
    <w:p w:rsidR="00000000" w:rsidRDefault="00AC31B9">
      <w:pPr>
        <w:divId w:val="2125608371"/>
        <w:rPr>
          <w:rFonts w:eastAsia="Times New Roman"/>
        </w:rPr>
      </w:pPr>
    </w:p>
    <w:p w:rsidR="00000000" w:rsidRDefault="00AC31B9">
      <w:pPr>
        <w:jc w:val="both"/>
        <w:rPr>
          <w:rFonts w:eastAsia="Times New Roman"/>
        </w:rPr>
      </w:pPr>
      <w:r>
        <w:rPr>
          <w:rFonts w:eastAsia="Times New Roman"/>
          <w:color w:val="000000"/>
          <w:sz w:val="20"/>
          <w:szCs w:val="20"/>
        </w:rPr>
        <w:t>Common collective trust funds in the U.S. Pension Plans primarily include investments in U.S., Non-U.S. and global (a mix of U.S. and Non-U.S.) equities, fixed income and short-term investments. The fair values of common collective trust funds and cash equ</w:t>
      </w:r>
      <w:r>
        <w:rPr>
          <w:rFonts w:eastAsia="Times New Roman"/>
          <w:color w:val="000000"/>
          <w:sz w:val="20"/>
          <w:szCs w:val="20"/>
        </w:rPr>
        <w:t>ivalents are valued at the NAV of units of the collective trusts. The NAVs, as provided by the trustee, are used as a practical expedient to estimate fair value based on the fair values of the underlying investments held by the funds less their liabilities</w:t>
      </w:r>
      <w:r>
        <w:rPr>
          <w:rFonts w:eastAsia="Times New Roman"/>
          <w:color w:val="000000"/>
          <w:sz w:val="20"/>
          <w:szCs w:val="20"/>
        </w:rPr>
        <w:t>. The fair values of the U.S. Pension Plans trust assets by asset class as of September 30, 2023 and 2022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6000"/>
        <w:gridCol w:w="37"/>
        <w:gridCol w:w="120"/>
        <w:gridCol w:w="921"/>
        <w:gridCol w:w="36"/>
        <w:gridCol w:w="36"/>
        <w:gridCol w:w="36"/>
        <w:gridCol w:w="36"/>
        <w:gridCol w:w="120"/>
        <w:gridCol w:w="888"/>
        <w:gridCol w:w="36"/>
      </w:tblGrid>
      <w:tr w:rsidR="00000000">
        <w:trPr>
          <w:divId w:val="131557970"/>
        </w:trPr>
        <w:tc>
          <w:tcPr>
            <w:tcW w:w="50" w:type="pct"/>
            <w:vAlign w:val="center"/>
            <w:hideMark/>
          </w:tcPr>
          <w:p w:rsidR="00000000" w:rsidRDefault="00AC31B9">
            <w:pPr>
              <w:jc w:val="both"/>
              <w:rPr>
                <w:rFonts w:eastAsia="Times New Roman"/>
              </w:rPr>
            </w:pPr>
          </w:p>
        </w:tc>
        <w:tc>
          <w:tcPr>
            <w:tcW w:w="363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31557970"/>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r>
      <w:tr w:rsidR="00000000">
        <w:trPr>
          <w:divId w:val="131557970"/>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U.S. Pension Plans: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31557970"/>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Domestic equity investments:</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31557970"/>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1557970"/>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1557970"/>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1557970"/>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UGI Corporation Common Stock</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1557970"/>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Total domestic equity investments (a)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1557970"/>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1557970"/>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1557970"/>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1557970"/>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1557970"/>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1557970"/>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Common collective trust funds: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31557970"/>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r>
              <w:rPr>
                <w:rFonts w:eastAsia="Times New Roman"/>
                <w:color w:val="000000"/>
                <w:sz w:val="20"/>
                <w:szCs w:val="20"/>
              </w:rPr>
              <w:t>U.S. equity index investments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1557970"/>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Non-U.S. equity index investments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1557970"/>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Global equity index investments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1557970"/>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Bond index investments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1557970"/>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Cash equivalents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1557970"/>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r>
              <w:rPr>
                <w:rFonts w:eastAsia="Times New Roman"/>
                <w:color w:val="000000"/>
                <w:sz w:val="20"/>
                <w:szCs w:val="20"/>
              </w:rPr>
              <w:t>Total common collective trust funds (b)</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1557970"/>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Alternative investments (b)</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1557970"/>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tbl>
      <w:tblPr>
        <w:tblW w:w="4941" w:type="pct"/>
        <w:tblCellMar>
          <w:top w:w="15" w:type="dxa"/>
          <w:left w:w="15" w:type="dxa"/>
          <w:bottom w:w="15" w:type="dxa"/>
          <w:right w:w="15" w:type="dxa"/>
        </w:tblCellMar>
        <w:tblLook w:val="04A0" w:firstRow="1" w:lastRow="0" w:firstColumn="1" w:lastColumn="0" w:noHBand="0" w:noVBand="1"/>
      </w:tblPr>
      <w:tblGrid>
        <w:gridCol w:w="144"/>
        <w:gridCol w:w="2616"/>
        <w:gridCol w:w="144"/>
        <w:gridCol w:w="144"/>
        <w:gridCol w:w="965"/>
        <w:gridCol w:w="144"/>
        <w:gridCol w:w="144"/>
        <w:gridCol w:w="144"/>
        <w:gridCol w:w="144"/>
        <w:gridCol w:w="144"/>
        <w:gridCol w:w="965"/>
        <w:gridCol w:w="144"/>
        <w:gridCol w:w="144"/>
        <w:gridCol w:w="144"/>
        <w:gridCol w:w="144"/>
        <w:gridCol w:w="144"/>
        <w:gridCol w:w="965"/>
        <w:gridCol w:w="144"/>
        <w:gridCol w:w="144"/>
        <w:gridCol w:w="144"/>
        <w:gridCol w:w="144"/>
        <w:gridCol w:w="144"/>
        <w:gridCol w:w="940"/>
        <w:gridCol w:w="144"/>
        <w:gridCol w:w="144"/>
        <w:gridCol w:w="144"/>
        <w:gridCol w:w="144"/>
        <w:gridCol w:w="144"/>
        <w:gridCol w:w="965"/>
        <w:gridCol w:w="144"/>
      </w:tblGrid>
      <w:tr w:rsidR="00000000">
        <w:tc>
          <w:tcPr>
            <w:tcW w:w="50" w:type="pct"/>
            <w:vAlign w:val="center"/>
            <w:hideMark/>
          </w:tcPr>
          <w:p w:rsidR="00000000" w:rsidRDefault="00AC31B9">
            <w:pPr>
              <w:rPr>
                <w:rFonts w:eastAsia="Times New Roman"/>
              </w:rPr>
            </w:pPr>
          </w:p>
        </w:tc>
        <w:tc>
          <w:tcPr>
            <w:tcW w:w="159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7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bl>
    <w:p w:rsidR="00000000" w:rsidRDefault="00AC31B9">
      <w:pPr>
        <w:divId w:val="2052611052"/>
        <w:rPr>
          <w:rFonts w:eastAsia="Times New Roman"/>
        </w:rPr>
      </w:pPr>
      <w:r>
        <w:rPr>
          <w:rFonts w:eastAsia="Times New Roman"/>
          <w:color w:val="000000"/>
          <w:sz w:val="20"/>
          <w:szCs w:val="20"/>
        </w:rPr>
        <w:t>(a) Level 1 investments within the fair value hierarchy.</w:t>
      </w:r>
    </w:p>
    <w:p w:rsidR="00000000" w:rsidRDefault="00AC31B9">
      <w:pPr>
        <w:divId w:val="584195009"/>
        <w:rPr>
          <w:rFonts w:eastAsia="Times New Roman"/>
        </w:rPr>
      </w:pPr>
      <w:r>
        <w:rPr>
          <w:rFonts w:eastAsia="Times New Roman"/>
          <w:color w:val="000000"/>
          <w:sz w:val="20"/>
          <w:szCs w:val="20"/>
        </w:rPr>
        <w:t xml:space="preserve">(b) </w:t>
      </w:r>
      <w:r>
        <w:rPr>
          <w:rFonts w:eastAsia="Times New Roman"/>
          <w:color w:val="000000"/>
          <w:sz w:val="20"/>
          <w:szCs w:val="20"/>
        </w:rPr>
        <w:t>Assets measured at NAV and therefore excluded from the fair value hierarchy.</w:t>
      </w:r>
    </w:p>
    <w:p w:rsidR="00000000" w:rsidRDefault="00AC31B9">
      <w:pPr>
        <w:ind w:hanging="360"/>
        <w:divId w:val="1549218936"/>
        <w:rPr>
          <w:rFonts w:eastAsia="Times New Roman"/>
        </w:rPr>
      </w:pPr>
    </w:p>
    <w:p w:rsidR="00000000" w:rsidRDefault="00AC31B9">
      <w:pPr>
        <w:jc w:val="both"/>
        <w:rPr>
          <w:rFonts w:eastAsia="Times New Roman"/>
        </w:rPr>
      </w:pPr>
      <w:r>
        <w:rPr>
          <w:rFonts w:eastAsia="Times New Roman"/>
          <w:color w:val="000000"/>
          <w:sz w:val="20"/>
          <w:szCs w:val="20"/>
        </w:rPr>
        <w:t xml:space="preserve">The expected long-term rates of return on U.S. Pension Plans’ trust assets have been developed using a best estimate of expected returns, volatilities and correlations for each </w:t>
      </w:r>
      <w:r>
        <w:rPr>
          <w:rFonts w:eastAsia="Times New Roman"/>
          <w:color w:val="000000"/>
          <w:sz w:val="20"/>
          <w:szCs w:val="20"/>
        </w:rPr>
        <w:t xml:space="preserve">asset class. The estimates are based on historical capital market performance data and future expectations provided by independent consultants. Future expectations are determined by using simulations that provide a wide range of scenarios of future market </w:t>
      </w:r>
      <w:r>
        <w:rPr>
          <w:rFonts w:eastAsia="Times New Roman"/>
          <w:color w:val="000000"/>
          <w:sz w:val="20"/>
          <w:szCs w:val="20"/>
        </w:rPr>
        <w:t xml:space="preserve">performance. The market conditions in these simulations consider the long-term relationships between equities and fixed income as well as current market conditions at the start of the </w:t>
      </w:r>
    </w:p>
    <w:p w:rsidR="00000000" w:rsidRDefault="00AC31B9">
      <w:pPr>
        <w:jc w:val="center"/>
        <w:divId w:val="40793582"/>
        <w:rPr>
          <w:rFonts w:eastAsia="Times New Roman"/>
        </w:rPr>
      </w:pPr>
      <w:r>
        <w:rPr>
          <w:rFonts w:eastAsia="Times New Roman"/>
          <w:color w:val="000000"/>
          <w:sz w:val="20"/>
          <w:szCs w:val="20"/>
        </w:rPr>
        <w:t>F-39</w:t>
      </w:r>
    </w:p>
    <w:p w:rsidR="00000000" w:rsidRDefault="00AC31B9">
      <w:pPr>
        <w:rPr>
          <w:rFonts w:eastAsia="Times New Roman"/>
        </w:rPr>
      </w:pPr>
      <w:r>
        <w:rPr>
          <w:rFonts w:eastAsia="Times New Roman"/>
        </w:rPr>
        <w:pict>
          <v:rect id="_x0000_i1157" style="width:0;height:1.5pt" o:hralign="center" o:hrstd="t" o:hr="t" fillcolor="#a0a0a0" stroked="f"/>
        </w:pict>
      </w:r>
    </w:p>
    <w:p w:rsidR="00000000" w:rsidRDefault="00AC31B9">
      <w:pPr>
        <w:divId w:val="2017539184"/>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114329365"/>
        <w:rPr>
          <w:rFonts w:eastAsia="Times New Roman"/>
        </w:rPr>
      </w:pPr>
      <w:r>
        <w:rPr>
          <w:rFonts w:eastAsia="Times New Roman"/>
          <w:b/>
          <w:bCs/>
          <w:color w:val="000000"/>
          <w:sz w:val="20"/>
          <w:szCs w:val="20"/>
        </w:rPr>
        <w:t>UGI Corporation and Subsidiaries</w:t>
      </w:r>
    </w:p>
    <w:p w:rsidR="00000000" w:rsidRDefault="00AC31B9">
      <w:pPr>
        <w:divId w:val="841506177"/>
        <w:rPr>
          <w:rFonts w:eastAsia="Times New Roman"/>
        </w:rPr>
      </w:pPr>
      <w:r>
        <w:rPr>
          <w:rFonts w:eastAsia="Times New Roman"/>
          <w:b/>
          <w:bCs/>
          <w:color w:val="000000"/>
          <w:sz w:val="20"/>
          <w:szCs w:val="20"/>
        </w:rPr>
        <w:t>Notes to Consolidated Financial Statements</w:t>
      </w:r>
    </w:p>
    <w:p w:rsidR="00000000" w:rsidRDefault="00AC31B9">
      <w:pPr>
        <w:divId w:val="1087384114"/>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rPr>
          <w:rFonts w:eastAsia="Times New Roman"/>
        </w:rPr>
      </w:pPr>
      <w:r>
        <w:rPr>
          <w:rFonts w:eastAsia="Times New Roman"/>
          <w:color w:val="000000"/>
          <w:sz w:val="20"/>
          <w:szCs w:val="20"/>
        </w:rPr>
        <w:t>simulation. The expected rate begins with a risk-free r</w:t>
      </w:r>
      <w:r>
        <w:rPr>
          <w:rFonts w:eastAsia="Times New Roman"/>
          <w:color w:val="000000"/>
          <w:sz w:val="20"/>
          <w:szCs w:val="20"/>
        </w:rPr>
        <w:t>ate of return with other factors being added such as inflation, duration, credit spreads and equity risk premiums. The rates of return derived from this process are applied to our target asset allocation to develop a reasonable return assumption.</w:t>
      </w:r>
    </w:p>
    <w:p w:rsidR="00000000" w:rsidRDefault="00AC31B9">
      <w:pPr>
        <w:jc w:val="both"/>
        <w:divId w:val="1520124692"/>
        <w:rPr>
          <w:rFonts w:eastAsia="Times New Roman"/>
        </w:rPr>
      </w:pPr>
      <w:r>
        <w:rPr>
          <w:rFonts w:eastAsia="Times New Roman"/>
          <w:b/>
          <w:bCs/>
          <w:color w:val="000000"/>
          <w:sz w:val="20"/>
          <w:szCs w:val="20"/>
        </w:rPr>
        <w:t>Defined C</w:t>
      </w:r>
      <w:r>
        <w:rPr>
          <w:rFonts w:eastAsia="Times New Roman"/>
          <w:b/>
          <w:bCs/>
          <w:color w:val="000000"/>
          <w:sz w:val="20"/>
          <w:szCs w:val="20"/>
        </w:rPr>
        <w:t>ontribution Plans</w:t>
      </w:r>
    </w:p>
    <w:p w:rsidR="00000000" w:rsidRDefault="00AC31B9">
      <w:pPr>
        <w:jc w:val="both"/>
        <w:divId w:val="1848981566"/>
        <w:rPr>
          <w:rFonts w:eastAsia="Times New Roman"/>
        </w:rPr>
      </w:pPr>
      <w:r>
        <w:rPr>
          <w:rFonts w:eastAsia="Times New Roman"/>
          <w:color w:val="000000"/>
          <w:sz w:val="20"/>
          <w:szCs w:val="20"/>
        </w:rPr>
        <w:t>We sponsor 401(k) savings plans for eligible employees of UGI and certain of UGI’s domestic subsidiaries. Generally, participants in these plans may contribute a portion of their compensation on either a before-tax basis, or on both a bef</w:t>
      </w:r>
      <w:r>
        <w:rPr>
          <w:rFonts w:eastAsia="Times New Roman"/>
          <w:color w:val="000000"/>
          <w:sz w:val="20"/>
          <w:szCs w:val="20"/>
        </w:rPr>
        <w:t>ore-tax and after-tax basis. These plans also provide for employer matching contributions at various rates. The cost of benefits under the savings plans totaled $22 in Fiscal 2023, $21 in Fiscal 2022 and $21 in Fiscal 2021. The Company also sponsors certai</w:t>
      </w:r>
      <w:r>
        <w:rPr>
          <w:rFonts w:eastAsia="Times New Roman"/>
          <w:color w:val="000000"/>
          <w:sz w:val="20"/>
          <w:szCs w:val="20"/>
        </w:rPr>
        <w:t xml:space="preserve">n nonqualified supplemental defined contribution executive retirement plans. These plans generally provide supplemental benefits to certain executives that would otherwise be provided under retirement plans but are prohibited due to limitations imposed by </w:t>
      </w:r>
      <w:r>
        <w:rPr>
          <w:rFonts w:eastAsia="Times New Roman"/>
          <w:color w:val="000000"/>
          <w:sz w:val="20"/>
          <w:szCs w:val="20"/>
        </w:rPr>
        <w:t>the IRC. The Company makes payments to self-directed grantor trusts with respect to these supplemental defined contribution plans. Such payments during Fiscal 2023, Fiscal 2022 and Fiscal 2021 were not material. At September 30, 2023 and 2022, the total fa</w:t>
      </w:r>
      <w:r>
        <w:rPr>
          <w:rFonts w:eastAsia="Times New Roman"/>
          <w:color w:val="000000"/>
          <w:sz w:val="20"/>
          <w:szCs w:val="20"/>
        </w:rPr>
        <w:t xml:space="preserve">ir values of these grantor trust investment assets, which amounts are included in “Other assets” on the Consolidated Balance Sheets, were </w:t>
      </w:r>
      <w:r>
        <w:rPr>
          <w:rFonts w:eastAsia="Times New Roman"/>
          <w:color w:val="000000"/>
          <w:sz w:val="20"/>
          <w:szCs w:val="20"/>
          <w:shd w:val="clear" w:color="auto" w:fill="FFFFFF"/>
        </w:rPr>
        <w:t>$9</w:t>
      </w:r>
      <w:r>
        <w:rPr>
          <w:rFonts w:eastAsia="Times New Roman"/>
          <w:color w:val="000000"/>
          <w:sz w:val="20"/>
          <w:szCs w:val="20"/>
        </w:rPr>
        <w:t xml:space="preserve"> and $7, respectively.</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 xml:space="preserve">Note 9 — </w:t>
      </w:r>
      <w:r>
        <w:rPr>
          <w:rFonts w:eastAsia="Times New Roman"/>
          <w:b/>
          <w:bCs/>
          <w:color w:val="000000"/>
          <w:sz w:val="20"/>
          <w:szCs w:val="20"/>
          <w:u w:val="single"/>
        </w:rPr>
        <w:t xml:space="preserve">Utility Regulatory Assets and Liabilities and Regulatory Matters </w:t>
      </w:r>
    </w:p>
    <w:p w:rsidR="00000000" w:rsidRDefault="00AC31B9">
      <w:pPr>
        <w:jc w:val="both"/>
        <w:divId w:val="842167884"/>
        <w:rPr>
          <w:rFonts w:eastAsia="Times New Roman"/>
        </w:rPr>
      </w:pPr>
      <w:r>
        <w:rPr>
          <w:rFonts w:eastAsia="Times New Roman"/>
          <w:color w:val="000000"/>
          <w:sz w:val="20"/>
          <w:szCs w:val="20"/>
        </w:rPr>
        <w:t>The following regulatory assets and liabilities associated with our Utilities reportable segment are included in our Consolidated Balance Sheets at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9"/>
        <w:gridCol w:w="120"/>
        <w:gridCol w:w="921"/>
        <w:gridCol w:w="36"/>
        <w:gridCol w:w="36"/>
        <w:gridCol w:w="36"/>
        <w:gridCol w:w="36"/>
        <w:gridCol w:w="120"/>
        <w:gridCol w:w="885"/>
        <w:gridCol w:w="36"/>
      </w:tblGrid>
      <w:tr w:rsidR="00000000">
        <w:trPr>
          <w:divId w:val="2081128038"/>
        </w:trPr>
        <w:tc>
          <w:tcPr>
            <w:tcW w:w="50" w:type="pct"/>
            <w:vAlign w:val="center"/>
            <w:hideMark/>
          </w:tcPr>
          <w:p w:rsidR="00000000" w:rsidRDefault="00AC31B9">
            <w:pPr>
              <w:jc w:val="both"/>
              <w:rPr>
                <w:rFonts w:eastAsia="Times New Roman"/>
              </w:rPr>
            </w:pPr>
          </w:p>
        </w:tc>
        <w:tc>
          <w:tcPr>
            <w:tcW w:w="363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2081128038"/>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r>
      <w:tr w:rsidR="00000000">
        <w:trPr>
          <w:divId w:val="2081128038"/>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Regulatory assets (a):</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2081128038"/>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Income taxes recoverable</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81128038"/>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Underfunded pension plans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81128038"/>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Environmental costs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81128038"/>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Deferred fuel and power costs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81128038"/>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Removal costs, net</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81128038"/>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81128038"/>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regulatory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81128038"/>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Regulatory liabilities (a):</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2081128038"/>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Postretirement benefits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81128038"/>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2081128038"/>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Deferred fuel and power refunds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81128038"/>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State income tax benefits — distribution system repairs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81128038"/>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2081128038"/>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Excess federal 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279 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81128038"/>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81128038"/>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regulatory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ind w:hanging="360"/>
        <w:jc w:val="both"/>
        <w:rPr>
          <w:rFonts w:eastAsia="Times New Roman"/>
        </w:rPr>
      </w:pPr>
      <w:r>
        <w:rPr>
          <w:rFonts w:eastAsia="Times New Roman"/>
          <w:color w:val="000000"/>
          <w:sz w:val="20"/>
          <w:szCs w:val="20"/>
        </w:rPr>
        <w:t xml:space="preserve">(a)    Current regulatory assets are recorded in “Other current assets” </w:t>
      </w:r>
      <w:r>
        <w:rPr>
          <w:rFonts w:eastAsia="Times New Roman"/>
          <w:color w:val="000000"/>
          <w:sz w:val="20"/>
          <w:szCs w:val="20"/>
        </w:rPr>
        <w:t>on the Consolidated Balance Sheets. Regulatory liabilities are recorded in “Other current liabilities” and “Other noncurrent liabilities” on the Consolidated Balance Sheets.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Other than removal costs, Utilities currently does not recover a rate of return on the regulatory assets included in the table above.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Income taxes recoverable</w:t>
      </w:r>
      <w:r>
        <w:rPr>
          <w:rFonts w:eastAsia="Times New Roman"/>
          <w:color w:val="000000"/>
          <w:sz w:val="20"/>
          <w:szCs w:val="20"/>
        </w:rPr>
        <w:t>. This regulatory asset is the result of recording deferred tax liabilities pertaining to tempor</w:t>
      </w:r>
      <w:r>
        <w:rPr>
          <w:rFonts w:eastAsia="Times New Roman"/>
          <w:color w:val="000000"/>
          <w:sz w:val="20"/>
          <w:szCs w:val="20"/>
        </w:rPr>
        <w:t>ary tax differences principally as a result of the pass through to ratepayers of the tax benefit on accelerated tax depreciation for state income tax purposes, and the flow through of accelerated tax depreciation for federal income tax purposes for certain</w:t>
      </w:r>
      <w:r>
        <w:rPr>
          <w:rFonts w:eastAsia="Times New Roman"/>
          <w:color w:val="000000"/>
          <w:sz w:val="20"/>
          <w:szCs w:val="20"/>
        </w:rPr>
        <w:t xml:space="preserve"> years prior to 1981. These deferred taxes have been reduced by deferred tax assets pertaining to utility deferred investment tax credits. Utilities has recorded regulatory income tax assets related to these deferred tax liabilities representing future rev</w:t>
      </w:r>
      <w:r>
        <w:rPr>
          <w:rFonts w:eastAsia="Times New Roman"/>
          <w:color w:val="000000"/>
          <w:sz w:val="20"/>
          <w:szCs w:val="20"/>
        </w:rPr>
        <w:t xml:space="preserve">enues recoverable through the ratemaking process over the average remaining depreciable lives of the associated property ranging from 1 to approximately 65 years. </w:t>
      </w:r>
    </w:p>
    <w:p w:rsidR="00000000" w:rsidRDefault="00AC31B9">
      <w:pPr>
        <w:jc w:val="center"/>
        <w:divId w:val="858197167"/>
        <w:rPr>
          <w:rFonts w:eastAsia="Times New Roman"/>
        </w:rPr>
      </w:pPr>
      <w:r>
        <w:rPr>
          <w:rFonts w:eastAsia="Times New Roman"/>
          <w:color w:val="000000"/>
          <w:sz w:val="20"/>
          <w:szCs w:val="20"/>
        </w:rPr>
        <w:t>F-40</w:t>
      </w:r>
    </w:p>
    <w:p w:rsidR="00000000" w:rsidRDefault="00AC31B9">
      <w:pPr>
        <w:rPr>
          <w:rFonts w:eastAsia="Times New Roman"/>
        </w:rPr>
      </w:pPr>
      <w:r>
        <w:rPr>
          <w:rFonts w:eastAsia="Times New Roman"/>
        </w:rPr>
        <w:pict>
          <v:rect id="_x0000_i1158" style="width:0;height:1.5pt" o:hralign="center" o:hrstd="t" o:hr="t" fillcolor="#a0a0a0" stroked="f"/>
        </w:pict>
      </w:r>
    </w:p>
    <w:p w:rsidR="00000000" w:rsidRDefault="00AC31B9">
      <w:pPr>
        <w:divId w:val="1164275527"/>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688603897"/>
        <w:rPr>
          <w:rFonts w:eastAsia="Times New Roman"/>
        </w:rPr>
      </w:pPr>
      <w:r>
        <w:rPr>
          <w:rFonts w:eastAsia="Times New Roman"/>
          <w:b/>
          <w:bCs/>
          <w:color w:val="000000"/>
          <w:sz w:val="20"/>
          <w:szCs w:val="20"/>
        </w:rPr>
        <w:t>UGI Corporation and Subsidiaries</w:t>
      </w:r>
    </w:p>
    <w:p w:rsidR="00000000" w:rsidRDefault="00AC31B9">
      <w:pPr>
        <w:divId w:val="1864399437"/>
        <w:rPr>
          <w:rFonts w:eastAsia="Times New Roman"/>
        </w:rPr>
      </w:pPr>
      <w:r>
        <w:rPr>
          <w:rFonts w:eastAsia="Times New Roman"/>
          <w:b/>
          <w:bCs/>
          <w:color w:val="000000"/>
          <w:sz w:val="20"/>
          <w:szCs w:val="20"/>
        </w:rPr>
        <w:t>Notes to Consolidated Financial Statements</w:t>
      </w:r>
    </w:p>
    <w:p w:rsidR="00000000" w:rsidRDefault="00AC31B9">
      <w:pPr>
        <w:divId w:val="126046570"/>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856508485"/>
        <w:rPr>
          <w:rFonts w:eastAsia="Times New Roman"/>
        </w:rPr>
      </w:pPr>
      <w:r>
        <w:rPr>
          <w:rFonts w:eastAsia="Times New Roman"/>
          <w:b/>
          <w:bCs/>
          <w:i/>
          <w:iCs/>
          <w:color w:val="000000"/>
          <w:sz w:val="20"/>
          <w:szCs w:val="20"/>
        </w:rPr>
        <w:t>Underfunded pension plans</w:t>
      </w:r>
      <w:r>
        <w:rPr>
          <w:rFonts w:eastAsia="Times New Roman"/>
          <w:b/>
          <w:bCs/>
          <w:color w:val="000000"/>
          <w:sz w:val="20"/>
          <w:szCs w:val="20"/>
        </w:rPr>
        <w:t>.</w:t>
      </w:r>
      <w:r>
        <w:rPr>
          <w:rFonts w:eastAsia="Times New Roman"/>
          <w:color w:val="000000"/>
          <w:sz w:val="20"/>
          <w:szCs w:val="20"/>
        </w:rPr>
        <w:t xml:space="preserve"> This regulatory asset represents the portion of </w:t>
      </w:r>
      <w:r>
        <w:rPr>
          <w:rFonts w:eastAsia="Times New Roman"/>
          <w:color w:val="000000"/>
          <w:sz w:val="20"/>
          <w:szCs w:val="20"/>
        </w:rPr>
        <w:t>net actuarial losses and prior service costs (credits) associated with Gas Utility and Electric Utility pension benefits which are probable of being recovered through future rates based upon established regulatory practices. These regulatory assets are adj</w:t>
      </w:r>
      <w:r>
        <w:rPr>
          <w:rFonts w:eastAsia="Times New Roman"/>
          <w:color w:val="000000"/>
          <w:sz w:val="20"/>
          <w:szCs w:val="20"/>
        </w:rPr>
        <w:t>usted annually or more frequently under certain circumstances when the funded status of the plans is remeasured in accordance with GAAP. These costs are amortized over the average remaining future service lives of plan participants.</w:t>
      </w:r>
    </w:p>
    <w:p w:rsidR="00000000" w:rsidRDefault="00AC31B9">
      <w:pPr>
        <w:jc w:val="both"/>
        <w:divId w:val="727343994"/>
        <w:rPr>
          <w:rFonts w:eastAsia="Times New Roman"/>
        </w:rPr>
      </w:pPr>
      <w:r>
        <w:rPr>
          <w:rFonts w:eastAsia="Times New Roman"/>
          <w:b/>
          <w:bCs/>
          <w:i/>
          <w:iCs/>
          <w:color w:val="000000"/>
          <w:sz w:val="20"/>
          <w:szCs w:val="20"/>
        </w:rPr>
        <w:t>Environmental costs</w:t>
      </w:r>
      <w:r>
        <w:rPr>
          <w:rFonts w:eastAsia="Times New Roman"/>
          <w:b/>
          <w:bCs/>
          <w:color w:val="000000"/>
          <w:sz w:val="20"/>
          <w:szCs w:val="20"/>
        </w:rPr>
        <w:t>.</w:t>
      </w:r>
      <w:r>
        <w:rPr>
          <w:rFonts w:eastAsia="Times New Roman"/>
          <w:color w:val="000000"/>
          <w:sz w:val="20"/>
          <w:szCs w:val="20"/>
        </w:rPr>
        <w:t xml:space="preserve"> En</w:t>
      </w:r>
      <w:r>
        <w:rPr>
          <w:rFonts w:eastAsia="Times New Roman"/>
          <w:color w:val="000000"/>
          <w:sz w:val="20"/>
          <w:szCs w:val="20"/>
        </w:rPr>
        <w:t>vironmental costs principally represent estimated probable future environmental remediation and investigation costs that PA Gas Utility expects to incur, primarily at MGP sites in Pennsylvania, in conjunction with a remediation COA with the PADEP. Pursuant</w:t>
      </w:r>
      <w:r>
        <w:rPr>
          <w:rFonts w:eastAsia="Times New Roman"/>
          <w:color w:val="000000"/>
          <w:sz w:val="20"/>
          <w:szCs w:val="20"/>
        </w:rPr>
        <w:t xml:space="preserve"> to base rate orders, PA Gas Utility receives ratemaking recognition of its estimated environmental investigation and remediation costs associated with its environmental sites. This ratemaking recognition balances the accumulated difference between histori</w:t>
      </w:r>
      <w:r>
        <w:rPr>
          <w:rFonts w:eastAsia="Times New Roman"/>
          <w:color w:val="000000"/>
          <w:sz w:val="20"/>
          <w:szCs w:val="20"/>
        </w:rPr>
        <w:t>cal costs and rate recoveries with an estimate of future costs associated with the sites. The period over which PA Gas Utility expects to recover these costs will depend upon future remediation activity. For additional information on environmental costs, s</w:t>
      </w:r>
      <w:r>
        <w:rPr>
          <w:rFonts w:eastAsia="Times New Roman"/>
          <w:color w:val="000000"/>
          <w:sz w:val="20"/>
          <w:szCs w:val="20"/>
        </w:rPr>
        <w:t>ee Note 16.</w:t>
      </w:r>
    </w:p>
    <w:p w:rsidR="00000000" w:rsidRDefault="00AC31B9">
      <w:pPr>
        <w:jc w:val="both"/>
        <w:divId w:val="2004552193"/>
        <w:rPr>
          <w:rFonts w:eastAsia="Times New Roman"/>
        </w:rPr>
      </w:pPr>
      <w:r>
        <w:rPr>
          <w:rFonts w:eastAsia="Times New Roman"/>
          <w:b/>
          <w:bCs/>
          <w:i/>
          <w:iCs/>
          <w:color w:val="000000"/>
          <w:sz w:val="20"/>
          <w:szCs w:val="20"/>
        </w:rPr>
        <w:t>Removal costs, net</w:t>
      </w:r>
      <w:r>
        <w:rPr>
          <w:rFonts w:eastAsia="Times New Roman"/>
          <w:b/>
          <w:bCs/>
          <w:color w:val="000000"/>
          <w:sz w:val="20"/>
          <w:szCs w:val="20"/>
        </w:rPr>
        <w:t>.</w:t>
      </w:r>
      <w:r>
        <w:rPr>
          <w:rFonts w:eastAsia="Times New Roman"/>
          <w:color w:val="000000"/>
          <w:sz w:val="20"/>
          <w:szCs w:val="20"/>
        </w:rPr>
        <w:t xml:space="preserve"> This regulatory asset represents costs incurred, net of salvage, associated with the retirement of depreciable utility plant of UGI Utilities. As required by PAPUC ratemaking, removal costs include actual costs incurred asso</w:t>
      </w:r>
      <w:r>
        <w:rPr>
          <w:rFonts w:eastAsia="Times New Roman"/>
          <w:color w:val="000000"/>
          <w:sz w:val="20"/>
          <w:szCs w:val="20"/>
        </w:rPr>
        <w:t>ciated with asset retirement obligations. Consistent with prior ratemaking treatment, UGI Utilities expects to recover these costs over five years.</w:t>
      </w:r>
    </w:p>
    <w:p w:rsidR="00000000" w:rsidRDefault="00AC31B9">
      <w:pPr>
        <w:jc w:val="both"/>
        <w:divId w:val="1268391261"/>
        <w:rPr>
          <w:rFonts w:eastAsia="Times New Roman"/>
        </w:rPr>
      </w:pPr>
      <w:r>
        <w:rPr>
          <w:rFonts w:eastAsia="Times New Roman"/>
          <w:b/>
          <w:bCs/>
          <w:i/>
          <w:iCs/>
          <w:color w:val="000000"/>
          <w:sz w:val="20"/>
          <w:szCs w:val="20"/>
        </w:rPr>
        <w:t>Postretirement benefits</w:t>
      </w:r>
      <w:r>
        <w:rPr>
          <w:rFonts w:eastAsia="Times New Roman"/>
          <w:b/>
          <w:bCs/>
          <w:color w:val="000000"/>
          <w:sz w:val="20"/>
          <w:szCs w:val="20"/>
        </w:rPr>
        <w:t>.</w:t>
      </w:r>
      <w:r>
        <w:rPr>
          <w:rFonts w:eastAsia="Times New Roman"/>
          <w:color w:val="000000"/>
          <w:sz w:val="20"/>
          <w:szCs w:val="20"/>
        </w:rPr>
        <w:t xml:space="preserve"> This regulatory liability represents the difference between amounts recovered throu</w:t>
      </w:r>
      <w:r>
        <w:rPr>
          <w:rFonts w:eastAsia="Times New Roman"/>
          <w:color w:val="000000"/>
          <w:sz w:val="20"/>
          <w:szCs w:val="20"/>
        </w:rPr>
        <w:t>gh rates by PA Gas Utility and Electric Utility and actual costs incurred in accordance with accounting for postretirement benefits. A portion of this liability will be refunded to customers over the average remaining future service lives of plan participa</w:t>
      </w:r>
      <w:r>
        <w:rPr>
          <w:rFonts w:eastAsia="Times New Roman"/>
          <w:color w:val="000000"/>
          <w:sz w:val="20"/>
          <w:szCs w:val="20"/>
        </w:rPr>
        <w:t>nts. Another portion of this liability represents overcollections for which refund periods have been established within ratemaking proceedings. With respect to Gas Utility, postretirement benefit overcollections are generally being refunded to customers ov</w:t>
      </w:r>
      <w:r>
        <w:rPr>
          <w:rFonts w:eastAsia="Times New Roman"/>
          <w:color w:val="000000"/>
          <w:sz w:val="20"/>
          <w:szCs w:val="20"/>
        </w:rPr>
        <w:t>er a ten-year period beginning October 19, 2016. With respect to Electric Utility, the overcollections are being refunded to ratepayers over a 20-year period effective October 27, 2018.</w:t>
      </w:r>
    </w:p>
    <w:p w:rsidR="00000000" w:rsidRDefault="00AC31B9">
      <w:pPr>
        <w:jc w:val="both"/>
        <w:divId w:val="107050428"/>
        <w:rPr>
          <w:rFonts w:eastAsia="Times New Roman"/>
        </w:rPr>
      </w:pPr>
      <w:r>
        <w:rPr>
          <w:rFonts w:eastAsia="Times New Roman"/>
          <w:b/>
          <w:bCs/>
          <w:i/>
          <w:iCs/>
          <w:color w:val="000000"/>
          <w:sz w:val="20"/>
          <w:szCs w:val="20"/>
        </w:rPr>
        <w:t>Deferred fuel and power - costs and refunds.</w:t>
      </w:r>
      <w:r>
        <w:rPr>
          <w:rFonts w:eastAsia="Times New Roman"/>
          <w:color w:val="000000"/>
          <w:sz w:val="20"/>
          <w:szCs w:val="20"/>
        </w:rPr>
        <w:t xml:space="preserve"> Utilities’ tariffs contai</w:t>
      </w:r>
      <w:r>
        <w:rPr>
          <w:rFonts w:eastAsia="Times New Roman"/>
          <w:color w:val="000000"/>
          <w:sz w:val="20"/>
          <w:szCs w:val="20"/>
        </w:rPr>
        <w:t>n clauses that permit recovery of all prudently incurred purchased gas and power costs through the application of PGC rates, PGA rates and DS tariffs. These clauses provide for periodic adjustments to PGC, PGA and DS rates for differences between the total</w:t>
      </w:r>
      <w:r>
        <w:rPr>
          <w:rFonts w:eastAsia="Times New Roman"/>
          <w:color w:val="000000"/>
          <w:sz w:val="20"/>
          <w:szCs w:val="20"/>
        </w:rPr>
        <w:t xml:space="preserve"> amount of purchased gas and electric generation supply costs collected from customers and recoverable costs incurred. Net undercollected costs are classified as a regulatory asset and net overcollections are classified as a regulatory liability.</w:t>
      </w:r>
    </w:p>
    <w:p w:rsidR="00000000" w:rsidRDefault="00AC31B9">
      <w:pPr>
        <w:jc w:val="both"/>
        <w:divId w:val="1420983217"/>
        <w:rPr>
          <w:rFonts w:eastAsia="Times New Roman"/>
        </w:rPr>
      </w:pPr>
      <w:r>
        <w:rPr>
          <w:rFonts w:eastAsia="Times New Roman"/>
          <w:color w:val="000000"/>
          <w:sz w:val="20"/>
          <w:szCs w:val="20"/>
        </w:rPr>
        <w:t>The WVPSC</w:t>
      </w:r>
      <w:r>
        <w:rPr>
          <w:rFonts w:eastAsia="Times New Roman"/>
          <w:color w:val="000000"/>
          <w:sz w:val="20"/>
          <w:szCs w:val="20"/>
        </w:rPr>
        <w:t xml:space="preserve">, in an effort to mitigate the impact of WV Gas Utility’s 2022 PGA rate increase to customers, delayed the effective date in 2022 from November 1 to December 1 and deferred $12 of unrecovered gas costs in determining the rates to be charged to the various </w:t>
      </w:r>
      <w:r>
        <w:rPr>
          <w:rFonts w:eastAsia="Times New Roman"/>
          <w:color w:val="000000"/>
          <w:sz w:val="20"/>
          <w:szCs w:val="20"/>
        </w:rPr>
        <w:t>customer classes effective December 1, 2022. Additionally, in order to lower winter bills for residential customers, the WVPSC removed transportation and storage costs from the volumetric rate and created a fixed monthly pipeline demand charge applicable o</w:t>
      </w:r>
      <w:r>
        <w:rPr>
          <w:rFonts w:eastAsia="Times New Roman"/>
          <w:color w:val="000000"/>
          <w:sz w:val="20"/>
          <w:szCs w:val="20"/>
        </w:rPr>
        <w:t>nly to residential customers. On April 12, 2023, the WVPSC issued a final order that increased the PGA rate, which included the unrecovered gas cost balance initially deferred in the interim order, and continued the fixed monthly demand charge for resident</w:t>
      </w:r>
      <w:r>
        <w:rPr>
          <w:rFonts w:eastAsia="Times New Roman"/>
          <w:color w:val="000000"/>
          <w:sz w:val="20"/>
          <w:szCs w:val="20"/>
        </w:rPr>
        <w:t>ial customers.</w:t>
      </w:r>
    </w:p>
    <w:p w:rsidR="00000000" w:rsidRDefault="00AC31B9">
      <w:pPr>
        <w:jc w:val="both"/>
        <w:divId w:val="1723481994"/>
        <w:rPr>
          <w:rFonts w:eastAsia="Times New Roman"/>
        </w:rPr>
      </w:pPr>
      <w:r>
        <w:rPr>
          <w:rFonts w:eastAsia="Times New Roman"/>
          <w:color w:val="000000"/>
          <w:sz w:val="20"/>
          <w:szCs w:val="20"/>
        </w:rPr>
        <w:t>PA Gas Utility uses derivative instruments to reduce volatility in the cost of gas it purchases for retail core-market customers. Realized and unrealized gains or losses on natural gas derivative instruments are included in deferred fuel and</w:t>
      </w:r>
      <w:r>
        <w:rPr>
          <w:rFonts w:eastAsia="Times New Roman"/>
          <w:color w:val="000000"/>
          <w:sz w:val="20"/>
          <w:szCs w:val="20"/>
        </w:rPr>
        <w:t xml:space="preserve"> power costs or refunds. Net unrealized (losses) gains on such contracts at September 30, 2023 and 2022 were $(2) and $5, respectively.</w:t>
      </w:r>
    </w:p>
    <w:p w:rsidR="00000000" w:rsidRDefault="00AC31B9">
      <w:pPr>
        <w:jc w:val="both"/>
        <w:divId w:val="590941344"/>
        <w:rPr>
          <w:rFonts w:eastAsia="Times New Roman"/>
        </w:rPr>
      </w:pPr>
      <w:r>
        <w:rPr>
          <w:rFonts w:eastAsia="Times New Roman"/>
          <w:b/>
          <w:bCs/>
          <w:i/>
          <w:iCs/>
          <w:color w:val="000000"/>
          <w:sz w:val="20"/>
          <w:szCs w:val="20"/>
        </w:rPr>
        <w:t>State income tax benefits — distribution system repairs.</w:t>
      </w:r>
      <w:r>
        <w:rPr>
          <w:rFonts w:eastAsia="Times New Roman"/>
          <w:color w:val="000000"/>
          <w:sz w:val="20"/>
          <w:szCs w:val="20"/>
        </w:rPr>
        <w:t xml:space="preserve"> This regulatory liability represents Pennsylvania state income </w:t>
      </w:r>
      <w:r>
        <w:rPr>
          <w:rFonts w:eastAsia="Times New Roman"/>
          <w:color w:val="000000"/>
          <w:sz w:val="20"/>
          <w:szCs w:val="20"/>
        </w:rPr>
        <w:t xml:space="preserve">tax benefits, net of federal benefit, resulting from the deduction for income tax purposes of repair and maintenance costs associated with UGI Utilities’ assets that are capitalized for regulatory and GAAP reporting. The tax benefits associated with these </w:t>
      </w:r>
      <w:r>
        <w:rPr>
          <w:rFonts w:eastAsia="Times New Roman"/>
          <w:color w:val="000000"/>
          <w:sz w:val="20"/>
          <w:szCs w:val="20"/>
        </w:rPr>
        <w:t>repair and maintenance deductions will be reflected as a reduction to income tax expense over the remaining tax lives of the related book assets.</w:t>
      </w:r>
    </w:p>
    <w:p w:rsidR="00000000" w:rsidRDefault="00AC31B9">
      <w:pPr>
        <w:divId w:val="1588265405"/>
        <w:rPr>
          <w:rFonts w:eastAsia="Times New Roman"/>
        </w:rPr>
      </w:pPr>
    </w:p>
    <w:p w:rsidR="00000000" w:rsidRDefault="00AC31B9">
      <w:pPr>
        <w:jc w:val="both"/>
        <w:divId w:val="795562613"/>
        <w:rPr>
          <w:rFonts w:eastAsia="Times New Roman"/>
        </w:rPr>
      </w:pPr>
      <w:r>
        <w:rPr>
          <w:rFonts w:eastAsia="Times New Roman"/>
          <w:b/>
          <w:bCs/>
          <w:i/>
          <w:iCs/>
          <w:color w:val="000000"/>
          <w:sz w:val="20"/>
          <w:szCs w:val="20"/>
        </w:rPr>
        <w:t>Excess federal deferred income taxes.</w:t>
      </w:r>
      <w:r>
        <w:rPr>
          <w:rFonts w:eastAsia="Times New Roman"/>
          <w:color w:val="000000"/>
          <w:sz w:val="20"/>
          <w:szCs w:val="20"/>
        </w:rPr>
        <w:t xml:space="preserve"> This regulatory liability is the result of remeasuring Utilities’ fede</w:t>
      </w:r>
      <w:r>
        <w:rPr>
          <w:rFonts w:eastAsia="Times New Roman"/>
          <w:color w:val="000000"/>
          <w:sz w:val="20"/>
          <w:szCs w:val="20"/>
        </w:rPr>
        <w:t>ral deferred income tax liabilities on utility plant due to the enactment of the TCJA on December 22, 2017. In order for our utility assets to continue to be eligible for accelerated tax depreciation, current law requires that excess federal deferred incom</w:t>
      </w:r>
      <w:r>
        <w:rPr>
          <w:rFonts w:eastAsia="Times New Roman"/>
          <w:color w:val="000000"/>
          <w:sz w:val="20"/>
          <w:szCs w:val="20"/>
        </w:rPr>
        <w:t xml:space="preserve">e taxes resulting from the remeasurement be amortized no more rapidly than over the remaining lives of the assets that gave rise to the excess federal deferred income taxes, ranging from 1 year to approximately 65 years. This regulatory liability has been </w:t>
      </w:r>
      <w:r>
        <w:rPr>
          <w:rFonts w:eastAsia="Times New Roman"/>
          <w:color w:val="000000"/>
          <w:sz w:val="20"/>
          <w:szCs w:val="20"/>
        </w:rPr>
        <w:t xml:space="preserve">increased to reflect the </w:t>
      </w:r>
    </w:p>
    <w:p w:rsidR="00000000" w:rsidRDefault="00AC31B9">
      <w:pPr>
        <w:jc w:val="center"/>
        <w:divId w:val="1856189069"/>
        <w:rPr>
          <w:rFonts w:eastAsia="Times New Roman"/>
        </w:rPr>
      </w:pPr>
      <w:r>
        <w:rPr>
          <w:rFonts w:eastAsia="Times New Roman"/>
          <w:color w:val="000000"/>
          <w:sz w:val="20"/>
          <w:szCs w:val="20"/>
        </w:rPr>
        <w:t>F-41</w:t>
      </w:r>
    </w:p>
    <w:p w:rsidR="00000000" w:rsidRDefault="00AC31B9">
      <w:pPr>
        <w:rPr>
          <w:rFonts w:eastAsia="Times New Roman"/>
        </w:rPr>
      </w:pPr>
      <w:r>
        <w:rPr>
          <w:rFonts w:eastAsia="Times New Roman"/>
        </w:rPr>
        <w:pict>
          <v:rect id="_x0000_i1159" style="width:0;height:1.5pt" o:hralign="center" o:hrstd="t" o:hr="t" fillcolor="#a0a0a0" stroked="f"/>
        </w:pict>
      </w:r>
    </w:p>
    <w:p w:rsidR="00000000" w:rsidRDefault="00AC31B9">
      <w:pPr>
        <w:divId w:val="1968001441"/>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016538776"/>
        <w:rPr>
          <w:rFonts w:eastAsia="Times New Roman"/>
        </w:rPr>
      </w:pPr>
      <w:r>
        <w:rPr>
          <w:rFonts w:eastAsia="Times New Roman"/>
          <w:b/>
          <w:bCs/>
          <w:color w:val="000000"/>
          <w:sz w:val="20"/>
          <w:szCs w:val="20"/>
        </w:rPr>
        <w:t>UGI Corporation and Subsidiaries</w:t>
      </w:r>
    </w:p>
    <w:p w:rsidR="00000000" w:rsidRDefault="00AC31B9">
      <w:pPr>
        <w:divId w:val="937371271"/>
        <w:rPr>
          <w:rFonts w:eastAsia="Times New Roman"/>
        </w:rPr>
      </w:pPr>
      <w:r>
        <w:rPr>
          <w:rFonts w:eastAsia="Times New Roman"/>
          <w:b/>
          <w:bCs/>
          <w:color w:val="000000"/>
          <w:sz w:val="20"/>
          <w:szCs w:val="20"/>
        </w:rPr>
        <w:t>Notes to Consolidated Financial Statements</w:t>
      </w:r>
    </w:p>
    <w:p w:rsidR="00000000" w:rsidRDefault="00AC31B9">
      <w:pPr>
        <w:divId w:val="213274897"/>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440951439"/>
        <w:rPr>
          <w:rFonts w:eastAsia="Times New Roman"/>
        </w:rPr>
      </w:pPr>
      <w:r>
        <w:rPr>
          <w:rFonts w:eastAsia="Times New Roman"/>
          <w:color w:val="000000"/>
          <w:sz w:val="20"/>
          <w:szCs w:val="20"/>
        </w:rPr>
        <w:t>tax benefit generated by the amortization of the excess deferred federal income taxes and is being amortized and credited to tax expen</w:t>
      </w:r>
      <w:r>
        <w:rPr>
          <w:rFonts w:eastAsia="Times New Roman"/>
          <w:color w:val="000000"/>
          <w:sz w:val="20"/>
          <w:szCs w:val="20"/>
        </w:rPr>
        <w:t>se.</w:t>
      </w:r>
    </w:p>
    <w:p w:rsidR="00000000" w:rsidRDefault="00AC31B9">
      <w:pPr>
        <w:jc w:val="both"/>
        <w:divId w:val="1020082879"/>
        <w:rPr>
          <w:rFonts w:eastAsia="Times New Roman"/>
        </w:rPr>
      </w:pPr>
      <w:r>
        <w:rPr>
          <w:rFonts w:eastAsia="Times New Roman"/>
          <w:b/>
          <w:bCs/>
          <w:i/>
          <w:iCs/>
          <w:color w:val="000000"/>
          <w:sz w:val="20"/>
          <w:szCs w:val="20"/>
        </w:rPr>
        <w:t>Other</w:t>
      </w:r>
      <w:r>
        <w:rPr>
          <w:rFonts w:eastAsia="Times New Roman"/>
          <w:b/>
          <w:bCs/>
          <w:color w:val="000000"/>
          <w:sz w:val="20"/>
          <w:szCs w:val="20"/>
        </w:rPr>
        <w:t>.</w:t>
      </w:r>
      <w:r>
        <w:rPr>
          <w:rFonts w:eastAsia="Times New Roman"/>
          <w:color w:val="000000"/>
          <w:sz w:val="20"/>
          <w:szCs w:val="20"/>
        </w:rPr>
        <w:t xml:space="preserve"> </w:t>
      </w:r>
      <w:r>
        <w:rPr>
          <w:rFonts w:eastAsia="Times New Roman"/>
          <w:color w:val="000000"/>
          <w:sz w:val="20"/>
          <w:szCs w:val="20"/>
        </w:rPr>
        <w:t xml:space="preserve">Other regulatory assets and liabilities comprise a number of deferred items including, among others, certain fair value adjustments related to the Mountaineer Acquisition, certain information technology costs, energy efficiency conservation costs and rate </w:t>
      </w:r>
      <w:r>
        <w:rPr>
          <w:rFonts w:eastAsia="Times New Roman"/>
          <w:color w:val="000000"/>
          <w:sz w:val="20"/>
          <w:szCs w:val="20"/>
        </w:rPr>
        <w:t>case expenses.</w:t>
      </w:r>
    </w:p>
    <w:p w:rsidR="00000000" w:rsidRDefault="00AC31B9">
      <w:pPr>
        <w:jc w:val="both"/>
        <w:divId w:val="1162700011"/>
        <w:rPr>
          <w:rFonts w:eastAsia="Times New Roman"/>
        </w:rPr>
      </w:pPr>
      <w:r>
        <w:rPr>
          <w:rFonts w:eastAsia="Times New Roman"/>
          <w:b/>
          <w:bCs/>
          <w:color w:val="000000"/>
          <w:sz w:val="20"/>
          <w:szCs w:val="20"/>
        </w:rPr>
        <w:t>Other Regulatory Matters</w:t>
      </w:r>
    </w:p>
    <w:p w:rsidR="00000000" w:rsidRDefault="00AC31B9">
      <w:pPr>
        <w:jc w:val="both"/>
        <w:divId w:val="819273600"/>
        <w:rPr>
          <w:rFonts w:eastAsia="Times New Roman"/>
        </w:rPr>
      </w:pPr>
      <w:r>
        <w:rPr>
          <w:rFonts w:eastAsia="Times New Roman"/>
          <w:b/>
          <w:bCs/>
          <w:i/>
          <w:iCs/>
          <w:color w:val="000000"/>
          <w:sz w:val="20"/>
          <w:szCs w:val="20"/>
        </w:rPr>
        <w:t>UGI Utilities. </w:t>
      </w:r>
      <w:r>
        <w:rPr>
          <w:rFonts w:eastAsia="Times New Roman"/>
          <w:color w:val="000000"/>
          <w:sz w:val="20"/>
          <w:szCs w:val="20"/>
        </w:rPr>
        <w:t>On January 27, 2023, Electric Utility filed a request with the PAPUC to increase its annual base distribution revenues by $11. On September 21, 2023, the PAPUC issued a final order approving a settleme</w:t>
      </w:r>
      <w:r>
        <w:rPr>
          <w:rFonts w:eastAsia="Times New Roman"/>
          <w:color w:val="000000"/>
          <w:sz w:val="20"/>
          <w:szCs w:val="20"/>
        </w:rPr>
        <w:t xml:space="preserve">nt providing for a $9 annual base distribution rate increase for Electric Utility, effective October 1, 2023. </w:t>
      </w:r>
    </w:p>
    <w:p w:rsidR="00000000" w:rsidRDefault="00AC31B9">
      <w:pPr>
        <w:jc w:val="both"/>
        <w:divId w:val="283002098"/>
        <w:rPr>
          <w:rFonts w:eastAsia="Times New Roman"/>
        </w:rPr>
      </w:pPr>
      <w:r>
        <w:rPr>
          <w:rFonts w:eastAsia="Times New Roman"/>
          <w:color w:val="000000"/>
          <w:sz w:val="20"/>
          <w:szCs w:val="20"/>
        </w:rPr>
        <w:t>On January 28, 2022, PA Gas Utility filed a request with the PAPUC to increase its base operating revenues for residential, commercial and indust</w:t>
      </w:r>
      <w:r>
        <w:rPr>
          <w:rFonts w:eastAsia="Times New Roman"/>
          <w:color w:val="000000"/>
          <w:sz w:val="20"/>
          <w:szCs w:val="20"/>
        </w:rPr>
        <w:t>rial customers by $83 annually. On September 15, 2022, the PAPUC issued a final order approving a settlement providing for a $49 annual base distribution rate increase for PA Gas Utility, through a phased approach, with $38 beginning October 29, 2022 and a</w:t>
      </w:r>
      <w:r>
        <w:rPr>
          <w:rFonts w:eastAsia="Times New Roman"/>
          <w:color w:val="000000"/>
          <w:sz w:val="20"/>
          <w:szCs w:val="20"/>
        </w:rPr>
        <w:t>n additional $11 beginning October 1, 2023. In accordance with the terms of the final order, PA Gas Utility will not be permitted to file a rate case prior to January 1, 2024. Also in accordance with the terms of the final order, PA Gas Utility was authori</w:t>
      </w:r>
      <w:r>
        <w:rPr>
          <w:rFonts w:eastAsia="Times New Roman"/>
          <w:color w:val="000000"/>
          <w:sz w:val="20"/>
          <w:szCs w:val="20"/>
        </w:rPr>
        <w:t>zed to implement a weather normalization adjustment rider as a five-year pilot program beginning on November 1, 2022. Under this rider, when weather deviates from normal by more than 3%, residential and small commercial customer billings for distribution s</w:t>
      </w:r>
      <w:r>
        <w:rPr>
          <w:rFonts w:eastAsia="Times New Roman"/>
          <w:color w:val="000000"/>
          <w:sz w:val="20"/>
          <w:szCs w:val="20"/>
        </w:rPr>
        <w:t>ervices are adjusted monthly for weather related impacts exceeding the 3% threshold. Additionally, under the terms of the final order, PA Gas Utility was authorized to implement a DSIC once its total property, plant and equipment less accumulated depreciat</w:t>
      </w:r>
      <w:r>
        <w:rPr>
          <w:rFonts w:eastAsia="Times New Roman"/>
          <w:color w:val="000000"/>
          <w:sz w:val="20"/>
          <w:szCs w:val="20"/>
        </w:rPr>
        <w:t>ion reached $3,368 (which threshold was achieved in September 2022).</w:t>
      </w:r>
    </w:p>
    <w:p w:rsidR="00000000" w:rsidRDefault="00AC31B9">
      <w:pPr>
        <w:jc w:val="both"/>
        <w:divId w:val="515846032"/>
        <w:rPr>
          <w:rFonts w:eastAsia="Times New Roman"/>
        </w:rPr>
      </w:pPr>
      <w:r>
        <w:rPr>
          <w:rFonts w:eastAsia="Times New Roman"/>
          <w:color w:val="000000"/>
          <w:sz w:val="20"/>
          <w:szCs w:val="20"/>
        </w:rPr>
        <w:t>On February 8, 2021, Electric Utility filed a request with the PAPUC to increase its annual base distribution revenues by $9. On October 28, 2021, the PAPUC issued a final order approving</w:t>
      </w:r>
      <w:r>
        <w:rPr>
          <w:rFonts w:eastAsia="Times New Roman"/>
          <w:color w:val="000000"/>
          <w:sz w:val="20"/>
          <w:szCs w:val="20"/>
        </w:rPr>
        <w:t xml:space="preserve"> a settlement that permitted Electric Utility, effective November 9, 2021, to increase its base distribution revenues by $6.</w:t>
      </w:r>
    </w:p>
    <w:p w:rsidR="00000000" w:rsidRDefault="00AC31B9">
      <w:pPr>
        <w:jc w:val="both"/>
        <w:divId w:val="1084692194"/>
        <w:rPr>
          <w:rFonts w:eastAsia="Times New Roman"/>
        </w:rPr>
      </w:pPr>
      <w:r>
        <w:rPr>
          <w:rFonts w:eastAsia="Times New Roman"/>
          <w:b/>
          <w:bCs/>
          <w:i/>
          <w:iCs/>
          <w:color w:val="000000"/>
          <w:sz w:val="20"/>
          <w:szCs w:val="20"/>
        </w:rPr>
        <w:t>Mountaineer.</w:t>
      </w:r>
      <w:r>
        <w:rPr>
          <w:rFonts w:eastAsia="Times New Roman"/>
          <w:color w:val="000000"/>
          <w:sz w:val="20"/>
          <w:szCs w:val="20"/>
        </w:rPr>
        <w:t xml:space="preserve"> On July 31, 2023, Mountaineer submitted its 2023 IREP filing to the WVPSC requesting recovery of $10, an increase of $</w:t>
      </w:r>
      <w:r>
        <w:rPr>
          <w:rFonts w:eastAsia="Times New Roman"/>
          <w:color w:val="000000"/>
          <w:sz w:val="20"/>
          <w:szCs w:val="20"/>
        </w:rPr>
        <w:t>6, for costs associated with capital investments after December 31, 2022, that total $131, including $67 in calendar year 2024. With new base rates expected to be effective January 1, 2024, revenues from IREP rates would decrease by $12. The filing include</w:t>
      </w:r>
      <w:r>
        <w:rPr>
          <w:rFonts w:eastAsia="Times New Roman"/>
          <w:color w:val="000000"/>
          <w:sz w:val="20"/>
          <w:szCs w:val="20"/>
        </w:rPr>
        <w:t>d capital investments totaling $383 over the 2024 - 2028 period.</w:t>
      </w:r>
    </w:p>
    <w:p w:rsidR="00000000" w:rsidRDefault="00AC31B9">
      <w:pPr>
        <w:jc w:val="both"/>
        <w:divId w:val="1729955433"/>
        <w:rPr>
          <w:rFonts w:eastAsia="Times New Roman"/>
        </w:rPr>
      </w:pPr>
      <w:r>
        <w:rPr>
          <w:rFonts w:eastAsia="Times New Roman"/>
          <w:color w:val="000000"/>
          <w:sz w:val="20"/>
          <w:szCs w:val="20"/>
        </w:rPr>
        <w:t>On March 6, 2023, Mountaineer submitted a base rate case filing with the WVPSC seeking a net revenue increase of $20, which consisted of an increase in base rates of $38 and a decrease in the</w:t>
      </w:r>
      <w:r>
        <w:rPr>
          <w:rFonts w:eastAsia="Times New Roman"/>
          <w:color w:val="000000"/>
          <w:sz w:val="20"/>
          <w:szCs w:val="20"/>
        </w:rPr>
        <w:t xml:space="preserve"> IREP rates of $18 annually to be effective on April 5, 2023. On March 31, 2023, the WVPSC suspended the effective date of the requested rate change increase until January 1, 2024 to allow for a full review of the filing. On October 6, 2023, Mountaineer fi</w:t>
      </w:r>
      <w:r>
        <w:rPr>
          <w:rFonts w:eastAsia="Times New Roman"/>
          <w:color w:val="000000"/>
          <w:sz w:val="20"/>
          <w:szCs w:val="20"/>
        </w:rPr>
        <w:t xml:space="preserve">led a joint stipulation and agreement for settlement of the base rate case, which included a $14 net revenue increase. An order from the Commission is expected in December and new rates will take effect on January 1, 2024. </w:t>
      </w:r>
    </w:p>
    <w:p w:rsidR="00000000" w:rsidRDefault="00AC31B9">
      <w:pPr>
        <w:jc w:val="both"/>
        <w:divId w:val="11807043"/>
        <w:rPr>
          <w:rFonts w:eastAsia="Times New Roman"/>
        </w:rPr>
      </w:pPr>
      <w:r>
        <w:rPr>
          <w:rFonts w:eastAsia="Times New Roman"/>
          <w:color w:val="000000"/>
          <w:sz w:val="20"/>
          <w:szCs w:val="20"/>
        </w:rPr>
        <w:t>On July 29, 2022, Mountaineer su</w:t>
      </w:r>
      <w:r>
        <w:rPr>
          <w:rFonts w:eastAsia="Times New Roman"/>
          <w:color w:val="000000"/>
          <w:sz w:val="20"/>
          <w:szCs w:val="20"/>
        </w:rPr>
        <w:t>bmitted its 2022 IREP filing to the WVPSC requesting recovery of costs associated with capital investments totaling $354 over the 2023 - 2027 period, including $64 in calendar year 2023. On November 16, 2022, Mountaineer and the intervening parties submitt</w:t>
      </w:r>
      <w:r>
        <w:rPr>
          <w:rFonts w:eastAsia="Times New Roman"/>
          <w:color w:val="000000"/>
          <w:sz w:val="20"/>
          <w:szCs w:val="20"/>
        </w:rPr>
        <w:t>ed a joint stipulation and agreement for settlement to the WVPSC requesting approval of 2023 IREP revenue of $22 to be charged effective January 1, 2023, which includes the recovery of a $1 under-recovery of 2021 IREP revenue. On December 21, 2022, the WVP</w:t>
      </w:r>
      <w:r>
        <w:rPr>
          <w:rFonts w:eastAsia="Times New Roman"/>
          <w:color w:val="000000"/>
          <w:sz w:val="20"/>
          <w:szCs w:val="20"/>
        </w:rPr>
        <w:t xml:space="preserve">SC issued an order approving the joint stipulation and agreement for settlement as filed. </w:t>
      </w:r>
    </w:p>
    <w:p w:rsidR="00000000" w:rsidRDefault="00AC31B9">
      <w:pPr>
        <w:jc w:val="both"/>
        <w:rPr>
          <w:rFonts w:eastAsia="Times New Roman"/>
        </w:rPr>
      </w:pPr>
    </w:p>
    <w:p w:rsidR="00000000" w:rsidRDefault="00AC31B9">
      <w:pPr>
        <w:jc w:val="center"/>
        <w:divId w:val="1965110515"/>
        <w:rPr>
          <w:rFonts w:eastAsia="Times New Roman"/>
        </w:rPr>
      </w:pPr>
      <w:r>
        <w:rPr>
          <w:rFonts w:eastAsia="Times New Roman"/>
          <w:color w:val="000000"/>
          <w:sz w:val="20"/>
          <w:szCs w:val="20"/>
        </w:rPr>
        <w:t>F-42</w:t>
      </w:r>
    </w:p>
    <w:p w:rsidR="00000000" w:rsidRDefault="00AC31B9">
      <w:pPr>
        <w:rPr>
          <w:rFonts w:eastAsia="Times New Roman"/>
        </w:rPr>
      </w:pPr>
      <w:r>
        <w:rPr>
          <w:rFonts w:eastAsia="Times New Roman"/>
        </w:rPr>
        <w:pict>
          <v:rect id="_x0000_i1160" style="width:0;height:1.5pt" o:hralign="center" o:hrstd="t" o:hr="t" fillcolor="#a0a0a0" stroked="f"/>
        </w:pict>
      </w:r>
    </w:p>
    <w:p w:rsidR="00000000" w:rsidRDefault="00AC31B9">
      <w:pPr>
        <w:divId w:val="556546670"/>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702365189"/>
        <w:rPr>
          <w:rFonts w:eastAsia="Times New Roman"/>
        </w:rPr>
      </w:pPr>
      <w:r>
        <w:rPr>
          <w:rFonts w:eastAsia="Times New Roman"/>
          <w:b/>
          <w:bCs/>
          <w:color w:val="000000"/>
          <w:sz w:val="20"/>
          <w:szCs w:val="20"/>
        </w:rPr>
        <w:t>UGI Corporation and Subsidiaries</w:t>
      </w:r>
    </w:p>
    <w:p w:rsidR="00000000" w:rsidRDefault="00AC31B9">
      <w:pPr>
        <w:divId w:val="1734741566"/>
        <w:rPr>
          <w:rFonts w:eastAsia="Times New Roman"/>
        </w:rPr>
      </w:pPr>
      <w:r>
        <w:rPr>
          <w:rFonts w:eastAsia="Times New Roman"/>
          <w:b/>
          <w:bCs/>
          <w:color w:val="000000"/>
          <w:sz w:val="20"/>
          <w:szCs w:val="20"/>
        </w:rPr>
        <w:t>Notes to Cons</w:t>
      </w:r>
      <w:r>
        <w:rPr>
          <w:rFonts w:eastAsia="Times New Roman"/>
          <w:b/>
          <w:bCs/>
          <w:color w:val="000000"/>
          <w:sz w:val="20"/>
          <w:szCs w:val="20"/>
        </w:rPr>
        <w:t>olidated Financial Statements</w:t>
      </w:r>
    </w:p>
    <w:p w:rsidR="00000000" w:rsidRDefault="00AC31B9">
      <w:pPr>
        <w:divId w:val="2014063339"/>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rPr>
          <w:rFonts w:eastAsia="Times New Roman"/>
        </w:rPr>
      </w:pPr>
      <w:r>
        <w:rPr>
          <w:rFonts w:eastAsia="Times New Roman"/>
          <w:b/>
          <w:bCs/>
          <w:color w:val="000000"/>
          <w:sz w:val="20"/>
          <w:szCs w:val="20"/>
          <w:u w:val="single"/>
        </w:rPr>
        <w:t xml:space="preserve">Note 10 — Inventories </w:t>
      </w:r>
    </w:p>
    <w:p w:rsidR="00000000" w:rsidRDefault="00AC31B9">
      <w:pPr>
        <w:jc w:val="both"/>
        <w:divId w:val="1998607757"/>
        <w:rPr>
          <w:rFonts w:eastAsia="Times New Roman"/>
        </w:rPr>
      </w:pPr>
      <w:r>
        <w:rPr>
          <w:rFonts w:eastAsia="Times New Roman"/>
          <w:color w:val="000000"/>
          <w:sz w:val="20"/>
          <w:szCs w:val="20"/>
        </w:rPr>
        <w:t>Inventories comprise the following at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7"/>
        <w:gridCol w:w="120"/>
        <w:gridCol w:w="921"/>
        <w:gridCol w:w="36"/>
        <w:gridCol w:w="36"/>
        <w:gridCol w:w="36"/>
        <w:gridCol w:w="36"/>
        <w:gridCol w:w="120"/>
        <w:gridCol w:w="887"/>
        <w:gridCol w:w="36"/>
      </w:tblGrid>
      <w:tr w:rsidR="00000000">
        <w:trPr>
          <w:divId w:val="1299338531"/>
        </w:trPr>
        <w:tc>
          <w:tcPr>
            <w:tcW w:w="50" w:type="pct"/>
            <w:vAlign w:val="center"/>
            <w:hideMark/>
          </w:tcPr>
          <w:p w:rsidR="00000000" w:rsidRDefault="00AC31B9">
            <w:pPr>
              <w:jc w:val="both"/>
              <w:rPr>
                <w:rFonts w:eastAsia="Times New Roman"/>
              </w:rPr>
            </w:pPr>
          </w:p>
        </w:tc>
        <w:tc>
          <w:tcPr>
            <w:tcW w:w="363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299338531"/>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r>
      <w:tr w:rsidR="00000000">
        <w:trPr>
          <w:divId w:val="1299338531"/>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Non-utility LPG and natural gas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99338531"/>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Gas Utility natural gas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99338531"/>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Energy certificates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99338531"/>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Materials, supplies and other</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99338531"/>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inventories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ind w:firstLine="495"/>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 xml:space="preserve">Note 11 — </w:t>
      </w:r>
      <w:r>
        <w:rPr>
          <w:rFonts w:eastAsia="Times New Roman"/>
          <w:b/>
          <w:bCs/>
          <w:color w:val="000000"/>
          <w:sz w:val="20"/>
          <w:szCs w:val="20"/>
          <w:u w:val="single"/>
        </w:rPr>
        <w:t xml:space="preserve">Property, Plant and Equipment </w:t>
      </w:r>
    </w:p>
    <w:p w:rsidR="00000000" w:rsidRDefault="00AC31B9">
      <w:pPr>
        <w:jc w:val="both"/>
        <w:divId w:val="1403066102"/>
        <w:rPr>
          <w:rFonts w:eastAsia="Times New Roman"/>
        </w:rPr>
      </w:pPr>
      <w:r>
        <w:rPr>
          <w:rFonts w:eastAsia="Times New Roman"/>
          <w:color w:val="000000"/>
          <w:sz w:val="20"/>
          <w:szCs w:val="20"/>
        </w:rPr>
        <w:t>Property, plant and equipment comprise the following at September 30:</w:t>
      </w:r>
    </w:p>
    <w:tbl>
      <w:tblPr>
        <w:tblW w:w="4970" w:type="pct"/>
        <w:tblCellMar>
          <w:top w:w="15" w:type="dxa"/>
          <w:left w:w="15" w:type="dxa"/>
          <w:bottom w:w="15" w:type="dxa"/>
          <w:right w:w="15" w:type="dxa"/>
        </w:tblCellMar>
        <w:tblLook w:val="04A0" w:firstRow="1" w:lastRow="0" w:firstColumn="1" w:lastColumn="0" w:noHBand="0" w:noVBand="1"/>
      </w:tblPr>
      <w:tblGrid>
        <w:gridCol w:w="46"/>
        <w:gridCol w:w="4330"/>
        <w:gridCol w:w="37"/>
        <w:gridCol w:w="120"/>
        <w:gridCol w:w="927"/>
        <w:gridCol w:w="36"/>
        <w:gridCol w:w="36"/>
        <w:gridCol w:w="36"/>
        <w:gridCol w:w="36"/>
        <w:gridCol w:w="120"/>
        <w:gridCol w:w="897"/>
        <w:gridCol w:w="36"/>
        <w:gridCol w:w="36"/>
        <w:gridCol w:w="36"/>
        <w:gridCol w:w="36"/>
        <w:gridCol w:w="45"/>
        <w:gridCol w:w="1410"/>
        <w:gridCol w:w="36"/>
      </w:tblGrid>
      <w:tr w:rsidR="00000000">
        <w:trPr>
          <w:divId w:val="1375081268"/>
        </w:trPr>
        <w:tc>
          <w:tcPr>
            <w:tcW w:w="50" w:type="pct"/>
            <w:vAlign w:val="center"/>
            <w:hideMark/>
          </w:tcPr>
          <w:p w:rsidR="00000000" w:rsidRDefault="00AC31B9">
            <w:pPr>
              <w:jc w:val="both"/>
              <w:rPr>
                <w:rFonts w:eastAsia="Times New Roman"/>
              </w:rPr>
            </w:pPr>
          </w:p>
        </w:tc>
        <w:tc>
          <w:tcPr>
            <w:tcW w:w="264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89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375081268"/>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Estimated Useful Life</w:t>
            </w:r>
          </w:p>
        </w:tc>
      </w:tr>
      <w:tr w:rsidR="00000000">
        <w:trPr>
          <w:divId w:val="1375081268"/>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Utility: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375081268"/>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Distribution</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5,204 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4,746 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375081268"/>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Transmission</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375081268"/>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General and other</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660 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557 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375081268"/>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Work in process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375081268"/>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Utility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6,082 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5,550 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375081268"/>
          <w:trHeight w:val="300"/>
        </w:trPr>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375081268"/>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Non-utility:</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375081268"/>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Land</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375081268"/>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Buildings and improvements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418 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426 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10 - 40 years</w:t>
            </w:r>
          </w:p>
        </w:tc>
      </w:tr>
      <w:tr w:rsidR="00000000">
        <w:trPr>
          <w:divId w:val="1375081268"/>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Transportation equipment</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3 - 10 years</w:t>
            </w:r>
          </w:p>
        </w:tc>
      </w:tr>
      <w:tr w:rsidR="00000000">
        <w:trPr>
          <w:divId w:val="1375081268"/>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Equipment, primarily cylinders and tanks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3,903 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3,645 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5 - 30 years</w:t>
            </w:r>
          </w:p>
        </w:tc>
      </w:tr>
      <w:tr w:rsidR="00000000">
        <w:trPr>
          <w:divId w:val="1375081268"/>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Electric generation</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25 - 40 years</w:t>
            </w:r>
          </w:p>
        </w:tc>
      </w:tr>
      <w:tr w:rsidR="00000000">
        <w:trPr>
          <w:divId w:val="1375081268"/>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Pipeline and related assets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1,577 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1,523 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25 - 40 years</w:t>
            </w:r>
          </w:p>
        </w:tc>
      </w:tr>
      <w:tr w:rsidR="00000000">
        <w:trPr>
          <w:divId w:val="1375081268"/>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390 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1 - 12 years</w:t>
            </w:r>
          </w:p>
        </w:tc>
      </w:tr>
      <w:tr w:rsidR="00000000">
        <w:trPr>
          <w:divId w:val="1375081268"/>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Work in process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375081268"/>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non-utility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6,656 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375081268"/>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property, plant and equipment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13,128 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12,206 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bl>
    <w:p w:rsidR="00000000" w:rsidRDefault="00AC31B9">
      <w:pPr>
        <w:divId w:val="1215656902"/>
        <w:rPr>
          <w:rFonts w:eastAsia="Times New Roman"/>
        </w:rPr>
      </w:pPr>
    </w:p>
    <w:p w:rsidR="00000000" w:rsidRDefault="00AC31B9">
      <w:pPr>
        <w:jc w:val="both"/>
        <w:rPr>
          <w:rFonts w:eastAsia="Times New Roman"/>
        </w:rPr>
      </w:pPr>
      <w:r>
        <w:rPr>
          <w:rFonts w:eastAsia="Times New Roman"/>
          <w:color w:val="000000"/>
          <w:sz w:val="20"/>
          <w:szCs w:val="20"/>
        </w:rPr>
        <w:t>The average composite depreciation rates at our Gas Utility and Electric Utility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163"/>
        <w:gridCol w:w="36"/>
        <w:gridCol w:w="37"/>
        <w:gridCol w:w="1466"/>
        <w:gridCol w:w="187"/>
        <w:gridCol w:w="37"/>
        <w:gridCol w:w="1466"/>
        <w:gridCol w:w="187"/>
        <w:gridCol w:w="37"/>
        <w:gridCol w:w="1466"/>
        <w:gridCol w:w="187"/>
      </w:tblGrid>
      <w:tr w:rsidR="00000000">
        <w:tc>
          <w:tcPr>
            <w:tcW w:w="50" w:type="pct"/>
            <w:vAlign w:val="center"/>
            <w:hideMark/>
          </w:tcPr>
          <w:p w:rsidR="00000000" w:rsidRDefault="00AC31B9">
            <w:pPr>
              <w:jc w:val="both"/>
              <w:rPr>
                <w:rFonts w:eastAsia="Times New Roman"/>
              </w:rPr>
            </w:pPr>
          </w:p>
        </w:tc>
        <w:tc>
          <w:tcPr>
            <w:tcW w:w="196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93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93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93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Regulated natural gas utilities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Electric Utility</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w:t>
            </w:r>
          </w:p>
        </w:tc>
      </w:tr>
    </w:tbl>
    <w:p w:rsidR="00000000" w:rsidRDefault="00AC31B9">
      <w:pPr>
        <w:jc w:val="both"/>
        <w:rPr>
          <w:rFonts w:eastAsia="Times New Roman"/>
        </w:rPr>
      </w:pPr>
    </w:p>
    <w:p w:rsidR="00000000" w:rsidRDefault="00AC31B9">
      <w:pPr>
        <w:divId w:val="831144249"/>
        <w:rPr>
          <w:rFonts w:eastAsia="Times New Roman"/>
        </w:rPr>
      </w:pPr>
      <w:r>
        <w:rPr>
          <w:rFonts w:eastAsia="Times New Roman"/>
          <w:color w:val="000000"/>
          <w:sz w:val="20"/>
          <w:szCs w:val="20"/>
        </w:rPr>
        <w:t>Depreciation expense totaled $476, $460 and $437 for Fiscal 2023, Fiscal 2022 and Fiscal 2021, respectively.</w:t>
      </w:r>
    </w:p>
    <w:p w:rsidR="00000000" w:rsidRDefault="00AC31B9">
      <w:pPr>
        <w:divId w:val="1192494739"/>
        <w:rPr>
          <w:rFonts w:eastAsia="Times New Roman"/>
        </w:rPr>
      </w:pPr>
    </w:p>
    <w:p w:rsidR="00000000" w:rsidRDefault="00AC31B9">
      <w:pPr>
        <w:jc w:val="both"/>
        <w:rPr>
          <w:rFonts w:eastAsia="Times New Roman"/>
        </w:rPr>
      </w:pPr>
    </w:p>
    <w:p w:rsidR="00000000" w:rsidRDefault="00AC31B9">
      <w:pPr>
        <w:jc w:val="center"/>
        <w:divId w:val="893350366"/>
        <w:rPr>
          <w:rFonts w:eastAsia="Times New Roman"/>
        </w:rPr>
      </w:pPr>
      <w:r>
        <w:rPr>
          <w:rFonts w:eastAsia="Times New Roman"/>
          <w:color w:val="000000"/>
          <w:sz w:val="20"/>
          <w:szCs w:val="20"/>
        </w:rPr>
        <w:t>F-43</w:t>
      </w:r>
    </w:p>
    <w:p w:rsidR="00000000" w:rsidRDefault="00AC31B9">
      <w:pPr>
        <w:rPr>
          <w:rFonts w:eastAsia="Times New Roman"/>
        </w:rPr>
      </w:pPr>
      <w:r>
        <w:rPr>
          <w:rFonts w:eastAsia="Times New Roman"/>
        </w:rPr>
        <w:pict>
          <v:rect id="_x0000_i1161" style="width:0;height:1.5pt" o:hralign="center" o:hrstd="t" o:hr="t" fillcolor="#a0a0a0" stroked="f"/>
        </w:pict>
      </w:r>
    </w:p>
    <w:p w:rsidR="00000000" w:rsidRDefault="00AC31B9">
      <w:pPr>
        <w:divId w:val="267322626"/>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818612051"/>
        <w:rPr>
          <w:rFonts w:eastAsia="Times New Roman"/>
        </w:rPr>
      </w:pPr>
      <w:r>
        <w:rPr>
          <w:rFonts w:eastAsia="Times New Roman"/>
          <w:b/>
          <w:bCs/>
          <w:color w:val="000000"/>
          <w:sz w:val="20"/>
          <w:szCs w:val="20"/>
        </w:rPr>
        <w:t>UGI Corporation and Subsidiaries</w:t>
      </w:r>
    </w:p>
    <w:p w:rsidR="00000000" w:rsidRDefault="00AC31B9">
      <w:pPr>
        <w:divId w:val="85342924"/>
        <w:rPr>
          <w:rFonts w:eastAsia="Times New Roman"/>
        </w:rPr>
      </w:pPr>
      <w:r>
        <w:rPr>
          <w:rFonts w:eastAsia="Times New Roman"/>
          <w:b/>
          <w:bCs/>
          <w:color w:val="000000"/>
          <w:sz w:val="20"/>
          <w:szCs w:val="20"/>
        </w:rPr>
        <w:t>Notes to Consolidated Financial Statements</w:t>
      </w:r>
    </w:p>
    <w:p w:rsidR="00000000" w:rsidRDefault="00AC31B9">
      <w:pPr>
        <w:divId w:val="1252935088"/>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rPr>
          <w:rFonts w:eastAsia="Times New Roman"/>
        </w:rPr>
      </w:pPr>
      <w:r>
        <w:rPr>
          <w:rFonts w:eastAsia="Times New Roman"/>
          <w:b/>
          <w:bCs/>
          <w:color w:val="000000"/>
          <w:sz w:val="20"/>
          <w:szCs w:val="20"/>
          <w:u w:val="single"/>
        </w:rPr>
        <w:t>Note 12 — Goodwill and In</w:t>
      </w:r>
      <w:r>
        <w:rPr>
          <w:rFonts w:eastAsia="Times New Roman"/>
          <w:b/>
          <w:bCs/>
          <w:color w:val="000000"/>
          <w:sz w:val="20"/>
          <w:szCs w:val="20"/>
          <w:u w:val="single"/>
        </w:rPr>
        <w:t>tangible Assets</w:t>
      </w:r>
    </w:p>
    <w:p w:rsidR="00000000" w:rsidRDefault="00AC31B9">
      <w:pPr>
        <w:jc w:val="both"/>
        <w:divId w:val="2092966510"/>
        <w:rPr>
          <w:rFonts w:eastAsia="Times New Roman"/>
        </w:rPr>
      </w:pPr>
      <w:r>
        <w:rPr>
          <w:rFonts w:eastAsia="Times New Roman"/>
          <w:color w:val="000000"/>
          <w:sz w:val="20"/>
          <w:szCs w:val="20"/>
        </w:rPr>
        <w:t>Changes in the carrying amount of goodwill by reportable segment are as follows:</w:t>
      </w:r>
    </w:p>
    <w:tbl>
      <w:tblPr>
        <w:tblW w:w="4992" w:type="pct"/>
        <w:tblCellMar>
          <w:top w:w="15" w:type="dxa"/>
          <w:left w:w="15" w:type="dxa"/>
          <w:bottom w:w="15" w:type="dxa"/>
          <w:right w:w="15" w:type="dxa"/>
        </w:tblCellMar>
        <w:tblLook w:val="04A0" w:firstRow="1" w:lastRow="0" w:firstColumn="1" w:lastColumn="0" w:noHBand="0" w:noVBand="1"/>
      </w:tblPr>
      <w:tblGrid>
        <w:gridCol w:w="39"/>
        <w:gridCol w:w="2606"/>
        <w:gridCol w:w="38"/>
        <w:gridCol w:w="121"/>
        <w:gridCol w:w="906"/>
        <w:gridCol w:w="36"/>
        <w:gridCol w:w="36"/>
        <w:gridCol w:w="36"/>
        <w:gridCol w:w="36"/>
        <w:gridCol w:w="121"/>
        <w:gridCol w:w="970"/>
        <w:gridCol w:w="36"/>
        <w:gridCol w:w="36"/>
        <w:gridCol w:w="36"/>
        <w:gridCol w:w="36"/>
        <w:gridCol w:w="121"/>
        <w:gridCol w:w="828"/>
        <w:gridCol w:w="36"/>
        <w:gridCol w:w="36"/>
        <w:gridCol w:w="36"/>
        <w:gridCol w:w="36"/>
        <w:gridCol w:w="121"/>
        <w:gridCol w:w="832"/>
        <w:gridCol w:w="36"/>
        <w:gridCol w:w="36"/>
        <w:gridCol w:w="36"/>
        <w:gridCol w:w="36"/>
        <w:gridCol w:w="120"/>
        <w:gridCol w:w="858"/>
        <w:gridCol w:w="36"/>
      </w:tblGrid>
      <w:tr w:rsidR="00000000">
        <w:trPr>
          <w:divId w:val="1323705697"/>
        </w:trPr>
        <w:tc>
          <w:tcPr>
            <w:tcW w:w="50" w:type="pct"/>
            <w:vAlign w:val="center"/>
            <w:hideMark/>
          </w:tcPr>
          <w:p w:rsidR="00000000" w:rsidRDefault="00AC31B9">
            <w:pPr>
              <w:jc w:val="both"/>
              <w:rPr>
                <w:rFonts w:eastAsia="Times New Roman"/>
              </w:rPr>
            </w:pPr>
          </w:p>
        </w:tc>
        <w:tc>
          <w:tcPr>
            <w:tcW w:w="161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323705697"/>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Propane</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UGI International</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Midstream &amp; Marketing</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Utilities</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Total</w:t>
            </w:r>
          </w:p>
        </w:tc>
      </w:tr>
      <w:tr w:rsidR="00000000">
        <w:trPr>
          <w:divId w:val="1323705697"/>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Balance September 30,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3,770 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23705697"/>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23705697"/>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23705697"/>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Purchase accounting adjustments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23705697"/>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Foreign currency translation</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23705697"/>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Balance September 30,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23705697"/>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Impairment of goodwill</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(656)</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(656)</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23705697"/>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Acquisitions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23705697"/>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23705697"/>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23705697"/>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323705697"/>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Foreign currency translation</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323705697"/>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Balance September 30, 2023</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both"/>
        <w:divId w:val="521479606"/>
        <w:rPr>
          <w:rFonts w:eastAsia="Times New Roman"/>
        </w:rPr>
      </w:pPr>
    </w:p>
    <w:p w:rsidR="00000000" w:rsidRDefault="00AC31B9">
      <w:pPr>
        <w:jc w:val="both"/>
        <w:divId w:val="983705034"/>
        <w:rPr>
          <w:rFonts w:eastAsia="Times New Roman"/>
        </w:rPr>
      </w:pPr>
      <w:r>
        <w:rPr>
          <w:rFonts w:eastAsia="Times New Roman"/>
          <w:color w:val="000000"/>
          <w:sz w:val="20"/>
          <w:szCs w:val="20"/>
        </w:rPr>
        <w:t>During the third quarter of Fisca</w:t>
      </w:r>
      <w:r>
        <w:rPr>
          <w:rFonts w:eastAsia="Times New Roman"/>
          <w:color w:val="000000"/>
          <w:sz w:val="20"/>
          <w:szCs w:val="20"/>
        </w:rPr>
        <w:t>l 2023, the Company identified interim impairment indicators related to goodwill within the AmeriGas Propane reporting unit: (1) AmeriGas Partners issued $500 of Senior Notes at an interest rate of 9.375%, which was significantly higher than the interest r</w:t>
      </w:r>
      <w:r>
        <w:rPr>
          <w:rFonts w:eastAsia="Times New Roman"/>
          <w:color w:val="000000"/>
          <w:sz w:val="20"/>
          <w:szCs w:val="20"/>
        </w:rPr>
        <w:t>ates on the other AmeriGas Propane debt obligations; and (2) financial projections for the AmeriGas Propane reporting unit were reduced significantly compared to previous forecasts following declines in gross margins and customer retention and higher opera</w:t>
      </w:r>
      <w:r>
        <w:rPr>
          <w:rFonts w:eastAsia="Times New Roman"/>
          <w:color w:val="000000"/>
          <w:sz w:val="20"/>
          <w:szCs w:val="20"/>
        </w:rPr>
        <w:t xml:space="preserve">ting expenses. The Company concluded that these events constituted triggering events that indicate that the AmeriGas Propane goodwill may be impaired and, as such, performed an interim impairment test of its goodwill as of May 31, 2023. </w:t>
      </w:r>
    </w:p>
    <w:p w:rsidR="00000000" w:rsidRDefault="00AC31B9">
      <w:pPr>
        <w:divId w:val="1118600137"/>
        <w:rPr>
          <w:rFonts w:eastAsia="Times New Roman"/>
        </w:rPr>
      </w:pPr>
    </w:p>
    <w:p w:rsidR="00000000" w:rsidRDefault="00AC31B9">
      <w:pPr>
        <w:jc w:val="both"/>
        <w:rPr>
          <w:rFonts w:eastAsia="Times New Roman"/>
        </w:rPr>
      </w:pPr>
      <w:r>
        <w:rPr>
          <w:rFonts w:eastAsia="Times New Roman"/>
          <w:color w:val="000000"/>
          <w:sz w:val="20"/>
          <w:szCs w:val="20"/>
        </w:rPr>
        <w:t>Using level 3 in</w:t>
      </w:r>
      <w:r>
        <w:rPr>
          <w:rFonts w:eastAsia="Times New Roman"/>
          <w:color w:val="000000"/>
          <w:sz w:val="20"/>
          <w:szCs w:val="20"/>
        </w:rPr>
        <w:t>puts, we performed a quantitative assessment of the AmeriGas Propane reporting unit using a weighting of the income and market approaches to determine its fair value. With respect to the income approach, management used a discounted cash flow (“DCF”) metho</w:t>
      </w:r>
      <w:r>
        <w:rPr>
          <w:rFonts w:eastAsia="Times New Roman"/>
          <w:color w:val="000000"/>
          <w:sz w:val="20"/>
          <w:szCs w:val="20"/>
        </w:rPr>
        <w:t>d, using unobservable inputs. The significant assumptions in our DCF model include projected EBITDA and a discount rate (and estimates in the discount rate inputs). With respect to the market approach, management used recent transaction market multiples fo</w:t>
      </w:r>
      <w:r>
        <w:rPr>
          <w:rFonts w:eastAsia="Times New Roman"/>
          <w:color w:val="000000"/>
          <w:sz w:val="20"/>
          <w:szCs w:val="20"/>
        </w:rPr>
        <w:t>r similar companies in the U.S. The resulting estimates of fair value from the income approach and the market approach were then weighted equally in determining the overall estimated fair value of AmeriGas Propane.</w:t>
      </w:r>
    </w:p>
    <w:p w:rsidR="00000000" w:rsidRDefault="00AC31B9">
      <w:pPr>
        <w:divId w:val="2131588626"/>
        <w:rPr>
          <w:rFonts w:eastAsia="Times New Roman"/>
        </w:rPr>
      </w:pPr>
    </w:p>
    <w:p w:rsidR="00000000" w:rsidRDefault="00AC31B9">
      <w:pPr>
        <w:jc w:val="both"/>
        <w:rPr>
          <w:rFonts w:eastAsia="Times New Roman"/>
        </w:rPr>
      </w:pPr>
      <w:r>
        <w:rPr>
          <w:rFonts w:eastAsia="Times New Roman"/>
          <w:color w:val="000000"/>
          <w:sz w:val="20"/>
          <w:szCs w:val="20"/>
        </w:rPr>
        <w:t xml:space="preserve">Based on our evaluation, the estimated fair value of the AmeriGas Propane reporting unit was determined to be less than its carrying value. As a result, the Company recorded a non-cash pre-tax goodwill impairment charge of $656, included in “Impairment of </w:t>
      </w:r>
      <w:r>
        <w:rPr>
          <w:rFonts w:eastAsia="Times New Roman"/>
          <w:color w:val="000000"/>
          <w:sz w:val="20"/>
          <w:szCs w:val="20"/>
        </w:rPr>
        <w:t xml:space="preserve">goodwill” on the Fiscal 2023 Consolidated Statement of Income, to reduce the carrying value of AmeriGas Propane to its fair value. The Company calculated the deferred tax effect using the simultaneous equation method.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performance of the AmeriGas Propane reporting unit and the potential for future developments in the global economic environment, including the prospect of higher interest rates, introduces a heightened risk for additional impairment in the AmeriGas Pro</w:t>
      </w:r>
      <w:r>
        <w:rPr>
          <w:rFonts w:eastAsia="Times New Roman"/>
          <w:color w:val="000000"/>
          <w:sz w:val="20"/>
          <w:szCs w:val="20"/>
        </w:rPr>
        <w:t>pane reporting unit. If there is continued deterioration in the results of operations, a portion or all of the remaining recorded goodwill for the AmeriGas Propane reporting unit, which was $1.3 billion as of September 30, 2023, could be subject to further</w:t>
      </w:r>
      <w:r>
        <w:rPr>
          <w:rFonts w:eastAsia="Times New Roman"/>
          <w:color w:val="000000"/>
          <w:sz w:val="20"/>
          <w:szCs w:val="20"/>
        </w:rPr>
        <w:t xml:space="preserve"> impairment.</w:t>
      </w:r>
    </w:p>
    <w:p w:rsidR="00000000" w:rsidRDefault="00AC31B9">
      <w:pPr>
        <w:jc w:val="center"/>
        <w:divId w:val="695932686"/>
        <w:rPr>
          <w:rFonts w:eastAsia="Times New Roman"/>
        </w:rPr>
      </w:pPr>
      <w:r>
        <w:rPr>
          <w:rFonts w:eastAsia="Times New Roman"/>
          <w:color w:val="000000"/>
          <w:sz w:val="20"/>
          <w:szCs w:val="20"/>
        </w:rPr>
        <w:t>F-44</w:t>
      </w:r>
    </w:p>
    <w:p w:rsidR="00000000" w:rsidRDefault="00AC31B9">
      <w:pPr>
        <w:rPr>
          <w:rFonts w:eastAsia="Times New Roman"/>
        </w:rPr>
      </w:pPr>
      <w:r>
        <w:rPr>
          <w:rFonts w:eastAsia="Times New Roman"/>
        </w:rPr>
        <w:pict>
          <v:rect id="_x0000_i1162" style="width:0;height:1.5pt" o:hralign="center" o:hrstd="t" o:hr="t" fillcolor="#a0a0a0" stroked="f"/>
        </w:pict>
      </w:r>
    </w:p>
    <w:p w:rsidR="00000000" w:rsidRDefault="00AC31B9">
      <w:pPr>
        <w:divId w:val="205142309"/>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218928561"/>
        <w:rPr>
          <w:rFonts w:eastAsia="Times New Roman"/>
        </w:rPr>
      </w:pPr>
      <w:r>
        <w:rPr>
          <w:rFonts w:eastAsia="Times New Roman"/>
          <w:b/>
          <w:bCs/>
          <w:color w:val="000000"/>
          <w:sz w:val="20"/>
          <w:szCs w:val="20"/>
        </w:rPr>
        <w:t>UGI Corporation and Subsidiaries</w:t>
      </w:r>
    </w:p>
    <w:p w:rsidR="00000000" w:rsidRDefault="00AC31B9">
      <w:pPr>
        <w:divId w:val="1076173763"/>
        <w:rPr>
          <w:rFonts w:eastAsia="Times New Roman"/>
        </w:rPr>
      </w:pPr>
      <w:r>
        <w:rPr>
          <w:rFonts w:eastAsia="Times New Roman"/>
          <w:b/>
          <w:bCs/>
          <w:color w:val="000000"/>
          <w:sz w:val="20"/>
          <w:szCs w:val="20"/>
        </w:rPr>
        <w:t>Notes to Consolidated Financial Statements</w:t>
      </w:r>
    </w:p>
    <w:p w:rsidR="00000000" w:rsidRDefault="00AC31B9">
      <w:pPr>
        <w:divId w:val="671950921"/>
        <w:rPr>
          <w:rFonts w:eastAsia="Times New Roman"/>
        </w:rPr>
      </w:pPr>
      <w:r>
        <w:rPr>
          <w:rFonts w:eastAsia="Times New Roman"/>
          <w:color w:val="000000"/>
          <w:sz w:val="20"/>
          <w:szCs w:val="20"/>
        </w:rPr>
        <w:t>(Currency in millions, except per share amounts an</w:t>
      </w:r>
      <w:r>
        <w:rPr>
          <w:rFonts w:eastAsia="Times New Roman"/>
          <w:color w:val="000000"/>
          <w:sz w:val="20"/>
          <w:szCs w:val="20"/>
        </w:rPr>
        <w:t>d where indicated otherwise)</w:t>
      </w:r>
    </w:p>
    <w:p w:rsidR="00000000" w:rsidRDefault="00AC31B9">
      <w:pPr>
        <w:divId w:val="1809400492"/>
        <w:rPr>
          <w:rFonts w:eastAsia="Times New Roman"/>
        </w:rPr>
      </w:pPr>
    </w:p>
    <w:p w:rsidR="00000000" w:rsidRDefault="00AC31B9">
      <w:pPr>
        <w:divId w:val="1456145468"/>
        <w:rPr>
          <w:rFonts w:eastAsia="Times New Roman"/>
        </w:rPr>
      </w:pPr>
      <w:r>
        <w:rPr>
          <w:rFonts w:eastAsia="Times New Roman"/>
          <w:color w:val="000000"/>
          <w:sz w:val="20"/>
          <w:szCs w:val="20"/>
        </w:rPr>
        <w:t>Intangible assets comprise the following at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6"/>
        <w:gridCol w:w="120"/>
        <w:gridCol w:w="922"/>
        <w:gridCol w:w="36"/>
        <w:gridCol w:w="36"/>
        <w:gridCol w:w="36"/>
        <w:gridCol w:w="36"/>
        <w:gridCol w:w="120"/>
        <w:gridCol w:w="887"/>
        <w:gridCol w:w="36"/>
      </w:tblGrid>
      <w:tr w:rsidR="00000000">
        <w:trPr>
          <w:divId w:val="1974014930"/>
        </w:trPr>
        <w:tc>
          <w:tcPr>
            <w:tcW w:w="50" w:type="pct"/>
            <w:vAlign w:val="center"/>
            <w:hideMark/>
          </w:tcPr>
          <w:p w:rsidR="00000000" w:rsidRDefault="00AC31B9">
            <w:pPr>
              <w:rPr>
                <w:rFonts w:eastAsia="Times New Roman"/>
              </w:rPr>
            </w:pPr>
          </w:p>
        </w:tc>
        <w:tc>
          <w:tcPr>
            <w:tcW w:w="363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974014930"/>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r>
      <w:tr w:rsidR="00000000">
        <w:trPr>
          <w:divId w:val="1974014930"/>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Customer relationships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974014930"/>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Trademarks and tradenames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974014930"/>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Noncompete agreements and other</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974014930"/>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Accumulated amortization</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(602)</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(621)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974014930"/>
        </w:trPr>
        <w:tc>
          <w:tcPr>
            <w:tcW w:w="0" w:type="auto"/>
            <w:gridSpan w:val="3"/>
            <w:shd w:val="clear" w:color="auto" w:fill="CCEE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Intangible assets, net (definite-lived)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974014930"/>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Trademarks and tradenames (indefinite-lived)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41</w:t>
            </w:r>
          </w:p>
        </w:tc>
      </w:tr>
      <w:tr w:rsidR="00000000">
        <w:trPr>
          <w:divId w:val="1974014930"/>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intangible assets,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divId w:val="1619794331"/>
        <w:rPr>
          <w:rFonts w:eastAsia="Times New Roman"/>
        </w:rPr>
      </w:pPr>
    </w:p>
    <w:p w:rsidR="00000000" w:rsidRDefault="00AC31B9">
      <w:pPr>
        <w:jc w:val="both"/>
        <w:rPr>
          <w:rFonts w:eastAsia="Times New Roman"/>
        </w:rPr>
      </w:pPr>
      <w:r>
        <w:rPr>
          <w:rFonts w:eastAsia="Times New Roman"/>
          <w:color w:val="000000"/>
          <w:sz w:val="20"/>
          <w:szCs w:val="20"/>
        </w:rPr>
        <w:t xml:space="preserve">During Fiscal 2023, the Company recognized a $10 </w:t>
      </w:r>
      <w:r>
        <w:rPr>
          <w:rFonts w:eastAsia="Times New Roman"/>
          <w:color w:val="000000"/>
          <w:sz w:val="20"/>
          <w:szCs w:val="20"/>
        </w:rPr>
        <w:t>non-cash, pre-tax impairment charge related to customer relationships intangible assets and indefinite-lived tradenames at DVEP in connection with the wind-down of the energy marketing business in the Netherland</w:t>
      </w:r>
      <w:r>
        <w:rPr>
          <w:rFonts w:eastAsia="Times New Roman"/>
          <w:color w:val="000000"/>
          <w:sz w:val="20"/>
          <w:szCs w:val="20"/>
          <w:shd w:val="clear" w:color="auto" w:fill="FFFFFF"/>
        </w:rPr>
        <w:t>s (see Note 5). D</w:t>
      </w:r>
      <w:r>
        <w:rPr>
          <w:rFonts w:eastAsia="Times New Roman"/>
          <w:color w:val="000000"/>
          <w:sz w:val="20"/>
          <w:szCs w:val="20"/>
        </w:rPr>
        <w:t>uring Fiscal 2021, the Compa</w:t>
      </w:r>
      <w:r>
        <w:rPr>
          <w:rFonts w:eastAsia="Times New Roman"/>
          <w:color w:val="000000"/>
          <w:sz w:val="20"/>
          <w:szCs w:val="20"/>
        </w:rPr>
        <w:t>ny recognized a $20 non-cash, pre-tax impairment charge related to a customer relationship intangible asset at DVEP resulting from a decline in anticipated volumes attributable to a historical customer. These charges are reflected in “Operating and adminis</w:t>
      </w:r>
      <w:r>
        <w:rPr>
          <w:rFonts w:eastAsia="Times New Roman"/>
          <w:color w:val="000000"/>
          <w:sz w:val="20"/>
          <w:szCs w:val="20"/>
        </w:rPr>
        <w:t xml:space="preserve">trative expenses” on the Consolidated Statements of Income.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Amortization expense of intangible assets wa</w:t>
      </w:r>
      <w:r>
        <w:rPr>
          <w:rFonts w:eastAsia="Times New Roman"/>
          <w:color w:val="000000"/>
          <w:sz w:val="20"/>
          <w:szCs w:val="20"/>
          <w:shd w:val="clear" w:color="auto" w:fill="FFFFFF"/>
        </w:rPr>
        <w:t xml:space="preserve">s $56, </w:t>
      </w:r>
      <w:r>
        <w:rPr>
          <w:rFonts w:eastAsia="Times New Roman"/>
          <w:color w:val="000000"/>
          <w:sz w:val="20"/>
          <w:szCs w:val="20"/>
        </w:rPr>
        <w:t xml:space="preserve">$61 and $76 </w:t>
      </w:r>
      <w:r>
        <w:rPr>
          <w:rFonts w:eastAsia="Times New Roman"/>
          <w:color w:val="000000"/>
          <w:sz w:val="20"/>
          <w:szCs w:val="20"/>
        </w:rPr>
        <w:t>for Fiscal 2023, Fiscal 2022 and Fiscal 2021, respectively. Estimated amortization expense of intangible assets during the next five fiscal years is as follows: Fiscal 2024 — $53; Fiscal 2025 — $51; Fiscal 2026 — $50; Fiscal 2027 — $27; Fiscal 2028 — $18.</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Note 13 — Equity</w:t>
      </w:r>
    </w:p>
    <w:p w:rsidR="00000000" w:rsidRDefault="00AC31B9">
      <w:pPr>
        <w:jc w:val="both"/>
        <w:divId w:val="1304309462"/>
        <w:rPr>
          <w:rFonts w:eastAsia="Times New Roman"/>
        </w:rPr>
      </w:pPr>
      <w:r>
        <w:rPr>
          <w:rFonts w:eastAsia="Times New Roman"/>
          <w:color w:val="000000"/>
          <w:sz w:val="20"/>
          <w:szCs w:val="20"/>
        </w:rPr>
        <w:t>On February 2, 2022, UGI’s Board of Directors authorized an extension of an existing share repurchase program for up to 8,000,000 shares of UGI Corporation Common Stock for an additional four-year period, expiring February 2026. Pursuant</w:t>
      </w:r>
      <w:r>
        <w:rPr>
          <w:rFonts w:eastAsia="Times New Roman"/>
          <w:color w:val="000000"/>
          <w:sz w:val="20"/>
          <w:szCs w:val="20"/>
        </w:rPr>
        <w:t xml:space="preserve"> to the Board authorization, during Fiscal 2023 and Fiscal 2022 the Company purchased and placed in treasury stock 600,000 shares and 900,000 shares at a total cost of $22 and $38, respectively. There were no such repurchases during Fiscal 2021.</w:t>
      </w:r>
    </w:p>
    <w:p w:rsidR="00000000" w:rsidRDefault="00AC31B9">
      <w:pPr>
        <w:jc w:val="both"/>
        <w:divId w:val="1648129386"/>
        <w:rPr>
          <w:rFonts w:eastAsia="Times New Roman"/>
        </w:rPr>
      </w:pPr>
      <w:r>
        <w:rPr>
          <w:rFonts w:eastAsia="Times New Roman"/>
          <w:color w:val="000000"/>
          <w:sz w:val="20"/>
          <w:szCs w:val="20"/>
        </w:rPr>
        <w:t>UGI Prefer</w:t>
      </w:r>
      <w:r>
        <w:rPr>
          <w:rFonts w:eastAsia="Times New Roman"/>
          <w:color w:val="000000"/>
          <w:sz w:val="20"/>
          <w:szCs w:val="20"/>
        </w:rPr>
        <w:t>red Stock and Common Stock share activity for Fiscal 2023, Fiscal 2022 and Fiscal 2021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087"/>
        <w:gridCol w:w="38"/>
        <w:gridCol w:w="125"/>
        <w:gridCol w:w="1448"/>
        <w:gridCol w:w="36"/>
        <w:gridCol w:w="36"/>
        <w:gridCol w:w="36"/>
        <w:gridCol w:w="36"/>
        <w:gridCol w:w="85"/>
        <w:gridCol w:w="985"/>
        <w:gridCol w:w="37"/>
        <w:gridCol w:w="37"/>
        <w:gridCol w:w="37"/>
        <w:gridCol w:w="37"/>
        <w:gridCol w:w="76"/>
        <w:gridCol w:w="878"/>
        <w:gridCol w:w="37"/>
        <w:gridCol w:w="37"/>
        <w:gridCol w:w="37"/>
        <w:gridCol w:w="36"/>
        <w:gridCol w:w="85"/>
        <w:gridCol w:w="985"/>
        <w:gridCol w:w="36"/>
      </w:tblGrid>
      <w:tr w:rsidR="00000000">
        <w:trPr>
          <w:divId w:val="1184250186"/>
        </w:trPr>
        <w:tc>
          <w:tcPr>
            <w:tcW w:w="50" w:type="pct"/>
            <w:vAlign w:val="center"/>
            <w:hideMark/>
          </w:tcPr>
          <w:p w:rsidR="00000000" w:rsidRDefault="00AC31B9">
            <w:pPr>
              <w:jc w:val="both"/>
              <w:rPr>
                <w:rFonts w:eastAsia="Times New Roman"/>
              </w:rPr>
            </w:pPr>
          </w:p>
        </w:tc>
        <w:tc>
          <w:tcPr>
            <w:tcW w:w="229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184250186"/>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Preferred Stock</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Common Stock</w:t>
            </w:r>
          </w:p>
        </w:tc>
      </w:tr>
      <w:tr w:rsidR="00000000">
        <w:trPr>
          <w:divId w:val="1184250186"/>
        </w:trPr>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Issued/Outstanding</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Issued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Treasury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Outstanding</w:t>
            </w:r>
          </w:p>
        </w:tc>
      </w:tr>
      <w:tr w:rsidR="00000000">
        <w:trPr>
          <w:divId w:val="118425018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Balance at September 30,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209,514,044 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(1,159,606)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208,354,438 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8425018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Issued: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1184250186"/>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Equity Unit Offering</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220,000 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84250186"/>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Employee and director plans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329,252 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554,315 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883,567 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84250186"/>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184250186"/>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184250186"/>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18425018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Reacquired common stock – 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(21,870)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(21,870)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8425018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Balance at September 30,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209,843,296 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w:t>
            </w:r>
            <w:r>
              <w:rPr>
                <w:rFonts w:eastAsia="Times New Roman"/>
                <w:color w:val="000000"/>
                <w:sz w:val="20"/>
                <w:szCs w:val="20"/>
              </w:rPr>
              <w:t>627,161)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209,216,135 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8425018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Issued: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1184250186"/>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Employee and director plans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717,198 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799,152 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1,516,350 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84250186"/>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184250186"/>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18425018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Repurchases of common stock</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(900,000)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(900,000)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8425018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Reacquired common stock – employee and director plans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(250,273)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(250,273)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8425018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Balance at September 30,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210,560,494 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(978,282)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209,582,212 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8425018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Issued: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1184250186"/>
        </w:trPr>
        <w:tc>
          <w:tcPr>
            <w:tcW w:w="0" w:type="auto"/>
            <w:gridSpan w:val="3"/>
            <w:vAlign w:val="center"/>
            <w:hideMark/>
          </w:tcPr>
          <w:p w:rsidR="00000000" w:rsidRDefault="00AC31B9">
            <w:pPr>
              <w:spacing w:after="100"/>
              <w:rPr>
                <w:rFonts w:eastAsia="Times New Roman"/>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184250186"/>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345,558 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167,313 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512,871 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84250186"/>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184250186"/>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(600,000)</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(600,000)</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84250186"/>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184250186"/>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Balance at September 30, 2023</w:t>
            </w: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220,000 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210,906,052 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(1,410,969)</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209,495,083 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center"/>
        <w:divId w:val="1919319589"/>
        <w:rPr>
          <w:rFonts w:eastAsia="Times New Roman"/>
        </w:rPr>
      </w:pPr>
      <w:r>
        <w:rPr>
          <w:rFonts w:eastAsia="Times New Roman"/>
          <w:color w:val="000000"/>
          <w:sz w:val="20"/>
          <w:szCs w:val="20"/>
        </w:rPr>
        <w:t>F-45</w:t>
      </w:r>
    </w:p>
    <w:p w:rsidR="00000000" w:rsidRDefault="00AC31B9">
      <w:pPr>
        <w:rPr>
          <w:rFonts w:eastAsia="Times New Roman"/>
        </w:rPr>
      </w:pPr>
      <w:r>
        <w:rPr>
          <w:rFonts w:eastAsia="Times New Roman"/>
        </w:rPr>
        <w:pict>
          <v:rect id="_x0000_i1163" style="width:0;height:1.5pt" o:hralign="center" o:hrstd="t" o:hr="t" fillcolor="#a0a0a0" stroked="f"/>
        </w:pict>
      </w:r>
    </w:p>
    <w:p w:rsidR="00000000" w:rsidRDefault="00AC31B9">
      <w:pPr>
        <w:divId w:val="1034233952"/>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841264132"/>
        <w:rPr>
          <w:rFonts w:eastAsia="Times New Roman"/>
        </w:rPr>
      </w:pPr>
      <w:r>
        <w:rPr>
          <w:rFonts w:eastAsia="Times New Roman"/>
          <w:b/>
          <w:bCs/>
          <w:color w:val="000000"/>
          <w:sz w:val="20"/>
          <w:szCs w:val="20"/>
        </w:rPr>
        <w:t>UGI Corporation and Subsidiaries</w:t>
      </w:r>
    </w:p>
    <w:p w:rsidR="00000000" w:rsidRDefault="00AC31B9">
      <w:pPr>
        <w:divId w:val="853032029"/>
        <w:rPr>
          <w:rFonts w:eastAsia="Times New Roman"/>
        </w:rPr>
      </w:pPr>
      <w:r>
        <w:rPr>
          <w:rFonts w:eastAsia="Times New Roman"/>
          <w:b/>
          <w:bCs/>
          <w:color w:val="000000"/>
          <w:sz w:val="20"/>
          <w:szCs w:val="20"/>
        </w:rPr>
        <w:t>Notes to Consolidated Financial Statements</w:t>
      </w:r>
    </w:p>
    <w:p w:rsidR="00000000" w:rsidRDefault="00AC31B9">
      <w:pPr>
        <w:divId w:val="1122308992"/>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997346878"/>
        <w:rPr>
          <w:rFonts w:eastAsia="Times New Roman"/>
        </w:rPr>
      </w:pPr>
      <w:r>
        <w:rPr>
          <w:rFonts w:eastAsia="Times New Roman"/>
          <w:color w:val="000000"/>
          <w:sz w:val="20"/>
          <w:szCs w:val="20"/>
        </w:rPr>
        <w:t>UGI also has 5,000,000 shares of UGI Series Preference Stock authorized</w:t>
      </w:r>
      <w:r>
        <w:rPr>
          <w:rFonts w:eastAsia="Times New Roman"/>
          <w:color w:val="000000"/>
          <w:sz w:val="20"/>
          <w:szCs w:val="20"/>
        </w:rPr>
        <w:t xml:space="preserve"> for issuance. UGI had no shares of UGI Series Preference Stock outstanding at September 30, 2023 or 2022.</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Issuance of Equity Units</w:t>
      </w:r>
    </w:p>
    <w:p w:rsidR="00000000" w:rsidRDefault="00AC31B9">
      <w:pPr>
        <w:jc w:val="both"/>
        <w:divId w:val="823812663"/>
        <w:rPr>
          <w:rFonts w:eastAsia="Times New Roman"/>
        </w:rPr>
      </w:pPr>
      <w:r>
        <w:rPr>
          <w:rFonts w:eastAsia="Times New Roman"/>
          <w:color w:val="000000"/>
          <w:sz w:val="20"/>
          <w:szCs w:val="20"/>
        </w:rPr>
        <w:t>On May 25, 2021, the Company issued 2.2 million Equity Units with a total notional value of $220. Each Equity Unit has a s</w:t>
      </w:r>
      <w:r>
        <w:rPr>
          <w:rFonts w:eastAsia="Times New Roman"/>
          <w:color w:val="000000"/>
          <w:sz w:val="20"/>
          <w:szCs w:val="20"/>
        </w:rPr>
        <w:t xml:space="preserve">tated amount of $100 and consists of (i) a 10% undivided beneficial ownership interest in one share of Convertible Preferred Stock with a liquidation preference of $1,000 per share and (ii) a 2024 Purchase Contract. The Company received approximately $213 </w:t>
      </w:r>
      <w:r>
        <w:rPr>
          <w:rFonts w:eastAsia="Times New Roman"/>
          <w:color w:val="000000"/>
          <w:sz w:val="20"/>
          <w:szCs w:val="20"/>
        </w:rPr>
        <w:t>of proceeds from the issuance of the Equity Units, net of offering expenses and underwriting costs and commissions, and issued 220,000 shares of Convertible Preferred Stock which was recorded in “Preferred stock” on the accompanying Consolidated Balance Sh</w:t>
      </w:r>
      <w:r>
        <w:rPr>
          <w:rFonts w:eastAsia="Times New Roman"/>
          <w:color w:val="000000"/>
          <w:sz w:val="20"/>
          <w:szCs w:val="20"/>
        </w:rPr>
        <w:t xml:space="preserve">eet. The proceeds were used to pay a portion of the purchase price for the Mountaineer Acquisition and related fees and expenses, and for general corporate purposes. During the second quarter of Fiscal 2022, the Company reclassified certain amounts on the </w:t>
      </w:r>
      <w:r>
        <w:rPr>
          <w:rFonts w:eastAsia="Times New Roman"/>
          <w:color w:val="000000"/>
          <w:sz w:val="20"/>
          <w:szCs w:val="20"/>
        </w:rPr>
        <w:t xml:space="preserve">Consolidated Balance Sheet and Consolidated Statement of Changes in Equity related to the accounting for the Equity Units.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Convertible Preferred Stock.</w:t>
      </w:r>
      <w:r>
        <w:rPr>
          <w:rFonts w:eastAsia="Times New Roman"/>
          <w:color w:val="000000"/>
          <w:sz w:val="20"/>
          <w:szCs w:val="20"/>
        </w:rPr>
        <w:t xml:space="preserve"> Holders of the Convertible Preferred Stock will generally have no voting rights, except under the lim</w:t>
      </w:r>
      <w:r>
        <w:rPr>
          <w:rFonts w:eastAsia="Times New Roman"/>
          <w:color w:val="000000"/>
          <w:sz w:val="20"/>
          <w:szCs w:val="20"/>
        </w:rPr>
        <w:t>ited circumstances as described in the Equity Unit Agreements, and will be entitled to receive cumulative dividends at an initial annual rate of 0.125% when, as, and if declared by the UGI Board of Directors, payable quarterly in arrears on March 1, June 1</w:t>
      </w:r>
      <w:r>
        <w:rPr>
          <w:rFonts w:eastAsia="Times New Roman"/>
          <w:color w:val="000000"/>
          <w:sz w:val="20"/>
          <w:szCs w:val="20"/>
        </w:rPr>
        <w:t>, September 1 and December 1, commencing September 1, 2021. The Company may elect to pay such dividends in cash, shares of UGI’s common stock or a combination of cash and shares of UGI’s common stock. Unless all accumulated and unpaid dividends on the Conv</w:t>
      </w:r>
      <w:r>
        <w:rPr>
          <w:rFonts w:eastAsia="Times New Roman"/>
          <w:color w:val="000000"/>
          <w:sz w:val="20"/>
          <w:szCs w:val="20"/>
        </w:rPr>
        <w:t>ertible Preferred Stock for prior completed dividend periods have been declared and paid, the Company may not make any distributions on, or repurchase, any of its capital stock ranking equal or junior to the Convertible Preferred Stock as to dividends or u</w:t>
      </w:r>
      <w:r>
        <w:rPr>
          <w:rFonts w:eastAsia="Times New Roman"/>
          <w:color w:val="000000"/>
          <w:sz w:val="20"/>
          <w:szCs w:val="20"/>
        </w:rPr>
        <w:t>pon liquidation, subject to certain exceptions.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The Convertible Preferred Stock has no maturity date and will remain outstanding unless converted by holders or redeemed by the Company. The Company has the option to redeem all or a portion of the Convertible Preferred Stock at any time, and from time to </w:t>
      </w:r>
      <w:r>
        <w:rPr>
          <w:rFonts w:eastAsia="Times New Roman"/>
          <w:color w:val="000000"/>
          <w:sz w:val="20"/>
          <w:szCs w:val="20"/>
        </w:rPr>
        <w:t xml:space="preserve">time, on or after September 3, 2024, for cash at a redemption price equal to the liquidation preference of the Convertible Preferred Stock being redeemed plus any accumulated and unpaid dividends. Each share of Convertible Preferred Stock may be converted </w:t>
      </w:r>
      <w:r>
        <w:rPr>
          <w:rFonts w:eastAsia="Times New Roman"/>
          <w:color w:val="000000"/>
          <w:sz w:val="20"/>
          <w:szCs w:val="20"/>
        </w:rPr>
        <w:t>at the option of the holders on and after June 1, 2024, only after it has been separated from the Equity Units and, prior to June 1, 2024, only under limited circumstances in connection with a fundamental change, as defined in the Equity Unit Agreements. T</w:t>
      </w:r>
      <w:r>
        <w:rPr>
          <w:rFonts w:eastAsia="Times New Roman"/>
          <w:color w:val="000000"/>
          <w:sz w:val="20"/>
          <w:szCs w:val="20"/>
        </w:rPr>
        <w:t>he Company will settle conversions by paying or delivering (i) one share of UGI’s 0.125% Series B preferred stock (or, for conversions in connection with a redemption of the Convertible Preferred Stock, up to $1,000 per share in cash plus all accumulated b</w:t>
      </w:r>
      <w:r>
        <w:rPr>
          <w:rFonts w:eastAsia="Times New Roman"/>
          <w:color w:val="000000"/>
          <w:sz w:val="20"/>
          <w:szCs w:val="20"/>
        </w:rPr>
        <w:t>ut unpaid dividends to, but excluding, the payment date immediately preceding the relevant conversion date) per share of Convertible Preferred Stock being converted; and (ii) to the extent the conversion value exceeds the liquidation preference of the Conv</w:t>
      </w:r>
      <w:r>
        <w:rPr>
          <w:rFonts w:eastAsia="Times New Roman"/>
          <w:color w:val="000000"/>
          <w:sz w:val="20"/>
          <w:szCs w:val="20"/>
        </w:rPr>
        <w:t xml:space="preserve">ertible Preferred Stock, shares of UGI’s common stock. The conversion rate is initially 19.0215 shares of UGI’s common stock per one share of Convertible Preferred Stock, which is equivalent to an initial conversion price of approximately $52.57 per share </w:t>
      </w:r>
      <w:r>
        <w:rPr>
          <w:rFonts w:eastAsia="Times New Roman"/>
          <w:color w:val="000000"/>
          <w:sz w:val="20"/>
          <w:szCs w:val="20"/>
        </w:rPr>
        <w:t>of UGI’s common stock. At September 30, 2023, 2022 and 2021, there were 220,000 shares of Series B preferred stock authorized for issuance pursuant to the settlement terms discussed above.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Convertible Preferred Stock can be remarketed during either (</w:t>
      </w:r>
      <w:r>
        <w:rPr>
          <w:rFonts w:eastAsia="Times New Roman"/>
          <w:color w:val="000000"/>
          <w:sz w:val="20"/>
          <w:szCs w:val="20"/>
        </w:rPr>
        <w:t>i) an optional remarketing period beginning on, and including, March 1, 2024 and ending on, and including, May 13, 2024 or (ii) a final remarketing period beginning on, and including, May 23, 2024 and ending on, and including, May 30, 2024. In connection w</w:t>
      </w:r>
      <w:r>
        <w:rPr>
          <w:rFonts w:eastAsia="Times New Roman"/>
          <w:color w:val="000000"/>
          <w:sz w:val="20"/>
          <w:szCs w:val="20"/>
        </w:rPr>
        <w:t>ith a successful remarketing, the conversion rate and dividend rate of the Convertible Preferred Stock may be increased, and the earliest redemption date for the Convertible Preferred Stock may be changed to a later date that is on or before August 29, 202</w:t>
      </w:r>
      <w:r>
        <w:rPr>
          <w:rFonts w:eastAsia="Times New Roman"/>
          <w:color w:val="000000"/>
          <w:sz w:val="20"/>
          <w:szCs w:val="20"/>
        </w:rPr>
        <w:t>5.</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2024 Purchase Contracts.</w:t>
      </w:r>
      <w:r>
        <w:rPr>
          <w:rFonts w:eastAsia="Times New Roman"/>
          <w:color w:val="000000"/>
          <w:sz w:val="20"/>
          <w:szCs w:val="20"/>
        </w:rPr>
        <w:t xml:space="preserve"> The 2024 Purchase Contracts obligate the holders to pay $100 to UGI to purchase a variable number of shares of UGI common stock on the purchase contract settlement date, which is scheduled to occur on June 1, 2024. The number </w:t>
      </w:r>
      <w:r>
        <w:rPr>
          <w:rFonts w:eastAsia="Times New Roman"/>
          <w:color w:val="000000"/>
          <w:sz w:val="20"/>
          <w:szCs w:val="20"/>
        </w:rPr>
        <w:t>of shares of UGI common stock to be issued upon settlement of each 2024 Purchase Contract on the purchase contract settlement date will be equal to $100 divided by the market value per share of UGI common stock, which will be determined over a market value</w:t>
      </w:r>
      <w:r>
        <w:rPr>
          <w:rFonts w:eastAsia="Times New Roman"/>
          <w:color w:val="000000"/>
          <w:sz w:val="20"/>
          <w:szCs w:val="20"/>
        </w:rPr>
        <w:t xml:space="preserve"> averaging period preceding the settlement date, subject to a maximum settlement rate of 2.2826 shares of UGI common stock per 2024 Purchase Contract, subject to adjustment. The initial maximum settlement rate of the 2024 Purchase Contracts is approximatel</w:t>
      </w:r>
      <w:r>
        <w:rPr>
          <w:rFonts w:eastAsia="Times New Roman"/>
          <w:color w:val="000000"/>
          <w:sz w:val="20"/>
          <w:szCs w:val="20"/>
        </w:rPr>
        <w:t xml:space="preserve">y equal to $100 divided by the last reported sale price of $43.81 per share of UGI common stock on May 17, 2021. Absent any fundamental changes, as defined in the Equity Unit Agreements, the holders can settle the 2024 Purchase Contracts early, subject to </w:t>
      </w:r>
      <w:r>
        <w:rPr>
          <w:rFonts w:eastAsia="Times New Roman"/>
          <w:color w:val="000000"/>
          <w:sz w:val="20"/>
          <w:szCs w:val="20"/>
        </w:rPr>
        <w:t>certain exceptions and conditions. Upon early settlement of any 2024 Purchase Contracts, other than in connection with a fundamental change, the Company will deliver the number of shares of UGI common stock equal to 85% of the number of shares of UGI commo</w:t>
      </w:r>
      <w:r>
        <w:rPr>
          <w:rFonts w:eastAsia="Times New Roman"/>
          <w:color w:val="000000"/>
          <w:sz w:val="20"/>
          <w:szCs w:val="20"/>
        </w:rPr>
        <w:t>n stock that would have otherwise been deliverable.</w:t>
      </w:r>
    </w:p>
    <w:p w:rsidR="00000000" w:rsidRDefault="00AC31B9">
      <w:pPr>
        <w:jc w:val="both"/>
        <w:rPr>
          <w:rFonts w:eastAsia="Times New Roman"/>
        </w:rPr>
      </w:pPr>
    </w:p>
    <w:p w:rsidR="00000000" w:rsidRDefault="00AC31B9">
      <w:pPr>
        <w:jc w:val="center"/>
        <w:divId w:val="1897156224"/>
        <w:rPr>
          <w:rFonts w:eastAsia="Times New Roman"/>
        </w:rPr>
      </w:pPr>
      <w:r>
        <w:rPr>
          <w:rFonts w:eastAsia="Times New Roman"/>
          <w:color w:val="000000"/>
          <w:sz w:val="20"/>
          <w:szCs w:val="20"/>
        </w:rPr>
        <w:t>F-46</w:t>
      </w:r>
    </w:p>
    <w:p w:rsidR="00000000" w:rsidRDefault="00AC31B9">
      <w:pPr>
        <w:rPr>
          <w:rFonts w:eastAsia="Times New Roman"/>
        </w:rPr>
      </w:pPr>
      <w:r>
        <w:rPr>
          <w:rFonts w:eastAsia="Times New Roman"/>
        </w:rPr>
        <w:pict>
          <v:rect id="_x0000_i1164" style="width:0;height:1.5pt" o:hralign="center" o:hrstd="t" o:hr="t" fillcolor="#a0a0a0" stroked="f"/>
        </w:pict>
      </w:r>
    </w:p>
    <w:p w:rsidR="00000000" w:rsidRDefault="00AC31B9">
      <w:pPr>
        <w:divId w:val="471680170"/>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330786721"/>
        <w:rPr>
          <w:rFonts w:eastAsia="Times New Roman"/>
        </w:rPr>
      </w:pPr>
      <w:r>
        <w:rPr>
          <w:rFonts w:eastAsia="Times New Roman"/>
          <w:b/>
          <w:bCs/>
          <w:color w:val="000000"/>
          <w:sz w:val="20"/>
          <w:szCs w:val="20"/>
        </w:rPr>
        <w:t>UGI Corporation and Subsidiaries</w:t>
      </w:r>
    </w:p>
    <w:p w:rsidR="00000000" w:rsidRDefault="00AC31B9">
      <w:pPr>
        <w:divId w:val="364252090"/>
        <w:rPr>
          <w:rFonts w:eastAsia="Times New Roman"/>
        </w:rPr>
      </w:pPr>
      <w:r>
        <w:rPr>
          <w:rFonts w:eastAsia="Times New Roman"/>
          <w:b/>
          <w:bCs/>
          <w:color w:val="000000"/>
          <w:sz w:val="20"/>
          <w:szCs w:val="20"/>
        </w:rPr>
        <w:t>Notes to Consolidated Financial Statements</w:t>
      </w:r>
    </w:p>
    <w:p w:rsidR="00000000" w:rsidRDefault="00AC31B9">
      <w:pPr>
        <w:divId w:val="2041466225"/>
        <w:rPr>
          <w:rFonts w:eastAsia="Times New Roman"/>
        </w:rPr>
      </w:pPr>
      <w:r>
        <w:rPr>
          <w:rFonts w:eastAsia="Times New Roman"/>
          <w:color w:val="000000"/>
          <w:sz w:val="20"/>
          <w:szCs w:val="20"/>
        </w:rPr>
        <w:t>(Currenc</w:t>
      </w:r>
      <w:r>
        <w:rPr>
          <w:rFonts w:eastAsia="Times New Roman"/>
          <w:color w:val="000000"/>
          <w:sz w:val="20"/>
          <w:szCs w:val="20"/>
        </w:rPr>
        <w:t>y in millions, except per share amounts and where indicated otherwise)</w:t>
      </w:r>
    </w:p>
    <w:p w:rsidR="00000000" w:rsidRDefault="00AC31B9">
      <w:pPr>
        <w:jc w:val="both"/>
        <w:rPr>
          <w:rFonts w:eastAsia="Times New Roman"/>
        </w:rPr>
      </w:pPr>
      <w:r>
        <w:rPr>
          <w:rFonts w:eastAsia="Times New Roman"/>
          <w:color w:val="000000"/>
          <w:sz w:val="20"/>
          <w:szCs w:val="20"/>
        </w:rPr>
        <w:t>The Company will pay holders of the 2024 Purchase Contracts quarterly contract adjustment payments at an annual rate of 7.125%, payable quarterly in arrears on March 1, June 1, Septembe</w:t>
      </w:r>
      <w:r>
        <w:rPr>
          <w:rFonts w:eastAsia="Times New Roman"/>
          <w:color w:val="000000"/>
          <w:sz w:val="20"/>
          <w:szCs w:val="20"/>
        </w:rPr>
        <w:t>r 1 and December 1, commencing September 1, 2021. The Company may elect to pay such contract adjustment payments in cash, shares of UGI common stock or a combination of cash and shares of UGI common stock. The Company may defer the contract adjustment paym</w:t>
      </w:r>
      <w:r>
        <w:rPr>
          <w:rFonts w:eastAsia="Times New Roman"/>
          <w:color w:val="000000"/>
          <w:sz w:val="20"/>
          <w:szCs w:val="20"/>
        </w:rPr>
        <w:t>ents for one or more consecutive periods but generally not beyond the purchase contract settlement date. If contract adjustment payments are deferred, the Company will be subject to certain dividend, distribution, and other restrictions related to its capi</w:t>
      </w:r>
      <w:r>
        <w:rPr>
          <w:rFonts w:eastAsia="Times New Roman"/>
          <w:color w:val="000000"/>
          <w:sz w:val="20"/>
          <w:szCs w:val="20"/>
        </w:rPr>
        <w:t>tal stock as defined in the Equity Unit Agreements.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present value of the quarterly contract adjustment payments liability was $45 upon issuance of the Equity Units and is recorded in “Other current liabilities” and “</w:t>
      </w:r>
      <w:r>
        <w:rPr>
          <w:rFonts w:eastAsia="Times New Roman"/>
          <w:color w:val="000000"/>
          <w:sz w:val="20"/>
          <w:szCs w:val="20"/>
        </w:rPr>
        <w:t>Other noncurrent liabilities” (with a corresponding reduction to “UGI Preferred Stock”) on the Consolidated Balance Sheet. As each quarterly contract adjustment payment is made, the related liability is reduced and the difference between the cash payment a</w:t>
      </w:r>
      <w:r>
        <w:rPr>
          <w:rFonts w:eastAsia="Times New Roman"/>
          <w:color w:val="000000"/>
          <w:sz w:val="20"/>
          <w:szCs w:val="20"/>
        </w:rPr>
        <w:t>nd the present value will accrete to “Interest expense” on the Consolidated Statements of Income. This accretion was not material during Fiscal 2023, Fiscal 2022, and Fiscal 2021.</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Note 14 — Equity-Based Compensation</w:t>
      </w:r>
    </w:p>
    <w:p w:rsidR="00000000" w:rsidRDefault="00AC31B9">
      <w:pPr>
        <w:jc w:val="both"/>
        <w:divId w:val="1923055554"/>
        <w:rPr>
          <w:rFonts w:eastAsia="Times New Roman"/>
        </w:rPr>
      </w:pPr>
      <w:r>
        <w:rPr>
          <w:rFonts w:eastAsia="Times New Roman"/>
          <w:color w:val="000000"/>
          <w:sz w:val="20"/>
          <w:szCs w:val="20"/>
        </w:rPr>
        <w:t>The Company grants equity-based awards</w:t>
      </w:r>
      <w:r>
        <w:rPr>
          <w:rFonts w:eastAsia="Times New Roman"/>
          <w:color w:val="000000"/>
          <w:sz w:val="20"/>
          <w:szCs w:val="20"/>
        </w:rPr>
        <w:t xml:space="preserve"> to employees and non-employee directors comprising UGI stock options and, UGI Common Stock-based equity instruments. We recognized total pre-tax equity-based compensation expense of </w:t>
      </w:r>
      <w:r>
        <w:rPr>
          <w:rFonts w:eastAsia="Times New Roman"/>
          <w:color w:val="000000"/>
          <w:sz w:val="20"/>
          <w:szCs w:val="20"/>
          <w:shd w:val="clear" w:color="auto" w:fill="FFFFFF"/>
        </w:rPr>
        <w:t xml:space="preserve">$17 </w:t>
      </w:r>
      <w:r>
        <w:rPr>
          <w:rFonts w:eastAsia="Times New Roman"/>
          <w:color w:val="000000"/>
          <w:sz w:val="20"/>
          <w:szCs w:val="20"/>
        </w:rPr>
        <w:t>($13 after-tax), $15 ($11 after-tax) and $21 ($15 after-tax) in Fisca</w:t>
      </w:r>
      <w:r>
        <w:rPr>
          <w:rFonts w:eastAsia="Times New Roman"/>
          <w:color w:val="000000"/>
          <w:sz w:val="20"/>
          <w:szCs w:val="20"/>
        </w:rPr>
        <w:t>l 2023, Fiscal 2022 and Fiscal 2021, respectively.</w:t>
      </w:r>
    </w:p>
    <w:p w:rsidR="00000000" w:rsidRDefault="00AC31B9">
      <w:pPr>
        <w:divId w:val="1904831597"/>
        <w:rPr>
          <w:rFonts w:eastAsia="Times New Roman"/>
        </w:rPr>
      </w:pPr>
    </w:p>
    <w:p w:rsidR="00000000" w:rsidRDefault="00AC31B9">
      <w:pPr>
        <w:jc w:val="both"/>
        <w:rPr>
          <w:rFonts w:eastAsia="Times New Roman"/>
        </w:rPr>
      </w:pPr>
      <w:r>
        <w:rPr>
          <w:rFonts w:eastAsia="Times New Roman"/>
          <w:b/>
          <w:bCs/>
          <w:i/>
          <w:iCs/>
          <w:color w:val="000000"/>
          <w:sz w:val="20"/>
          <w:szCs w:val="20"/>
        </w:rPr>
        <w:t>UGI Equity-Based Compensation Plans and Awards.</w:t>
      </w:r>
      <w:r>
        <w:rPr>
          <w:rFonts w:eastAsia="Times New Roman"/>
          <w:color w:val="000000"/>
          <w:sz w:val="20"/>
          <w:szCs w:val="20"/>
        </w:rPr>
        <w:t xml:space="preserve"> On January 29, 2021, the Company’s shareholders approved the 2021 IAP. Under the 2021 IAP, awards representing up to 20,500,000 shares of UGI Common Stock </w:t>
      </w:r>
      <w:r>
        <w:rPr>
          <w:rFonts w:eastAsia="Times New Roman"/>
          <w:color w:val="000000"/>
          <w:sz w:val="20"/>
          <w:szCs w:val="20"/>
        </w:rPr>
        <w:t>may be granted. UGI Unit Awards granted to employees and non-employee directors, including dividend equivalents, are settled in shares of UGI Common Stock and cash.</w:t>
      </w:r>
      <w:r>
        <w:rPr>
          <w:rFonts w:eastAsia="Times New Roman"/>
          <w:color w:val="000000"/>
        </w:rPr>
        <w:t xml:space="preserve"> </w:t>
      </w:r>
      <w:r>
        <w:rPr>
          <w:rFonts w:eastAsia="Times New Roman"/>
          <w:color w:val="000000"/>
          <w:sz w:val="20"/>
          <w:szCs w:val="20"/>
        </w:rPr>
        <w:t xml:space="preserve">The 2021 IAP supersedes and replaces the 2013 OICP for awards granted on or after February </w:t>
      </w:r>
      <w:r>
        <w:rPr>
          <w:rFonts w:eastAsia="Times New Roman"/>
          <w:color w:val="000000"/>
          <w:sz w:val="20"/>
          <w:szCs w:val="20"/>
        </w:rPr>
        <w:t>1, 2021. The terms and conditions of the 2013 OICP will continue to govern any outstanding awards granted thereunder. Similar to the 2013 OICP, under the 2021 IAP, we may grant options to acquire shares of UGI Common Stock, SARs, UGI Units (comprising “Sto</w:t>
      </w:r>
      <w:r>
        <w:rPr>
          <w:rFonts w:eastAsia="Times New Roman"/>
          <w:color w:val="000000"/>
          <w:sz w:val="20"/>
          <w:szCs w:val="20"/>
        </w:rPr>
        <w:t xml:space="preserve">ck Units” and “UGI Performance Units”), other equity-based awards and cash to key employees and non-employee directors. The exercise price for options may not be less than the fair market value on the grant date. Awards granted under the 2021 IAP may vest </w:t>
      </w:r>
      <w:r>
        <w:rPr>
          <w:rFonts w:eastAsia="Times New Roman"/>
          <w:color w:val="000000"/>
          <w:sz w:val="20"/>
          <w:szCs w:val="20"/>
        </w:rPr>
        <w:t>immediately or ratably over a period of years, and stock options can be exercised no later than ten years from the grant date. Except in the event of retirement, death or disability, each grant, unless paid, will terminate when the participant ceases to be</w:t>
      </w:r>
      <w:r>
        <w:rPr>
          <w:rFonts w:eastAsia="Times New Roman"/>
          <w:color w:val="000000"/>
          <w:sz w:val="20"/>
          <w:szCs w:val="20"/>
        </w:rPr>
        <w:t xml:space="preserve"> employed. There are certain change of control and retirement eligibility conditions that, if met, generally result in accelerated vesting or elimination of further service requirements.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There we</w:t>
      </w:r>
      <w:r>
        <w:rPr>
          <w:rFonts w:eastAsia="Times New Roman"/>
          <w:color w:val="000000"/>
          <w:sz w:val="20"/>
          <w:szCs w:val="20"/>
          <w:shd w:val="clear" w:color="auto" w:fill="FFFFFF"/>
        </w:rPr>
        <w:t>re 16,014,039 s</w:t>
      </w:r>
      <w:r>
        <w:rPr>
          <w:rFonts w:eastAsia="Times New Roman"/>
          <w:color w:val="000000"/>
          <w:sz w:val="20"/>
          <w:szCs w:val="20"/>
        </w:rPr>
        <w:t>hares of Common Stock available for future g</w:t>
      </w:r>
      <w:r>
        <w:rPr>
          <w:rFonts w:eastAsia="Times New Roman"/>
          <w:color w:val="000000"/>
          <w:sz w:val="20"/>
          <w:szCs w:val="20"/>
        </w:rPr>
        <w:t>rants under the 2021 IAP at September 30, 2023</w:t>
      </w:r>
      <w:r>
        <w:rPr>
          <w:rFonts w:eastAsia="Times New Roman"/>
          <w:color w:val="000000"/>
        </w:rPr>
        <w:t>.</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Stock Option Awards</w:t>
      </w:r>
      <w:r>
        <w:rPr>
          <w:rFonts w:eastAsia="Times New Roman"/>
          <w:b/>
          <w:bCs/>
          <w:color w:val="000000"/>
          <w:sz w:val="20"/>
          <w:szCs w:val="20"/>
        </w:rPr>
        <w:t>.</w:t>
      </w:r>
      <w:r>
        <w:rPr>
          <w:rFonts w:eastAsia="Times New Roman"/>
          <w:color w:val="000000"/>
          <w:sz w:val="20"/>
          <w:szCs w:val="20"/>
        </w:rPr>
        <w:t xml:space="preserve"> We measure the fair value of stock options using a Black-Scholes option pricing model that uses certain key assumptions for such options related to the expected life, volatility, di</w:t>
      </w:r>
      <w:r>
        <w:rPr>
          <w:rFonts w:eastAsia="Times New Roman"/>
          <w:color w:val="000000"/>
          <w:sz w:val="20"/>
          <w:szCs w:val="20"/>
        </w:rPr>
        <w:t>vidend yield and the Company’s risk-free rate at the valuation date.</w:t>
      </w:r>
      <w:r>
        <w:rPr>
          <w:rFonts w:eastAsia="Times New Roman"/>
          <w:color w:val="000000"/>
        </w:rPr>
        <w:t xml:space="preserve"> </w:t>
      </w:r>
      <w:r>
        <w:rPr>
          <w:rFonts w:eastAsia="Times New Roman"/>
          <w:color w:val="000000"/>
          <w:sz w:val="20"/>
          <w:szCs w:val="20"/>
        </w:rPr>
        <w:t>The per share weighted average fair value of stock options granted under our option plans w</w:t>
      </w:r>
      <w:r>
        <w:rPr>
          <w:rFonts w:eastAsia="Times New Roman"/>
          <w:color w:val="000000"/>
          <w:sz w:val="20"/>
          <w:szCs w:val="20"/>
          <w:shd w:val="clear" w:color="auto" w:fill="FFFFFF"/>
        </w:rPr>
        <w:t xml:space="preserve">as $9.31, </w:t>
      </w:r>
      <w:r>
        <w:rPr>
          <w:rFonts w:eastAsia="Times New Roman"/>
          <w:color w:val="000000"/>
          <w:sz w:val="20"/>
          <w:szCs w:val="20"/>
        </w:rPr>
        <w:t>$8.47 and $6.05 in Fiscal 2023, Fiscal 2022 and Fiscal 2021, respectively. As of Septe</w:t>
      </w:r>
      <w:r>
        <w:rPr>
          <w:rFonts w:eastAsia="Times New Roman"/>
          <w:color w:val="000000"/>
          <w:sz w:val="20"/>
          <w:szCs w:val="20"/>
        </w:rPr>
        <w:t>mber 30, 2023, there wa</w:t>
      </w:r>
      <w:r>
        <w:rPr>
          <w:rFonts w:eastAsia="Times New Roman"/>
          <w:color w:val="000000"/>
          <w:sz w:val="20"/>
          <w:szCs w:val="20"/>
          <w:shd w:val="clear" w:color="auto" w:fill="FFFFFF"/>
        </w:rPr>
        <w:t>s $5</w:t>
      </w:r>
      <w:r>
        <w:rPr>
          <w:rFonts w:eastAsia="Times New Roman"/>
          <w:color w:val="000000"/>
          <w:sz w:val="20"/>
          <w:szCs w:val="20"/>
        </w:rPr>
        <w:t xml:space="preserve"> of unrecognized compensation cost associated with unvested stock options that is expected to be recognized over a weighted-average period of 1.9 years. There were 8,358,125 stock options outstanding at September 30, 2023, of whi</w:t>
      </w:r>
      <w:r>
        <w:rPr>
          <w:rFonts w:eastAsia="Times New Roman"/>
          <w:color w:val="000000"/>
          <w:sz w:val="20"/>
          <w:szCs w:val="20"/>
        </w:rPr>
        <w:t>ch, 7,122,824 stock options were exercisable with a weighted-average option price of $42.79.</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UGI Unit Awards</w:t>
      </w:r>
      <w:r>
        <w:rPr>
          <w:rFonts w:eastAsia="Times New Roman"/>
          <w:b/>
          <w:bCs/>
          <w:color w:val="000000"/>
          <w:sz w:val="20"/>
          <w:szCs w:val="20"/>
        </w:rPr>
        <w:t>.</w:t>
      </w:r>
      <w:r>
        <w:rPr>
          <w:rFonts w:eastAsia="Times New Roman"/>
          <w:color w:val="000000"/>
          <w:sz w:val="20"/>
          <w:szCs w:val="20"/>
        </w:rPr>
        <w:t xml:space="preserve"> Awards of UGI Stock Units and UGI Performance Units subject to market-based conditions entitle the grantee to shares of UGI Common Stock or cash</w:t>
      </w:r>
      <w:r>
        <w:rPr>
          <w:rFonts w:eastAsia="Times New Roman"/>
          <w:color w:val="000000"/>
          <w:sz w:val="20"/>
          <w:szCs w:val="20"/>
        </w:rPr>
        <w:t xml:space="preserve"> once the service condition is met and, with respect to UGI Performance Unit subject to market-based conditions, subject to UGI’s TSR percentile rank relative to companies in the UGI comparator group. Recipients of UGI Performance Unit subject to market-ba</w:t>
      </w:r>
      <w:r>
        <w:rPr>
          <w:rFonts w:eastAsia="Times New Roman"/>
          <w:color w:val="000000"/>
          <w:sz w:val="20"/>
          <w:szCs w:val="20"/>
        </w:rPr>
        <w:t>sed conditions are awarded a target number of such awards. The number of UGI Performance Units subject to market-based conditions ultimately paid at the end of the performance period (generally 3 years) may be higher or lower than the target amount, or eve</w:t>
      </w:r>
      <w:r>
        <w:rPr>
          <w:rFonts w:eastAsia="Times New Roman"/>
          <w:color w:val="000000"/>
          <w:sz w:val="20"/>
          <w:szCs w:val="20"/>
        </w:rPr>
        <w:t xml:space="preserve">n zero, based on UGI’s TSR percentile rank relative to companies in the UGI comparator group. Grantees may receive 0% to 200% of the target award granted. Awards granted vest ratably over the performance period.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In January 2023, the Company granted the </w:t>
      </w:r>
      <w:r>
        <w:rPr>
          <w:rFonts w:eastAsia="Times New Roman"/>
          <w:color w:val="000000"/>
          <w:sz w:val="20"/>
          <w:szCs w:val="20"/>
        </w:rPr>
        <w:t xml:space="preserve">UGI EPS Performance Unit awards. UGI EPS Performance Unit awards entitle the grantee to shares of UGI Common Stock or cash once the service condition is met and subject to the achievement of a UGI EPS goal, which is a non-market performance condition. UGI </w:t>
      </w:r>
      <w:r>
        <w:rPr>
          <w:rFonts w:eastAsia="Times New Roman"/>
          <w:color w:val="000000"/>
          <w:sz w:val="20"/>
          <w:szCs w:val="20"/>
        </w:rPr>
        <w:t xml:space="preserve">EPS Performance Unit grant recipients are awarded a target number of UGI EPS Performance Units. The number of UGI EPS Performance Units ultimately paid at the end of the service period may </w:t>
      </w:r>
    </w:p>
    <w:p w:rsidR="00000000" w:rsidRDefault="00AC31B9">
      <w:pPr>
        <w:jc w:val="center"/>
        <w:divId w:val="1216241667"/>
        <w:rPr>
          <w:rFonts w:eastAsia="Times New Roman"/>
        </w:rPr>
      </w:pPr>
      <w:r>
        <w:rPr>
          <w:rFonts w:eastAsia="Times New Roman"/>
          <w:color w:val="000000"/>
          <w:sz w:val="20"/>
          <w:szCs w:val="20"/>
        </w:rPr>
        <w:t>F-47</w:t>
      </w:r>
    </w:p>
    <w:p w:rsidR="00000000" w:rsidRDefault="00AC31B9">
      <w:pPr>
        <w:rPr>
          <w:rFonts w:eastAsia="Times New Roman"/>
        </w:rPr>
      </w:pPr>
      <w:r>
        <w:rPr>
          <w:rFonts w:eastAsia="Times New Roman"/>
        </w:rPr>
        <w:pict>
          <v:rect id="_x0000_i1165" style="width:0;height:1.5pt" o:hralign="center" o:hrstd="t" o:hr="t" fillcolor="#a0a0a0" stroked="f"/>
        </w:pict>
      </w:r>
    </w:p>
    <w:p w:rsidR="00000000" w:rsidRDefault="00AC31B9">
      <w:pPr>
        <w:divId w:val="315649820"/>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865993972"/>
        <w:rPr>
          <w:rFonts w:eastAsia="Times New Roman"/>
        </w:rPr>
      </w:pPr>
      <w:r>
        <w:rPr>
          <w:rFonts w:eastAsia="Times New Roman"/>
          <w:b/>
          <w:bCs/>
          <w:color w:val="000000"/>
          <w:sz w:val="20"/>
          <w:szCs w:val="20"/>
        </w:rPr>
        <w:t>UGI Corporation and Subsidiaries</w:t>
      </w:r>
    </w:p>
    <w:p w:rsidR="00000000" w:rsidRDefault="00AC31B9">
      <w:pPr>
        <w:divId w:val="380137164"/>
        <w:rPr>
          <w:rFonts w:eastAsia="Times New Roman"/>
        </w:rPr>
      </w:pPr>
      <w:r>
        <w:rPr>
          <w:rFonts w:eastAsia="Times New Roman"/>
          <w:b/>
          <w:bCs/>
          <w:color w:val="000000"/>
          <w:sz w:val="20"/>
          <w:szCs w:val="20"/>
        </w:rPr>
        <w:t>Notes to Consolidated Financial Statements</w:t>
      </w:r>
    </w:p>
    <w:p w:rsidR="00000000" w:rsidRDefault="00AC31B9">
      <w:pPr>
        <w:divId w:val="997346893"/>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rPr>
          <w:rFonts w:eastAsia="Times New Roman"/>
        </w:rPr>
      </w:pPr>
      <w:r>
        <w:rPr>
          <w:rFonts w:eastAsia="Times New Roman"/>
          <w:color w:val="000000"/>
          <w:sz w:val="20"/>
          <w:szCs w:val="20"/>
        </w:rPr>
        <w:t xml:space="preserve">be higher or lower than the target amount, or even zero, based upon the actual EPS performance. Grantees may receive 0% to 200% of the target award granted. The EPS performance </w:t>
      </w:r>
      <w:r>
        <w:rPr>
          <w:rFonts w:eastAsia="Times New Roman"/>
          <w:color w:val="000000"/>
          <w:sz w:val="20"/>
          <w:szCs w:val="20"/>
        </w:rPr>
        <w:t xml:space="preserve">period for the UGI EPS Performance Unit awards granted in January 2023 is October 1, 2022 through September 30, 2024.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The fair value of UGI Stock Units on the grant date is equal to the market price of UGI Stock on the grant date plus the fair value of </w:t>
      </w:r>
      <w:r>
        <w:rPr>
          <w:rFonts w:eastAsia="Times New Roman"/>
          <w:color w:val="000000"/>
          <w:sz w:val="20"/>
          <w:szCs w:val="20"/>
        </w:rPr>
        <w:t>dividend equivalents if applicable. The fair value of UGI Performance Units is estimated using a Monte Carlo valuation model. The fair value associated with the target award is accounted for as equity and the fair value of the award over the target, as wel</w:t>
      </w:r>
      <w:r>
        <w:rPr>
          <w:rFonts w:eastAsia="Times New Roman"/>
          <w:color w:val="000000"/>
          <w:sz w:val="20"/>
          <w:szCs w:val="20"/>
        </w:rPr>
        <w:t>l as all dividend equivalents, is accounted for as a liability. The fair value of UGI EPS Performance Units is equal to the market price of UGI stock on the grant date plus the fair value of dividend equivalents if applicable.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The weighted-average grant </w:t>
      </w:r>
      <w:r>
        <w:rPr>
          <w:rFonts w:eastAsia="Times New Roman"/>
          <w:color w:val="000000"/>
          <w:sz w:val="20"/>
          <w:szCs w:val="20"/>
        </w:rPr>
        <w:t xml:space="preserve">date fair value of UGI Stock Units, UGI Performance Units and EPS Performance Units granted to employees during Fiscal 2023, Fiscal 2022, and Fiscal 2021 was $44.62, $51.24 and $41.41, respectively. </w:t>
      </w:r>
    </w:p>
    <w:p w:rsidR="00000000" w:rsidRDefault="00AC31B9">
      <w:pPr>
        <w:jc w:val="both"/>
        <w:divId w:val="1279294651"/>
        <w:rPr>
          <w:rFonts w:eastAsia="Times New Roman"/>
        </w:rPr>
      </w:pPr>
      <w:r>
        <w:rPr>
          <w:rFonts w:eastAsia="Times New Roman"/>
          <w:color w:val="000000"/>
          <w:sz w:val="20"/>
          <w:szCs w:val="20"/>
        </w:rPr>
        <w:t>As of September 30, 2023, there was a total of $25 unrec</w:t>
      </w:r>
      <w:r>
        <w:rPr>
          <w:rFonts w:eastAsia="Times New Roman"/>
          <w:color w:val="000000"/>
          <w:sz w:val="20"/>
          <w:szCs w:val="20"/>
        </w:rPr>
        <w:t>ognized compensation cost associated with UGI Unit awards outstanding that is expected to be recognized over a weighted-average per</w:t>
      </w:r>
      <w:r>
        <w:rPr>
          <w:rFonts w:eastAsia="Times New Roman"/>
          <w:color w:val="000000"/>
          <w:sz w:val="20"/>
          <w:szCs w:val="20"/>
          <w:shd w:val="clear" w:color="auto" w:fill="FFFFFF"/>
        </w:rPr>
        <w:t xml:space="preserve">iod of 2.0 years. As </w:t>
      </w:r>
      <w:r>
        <w:rPr>
          <w:rFonts w:eastAsia="Times New Roman"/>
          <w:color w:val="000000"/>
          <w:sz w:val="20"/>
          <w:szCs w:val="20"/>
        </w:rPr>
        <w:t xml:space="preserve">of September 30, 2023, there </w:t>
      </w:r>
      <w:r>
        <w:rPr>
          <w:rFonts w:eastAsia="Times New Roman"/>
          <w:color w:val="000000"/>
          <w:sz w:val="20"/>
          <w:szCs w:val="20"/>
          <w:shd w:val="clear" w:color="auto" w:fill="FFFFFF"/>
        </w:rPr>
        <w:t>were 1,502,253 UGI Unit awards outstanding with a weighted-average grant-da</w:t>
      </w:r>
      <w:r>
        <w:rPr>
          <w:rFonts w:eastAsia="Times New Roman"/>
          <w:color w:val="000000"/>
          <w:sz w:val="20"/>
          <w:szCs w:val="20"/>
          <w:shd w:val="clear" w:color="auto" w:fill="FFFFFF"/>
        </w:rPr>
        <w:t>te fair value of $43.09 pe</w:t>
      </w:r>
      <w:r>
        <w:rPr>
          <w:rFonts w:eastAsia="Times New Roman"/>
          <w:color w:val="000000"/>
          <w:sz w:val="20"/>
          <w:szCs w:val="20"/>
        </w:rPr>
        <w:t>r share.</w:t>
      </w:r>
    </w:p>
    <w:tbl>
      <w:tblPr>
        <w:tblW w:w="4992" w:type="pct"/>
        <w:tblCellMar>
          <w:top w:w="15" w:type="dxa"/>
          <w:left w:w="15" w:type="dxa"/>
          <w:bottom w:w="15" w:type="dxa"/>
          <w:right w:w="15" w:type="dxa"/>
        </w:tblCellMar>
        <w:tblLook w:val="04A0" w:firstRow="1" w:lastRow="0" w:firstColumn="1" w:lastColumn="0" w:noHBand="0" w:noVBand="1"/>
      </w:tblPr>
      <w:tblGrid>
        <w:gridCol w:w="61"/>
        <w:gridCol w:w="4892"/>
        <w:gridCol w:w="36"/>
        <w:gridCol w:w="61"/>
        <w:gridCol w:w="942"/>
        <w:gridCol w:w="36"/>
        <w:gridCol w:w="36"/>
        <w:gridCol w:w="36"/>
        <w:gridCol w:w="36"/>
        <w:gridCol w:w="46"/>
        <w:gridCol w:w="942"/>
        <w:gridCol w:w="36"/>
        <w:gridCol w:w="36"/>
        <w:gridCol w:w="36"/>
        <w:gridCol w:w="36"/>
        <w:gridCol w:w="46"/>
        <w:gridCol w:w="943"/>
        <w:gridCol w:w="36"/>
      </w:tblGrid>
      <w:tr w:rsidR="00000000">
        <w:trPr>
          <w:divId w:val="1279294651"/>
        </w:trPr>
        <w:tc>
          <w:tcPr>
            <w:tcW w:w="50" w:type="pct"/>
            <w:vAlign w:val="center"/>
            <w:hideMark/>
          </w:tcPr>
          <w:p w:rsidR="00000000" w:rsidRDefault="00AC31B9">
            <w:pPr>
              <w:jc w:val="both"/>
              <w:rPr>
                <w:rFonts w:eastAsia="Times New Roman"/>
              </w:rPr>
            </w:pPr>
          </w:p>
        </w:tc>
        <w:tc>
          <w:tcPr>
            <w:tcW w:w="296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279294651"/>
          <w:trHeight w:val="60"/>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bl>
    <w:p w:rsidR="00000000" w:rsidRDefault="00AC31B9">
      <w:pPr>
        <w:jc w:val="both"/>
        <w:divId w:val="12792946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3"/>
        <w:gridCol w:w="4807"/>
        <w:gridCol w:w="36"/>
        <w:gridCol w:w="63"/>
        <w:gridCol w:w="1528"/>
        <w:gridCol w:w="36"/>
        <w:gridCol w:w="36"/>
        <w:gridCol w:w="36"/>
        <w:gridCol w:w="36"/>
        <w:gridCol w:w="52"/>
        <w:gridCol w:w="1577"/>
        <w:gridCol w:w="36"/>
      </w:tblGrid>
      <w:tr w:rsidR="00000000">
        <w:trPr>
          <w:divId w:val="1279294651"/>
        </w:trPr>
        <w:tc>
          <w:tcPr>
            <w:tcW w:w="50" w:type="pct"/>
            <w:vAlign w:val="center"/>
            <w:hideMark/>
          </w:tcPr>
          <w:p w:rsidR="00000000" w:rsidRDefault="00AC31B9">
            <w:pPr>
              <w:jc w:val="both"/>
              <w:rPr>
                <w:rFonts w:eastAsia="Times New Roman"/>
              </w:rPr>
            </w:pPr>
          </w:p>
        </w:tc>
        <w:tc>
          <w:tcPr>
            <w:tcW w:w="290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93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96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rPr>
          <w:divId w:val="1279294651"/>
          <w:trHeight w:val="60"/>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2946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4910"/>
        <w:gridCol w:w="144"/>
        <w:gridCol w:w="144"/>
        <w:gridCol w:w="963"/>
        <w:gridCol w:w="144"/>
        <w:gridCol w:w="144"/>
        <w:gridCol w:w="144"/>
        <w:gridCol w:w="144"/>
        <w:gridCol w:w="144"/>
        <w:gridCol w:w="963"/>
        <w:gridCol w:w="144"/>
        <w:gridCol w:w="144"/>
        <w:gridCol w:w="144"/>
        <w:gridCol w:w="144"/>
        <w:gridCol w:w="144"/>
        <w:gridCol w:w="965"/>
        <w:gridCol w:w="144"/>
      </w:tblGrid>
      <w:tr w:rsidR="00000000">
        <w:tc>
          <w:tcPr>
            <w:tcW w:w="50" w:type="pct"/>
            <w:vAlign w:val="center"/>
            <w:hideMark/>
          </w:tcPr>
          <w:p w:rsidR="00000000" w:rsidRDefault="00AC31B9">
            <w:pPr>
              <w:jc w:val="both"/>
              <w:rPr>
                <w:rFonts w:eastAsia="Times New Roman"/>
              </w:rPr>
            </w:pPr>
          </w:p>
        </w:tc>
        <w:tc>
          <w:tcPr>
            <w:tcW w:w="296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bl>
    <w:p w:rsidR="00000000" w:rsidRDefault="00AC31B9">
      <w:pPr>
        <w:divId w:val="422847025"/>
        <w:rPr>
          <w:rFonts w:eastAsia="Times New Roman"/>
        </w:rPr>
      </w:pPr>
      <w:r>
        <w:rPr>
          <w:rFonts w:eastAsia="Times New Roman"/>
          <w:b/>
          <w:bCs/>
          <w:color w:val="000000"/>
          <w:sz w:val="20"/>
          <w:szCs w:val="20"/>
          <w:u w:val="single"/>
        </w:rPr>
        <w:t>Note 15 — Leases</w:t>
      </w:r>
      <w:r>
        <w:rPr>
          <w:rFonts w:eastAsia="Times New Roman"/>
          <w:color w:val="000000"/>
          <w:sz w:val="20"/>
          <w:szCs w:val="20"/>
        </w:rPr>
        <w:t xml:space="preserve"> </w:t>
      </w:r>
    </w:p>
    <w:p w:rsidR="00000000" w:rsidRDefault="00AC31B9">
      <w:pPr>
        <w:divId w:val="1446848749"/>
        <w:rPr>
          <w:rFonts w:eastAsia="Times New Roman"/>
        </w:rPr>
      </w:pPr>
    </w:p>
    <w:p w:rsidR="00000000" w:rsidRDefault="00AC31B9">
      <w:pPr>
        <w:jc w:val="both"/>
        <w:rPr>
          <w:rFonts w:eastAsia="Times New Roman"/>
        </w:rPr>
      </w:pPr>
      <w:r>
        <w:rPr>
          <w:rFonts w:eastAsia="Times New Roman"/>
          <w:b/>
          <w:bCs/>
          <w:color w:val="000000"/>
          <w:sz w:val="20"/>
          <w:szCs w:val="20"/>
        </w:rPr>
        <w:t>Lessee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 lease various buildings and other facilities, real estate, vehicles, rail cars and other equipment, the majority of which are operating leases. We determine if a contract is or contains a lease by evaluating whether the contract explicitly or implicitly</w:t>
      </w:r>
      <w:r>
        <w:rPr>
          <w:rFonts w:eastAsia="Times New Roman"/>
          <w:color w:val="000000"/>
          <w:sz w:val="20"/>
          <w:szCs w:val="20"/>
        </w:rPr>
        <w:t xml:space="preserve"> identifies an asset, whether we have the right to obtain substantially all of the economic benefits of the identified leased asset and to direct its use.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ROU assets represent our right to use an underlying asset for the lease term and lease liabilities</w:t>
      </w:r>
      <w:r>
        <w:rPr>
          <w:rFonts w:eastAsia="Times New Roman"/>
          <w:color w:val="000000"/>
          <w:sz w:val="20"/>
          <w:szCs w:val="20"/>
        </w:rPr>
        <w:t xml:space="preserve"> represent our obligation to make lease payments arising from the lease. We recognize ROU assets at the lease commencement date at the value of the lease liability adjusted for any prepayments, lease incentives received, and initial direct costs incurred. </w:t>
      </w:r>
      <w:r>
        <w:rPr>
          <w:rFonts w:eastAsia="Times New Roman"/>
          <w:color w:val="000000"/>
          <w:sz w:val="20"/>
          <w:szCs w:val="20"/>
        </w:rPr>
        <w:t>Lease liabilities are recognized at the lease commencement date based on the present value of lease payments over the lease term. These payments are discounted using the discount rate implicit in the lease, when available. We apply an incremental borrowing</w:t>
      </w:r>
      <w:r>
        <w:rPr>
          <w:rFonts w:eastAsia="Times New Roman"/>
          <w:color w:val="000000"/>
          <w:sz w:val="20"/>
          <w:szCs w:val="20"/>
        </w:rPr>
        <w:t xml:space="preserve"> rate, which is developed utilizing a credit notching approach based on information available at the lease commencement date, to substantially all of our leases as the implicit rate is often not available.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Lease expense is recognized on a straight-line </w:t>
      </w:r>
      <w:r>
        <w:rPr>
          <w:rFonts w:eastAsia="Times New Roman"/>
          <w:color w:val="000000"/>
          <w:sz w:val="20"/>
          <w:szCs w:val="20"/>
        </w:rPr>
        <w:t xml:space="preserve">basis over the expected lease term. Renewal and termination options are not included in the lease term unless we are reasonably certain that such options will be exercised. Leases with an original lease term of one year or less, including consideration of </w:t>
      </w:r>
      <w:r>
        <w:rPr>
          <w:rFonts w:eastAsia="Times New Roman"/>
          <w:color w:val="000000"/>
          <w:sz w:val="20"/>
          <w:szCs w:val="20"/>
        </w:rPr>
        <w:t xml:space="preserve">any renewal options assumed to be exercised, are not included in the Consolidated Balance Sheets.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Certain lease arrangements, primarily fleet vehicle leases with lease terms of</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ten years, contain purchase options. The Company generally excludes p</w:t>
      </w:r>
      <w:r>
        <w:rPr>
          <w:rFonts w:eastAsia="Times New Roman"/>
          <w:color w:val="000000"/>
          <w:sz w:val="20"/>
          <w:szCs w:val="20"/>
        </w:rPr>
        <w:t xml:space="preserve">urchase options in evaluating its leases unless it is reasonably certain that such options will be exercised. Additionally, leases of fleet vehicles often contain residual value guarantees that are due at the end of the lease. Such amounts are included in </w:t>
      </w:r>
      <w:r>
        <w:rPr>
          <w:rFonts w:eastAsia="Times New Roman"/>
          <w:color w:val="000000"/>
          <w:sz w:val="20"/>
          <w:szCs w:val="20"/>
        </w:rPr>
        <w:t>the determination of lease liabilities when we are reasonably certain that they will be owed.</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Certain leasing arrangements require variable payments that are dependent on asset usage or are based on changes in index rates, such as the Consumer Price Inde</w:t>
      </w:r>
      <w:r>
        <w:rPr>
          <w:rFonts w:eastAsia="Times New Roman"/>
          <w:color w:val="000000"/>
          <w:sz w:val="20"/>
          <w:szCs w:val="20"/>
        </w:rPr>
        <w:t xml:space="preserve">x. The variable payments component of such leases cannot be determined at lease commencement and is not recognized in the measurement of ROU assets or lease liabilities, but is recognized in earnings in the period in which the obligation occurs. </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Sale-le</w:t>
      </w:r>
      <w:r>
        <w:rPr>
          <w:rFonts w:eastAsia="Times New Roman"/>
          <w:b/>
          <w:bCs/>
          <w:i/>
          <w:iCs/>
          <w:color w:val="000000"/>
          <w:sz w:val="20"/>
          <w:szCs w:val="20"/>
        </w:rPr>
        <w:t>aseback transaction.</w:t>
      </w:r>
      <w:r>
        <w:rPr>
          <w:rFonts w:eastAsia="Times New Roman"/>
          <w:color w:val="000000"/>
          <w:sz w:val="20"/>
          <w:szCs w:val="20"/>
        </w:rPr>
        <w:t xml:space="preserve"> During the fourth quarter of Fiscal 2023, AmeriGas OLP completed a sale-leaseback transaction with an independent third party for the land, building and improvements of an office and service center located in Gardena, California. The o</w:t>
      </w:r>
      <w:r>
        <w:rPr>
          <w:rFonts w:eastAsia="Times New Roman"/>
          <w:color w:val="000000"/>
          <w:sz w:val="20"/>
          <w:szCs w:val="20"/>
        </w:rPr>
        <w:t>ffice and service center was leased back to AmeriGas OLP under an operating lease agreement having an initial six-year term with an option to renew. In conjunction with the transaction, AmeriGas OLP received approximately $32 in cash proceeds which resulte</w:t>
      </w:r>
      <w:r>
        <w:rPr>
          <w:rFonts w:eastAsia="Times New Roman"/>
          <w:color w:val="000000"/>
          <w:sz w:val="20"/>
          <w:szCs w:val="20"/>
        </w:rPr>
        <w:t>d in a pre-tax gain of $29, reflected in Other operating income, net on the Fiscal 2023 Consolidated Statement of Income.</w:t>
      </w:r>
    </w:p>
    <w:p w:rsidR="00000000" w:rsidRDefault="00AC31B9">
      <w:pPr>
        <w:jc w:val="center"/>
        <w:divId w:val="305666639"/>
        <w:rPr>
          <w:rFonts w:eastAsia="Times New Roman"/>
        </w:rPr>
      </w:pPr>
      <w:r>
        <w:rPr>
          <w:rFonts w:eastAsia="Times New Roman"/>
          <w:color w:val="000000"/>
          <w:sz w:val="20"/>
          <w:szCs w:val="20"/>
        </w:rPr>
        <w:t>F-48</w:t>
      </w:r>
    </w:p>
    <w:p w:rsidR="00000000" w:rsidRDefault="00AC31B9">
      <w:pPr>
        <w:rPr>
          <w:rFonts w:eastAsia="Times New Roman"/>
        </w:rPr>
      </w:pPr>
      <w:r>
        <w:rPr>
          <w:rFonts w:eastAsia="Times New Roman"/>
        </w:rPr>
        <w:pict>
          <v:rect id="_x0000_i1166" style="width:0;height:1.5pt" o:hralign="center" o:hrstd="t" o:hr="t" fillcolor="#a0a0a0" stroked="f"/>
        </w:pict>
      </w:r>
    </w:p>
    <w:p w:rsidR="00000000" w:rsidRDefault="00AC31B9">
      <w:pPr>
        <w:divId w:val="1347439672"/>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647899389"/>
        <w:rPr>
          <w:rFonts w:eastAsia="Times New Roman"/>
        </w:rPr>
      </w:pPr>
      <w:r>
        <w:rPr>
          <w:rFonts w:eastAsia="Times New Roman"/>
          <w:b/>
          <w:bCs/>
          <w:color w:val="000000"/>
          <w:sz w:val="20"/>
          <w:szCs w:val="20"/>
        </w:rPr>
        <w:t>UGI Corporation and Subsidiaries</w:t>
      </w:r>
    </w:p>
    <w:p w:rsidR="00000000" w:rsidRDefault="00AC31B9">
      <w:pPr>
        <w:divId w:val="1958950485"/>
        <w:rPr>
          <w:rFonts w:eastAsia="Times New Roman"/>
        </w:rPr>
      </w:pPr>
      <w:r>
        <w:rPr>
          <w:rFonts w:eastAsia="Times New Roman"/>
          <w:b/>
          <w:bCs/>
          <w:color w:val="000000"/>
          <w:sz w:val="20"/>
          <w:szCs w:val="20"/>
        </w:rPr>
        <w:t>Notes to Consolidated Financial Statements</w:t>
      </w:r>
    </w:p>
    <w:p w:rsidR="00000000" w:rsidRDefault="00AC31B9">
      <w:pPr>
        <w:divId w:val="1637107891"/>
        <w:rPr>
          <w:rFonts w:eastAsia="Times New Roman"/>
        </w:rPr>
      </w:pPr>
      <w:r>
        <w:rPr>
          <w:rFonts w:eastAsia="Times New Roman"/>
          <w:color w:val="000000"/>
          <w:sz w:val="20"/>
          <w:szCs w:val="20"/>
        </w:rPr>
        <w:t>(Currency in millions, except per share amounts and where indicated otherwise)</w:t>
      </w:r>
    </w:p>
    <w:p w:rsidR="00000000" w:rsidRDefault="00AC31B9">
      <w:pPr>
        <w:divId w:val="684861929"/>
        <w:rPr>
          <w:rFonts w:eastAsia="Times New Roman"/>
        </w:rPr>
      </w:pPr>
      <w:r>
        <w:rPr>
          <w:rFonts w:eastAsia="Times New Roman"/>
          <w:color w:val="000000"/>
          <w:sz w:val="20"/>
          <w:szCs w:val="20"/>
        </w:rPr>
        <w:t>ROU assets and lease liabilities recorded in the Consolidated Balance Sheets as of September 30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2688"/>
        <w:gridCol w:w="38"/>
        <w:gridCol w:w="120"/>
        <w:gridCol w:w="1292"/>
        <w:gridCol w:w="36"/>
        <w:gridCol w:w="36"/>
        <w:gridCol w:w="36"/>
        <w:gridCol w:w="36"/>
        <w:gridCol w:w="120"/>
        <w:gridCol w:w="1262"/>
        <w:gridCol w:w="36"/>
        <w:gridCol w:w="36"/>
        <w:gridCol w:w="43"/>
        <w:gridCol w:w="36"/>
        <w:gridCol w:w="47"/>
        <w:gridCol w:w="2361"/>
        <w:gridCol w:w="38"/>
      </w:tblGrid>
      <w:tr w:rsidR="00000000">
        <w:trPr>
          <w:divId w:val="8607075"/>
          <w:jc w:val="center"/>
        </w:trPr>
        <w:tc>
          <w:tcPr>
            <w:tcW w:w="50" w:type="pct"/>
            <w:vAlign w:val="center"/>
            <w:hideMark/>
          </w:tcPr>
          <w:p w:rsidR="00000000" w:rsidRDefault="00AC31B9">
            <w:pPr>
              <w:rPr>
                <w:rFonts w:eastAsia="Times New Roman"/>
              </w:rPr>
            </w:pPr>
          </w:p>
        </w:tc>
        <w:tc>
          <w:tcPr>
            <w:tcW w:w="164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80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80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44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8607075"/>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Location on the Balance Sheet</w:t>
            </w:r>
          </w:p>
        </w:tc>
      </w:tr>
      <w:tr w:rsidR="00000000">
        <w:trPr>
          <w:divId w:val="8607075"/>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ROU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860707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lease ROU assets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420 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asset</w:t>
            </w:r>
            <w:r>
              <w:rPr>
                <w:rFonts w:eastAsia="Times New Roman"/>
                <w:color w:val="000000"/>
                <w:sz w:val="20"/>
                <w:szCs w:val="20"/>
              </w:rPr>
              <w:t>s</w:t>
            </w:r>
          </w:p>
        </w:tc>
      </w:tr>
      <w:tr w:rsidR="00000000">
        <w:trPr>
          <w:divId w:val="860707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Finance lease ROU assets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Property, plant and equipmen</w:t>
            </w:r>
            <w:r>
              <w:rPr>
                <w:rFonts w:eastAsia="Times New Roman"/>
                <w:color w:val="000000"/>
                <w:sz w:val="20"/>
                <w:szCs w:val="20"/>
              </w:rPr>
              <w:t>t</w:t>
            </w:r>
          </w:p>
        </w:tc>
      </w:tr>
      <w:tr w:rsidR="00000000">
        <w:trPr>
          <w:divId w:val="8607075"/>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ROU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8607075"/>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8607075"/>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Lease liabilities: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860707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lease liabilities — current</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current liabilitie</w:t>
            </w:r>
            <w:r>
              <w:rPr>
                <w:rFonts w:eastAsia="Times New Roman"/>
                <w:color w:val="000000"/>
                <w:sz w:val="20"/>
                <w:szCs w:val="20"/>
              </w:rPr>
              <w:t>s</w:t>
            </w:r>
          </w:p>
        </w:tc>
      </w:tr>
      <w:tr w:rsidR="00000000">
        <w:trPr>
          <w:divId w:val="860707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lease liabilities — noncurrent</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340 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noncurrent liabilitie</w:t>
            </w:r>
            <w:r>
              <w:rPr>
                <w:rFonts w:eastAsia="Times New Roman"/>
                <w:color w:val="000000"/>
                <w:sz w:val="20"/>
                <w:szCs w:val="20"/>
              </w:rPr>
              <w:t>s</w:t>
            </w:r>
          </w:p>
        </w:tc>
      </w:tr>
      <w:tr w:rsidR="00000000">
        <w:trPr>
          <w:divId w:val="8607075"/>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Finance lease liabilities — current</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Current maturities of long-term deb</w:t>
            </w:r>
            <w:r>
              <w:rPr>
                <w:rFonts w:eastAsia="Times New Roman"/>
                <w:color w:val="000000"/>
                <w:sz w:val="20"/>
                <w:szCs w:val="20"/>
              </w:rPr>
              <w:t>t</w:t>
            </w:r>
          </w:p>
        </w:tc>
      </w:tr>
      <w:tr w:rsidR="00000000">
        <w:trPr>
          <w:divId w:val="8607075"/>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Finance lease liabilities — noncurrent</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30" w:type="dxa"/>
              <w:left w:w="51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Long-term deb</w:t>
            </w:r>
            <w:r>
              <w:rPr>
                <w:rFonts w:eastAsia="Times New Roman"/>
                <w:color w:val="000000"/>
                <w:sz w:val="20"/>
                <w:szCs w:val="20"/>
              </w:rPr>
              <w:t>t</w:t>
            </w:r>
          </w:p>
        </w:tc>
      </w:tr>
      <w:tr w:rsidR="00000000">
        <w:trPr>
          <w:divId w:val="8607075"/>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bl>
    <w:p w:rsidR="00000000" w:rsidRDefault="00AC31B9">
      <w:pPr>
        <w:divId w:val="1349865581"/>
        <w:rPr>
          <w:rFonts w:eastAsia="Times New Roman"/>
        </w:rPr>
      </w:pPr>
    </w:p>
    <w:p w:rsidR="00000000" w:rsidRDefault="00AC31B9">
      <w:pPr>
        <w:divId w:val="2097708220"/>
        <w:rPr>
          <w:rFonts w:eastAsia="Times New Roman"/>
        </w:rPr>
      </w:pPr>
      <w:r>
        <w:rPr>
          <w:rFonts w:eastAsia="Times New Roman"/>
          <w:color w:val="000000"/>
          <w:sz w:val="20"/>
          <w:szCs w:val="20"/>
        </w:rPr>
        <w:t>The components of lease cost for Fiscal 2023, Fiscal 2022 and Fiscal 2021 are as follows:</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5228"/>
        <w:gridCol w:w="37"/>
        <w:gridCol w:w="120"/>
        <w:gridCol w:w="783"/>
        <w:gridCol w:w="36"/>
        <w:gridCol w:w="36"/>
        <w:gridCol w:w="36"/>
        <w:gridCol w:w="36"/>
        <w:gridCol w:w="120"/>
        <w:gridCol w:w="742"/>
        <w:gridCol w:w="36"/>
        <w:gridCol w:w="36"/>
        <w:gridCol w:w="36"/>
        <w:gridCol w:w="36"/>
        <w:gridCol w:w="120"/>
        <w:gridCol w:w="733"/>
        <w:gridCol w:w="36"/>
      </w:tblGrid>
      <w:tr w:rsidR="00000000">
        <w:trPr>
          <w:divId w:val="2075084224"/>
          <w:jc w:val="center"/>
        </w:trPr>
        <w:tc>
          <w:tcPr>
            <w:tcW w:w="50" w:type="pct"/>
            <w:vAlign w:val="center"/>
            <w:hideMark/>
          </w:tcPr>
          <w:p w:rsidR="00000000" w:rsidRDefault="00AC31B9">
            <w:pPr>
              <w:rPr>
                <w:rFonts w:eastAsia="Times New Roman"/>
              </w:rPr>
            </w:pPr>
          </w:p>
        </w:tc>
        <w:tc>
          <w:tcPr>
            <w:tcW w:w="319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97"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2075084224"/>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r>
      <w:tr w:rsidR="00000000">
        <w:trPr>
          <w:divId w:val="207508422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lease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75084224"/>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Finance lease cost: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2075084224"/>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Amortization of ROU assets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75084224"/>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Interest on lease liabilities </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7508422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Variable lease cost</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75084224"/>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Short-term lease cost</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07508422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lease cost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divId w:val="81996481"/>
        <w:rPr>
          <w:rFonts w:eastAsia="Times New Roman"/>
        </w:rPr>
      </w:pPr>
    </w:p>
    <w:p w:rsidR="00000000" w:rsidRDefault="00AC31B9">
      <w:pPr>
        <w:divId w:val="811941202"/>
        <w:rPr>
          <w:rFonts w:eastAsia="Times New Roman"/>
        </w:rPr>
      </w:pPr>
      <w:r>
        <w:rPr>
          <w:rFonts w:eastAsia="Times New Roman"/>
          <w:color w:val="000000"/>
          <w:sz w:val="20"/>
          <w:szCs w:val="20"/>
        </w:rPr>
        <w:t>The following table presents the cash and non-cash activity related to lease liabilities included in the Consolidated Statements of Cash Flows during Fiscal 2023, Fiscal 2022 and Fiscal 2021:</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5222"/>
        <w:gridCol w:w="37"/>
        <w:gridCol w:w="120"/>
        <w:gridCol w:w="763"/>
        <w:gridCol w:w="36"/>
        <w:gridCol w:w="36"/>
        <w:gridCol w:w="36"/>
        <w:gridCol w:w="36"/>
        <w:gridCol w:w="121"/>
        <w:gridCol w:w="724"/>
        <w:gridCol w:w="36"/>
        <w:gridCol w:w="36"/>
        <w:gridCol w:w="36"/>
        <w:gridCol w:w="36"/>
        <w:gridCol w:w="121"/>
        <w:gridCol w:w="775"/>
        <w:gridCol w:w="36"/>
      </w:tblGrid>
      <w:tr w:rsidR="00000000">
        <w:trPr>
          <w:divId w:val="1132946664"/>
          <w:jc w:val="center"/>
        </w:trPr>
        <w:tc>
          <w:tcPr>
            <w:tcW w:w="50" w:type="pct"/>
            <w:vAlign w:val="center"/>
            <w:hideMark/>
          </w:tcPr>
          <w:p w:rsidR="00000000" w:rsidRDefault="00AC31B9">
            <w:pPr>
              <w:rPr>
                <w:rFonts w:eastAsia="Times New Roman"/>
              </w:rPr>
            </w:pPr>
          </w:p>
        </w:tc>
        <w:tc>
          <w:tcPr>
            <w:tcW w:w="3207"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97"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132946664"/>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r>
      <w:tr w:rsidR="00000000">
        <w:trPr>
          <w:divId w:val="113294666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Cash paid related to lease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132946664"/>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cash flows — operating leases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32946664"/>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cash flows — finance leases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32946664"/>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Financing cash flows — finance leases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32946664"/>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132946664"/>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Non-cash lease liability activities: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132946664"/>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ROU assets obtained in exchange for operating lease liabilities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32946664"/>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ROU assets obtained in exchange for finance lease liabilities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both"/>
        <w:rPr>
          <w:rFonts w:eastAsia="Times New Roman"/>
        </w:rPr>
      </w:pPr>
    </w:p>
    <w:p w:rsidR="00000000" w:rsidRDefault="00AC31B9">
      <w:pPr>
        <w:jc w:val="center"/>
        <w:divId w:val="1123574071"/>
        <w:rPr>
          <w:rFonts w:eastAsia="Times New Roman"/>
        </w:rPr>
      </w:pPr>
      <w:r>
        <w:rPr>
          <w:rFonts w:eastAsia="Times New Roman"/>
          <w:color w:val="000000"/>
          <w:sz w:val="20"/>
          <w:szCs w:val="20"/>
        </w:rPr>
        <w:t>F-49</w:t>
      </w:r>
    </w:p>
    <w:p w:rsidR="00000000" w:rsidRDefault="00AC31B9">
      <w:pPr>
        <w:rPr>
          <w:rFonts w:eastAsia="Times New Roman"/>
        </w:rPr>
      </w:pPr>
      <w:r>
        <w:rPr>
          <w:rFonts w:eastAsia="Times New Roman"/>
        </w:rPr>
        <w:pict>
          <v:rect id="_x0000_i1167" style="width:0;height:1.5pt" o:hralign="center" o:hrstd="t" o:hr="t" fillcolor="#a0a0a0" stroked="f"/>
        </w:pict>
      </w:r>
    </w:p>
    <w:p w:rsidR="00000000" w:rsidRDefault="00AC31B9">
      <w:pPr>
        <w:divId w:val="324013820"/>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577008543"/>
        <w:rPr>
          <w:rFonts w:eastAsia="Times New Roman"/>
        </w:rPr>
      </w:pPr>
      <w:r>
        <w:rPr>
          <w:rFonts w:eastAsia="Times New Roman"/>
          <w:b/>
          <w:bCs/>
          <w:color w:val="000000"/>
          <w:sz w:val="20"/>
          <w:szCs w:val="20"/>
        </w:rPr>
        <w:t>UGI Corporation and Subsidiaries</w:t>
      </w:r>
    </w:p>
    <w:p w:rsidR="00000000" w:rsidRDefault="00AC31B9">
      <w:pPr>
        <w:divId w:val="576549070"/>
        <w:rPr>
          <w:rFonts w:eastAsia="Times New Roman"/>
        </w:rPr>
      </w:pPr>
      <w:r>
        <w:rPr>
          <w:rFonts w:eastAsia="Times New Roman"/>
          <w:b/>
          <w:bCs/>
          <w:color w:val="000000"/>
          <w:sz w:val="20"/>
          <w:szCs w:val="20"/>
        </w:rPr>
        <w:t>Notes to Consolidated Financial Statements</w:t>
      </w:r>
    </w:p>
    <w:p w:rsidR="00000000" w:rsidRDefault="00AC31B9">
      <w:pPr>
        <w:divId w:val="1047679688"/>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rPr>
          <w:rFonts w:eastAsia="Times New Roman"/>
        </w:rPr>
      </w:pPr>
      <w:r>
        <w:rPr>
          <w:rFonts w:eastAsia="Times New Roman"/>
          <w:color w:val="000000"/>
          <w:sz w:val="20"/>
          <w:szCs w:val="20"/>
        </w:rPr>
        <w:t>The following table presents the weighted-average remaining lease term and weighted-average discount rate:</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4954"/>
        <w:gridCol w:w="37"/>
        <w:gridCol w:w="36"/>
        <w:gridCol w:w="36"/>
        <w:gridCol w:w="36"/>
        <w:gridCol w:w="55"/>
        <w:gridCol w:w="1442"/>
        <w:gridCol w:w="36"/>
        <w:gridCol w:w="36"/>
        <w:gridCol w:w="36"/>
        <w:gridCol w:w="36"/>
        <w:gridCol w:w="37"/>
        <w:gridCol w:w="1439"/>
        <w:gridCol w:w="36"/>
      </w:tblGrid>
      <w:tr w:rsidR="00000000">
        <w:trPr>
          <w:divId w:val="1862932909"/>
          <w:jc w:val="center"/>
        </w:trPr>
        <w:tc>
          <w:tcPr>
            <w:tcW w:w="50" w:type="pct"/>
            <w:vAlign w:val="center"/>
            <w:hideMark/>
          </w:tcPr>
          <w:p w:rsidR="00000000" w:rsidRDefault="00AC31B9">
            <w:pPr>
              <w:jc w:val="both"/>
              <w:rPr>
                <w:rFonts w:eastAsia="Times New Roman"/>
              </w:rPr>
            </w:pPr>
          </w:p>
        </w:tc>
        <w:tc>
          <w:tcPr>
            <w:tcW w:w="299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88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88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862932909"/>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Weighted-average remaining lease term (in years)</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r>
      <w:tr w:rsidR="00000000">
        <w:trPr>
          <w:divId w:val="1862932909"/>
          <w:trHeight w:val="10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862932909"/>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7.1</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6.0</w:t>
            </w:r>
          </w:p>
        </w:tc>
      </w:tr>
      <w:tr w:rsidR="00000000">
        <w:trPr>
          <w:divId w:val="1862932909"/>
          <w:jc w:val="center"/>
        </w:trPr>
        <w:tc>
          <w:tcPr>
            <w:tcW w:w="0" w:type="auto"/>
            <w:gridSpan w:val="3"/>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Finance leases</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5.3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3.7</w:t>
            </w:r>
          </w:p>
        </w:tc>
      </w:tr>
      <w:tr w:rsidR="00000000">
        <w:trPr>
          <w:divId w:val="1862932909"/>
          <w:trHeight w:val="120"/>
          <w:jc w:val="center"/>
        </w:trPr>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862932909"/>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Weighted-average discount rate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r>
      <w:tr w:rsidR="00000000">
        <w:trPr>
          <w:divId w:val="1862932909"/>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leases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4.5%</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3.6%</w:t>
            </w:r>
          </w:p>
        </w:tc>
      </w:tr>
      <w:tr w:rsidR="00000000">
        <w:trPr>
          <w:divId w:val="1862932909"/>
          <w:jc w:val="center"/>
        </w:trPr>
        <w:tc>
          <w:tcPr>
            <w:tcW w:w="0" w:type="auto"/>
            <w:gridSpan w:val="3"/>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Finance leases</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1.8%</w:t>
            </w:r>
          </w:p>
        </w:tc>
      </w:tr>
    </w:tbl>
    <w:p w:rsidR="00000000" w:rsidRDefault="00AC31B9">
      <w:pPr>
        <w:jc w:val="both"/>
        <w:divId w:val="609625406"/>
        <w:rPr>
          <w:rFonts w:eastAsia="Times New Roman"/>
        </w:rPr>
      </w:pPr>
      <w:r>
        <w:rPr>
          <w:rFonts w:eastAsia="Times New Roman"/>
          <w:color w:val="000000"/>
          <w:sz w:val="20"/>
          <w:szCs w:val="20"/>
        </w:rPr>
        <w:t>Expected annual lease payments based on maturities of operating and finance leases, as well as a reconciliation to the lease liabilities on the Consolidated Balance Sheet, as of September 30, 2023, were as follows:</w:t>
      </w:r>
    </w:p>
    <w:tbl>
      <w:tblPr>
        <w:tblW w:w="4956" w:type="pct"/>
        <w:jc w:val="center"/>
        <w:tblCellMar>
          <w:top w:w="15" w:type="dxa"/>
          <w:left w:w="15" w:type="dxa"/>
          <w:bottom w:w="15" w:type="dxa"/>
          <w:right w:w="15" w:type="dxa"/>
        </w:tblCellMar>
        <w:tblLook w:val="04A0" w:firstRow="1" w:lastRow="0" w:firstColumn="1" w:lastColumn="0" w:noHBand="0" w:noVBand="1"/>
      </w:tblPr>
      <w:tblGrid>
        <w:gridCol w:w="48"/>
        <w:gridCol w:w="1101"/>
        <w:gridCol w:w="36"/>
        <w:gridCol w:w="120"/>
        <w:gridCol w:w="551"/>
        <w:gridCol w:w="36"/>
        <w:gridCol w:w="36"/>
        <w:gridCol w:w="36"/>
        <w:gridCol w:w="36"/>
        <w:gridCol w:w="120"/>
        <w:gridCol w:w="490"/>
        <w:gridCol w:w="36"/>
        <w:gridCol w:w="36"/>
        <w:gridCol w:w="36"/>
        <w:gridCol w:w="36"/>
        <w:gridCol w:w="120"/>
        <w:gridCol w:w="443"/>
        <w:gridCol w:w="36"/>
        <w:gridCol w:w="36"/>
        <w:gridCol w:w="36"/>
        <w:gridCol w:w="36"/>
        <w:gridCol w:w="120"/>
        <w:gridCol w:w="467"/>
        <w:gridCol w:w="36"/>
        <w:gridCol w:w="36"/>
        <w:gridCol w:w="36"/>
        <w:gridCol w:w="36"/>
        <w:gridCol w:w="120"/>
        <w:gridCol w:w="479"/>
        <w:gridCol w:w="36"/>
        <w:gridCol w:w="36"/>
        <w:gridCol w:w="36"/>
        <w:gridCol w:w="36"/>
        <w:gridCol w:w="120"/>
        <w:gridCol w:w="479"/>
        <w:gridCol w:w="36"/>
        <w:gridCol w:w="36"/>
        <w:gridCol w:w="36"/>
        <w:gridCol w:w="36"/>
        <w:gridCol w:w="121"/>
        <w:gridCol w:w="639"/>
        <w:gridCol w:w="36"/>
        <w:gridCol w:w="36"/>
        <w:gridCol w:w="36"/>
        <w:gridCol w:w="36"/>
        <w:gridCol w:w="121"/>
        <w:gridCol w:w="555"/>
        <w:gridCol w:w="36"/>
        <w:gridCol w:w="36"/>
        <w:gridCol w:w="36"/>
        <w:gridCol w:w="36"/>
        <w:gridCol w:w="121"/>
        <w:gridCol w:w="674"/>
        <w:gridCol w:w="36"/>
      </w:tblGrid>
      <w:tr w:rsidR="00000000">
        <w:trPr>
          <w:jc w:val="center"/>
        </w:trPr>
        <w:tc>
          <w:tcPr>
            <w:tcW w:w="50" w:type="pct"/>
            <w:vAlign w:val="center"/>
            <w:hideMark/>
          </w:tcPr>
          <w:p w:rsidR="00000000" w:rsidRDefault="00AC31B9">
            <w:pPr>
              <w:jc w:val="both"/>
              <w:rPr>
                <w:rFonts w:eastAsia="Times New Roman"/>
              </w:rPr>
            </w:pPr>
          </w:p>
        </w:tc>
        <w:tc>
          <w:tcPr>
            <w:tcW w:w="74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9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9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6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8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87"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87"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5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57"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87"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2024</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2025</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2026</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2027</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2028</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 After 2028</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Total Lease Payments</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Imputed Interest</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Lease Liabilities</w:t>
            </w:r>
          </w:p>
        </w:tc>
      </w:tr>
      <w:tr w:rsidR="00AC31B9">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Operating leases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Finance leases</w:t>
            </w:r>
          </w:p>
        </w:tc>
        <w:tc>
          <w:tcPr>
            <w:tcW w:w="0" w:type="auto"/>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5 </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5 </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5 </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4 </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4 </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76 </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99 </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(49)</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50 </w:t>
            </w:r>
          </w:p>
        </w:tc>
        <w:tc>
          <w:tcPr>
            <w:tcW w:w="0" w:type="auto"/>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ind w:hanging="360"/>
        <w:divId w:val="1654867375"/>
        <w:rPr>
          <w:rFonts w:eastAsia="Times New Roman"/>
        </w:rPr>
      </w:pPr>
      <w:r>
        <w:rPr>
          <w:rFonts w:eastAsia="Times New Roman"/>
          <w:color w:val="000000"/>
          <w:sz w:val="20"/>
          <w:szCs w:val="20"/>
        </w:rPr>
        <w:t>Approximately 80% of the operating lease liabilities presented above relate to Amer</w:t>
      </w:r>
      <w:r>
        <w:rPr>
          <w:rFonts w:eastAsia="Times New Roman"/>
          <w:color w:val="000000"/>
          <w:sz w:val="20"/>
          <w:szCs w:val="20"/>
        </w:rPr>
        <w:t xml:space="preserve">iGas Propane. </w:t>
      </w:r>
    </w:p>
    <w:p w:rsidR="00000000" w:rsidRDefault="00AC31B9">
      <w:pPr>
        <w:divId w:val="1859269509"/>
        <w:rPr>
          <w:rFonts w:eastAsia="Times New Roman"/>
        </w:rPr>
      </w:pPr>
    </w:p>
    <w:p w:rsidR="00000000" w:rsidRDefault="00AC31B9">
      <w:pPr>
        <w:jc w:val="both"/>
        <w:rPr>
          <w:rFonts w:eastAsia="Times New Roman"/>
        </w:rPr>
      </w:pPr>
      <w:r>
        <w:rPr>
          <w:rFonts w:eastAsia="Times New Roman"/>
          <w:color w:val="000000"/>
          <w:sz w:val="20"/>
          <w:szCs w:val="20"/>
        </w:rPr>
        <w:t>At September 30, 2023, operating and finance leases that had not yet commenced were not material.</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Lessor</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We enter into lessor arrangements for the purposes of storing, gathering or distributing natural gas and LPG. AmeriGas Propane and</w:t>
      </w:r>
      <w:r>
        <w:rPr>
          <w:rFonts w:eastAsia="Times New Roman"/>
          <w:color w:val="000000"/>
          <w:sz w:val="20"/>
          <w:szCs w:val="20"/>
        </w:rPr>
        <w:t xml:space="preserve"> UGI International have lessor arrangements that grant customers the right to use small, medium and large storage tanks, which we classify as operating leases. These agreements contain renewal options for periods up to nine years and certain agreements at </w:t>
      </w:r>
      <w:r>
        <w:rPr>
          <w:rFonts w:eastAsia="Times New Roman"/>
          <w:color w:val="000000"/>
          <w:sz w:val="20"/>
          <w:szCs w:val="20"/>
        </w:rPr>
        <w:t xml:space="preserve">UGI International contain a purchase option. Energy Services leases certain natural gas gathering assets to customers, which we classify as operating leases. Lease income is generally recognized on a straight-line basis over the lease term and included in </w:t>
      </w:r>
      <w:r>
        <w:rPr>
          <w:rFonts w:eastAsia="Times New Roman"/>
          <w:color w:val="000000"/>
          <w:sz w:val="20"/>
          <w:szCs w:val="20"/>
        </w:rPr>
        <w:t xml:space="preserve">“Revenues” on the Consolidated Statements of Income (see Note 4). </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 xml:space="preserve">Note 16 — Commitments and Contingencies </w:t>
      </w:r>
    </w:p>
    <w:p w:rsidR="00000000" w:rsidRDefault="00AC31B9">
      <w:pPr>
        <w:jc w:val="both"/>
        <w:divId w:val="176239036"/>
        <w:rPr>
          <w:rFonts w:eastAsia="Times New Roman"/>
        </w:rPr>
      </w:pPr>
      <w:r>
        <w:rPr>
          <w:rFonts w:eastAsia="Times New Roman"/>
          <w:b/>
          <w:bCs/>
          <w:i/>
          <w:iCs/>
          <w:color w:val="000000"/>
          <w:sz w:val="20"/>
          <w:szCs w:val="20"/>
        </w:rPr>
        <w:t>Environmental Matters</w:t>
      </w:r>
    </w:p>
    <w:p w:rsidR="00000000" w:rsidRDefault="00AC31B9">
      <w:pPr>
        <w:divId w:val="116263890"/>
        <w:rPr>
          <w:rFonts w:eastAsia="Times New Roman"/>
        </w:rPr>
      </w:pPr>
    </w:p>
    <w:p w:rsidR="00000000" w:rsidRDefault="00AC31B9">
      <w:pPr>
        <w:divId w:val="187447650"/>
        <w:rPr>
          <w:rFonts w:eastAsia="Times New Roman"/>
        </w:rPr>
      </w:pPr>
      <w:r>
        <w:rPr>
          <w:rFonts w:eastAsia="Times New Roman"/>
          <w:color w:val="000000"/>
          <w:sz w:val="20"/>
          <w:szCs w:val="20"/>
          <w:u w:val="single"/>
        </w:rPr>
        <w:t>UGI Utilities</w:t>
      </w:r>
    </w:p>
    <w:p w:rsidR="00000000" w:rsidRDefault="00AC31B9">
      <w:pPr>
        <w:divId w:val="1970237996"/>
        <w:rPr>
          <w:rFonts w:eastAsia="Times New Roman"/>
        </w:rPr>
      </w:pPr>
    </w:p>
    <w:p w:rsidR="00000000" w:rsidRDefault="00AC31B9">
      <w:pPr>
        <w:jc w:val="both"/>
        <w:rPr>
          <w:rFonts w:eastAsia="Times New Roman"/>
        </w:rPr>
      </w:pPr>
      <w:r>
        <w:rPr>
          <w:rFonts w:eastAsia="Times New Roman"/>
          <w:color w:val="000000"/>
          <w:sz w:val="20"/>
          <w:szCs w:val="20"/>
        </w:rPr>
        <w:t xml:space="preserve">From the late 1800s through the mid-1900s, UGI Utilities and its former subsidiaries owned and operated a </w:t>
      </w:r>
      <w:r>
        <w:rPr>
          <w:rFonts w:eastAsia="Times New Roman"/>
          <w:color w:val="000000"/>
          <w:sz w:val="20"/>
          <w:szCs w:val="20"/>
        </w:rPr>
        <w:t>number of MGPs prior to the general availability of natural gas. Some constituents of coal tars and other residues of the manufactured gas process are today considered hazardous substances under the Superfund Law and may be present on the sites of former M</w:t>
      </w:r>
      <w:r>
        <w:rPr>
          <w:rFonts w:eastAsia="Times New Roman"/>
          <w:color w:val="000000"/>
          <w:sz w:val="20"/>
          <w:szCs w:val="20"/>
        </w:rPr>
        <w:t>GPs. Between 1882 and 1953, UGI Utilities owned the stock of subsidiary gas companies in Pennsylvania and elsewhere and also operated the businesses of some gas companies under agreement. By the early 1950s, UGI Utilities divested all of its utility operat</w:t>
      </w:r>
      <w:r>
        <w:rPr>
          <w:rFonts w:eastAsia="Times New Roman"/>
          <w:color w:val="000000"/>
          <w:sz w:val="20"/>
          <w:szCs w:val="20"/>
        </w:rPr>
        <w:t>ions other than certain gas and electric operations. Beginning in 2006 and 2008, UGI Utilities also owned and operated two acquired subsidiaries, with similar histories of owning, and in some cases operating, MGPs in Pennsylvania.</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UGI Utilities is subjec</w:t>
      </w:r>
      <w:r>
        <w:rPr>
          <w:rFonts w:eastAsia="Times New Roman"/>
          <w:color w:val="000000"/>
          <w:sz w:val="20"/>
          <w:szCs w:val="20"/>
        </w:rPr>
        <w:t>t to a COA with the PADEP to address the remediation of specified former MGP sites in Pennsylvania, which is scheduled to terminate at the end of 2031. In accordance with the COA, UGI Utilities is required to either obtain a certain number of points per ca</w:t>
      </w:r>
      <w:r>
        <w:rPr>
          <w:rFonts w:eastAsia="Times New Roman"/>
          <w:color w:val="000000"/>
          <w:sz w:val="20"/>
          <w:szCs w:val="20"/>
        </w:rPr>
        <w:t>lendar year based on defined eligible environmental investigatory and/or remedial activities at the MGPs, or make expenditures for such activities in an amount equal to an annual environmental minimum expenditure threshold. The annual minimum expenditure t</w:t>
      </w:r>
      <w:r>
        <w:rPr>
          <w:rFonts w:eastAsia="Times New Roman"/>
          <w:color w:val="000000"/>
          <w:sz w:val="20"/>
          <w:szCs w:val="20"/>
        </w:rPr>
        <w:t>hreshold of the COA is $5. At September 30, 2023 and 2022, our aggregate estimated accrued liabilities for environmental investigation and remediation costs related to the COA totaled $52 and $53, respectively.</w:t>
      </w:r>
    </w:p>
    <w:p w:rsidR="00000000" w:rsidRDefault="00AC31B9">
      <w:pPr>
        <w:jc w:val="both"/>
        <w:divId w:val="799998601"/>
        <w:rPr>
          <w:rFonts w:eastAsia="Times New Roman"/>
        </w:rPr>
      </w:pPr>
      <w:r>
        <w:rPr>
          <w:rFonts w:eastAsia="Times New Roman"/>
          <w:color w:val="000000"/>
          <w:sz w:val="20"/>
          <w:szCs w:val="20"/>
        </w:rPr>
        <w:t xml:space="preserve">We do not expect the costs for investigation </w:t>
      </w:r>
      <w:r>
        <w:rPr>
          <w:rFonts w:eastAsia="Times New Roman"/>
          <w:color w:val="000000"/>
          <w:sz w:val="20"/>
          <w:szCs w:val="20"/>
        </w:rPr>
        <w:t>and remediation of hazardous substances at Pennsylvania MGP sites to be material to UGI Utilities’ results of operations because UGI Utilities receives ratemaking recovery of actual environmental investigation and remediation costs associated with the site</w:t>
      </w:r>
      <w:r>
        <w:rPr>
          <w:rFonts w:eastAsia="Times New Roman"/>
          <w:color w:val="000000"/>
          <w:sz w:val="20"/>
          <w:szCs w:val="20"/>
        </w:rPr>
        <w:t xml:space="preserve">s covered by the COA. This ratemaking recognition reconciles the accumulated </w:t>
      </w:r>
    </w:p>
    <w:p w:rsidR="00000000" w:rsidRDefault="00AC31B9">
      <w:pPr>
        <w:jc w:val="center"/>
        <w:divId w:val="1557740303"/>
        <w:rPr>
          <w:rFonts w:eastAsia="Times New Roman"/>
        </w:rPr>
      </w:pPr>
      <w:r>
        <w:rPr>
          <w:rFonts w:eastAsia="Times New Roman"/>
          <w:color w:val="000000"/>
          <w:sz w:val="20"/>
          <w:szCs w:val="20"/>
        </w:rPr>
        <w:t>F-50</w:t>
      </w:r>
    </w:p>
    <w:p w:rsidR="00000000" w:rsidRDefault="00AC31B9">
      <w:pPr>
        <w:rPr>
          <w:rFonts w:eastAsia="Times New Roman"/>
        </w:rPr>
      </w:pPr>
      <w:r>
        <w:rPr>
          <w:rFonts w:eastAsia="Times New Roman"/>
        </w:rPr>
        <w:pict>
          <v:rect id="_x0000_i1168" style="width:0;height:1.5pt" o:hralign="center" o:hrstd="t" o:hr="t" fillcolor="#a0a0a0" stroked="f"/>
        </w:pict>
      </w:r>
    </w:p>
    <w:p w:rsidR="00000000" w:rsidRDefault="00AC31B9">
      <w:pPr>
        <w:divId w:val="386926223"/>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575672425"/>
        <w:rPr>
          <w:rFonts w:eastAsia="Times New Roman"/>
        </w:rPr>
      </w:pPr>
      <w:r>
        <w:rPr>
          <w:rFonts w:eastAsia="Times New Roman"/>
          <w:b/>
          <w:bCs/>
          <w:color w:val="000000"/>
          <w:sz w:val="20"/>
          <w:szCs w:val="20"/>
        </w:rPr>
        <w:t>UGI Corporation and Subsidiaries</w:t>
      </w:r>
    </w:p>
    <w:p w:rsidR="00000000" w:rsidRDefault="00AC31B9">
      <w:pPr>
        <w:divId w:val="413668873"/>
        <w:rPr>
          <w:rFonts w:eastAsia="Times New Roman"/>
        </w:rPr>
      </w:pPr>
      <w:r>
        <w:rPr>
          <w:rFonts w:eastAsia="Times New Roman"/>
          <w:b/>
          <w:bCs/>
          <w:color w:val="000000"/>
          <w:sz w:val="20"/>
          <w:szCs w:val="20"/>
        </w:rPr>
        <w:t>Notes to Consolidated Financial Statements</w:t>
      </w:r>
    </w:p>
    <w:p w:rsidR="00000000" w:rsidRDefault="00AC31B9">
      <w:pPr>
        <w:divId w:val="1937055250"/>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1724404433"/>
        <w:rPr>
          <w:rFonts w:eastAsia="Times New Roman"/>
        </w:rPr>
      </w:pPr>
      <w:r>
        <w:rPr>
          <w:rFonts w:eastAsia="Times New Roman"/>
          <w:color w:val="000000"/>
          <w:sz w:val="20"/>
          <w:szCs w:val="20"/>
        </w:rPr>
        <w:t>difference between historical costs and rate recoveries with an estimate of future costs associated with the sites. As such, UGI Utilities has recorded an associated regulatory asset for these costs because recovery of these costs from customers is probabl</w:t>
      </w:r>
      <w:r>
        <w:rPr>
          <w:rFonts w:eastAsia="Times New Roman"/>
          <w:color w:val="000000"/>
          <w:sz w:val="20"/>
          <w:szCs w:val="20"/>
        </w:rPr>
        <w:t>e (see Note 9).</w:t>
      </w:r>
    </w:p>
    <w:p w:rsidR="00000000" w:rsidRDefault="00AC31B9">
      <w:pPr>
        <w:jc w:val="both"/>
        <w:divId w:val="794251104"/>
        <w:rPr>
          <w:rFonts w:eastAsia="Times New Roman"/>
        </w:rPr>
      </w:pPr>
      <w:r>
        <w:rPr>
          <w:rFonts w:eastAsia="Times New Roman"/>
          <w:color w:val="000000"/>
          <w:sz w:val="20"/>
          <w:szCs w:val="20"/>
        </w:rPr>
        <w:t>From time to time, UGI Utilities is notified of sites outside Pennsylvania on which private parties allege MGPs were formerly owned or operated by UGI Utilities or owned or operated by a former subsidiary. Such parties generally investigate</w:t>
      </w:r>
      <w:r>
        <w:rPr>
          <w:rFonts w:eastAsia="Times New Roman"/>
          <w:color w:val="000000"/>
          <w:sz w:val="20"/>
          <w:szCs w:val="20"/>
        </w:rPr>
        <w:t xml:space="preserve"> the extent of environmental contamination or perform environmental remediation. Management believes that under applicable law UGI Utilities should not be liable in those instances in which a former subsidiary owned or operated an MGP. There could be, howe</w:t>
      </w:r>
      <w:r>
        <w:rPr>
          <w:rFonts w:eastAsia="Times New Roman"/>
          <w:color w:val="000000"/>
          <w:sz w:val="20"/>
          <w:szCs w:val="20"/>
        </w:rPr>
        <w:t>ver, significant future costs of an uncertain amount associated with environmental damage caused by MGPs outside Pennsylvania that UGI Utilities directly operated, or that were owned or operated by a former subsidiary of UGI Utilities if a court were to co</w:t>
      </w:r>
      <w:r>
        <w:rPr>
          <w:rFonts w:eastAsia="Times New Roman"/>
          <w:color w:val="000000"/>
          <w:sz w:val="20"/>
          <w:szCs w:val="20"/>
        </w:rPr>
        <w:t>nclude that (1) the subsidiary’s separate corporate form should be disregarded, or (2) UGI Utilities should be considered to have been an operator because of its conduct with respect to its subsidiary’s MGP. Neither the undiscounted nor the accrued liabili</w:t>
      </w:r>
      <w:r>
        <w:rPr>
          <w:rFonts w:eastAsia="Times New Roman"/>
          <w:color w:val="000000"/>
          <w:sz w:val="20"/>
          <w:szCs w:val="20"/>
        </w:rPr>
        <w:t>ty for environmental investigation and cleanup costs for UGI Utilities’ MGP sites outside Pennsylvania were material for all periods presented.</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u w:val="single"/>
        </w:rPr>
        <w:t>AmeriGas Propane</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AmeriGas OLP Saranac Lake. </w:t>
      </w:r>
      <w:r>
        <w:rPr>
          <w:rFonts w:eastAsia="Times New Roman"/>
          <w:color w:val="000000"/>
          <w:sz w:val="20"/>
          <w:szCs w:val="20"/>
        </w:rPr>
        <w:t>In 2008, the NYDEC notified AmeriGas OLP that the NYDEC had plac</w:t>
      </w:r>
      <w:r>
        <w:rPr>
          <w:rFonts w:eastAsia="Times New Roman"/>
          <w:color w:val="000000"/>
          <w:sz w:val="20"/>
          <w:szCs w:val="20"/>
        </w:rPr>
        <w:t>ed property purportedly owned by AmeriGas OLP in Saranac Lake, New York on the New York State Registry of Inactive Hazardous Waste Disposal Sites.  A site characterization study performed by the NYDEC disclosed contamination related to a former MGP.  Ameri</w:t>
      </w:r>
      <w:r>
        <w:rPr>
          <w:rFonts w:eastAsia="Times New Roman"/>
          <w:color w:val="000000"/>
          <w:sz w:val="20"/>
          <w:szCs w:val="20"/>
        </w:rPr>
        <w:t>Gas OLP responded to the NYDEC in 2009 to dispute the contention it was a PRP as it did not operate the MGP and appeared to only own a portion of the site.  In 2017, the NYDEC communicated to AmeriGas OLP that the NYDEC had previously issued three RODs rel</w:t>
      </w:r>
      <w:r>
        <w:rPr>
          <w:rFonts w:eastAsia="Times New Roman"/>
          <w:color w:val="000000"/>
          <w:sz w:val="20"/>
          <w:szCs w:val="20"/>
        </w:rPr>
        <w:t>ated to remediation of the site totaling approximately $28 and requested additional information regarding AmeriGas OLP’s purported ownership. AmeriGas OLP renewed its challenge to designation as a PRP and identified potential defenses.  The NYDEC subsequen</w:t>
      </w:r>
      <w:r>
        <w:rPr>
          <w:rFonts w:eastAsia="Times New Roman"/>
          <w:color w:val="000000"/>
          <w:sz w:val="20"/>
          <w:szCs w:val="20"/>
        </w:rPr>
        <w:t>tly identified a third party PRP with respect to the site.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NYDEC commenced implementation of the remediation plan in the spring of 2018.  Based on our evaluation of the available information as of September 30, 2023 and 2022, the Partnership has an u</w:t>
      </w:r>
      <w:r>
        <w:rPr>
          <w:rFonts w:eastAsia="Times New Roman"/>
          <w:color w:val="000000"/>
          <w:sz w:val="20"/>
          <w:szCs w:val="20"/>
        </w:rPr>
        <w:t xml:space="preserve">ndiscounted environmental remediation liability of $8 related to the site. Our share of the actual remediation costs could be significantly more or less than the accrued amount. </w:t>
      </w:r>
    </w:p>
    <w:p w:rsidR="00000000" w:rsidRDefault="00AC31B9">
      <w:pPr>
        <w:jc w:val="both"/>
        <w:divId w:val="734939101"/>
        <w:rPr>
          <w:rFonts w:eastAsia="Times New Roman"/>
        </w:rPr>
      </w:pPr>
      <w:r>
        <w:rPr>
          <w:rFonts w:eastAsia="Times New Roman"/>
          <w:b/>
          <w:bCs/>
          <w:i/>
          <w:iCs/>
          <w:color w:val="000000"/>
          <w:sz w:val="20"/>
          <w:szCs w:val="20"/>
        </w:rPr>
        <w:t>Other Matters</w:t>
      </w:r>
    </w:p>
    <w:p w:rsidR="00000000" w:rsidRDefault="00AC31B9">
      <w:pPr>
        <w:jc w:val="both"/>
        <w:rPr>
          <w:rFonts w:eastAsia="Times New Roman"/>
        </w:rPr>
      </w:pPr>
    </w:p>
    <w:p w:rsidR="00000000" w:rsidRDefault="00AC31B9">
      <w:pPr>
        <w:jc w:val="both"/>
        <w:rPr>
          <w:rFonts w:eastAsia="Times New Roman"/>
        </w:rPr>
      </w:pPr>
      <w:r>
        <w:rPr>
          <w:rFonts w:eastAsia="Times New Roman"/>
          <w:b/>
          <w:bCs/>
          <w:i/>
          <w:iCs/>
          <w:color w:val="000000"/>
          <w:sz w:val="20"/>
          <w:szCs w:val="20"/>
        </w:rPr>
        <w:t>West Reading, Pennsylvania Explosion.</w:t>
      </w:r>
      <w:r>
        <w:rPr>
          <w:rFonts w:eastAsia="Times New Roman"/>
          <w:color w:val="000000"/>
          <w:sz w:val="20"/>
          <w:szCs w:val="20"/>
        </w:rPr>
        <w:t xml:space="preserve"> On March 24, 2023, an e</w:t>
      </w:r>
      <w:r>
        <w:rPr>
          <w:rFonts w:eastAsia="Times New Roman"/>
          <w:color w:val="000000"/>
          <w:sz w:val="20"/>
          <w:szCs w:val="20"/>
        </w:rPr>
        <w:t>xplosion occurred in West Reading, Pennsylvania which resulted in seven fatalities, significant injuries to eleven others, and extensive property damage to buildings owned by R.M. Palmer, a local chocolate manufacturer, and other neighboring structures. Th</w:t>
      </w:r>
      <w:r>
        <w:rPr>
          <w:rFonts w:eastAsia="Times New Roman"/>
          <w:color w:val="000000"/>
          <w:sz w:val="20"/>
          <w:szCs w:val="20"/>
        </w:rPr>
        <w:t>e NTSB and the PAPUC are investigating the West Reading incident. On July 18, 2023, the NTSB issued an Investigative Update in its ongoing investigation. That report identifies a fracture in a retired UGI gas service tee and a fracture in a nearby steam sy</w:t>
      </w:r>
      <w:r>
        <w:rPr>
          <w:rFonts w:eastAsia="Times New Roman"/>
          <w:color w:val="000000"/>
          <w:sz w:val="20"/>
          <w:szCs w:val="20"/>
        </w:rPr>
        <w:t>stem, but it does not address causation of the fractures or the explosion. The NTSB investigative team includes representatives from the Company, the PAPUC, the local fire department and the Pipeline and Hazardous Materials Safety Administration. The Compa</w:t>
      </w:r>
      <w:r>
        <w:rPr>
          <w:rFonts w:eastAsia="Times New Roman"/>
          <w:color w:val="000000"/>
          <w:sz w:val="20"/>
          <w:szCs w:val="20"/>
        </w:rPr>
        <w:t>ny is cooperating with the investigation. The NTSB may invite other parties to participate. In September 2023, OSHA closed their investigation of this matter, without any finding pertaining to UGI Utilities.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While the investigation into this incident is </w:t>
      </w:r>
      <w:r>
        <w:rPr>
          <w:rFonts w:eastAsia="Times New Roman"/>
          <w:color w:val="000000"/>
          <w:sz w:val="20"/>
          <w:szCs w:val="20"/>
        </w:rPr>
        <w:t>still underway and the cause of the explosion has not been determined, the Company has received claims as a result of the explosion and is involved in lawsuits relative to the incident. The Company maintains liability insurance for personal injury, propert</w:t>
      </w:r>
      <w:r>
        <w:rPr>
          <w:rFonts w:eastAsia="Times New Roman"/>
          <w:color w:val="000000"/>
          <w:sz w:val="20"/>
          <w:szCs w:val="20"/>
        </w:rPr>
        <w:t>y and casualty damages and believes that third-party claims associated with the explosion, in excess of the Company’s deductible, are recoverable through the Company’s insurance. The Company cannot predict the result of these pending or future claims and l</w:t>
      </w:r>
      <w:r>
        <w:rPr>
          <w:rFonts w:eastAsia="Times New Roman"/>
          <w:color w:val="000000"/>
          <w:sz w:val="20"/>
          <w:szCs w:val="20"/>
        </w:rPr>
        <w:t>egal actions at this time.</w:t>
      </w:r>
    </w:p>
    <w:p w:rsidR="00000000" w:rsidRDefault="00AC31B9">
      <w:pPr>
        <w:jc w:val="both"/>
        <w:divId w:val="91584786"/>
        <w:rPr>
          <w:rFonts w:eastAsia="Times New Roman"/>
        </w:rPr>
      </w:pPr>
      <w:r>
        <w:rPr>
          <w:rFonts w:eastAsia="Times New Roman"/>
          <w:color w:val="000000"/>
          <w:sz w:val="20"/>
          <w:szCs w:val="20"/>
        </w:rPr>
        <w:t>Regarding these pending claims and legal actions, the Company does not believe, at this early stage, that there is sufficient information available to reasonably estimate a range of loss, if any, or conclude that the final outcom</w:t>
      </w:r>
      <w:r>
        <w:rPr>
          <w:rFonts w:eastAsia="Times New Roman"/>
          <w:color w:val="000000"/>
          <w:sz w:val="20"/>
          <w:szCs w:val="20"/>
        </w:rPr>
        <w:t>e of these matters will or will not have a material effect on our financial statements.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addition to the matters described above, there are other pending claims and legal actions arising in the normal course of our businesses. Although we cannot predic</w:t>
      </w:r>
      <w:r>
        <w:rPr>
          <w:rFonts w:eastAsia="Times New Roman"/>
          <w:color w:val="000000"/>
          <w:sz w:val="20"/>
          <w:szCs w:val="20"/>
        </w:rPr>
        <w:t>t the final results of these pending claims and legal actions, including those described above, we believe, after consultation with counsel, that the final outcome of these matters will not have a material effect on our financial statements.</w:t>
      </w:r>
    </w:p>
    <w:p w:rsidR="00000000" w:rsidRDefault="00AC31B9">
      <w:pPr>
        <w:jc w:val="center"/>
        <w:divId w:val="1470442256"/>
        <w:rPr>
          <w:rFonts w:eastAsia="Times New Roman"/>
        </w:rPr>
      </w:pPr>
      <w:r>
        <w:rPr>
          <w:rFonts w:eastAsia="Times New Roman"/>
          <w:color w:val="000000"/>
          <w:sz w:val="20"/>
          <w:szCs w:val="20"/>
        </w:rPr>
        <w:t>F-51</w:t>
      </w:r>
    </w:p>
    <w:p w:rsidR="00000000" w:rsidRDefault="00AC31B9">
      <w:pPr>
        <w:rPr>
          <w:rFonts w:eastAsia="Times New Roman"/>
        </w:rPr>
      </w:pPr>
      <w:r>
        <w:rPr>
          <w:rFonts w:eastAsia="Times New Roman"/>
        </w:rPr>
        <w:pict>
          <v:rect id="_x0000_i1169" style="width:0;height:1.5pt" o:hralign="center" o:hrstd="t" o:hr="t" fillcolor="#a0a0a0" stroked="f"/>
        </w:pict>
      </w:r>
    </w:p>
    <w:p w:rsidR="00000000" w:rsidRDefault="00AC31B9">
      <w:pPr>
        <w:divId w:val="750658154"/>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147553087"/>
        <w:rPr>
          <w:rFonts w:eastAsia="Times New Roman"/>
        </w:rPr>
      </w:pPr>
      <w:r>
        <w:rPr>
          <w:rFonts w:eastAsia="Times New Roman"/>
          <w:b/>
          <w:bCs/>
          <w:color w:val="000000"/>
          <w:sz w:val="20"/>
          <w:szCs w:val="20"/>
        </w:rPr>
        <w:t>UGI Corporation and Subsidiaries</w:t>
      </w:r>
    </w:p>
    <w:p w:rsidR="00000000" w:rsidRDefault="00AC31B9">
      <w:pPr>
        <w:divId w:val="784008555"/>
        <w:rPr>
          <w:rFonts w:eastAsia="Times New Roman"/>
        </w:rPr>
      </w:pPr>
      <w:r>
        <w:rPr>
          <w:rFonts w:eastAsia="Times New Roman"/>
          <w:b/>
          <w:bCs/>
          <w:color w:val="000000"/>
          <w:sz w:val="20"/>
          <w:szCs w:val="20"/>
        </w:rPr>
        <w:t>Notes to Consolidated Financial Statements</w:t>
      </w:r>
    </w:p>
    <w:p w:rsidR="00000000" w:rsidRDefault="00AC31B9">
      <w:pPr>
        <w:divId w:val="1472626544"/>
        <w:rPr>
          <w:rFonts w:eastAsia="Times New Roman"/>
        </w:rPr>
      </w:pPr>
      <w:r>
        <w:rPr>
          <w:rFonts w:eastAsia="Times New Roman"/>
          <w:color w:val="000000"/>
          <w:sz w:val="20"/>
          <w:szCs w:val="20"/>
        </w:rPr>
        <w:t>(Currency in millions, except per share amounts and where indicated otherwis</w:t>
      </w:r>
      <w:r>
        <w:rPr>
          <w:rFonts w:eastAsia="Times New Roman"/>
          <w:color w:val="000000"/>
          <w:sz w:val="20"/>
          <w:szCs w:val="20"/>
        </w:rPr>
        <w:t>e)</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 xml:space="preserve">Note 17 — Fair Value Measurements </w:t>
      </w:r>
    </w:p>
    <w:p w:rsidR="00000000" w:rsidRDefault="00AC31B9">
      <w:pPr>
        <w:jc w:val="both"/>
        <w:divId w:val="1710645682"/>
        <w:rPr>
          <w:rFonts w:eastAsia="Times New Roman"/>
        </w:rPr>
      </w:pPr>
      <w:r>
        <w:rPr>
          <w:rFonts w:eastAsia="Times New Roman"/>
          <w:b/>
          <w:bCs/>
          <w:color w:val="000000"/>
          <w:sz w:val="20"/>
          <w:szCs w:val="20"/>
        </w:rPr>
        <w:t>Recurring Fair Value Measurements</w:t>
      </w:r>
    </w:p>
    <w:p w:rsidR="00000000" w:rsidRDefault="00AC31B9">
      <w:pPr>
        <w:jc w:val="both"/>
        <w:divId w:val="22831629"/>
        <w:rPr>
          <w:rFonts w:eastAsia="Times New Roman"/>
        </w:rPr>
      </w:pPr>
      <w:r>
        <w:rPr>
          <w:rFonts w:eastAsia="Times New Roman"/>
          <w:color w:val="000000"/>
          <w:sz w:val="20"/>
          <w:szCs w:val="20"/>
        </w:rPr>
        <w:t>The following table presents, on a gross basis, our financial assets and liabilities, including both current and noncurrent portions, that are measured at fair value on a recurring b</w:t>
      </w:r>
      <w:r>
        <w:rPr>
          <w:rFonts w:eastAsia="Times New Roman"/>
          <w:color w:val="000000"/>
          <w:sz w:val="20"/>
          <w:szCs w:val="20"/>
        </w:rPr>
        <w:t>asis within the fair value hierarchy as described in Note 2:</w:t>
      </w:r>
    </w:p>
    <w:tbl>
      <w:tblPr>
        <w:tblW w:w="4941" w:type="pct"/>
        <w:tblCellMar>
          <w:top w:w="15" w:type="dxa"/>
          <w:left w:w="15" w:type="dxa"/>
          <w:bottom w:w="15" w:type="dxa"/>
          <w:right w:w="15" w:type="dxa"/>
        </w:tblCellMar>
        <w:tblLook w:val="04A0" w:firstRow="1" w:lastRow="0" w:firstColumn="1" w:lastColumn="0" w:noHBand="0" w:noVBand="1"/>
      </w:tblPr>
      <w:tblGrid>
        <w:gridCol w:w="39"/>
        <w:gridCol w:w="3045"/>
        <w:gridCol w:w="38"/>
        <w:gridCol w:w="120"/>
        <w:gridCol w:w="1072"/>
        <w:gridCol w:w="36"/>
        <w:gridCol w:w="36"/>
        <w:gridCol w:w="36"/>
        <w:gridCol w:w="36"/>
        <w:gridCol w:w="120"/>
        <w:gridCol w:w="1018"/>
        <w:gridCol w:w="36"/>
        <w:gridCol w:w="36"/>
        <w:gridCol w:w="36"/>
        <w:gridCol w:w="36"/>
        <w:gridCol w:w="121"/>
        <w:gridCol w:w="1018"/>
        <w:gridCol w:w="36"/>
        <w:gridCol w:w="36"/>
        <w:gridCol w:w="36"/>
        <w:gridCol w:w="36"/>
        <w:gridCol w:w="120"/>
        <w:gridCol w:w="1029"/>
        <w:gridCol w:w="36"/>
      </w:tblGrid>
      <w:tr w:rsidR="00000000">
        <w:trPr>
          <w:divId w:val="100422319"/>
        </w:trPr>
        <w:tc>
          <w:tcPr>
            <w:tcW w:w="50" w:type="pct"/>
            <w:vAlign w:val="center"/>
            <w:hideMark/>
          </w:tcPr>
          <w:p w:rsidR="00000000" w:rsidRDefault="00AC31B9">
            <w:pPr>
              <w:jc w:val="both"/>
              <w:rPr>
                <w:rFonts w:eastAsia="Times New Roman"/>
              </w:rPr>
            </w:pPr>
          </w:p>
        </w:tc>
        <w:tc>
          <w:tcPr>
            <w:tcW w:w="189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68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677"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677"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68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00422319"/>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Asset (Liability)</w:t>
            </w:r>
          </w:p>
        </w:tc>
      </w:tr>
      <w:tr w:rsidR="00000000">
        <w:trPr>
          <w:divId w:val="100422319"/>
        </w:trPr>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Total</w:t>
            </w:r>
          </w:p>
        </w:tc>
      </w:tr>
      <w:tr w:rsidR="00000000">
        <w:trPr>
          <w:divId w:val="100422319"/>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September 30, 2023:</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100422319"/>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Derivative instruments:</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100422319"/>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Assets:</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100422319"/>
        </w:trPr>
        <w:tc>
          <w:tcPr>
            <w:tcW w:w="0" w:type="auto"/>
            <w:gridSpan w:val="3"/>
            <w:shd w:val="clear" w:color="auto" w:fill="FFFF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Commodity contracts (c)</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00422319"/>
        </w:trPr>
        <w:tc>
          <w:tcPr>
            <w:tcW w:w="0" w:type="auto"/>
            <w:gridSpan w:val="3"/>
            <w:shd w:val="clear" w:color="auto" w:fill="CCEE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Foreign currency contracts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00422319"/>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00422319"/>
        </w:trPr>
        <w:tc>
          <w:tcPr>
            <w:tcW w:w="0" w:type="auto"/>
            <w:gridSpan w:val="3"/>
            <w:shd w:val="clear" w:color="auto" w:fill="FFFF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Interest rate contracts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00422319"/>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Liabilities:</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100422319"/>
        </w:trPr>
        <w:tc>
          <w:tcPr>
            <w:tcW w:w="0" w:type="auto"/>
            <w:gridSpan w:val="3"/>
            <w:shd w:val="clear" w:color="auto" w:fill="FFFF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Commodity contracts (c)</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(274)</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00422319"/>
        </w:trPr>
        <w:tc>
          <w:tcPr>
            <w:tcW w:w="0" w:type="auto"/>
            <w:gridSpan w:val="3"/>
            <w:shd w:val="clear" w:color="auto" w:fill="CCEE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Foreign currency contracts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00422319"/>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00422319"/>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00422319"/>
          <w:trHeight w:val="280"/>
        </w:trPr>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00422319"/>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Non-qualified supplemental postretirement grantor trust investments (a)</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00422319"/>
          <w:trHeight w:val="300"/>
        </w:trPr>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00422319"/>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September 30, 2022</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100422319"/>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Derivative instruments:</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100422319"/>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Assets:</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100422319"/>
        </w:trPr>
        <w:tc>
          <w:tcPr>
            <w:tcW w:w="0" w:type="auto"/>
            <w:gridSpan w:val="3"/>
            <w:shd w:val="clear" w:color="auto" w:fill="FFFF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Commodity contracts (b)</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938 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1,268 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2,233 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00422319"/>
        </w:trPr>
        <w:tc>
          <w:tcPr>
            <w:tcW w:w="0" w:type="auto"/>
            <w:gridSpan w:val="3"/>
            <w:shd w:val="clear" w:color="auto" w:fill="CCEE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Foreign currency contracts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00422319"/>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00422319"/>
        </w:trPr>
        <w:tc>
          <w:tcPr>
            <w:tcW w:w="0" w:type="auto"/>
            <w:gridSpan w:val="3"/>
            <w:shd w:val="clear" w:color="auto" w:fill="FFFF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Interest rate contracts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00422319"/>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Liabilities:</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100422319"/>
        </w:trPr>
        <w:tc>
          <w:tcPr>
            <w:tcW w:w="0" w:type="auto"/>
            <w:gridSpan w:val="3"/>
            <w:shd w:val="clear" w:color="auto" w:fill="FFFF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Commodity contracts (b)</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(377)</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(136)</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(513)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00422319"/>
        </w:trPr>
        <w:tc>
          <w:tcPr>
            <w:tcW w:w="0" w:type="auto"/>
            <w:gridSpan w:val="3"/>
            <w:shd w:val="clear" w:color="auto" w:fill="CCEE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Foreign currency contracts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00422319"/>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00422319"/>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00422319"/>
          <w:trHeight w:val="300"/>
        </w:trPr>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00422319"/>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Non-qualified supplemental postretirement grantor trust investments (a)</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ind w:hanging="360"/>
        <w:jc w:val="both"/>
        <w:rPr>
          <w:rFonts w:eastAsia="Times New Roman"/>
        </w:rPr>
      </w:pPr>
      <w:r>
        <w:rPr>
          <w:rFonts w:eastAsia="Times New Roman"/>
          <w:color w:val="000000"/>
          <w:sz w:val="20"/>
          <w:szCs w:val="20"/>
        </w:rPr>
        <w:t>(a)Consists primarily of mutual fund investments held in grantor trusts associated with non-qualified supplemental retirement plans (see Note 8)</w:t>
      </w:r>
      <w:r>
        <w:rPr>
          <w:rFonts w:eastAsia="Times New Roman"/>
          <w:color w:val="000000"/>
          <w:sz w:val="20"/>
          <w:szCs w:val="20"/>
        </w:rPr>
        <w:t>.</w:t>
      </w:r>
    </w:p>
    <w:p w:rsidR="00000000" w:rsidRDefault="00AC31B9">
      <w:pPr>
        <w:ind w:hanging="360"/>
        <w:jc w:val="both"/>
        <w:rPr>
          <w:rFonts w:eastAsia="Times New Roman"/>
        </w:rPr>
      </w:pPr>
      <w:r>
        <w:rPr>
          <w:rFonts w:eastAsia="Times New Roman"/>
          <w:color w:val="000000"/>
          <w:sz w:val="20"/>
          <w:szCs w:val="20"/>
          <w:shd w:val="clear" w:color="auto" w:fill="FFFFFF"/>
        </w:rPr>
        <w:t>(b)</w:t>
      </w:r>
      <w:r>
        <w:rPr>
          <w:rFonts w:eastAsia="Times New Roman"/>
          <w:color w:val="000000"/>
          <w:sz w:val="20"/>
          <w:szCs w:val="20"/>
        </w:rPr>
        <w:t>Includes derivative assets and liabilities associated with the October 2022 sale of UGI International energy marketing business located in the U.K., classified as held for sale (see Note 5).</w:t>
      </w:r>
    </w:p>
    <w:p w:rsidR="00000000" w:rsidRDefault="00AC31B9">
      <w:pPr>
        <w:ind w:hanging="360"/>
        <w:jc w:val="both"/>
        <w:rPr>
          <w:rFonts w:eastAsia="Times New Roman"/>
        </w:rPr>
      </w:pPr>
      <w:r>
        <w:rPr>
          <w:rFonts w:eastAsia="Times New Roman"/>
          <w:color w:val="000000"/>
          <w:sz w:val="20"/>
          <w:szCs w:val="20"/>
        </w:rPr>
        <w:t>(c)Includes derivative assets and liabilities associated wit</w:t>
      </w:r>
      <w:r>
        <w:rPr>
          <w:rFonts w:eastAsia="Times New Roman"/>
          <w:color w:val="000000"/>
          <w:sz w:val="20"/>
          <w:szCs w:val="20"/>
        </w:rPr>
        <w:t>h certain UGI International energy marketing business transactions (see Note 5).</w:t>
      </w:r>
    </w:p>
    <w:p w:rsidR="00000000" w:rsidRDefault="00AC31B9">
      <w:pPr>
        <w:ind w:hanging="360"/>
        <w:jc w:val="both"/>
        <w:rPr>
          <w:rFonts w:eastAsia="Times New Roman"/>
        </w:rPr>
      </w:pPr>
    </w:p>
    <w:p w:rsidR="00000000" w:rsidRDefault="00AC31B9">
      <w:pPr>
        <w:jc w:val="both"/>
        <w:rPr>
          <w:rFonts w:eastAsia="Times New Roman"/>
        </w:rPr>
      </w:pPr>
      <w:r>
        <w:rPr>
          <w:rFonts w:eastAsia="Times New Roman"/>
          <w:color w:val="000000"/>
          <w:sz w:val="20"/>
          <w:szCs w:val="20"/>
        </w:rPr>
        <w:t>The fair values of our Level 1 exchange-traded commodity futures and option contracts and non-exchange-traded commodity futures and forward contracts are based upon actively quoted market prices for identical assets and liabilities. Substantially all of th</w:t>
      </w:r>
      <w:r>
        <w:rPr>
          <w:rFonts w:eastAsia="Times New Roman"/>
          <w:color w:val="000000"/>
          <w:sz w:val="20"/>
          <w:szCs w:val="20"/>
        </w:rPr>
        <w:t>e remaining derivative instruments are designated as Level 2. The fair values of certain non-exchange-traded commodity derivatives designated as Level 2 are based upon indicative price quotations available through brokers, industry price publications or re</w:t>
      </w:r>
      <w:r>
        <w:rPr>
          <w:rFonts w:eastAsia="Times New Roman"/>
          <w:color w:val="000000"/>
          <w:sz w:val="20"/>
          <w:szCs w:val="20"/>
        </w:rPr>
        <w:t>cent market transactions and related market indicators. The fair values of our Level 2 interest rate contracts and foreign currency contracts are based upon third-party quotes or indicative values based on recent market transactions. The fair values of our</w:t>
      </w:r>
      <w:r>
        <w:rPr>
          <w:rFonts w:eastAsia="Times New Roman"/>
          <w:color w:val="000000"/>
          <w:sz w:val="20"/>
          <w:szCs w:val="20"/>
        </w:rPr>
        <w:t xml:space="preserve"> Level 3 natural gas commodity contracts at September 30, 2022 attributable to our UGI International operations have been determined using unobservable inputs in an illiquid market and ranged from $7 to $27 given the available </w:t>
      </w:r>
    </w:p>
    <w:p w:rsidR="00000000" w:rsidRDefault="00AC31B9">
      <w:pPr>
        <w:jc w:val="center"/>
        <w:divId w:val="573709303"/>
        <w:rPr>
          <w:rFonts w:eastAsia="Times New Roman"/>
        </w:rPr>
      </w:pPr>
      <w:r>
        <w:rPr>
          <w:rFonts w:eastAsia="Times New Roman"/>
          <w:color w:val="000000"/>
          <w:sz w:val="20"/>
          <w:szCs w:val="20"/>
        </w:rPr>
        <w:t>F-52</w:t>
      </w:r>
    </w:p>
    <w:p w:rsidR="00000000" w:rsidRDefault="00AC31B9">
      <w:pPr>
        <w:rPr>
          <w:rFonts w:eastAsia="Times New Roman"/>
        </w:rPr>
      </w:pPr>
      <w:r>
        <w:rPr>
          <w:rFonts w:eastAsia="Times New Roman"/>
        </w:rPr>
        <w:pict>
          <v:rect id="_x0000_i1170" style="width:0;height:1.5pt" o:hralign="center" o:hrstd="t" o:hr="t" fillcolor="#a0a0a0" stroked="f"/>
        </w:pict>
      </w:r>
    </w:p>
    <w:p w:rsidR="00000000" w:rsidRDefault="00AC31B9">
      <w:pPr>
        <w:divId w:val="1830365531"/>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575286499"/>
        <w:rPr>
          <w:rFonts w:eastAsia="Times New Roman"/>
        </w:rPr>
      </w:pPr>
      <w:r>
        <w:rPr>
          <w:rFonts w:eastAsia="Times New Roman"/>
          <w:b/>
          <w:bCs/>
          <w:color w:val="000000"/>
          <w:sz w:val="20"/>
          <w:szCs w:val="20"/>
        </w:rPr>
        <w:t>UGI Corporation and Subsidiaries</w:t>
      </w:r>
    </w:p>
    <w:p w:rsidR="00000000" w:rsidRDefault="00AC31B9">
      <w:pPr>
        <w:divId w:val="358236942"/>
        <w:rPr>
          <w:rFonts w:eastAsia="Times New Roman"/>
        </w:rPr>
      </w:pPr>
      <w:r>
        <w:rPr>
          <w:rFonts w:eastAsia="Times New Roman"/>
          <w:b/>
          <w:bCs/>
          <w:color w:val="000000"/>
          <w:sz w:val="20"/>
          <w:szCs w:val="20"/>
        </w:rPr>
        <w:t>Notes to Consolidated Financial Statements</w:t>
      </w:r>
    </w:p>
    <w:p w:rsidR="00000000" w:rsidRDefault="00AC31B9">
      <w:pPr>
        <w:divId w:val="38632235"/>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rPr>
          <w:rFonts w:eastAsia="Times New Roman"/>
        </w:rPr>
      </w:pPr>
      <w:r>
        <w:rPr>
          <w:rFonts w:eastAsia="Times New Roman"/>
          <w:color w:val="000000"/>
          <w:sz w:val="20"/>
          <w:szCs w:val="20"/>
        </w:rPr>
        <w:t>inputs considered. The fair values of investments held in grantor trusts are derived from quoted market prices as substantially all of the investments in these trusts have activ</w:t>
      </w:r>
      <w:r>
        <w:rPr>
          <w:rFonts w:eastAsia="Times New Roman"/>
          <w:color w:val="000000"/>
          <w:sz w:val="20"/>
          <w:szCs w:val="20"/>
        </w:rPr>
        <w:t xml:space="preserve">e markets. </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Nonrecurring Fair Value Measurements</w:t>
      </w:r>
    </w:p>
    <w:p w:rsidR="00000000" w:rsidRDefault="00AC31B9">
      <w:pPr>
        <w:divId w:val="838302855"/>
        <w:rPr>
          <w:rFonts w:eastAsia="Times New Roman"/>
        </w:rPr>
      </w:pPr>
    </w:p>
    <w:p w:rsidR="00000000" w:rsidRDefault="00AC31B9">
      <w:pPr>
        <w:jc w:val="both"/>
        <w:rPr>
          <w:rFonts w:eastAsia="Times New Roman"/>
        </w:rPr>
      </w:pPr>
      <w:r>
        <w:rPr>
          <w:rFonts w:eastAsia="Times New Roman"/>
          <w:color w:val="000000"/>
          <w:sz w:val="20"/>
          <w:szCs w:val="20"/>
        </w:rPr>
        <w:t xml:space="preserve">During the quarter ended June 30, 2023, the Company performed an interim goodwill impairment test for its AmeriGas Propane reporting unit, which resulted in a non-cash pre-tax goodwill impairment charge </w:t>
      </w:r>
      <w:r>
        <w:rPr>
          <w:rFonts w:eastAsia="Times New Roman"/>
          <w:color w:val="000000"/>
          <w:sz w:val="20"/>
          <w:szCs w:val="20"/>
        </w:rPr>
        <w:t xml:space="preserve">of $656 to reduce the carrying value of AmeriGas Propane to its fair value as of May 31, 2023. See Note 12 for further information on the results of the impairment test including the key assumptions used to determine the fair value of the AmeriGas Propane </w:t>
      </w:r>
      <w:r>
        <w:rPr>
          <w:rFonts w:eastAsia="Times New Roman"/>
          <w:color w:val="000000"/>
          <w:sz w:val="20"/>
          <w:szCs w:val="20"/>
        </w:rPr>
        <w:t>reporting unit.</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rPr>
        <w:t>Other Financial Instruments</w:t>
      </w:r>
    </w:p>
    <w:p w:rsidR="00000000" w:rsidRDefault="00AC31B9">
      <w:pPr>
        <w:jc w:val="both"/>
        <w:divId w:val="1706102803"/>
        <w:rPr>
          <w:rFonts w:eastAsia="Times New Roman"/>
        </w:rPr>
      </w:pPr>
      <w:r>
        <w:rPr>
          <w:rFonts w:eastAsia="Times New Roman"/>
          <w:color w:val="000000"/>
          <w:sz w:val="20"/>
          <w:szCs w:val="20"/>
        </w:rPr>
        <w:t>The carrying amounts of other financial instruments included in current assets and current liabilities (except for current maturities of long-term debt) approximate their fair values because of their short-term</w:t>
      </w:r>
      <w:r>
        <w:rPr>
          <w:rFonts w:eastAsia="Times New Roman"/>
          <w:color w:val="000000"/>
          <w:sz w:val="20"/>
          <w:szCs w:val="20"/>
        </w:rPr>
        <w:t xml:space="preserve"> nature. We estimate the fair value of long-term debt by using current market rates and by discounting future cash flows using rates available for similar type debt (Level 2). The carrying amounts and estimated fair values of our long-term debt (including </w:t>
      </w:r>
      <w:r>
        <w:rPr>
          <w:rFonts w:eastAsia="Times New Roman"/>
          <w:color w:val="000000"/>
          <w:sz w:val="20"/>
          <w:szCs w:val="20"/>
        </w:rPr>
        <w:t>current maturities but excluding unamortized debt issuance costs) were as follows:</w:t>
      </w:r>
    </w:p>
    <w:tbl>
      <w:tblPr>
        <w:tblW w:w="4941" w:type="pct"/>
        <w:jc w:val="center"/>
        <w:tblCellMar>
          <w:top w:w="15" w:type="dxa"/>
          <w:left w:w="15" w:type="dxa"/>
          <w:bottom w:w="15" w:type="dxa"/>
          <w:right w:w="15" w:type="dxa"/>
        </w:tblCellMar>
        <w:tblLook w:val="04A0" w:firstRow="1" w:lastRow="0" w:firstColumn="1" w:lastColumn="0" w:noHBand="0" w:noVBand="1"/>
      </w:tblPr>
      <w:tblGrid>
        <w:gridCol w:w="39"/>
        <w:gridCol w:w="4810"/>
        <w:gridCol w:w="37"/>
        <w:gridCol w:w="120"/>
        <w:gridCol w:w="1469"/>
        <w:gridCol w:w="36"/>
        <w:gridCol w:w="36"/>
        <w:gridCol w:w="36"/>
        <w:gridCol w:w="36"/>
        <w:gridCol w:w="120"/>
        <w:gridCol w:w="1433"/>
        <w:gridCol w:w="36"/>
      </w:tblGrid>
      <w:tr w:rsidR="00000000">
        <w:trPr>
          <w:divId w:val="1139610441"/>
          <w:jc w:val="center"/>
        </w:trPr>
        <w:tc>
          <w:tcPr>
            <w:tcW w:w="50" w:type="pct"/>
            <w:vAlign w:val="center"/>
            <w:hideMark/>
          </w:tcPr>
          <w:p w:rsidR="00000000" w:rsidRDefault="00AC31B9">
            <w:pPr>
              <w:jc w:val="both"/>
              <w:rPr>
                <w:rFonts w:eastAsia="Times New Roman"/>
              </w:rPr>
            </w:pPr>
          </w:p>
        </w:tc>
        <w:tc>
          <w:tcPr>
            <w:tcW w:w="295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92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92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139610441"/>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r>
      <w:tr w:rsidR="00000000">
        <w:trPr>
          <w:divId w:val="1139610441"/>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Carrying amount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6,647 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139610441"/>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Estimated fair value</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6,238 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6,189 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both"/>
        <w:divId w:val="1971747286"/>
        <w:rPr>
          <w:rFonts w:eastAsia="Times New Roman"/>
        </w:rPr>
      </w:pPr>
      <w:r>
        <w:rPr>
          <w:rFonts w:eastAsia="Times New Roman"/>
          <w:color w:val="000000"/>
          <w:sz w:val="20"/>
          <w:szCs w:val="20"/>
        </w:rPr>
        <w:t xml:space="preserve">Financial instruments other than derivative instruments, such as short-term investments and trade accounts receivable, could expose us to concentrations of credit risk. We limit credit risk from short-term investments by investing only in investment-grade </w:t>
      </w:r>
      <w:r>
        <w:rPr>
          <w:rFonts w:eastAsia="Times New Roman"/>
          <w:color w:val="000000"/>
          <w:sz w:val="20"/>
          <w:szCs w:val="20"/>
        </w:rPr>
        <w:t>commercial paper, money market mutual funds, securities guaranteed by the U.S. Government or its agencies and FDIC insured bank deposits. The credit risk arising from concentrations of trade accounts receivable is limited because we have a large customer b</w:t>
      </w:r>
      <w:r>
        <w:rPr>
          <w:rFonts w:eastAsia="Times New Roman"/>
          <w:color w:val="000000"/>
          <w:sz w:val="20"/>
          <w:szCs w:val="20"/>
        </w:rPr>
        <w:t xml:space="preserve">ase that extends across many different U.S. markets and a number of foreign countries. For information regarding concentrations of credit risk associated with our derivative instruments, see Note 18. </w:t>
      </w:r>
    </w:p>
    <w:p w:rsidR="00000000" w:rsidRDefault="00AC31B9">
      <w:pPr>
        <w:jc w:val="both"/>
        <w:rPr>
          <w:rFonts w:eastAsia="Times New Roman"/>
        </w:rPr>
      </w:pPr>
    </w:p>
    <w:p w:rsidR="00000000" w:rsidRDefault="00AC31B9">
      <w:pPr>
        <w:jc w:val="both"/>
        <w:rPr>
          <w:rFonts w:eastAsia="Times New Roman"/>
        </w:rPr>
      </w:pPr>
      <w:r>
        <w:rPr>
          <w:rFonts w:eastAsia="Times New Roman"/>
          <w:b/>
          <w:bCs/>
          <w:color w:val="000000"/>
          <w:sz w:val="20"/>
          <w:szCs w:val="20"/>
          <w:u w:val="single"/>
        </w:rPr>
        <w:t>Note 18 — Derivative Instruments and Hedging Activiti</w:t>
      </w:r>
      <w:r>
        <w:rPr>
          <w:rFonts w:eastAsia="Times New Roman"/>
          <w:b/>
          <w:bCs/>
          <w:color w:val="000000"/>
          <w:sz w:val="20"/>
          <w:szCs w:val="20"/>
          <w:u w:val="single"/>
        </w:rPr>
        <w:t xml:space="preserve">es </w:t>
      </w:r>
    </w:p>
    <w:p w:rsidR="00000000" w:rsidRDefault="00AC31B9">
      <w:pPr>
        <w:jc w:val="both"/>
        <w:divId w:val="709377628"/>
        <w:rPr>
          <w:rFonts w:eastAsia="Times New Roman"/>
        </w:rPr>
      </w:pPr>
      <w:r>
        <w:rPr>
          <w:rFonts w:eastAsia="Times New Roman"/>
          <w:color w:val="000000"/>
          <w:sz w:val="20"/>
          <w:szCs w:val="20"/>
        </w:rPr>
        <w:t>We are exposed to certain market risks related to our ongoing business operations. Management uses derivative financial and commodity instruments, among other things, to manage: (1) commodity price risk; (2) interest rate risk; and (3) foreign currency</w:t>
      </w:r>
      <w:r>
        <w:rPr>
          <w:rFonts w:eastAsia="Times New Roman"/>
          <w:color w:val="000000"/>
          <w:sz w:val="20"/>
          <w:szCs w:val="20"/>
        </w:rPr>
        <w:t xml:space="preserve"> exchange rate risk. Although we use derivative financial and commodity instruments to reduce market risk associated with forecasted transactions, we do not use derivative financial and commodity instruments for speculative or trading purposes. The use of </w:t>
      </w:r>
      <w:r>
        <w:rPr>
          <w:rFonts w:eastAsia="Times New Roman"/>
          <w:color w:val="000000"/>
          <w:sz w:val="20"/>
          <w:szCs w:val="20"/>
        </w:rPr>
        <w:t>derivative instruments is controlled by our risk management and credit policies, which govern, among other things, the derivative instruments we can use, counterparty credit limits and contract authorization limits. Although our commodity derivative instru</w:t>
      </w:r>
      <w:r>
        <w:rPr>
          <w:rFonts w:eastAsia="Times New Roman"/>
          <w:color w:val="000000"/>
          <w:sz w:val="20"/>
          <w:szCs w:val="20"/>
        </w:rPr>
        <w:t>ments extend over a number of years, a significant portion of our commodity derivative instruments economically hedge commodity price risk during the next twelve months. For information on the accounting for our derivative instruments, see Note 2.</w:t>
      </w:r>
    </w:p>
    <w:p w:rsidR="00000000" w:rsidRDefault="00AC31B9">
      <w:pPr>
        <w:jc w:val="both"/>
        <w:divId w:val="2097482003"/>
        <w:rPr>
          <w:rFonts w:eastAsia="Times New Roman"/>
        </w:rPr>
      </w:pPr>
      <w:r>
        <w:rPr>
          <w:rFonts w:eastAsia="Times New Roman"/>
          <w:color w:val="000000"/>
          <w:sz w:val="20"/>
          <w:szCs w:val="20"/>
        </w:rPr>
        <w:t>The foll</w:t>
      </w:r>
      <w:r>
        <w:rPr>
          <w:rFonts w:eastAsia="Times New Roman"/>
          <w:color w:val="000000"/>
          <w:sz w:val="20"/>
          <w:szCs w:val="20"/>
        </w:rPr>
        <w:t>owing sections summarize the types of derivative instruments used by the Company to manage these market risks.</w:t>
      </w:r>
    </w:p>
    <w:p w:rsidR="00000000" w:rsidRDefault="00AC31B9">
      <w:pPr>
        <w:jc w:val="both"/>
        <w:divId w:val="375351093"/>
        <w:rPr>
          <w:rFonts w:eastAsia="Times New Roman"/>
        </w:rPr>
      </w:pPr>
      <w:r>
        <w:rPr>
          <w:rFonts w:eastAsia="Times New Roman"/>
          <w:b/>
          <w:bCs/>
          <w:color w:val="000000"/>
          <w:sz w:val="20"/>
          <w:szCs w:val="20"/>
        </w:rPr>
        <w:t>Commodity Price Risk</w:t>
      </w:r>
    </w:p>
    <w:p w:rsidR="00000000" w:rsidRDefault="00AC31B9">
      <w:pPr>
        <w:jc w:val="both"/>
        <w:divId w:val="50737350"/>
        <w:rPr>
          <w:rFonts w:eastAsia="Times New Roman"/>
        </w:rPr>
      </w:pPr>
      <w:r>
        <w:rPr>
          <w:rFonts w:eastAsia="Times New Roman"/>
          <w:color w:val="000000"/>
          <w:sz w:val="20"/>
          <w:szCs w:val="20"/>
          <w:u w:val="single"/>
        </w:rPr>
        <w:t>Regulated Utility Operations</w:t>
      </w:r>
    </w:p>
    <w:p w:rsidR="00000000" w:rsidRDefault="00AC31B9">
      <w:pPr>
        <w:jc w:val="both"/>
        <w:divId w:val="615255505"/>
        <w:rPr>
          <w:rFonts w:eastAsia="Times New Roman"/>
        </w:rPr>
      </w:pPr>
      <w:r>
        <w:rPr>
          <w:rFonts w:eastAsia="Times New Roman"/>
          <w:i/>
          <w:iCs/>
          <w:color w:val="000000"/>
          <w:sz w:val="20"/>
          <w:szCs w:val="20"/>
        </w:rPr>
        <w:t>Natural Gas</w:t>
      </w:r>
    </w:p>
    <w:p w:rsidR="00000000" w:rsidRDefault="00AC31B9">
      <w:pPr>
        <w:jc w:val="both"/>
        <w:divId w:val="701708223"/>
        <w:rPr>
          <w:rFonts w:eastAsia="Times New Roman"/>
        </w:rPr>
      </w:pPr>
      <w:r>
        <w:rPr>
          <w:rFonts w:eastAsia="Times New Roman"/>
          <w:color w:val="000000"/>
          <w:sz w:val="20"/>
          <w:szCs w:val="20"/>
        </w:rPr>
        <w:t>PA Gas Utility’</w:t>
      </w:r>
      <w:r>
        <w:rPr>
          <w:rFonts w:eastAsia="Times New Roman"/>
          <w:color w:val="000000"/>
          <w:sz w:val="20"/>
          <w:szCs w:val="20"/>
        </w:rPr>
        <w:t>s tariffs contain clauses that permit recovery of all prudently incurred costs of natural gas it sells to retail core-market customers, including the cost of financial instruments used to hedge purchased gas costs. As permitted and agreed to by the PAPUC p</w:t>
      </w:r>
      <w:r>
        <w:rPr>
          <w:rFonts w:eastAsia="Times New Roman"/>
          <w:color w:val="000000"/>
          <w:sz w:val="20"/>
          <w:szCs w:val="20"/>
        </w:rPr>
        <w:t>ursuant to PA Gas Utility’s annual PGC filings, PA Gas Utility currently uses NYMEX natural gas futures and option contracts to reduce commodity price volatility associated with a portion of the natural gas it purchases for its retail core-market customers</w:t>
      </w:r>
      <w:r>
        <w:rPr>
          <w:rFonts w:eastAsia="Times New Roman"/>
          <w:color w:val="000000"/>
          <w:sz w:val="20"/>
          <w:szCs w:val="20"/>
        </w:rPr>
        <w:t>. See Note 9 for further information on the regulatory accounting treatment for these derivative instruments.</w:t>
      </w:r>
    </w:p>
    <w:p w:rsidR="00000000" w:rsidRDefault="00AC31B9">
      <w:pPr>
        <w:jc w:val="both"/>
        <w:divId w:val="900214612"/>
        <w:rPr>
          <w:rFonts w:eastAsia="Times New Roman"/>
        </w:rPr>
      </w:pPr>
    </w:p>
    <w:p w:rsidR="00000000" w:rsidRDefault="00AC31B9">
      <w:pPr>
        <w:jc w:val="both"/>
        <w:divId w:val="900285710"/>
        <w:rPr>
          <w:rFonts w:eastAsia="Times New Roman"/>
        </w:rPr>
      </w:pPr>
    </w:p>
    <w:p w:rsidR="00000000" w:rsidRDefault="00AC31B9">
      <w:pPr>
        <w:jc w:val="center"/>
        <w:divId w:val="1265267014"/>
        <w:rPr>
          <w:rFonts w:eastAsia="Times New Roman"/>
        </w:rPr>
      </w:pPr>
      <w:r>
        <w:rPr>
          <w:rFonts w:eastAsia="Times New Roman"/>
          <w:color w:val="000000"/>
          <w:sz w:val="20"/>
          <w:szCs w:val="20"/>
        </w:rPr>
        <w:t>F-53</w:t>
      </w:r>
    </w:p>
    <w:p w:rsidR="00000000" w:rsidRDefault="00AC31B9">
      <w:pPr>
        <w:rPr>
          <w:rFonts w:eastAsia="Times New Roman"/>
        </w:rPr>
      </w:pPr>
      <w:r>
        <w:rPr>
          <w:rFonts w:eastAsia="Times New Roman"/>
        </w:rPr>
        <w:pict>
          <v:rect id="_x0000_i1171" style="width:0;height:1.5pt" o:hralign="center" o:hrstd="t" o:hr="t" fillcolor="#a0a0a0" stroked="f"/>
        </w:pict>
      </w:r>
    </w:p>
    <w:p w:rsidR="00000000" w:rsidRDefault="00AC31B9">
      <w:pPr>
        <w:divId w:val="683483721"/>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462917062"/>
        <w:rPr>
          <w:rFonts w:eastAsia="Times New Roman"/>
        </w:rPr>
      </w:pPr>
      <w:r>
        <w:rPr>
          <w:rFonts w:eastAsia="Times New Roman"/>
          <w:b/>
          <w:bCs/>
          <w:color w:val="000000"/>
          <w:sz w:val="20"/>
          <w:szCs w:val="20"/>
        </w:rPr>
        <w:t>UGI Corporation and Subs</w:t>
      </w:r>
      <w:r>
        <w:rPr>
          <w:rFonts w:eastAsia="Times New Roman"/>
          <w:b/>
          <w:bCs/>
          <w:color w:val="000000"/>
          <w:sz w:val="20"/>
          <w:szCs w:val="20"/>
        </w:rPr>
        <w:t>idiaries</w:t>
      </w:r>
    </w:p>
    <w:p w:rsidR="00000000" w:rsidRDefault="00AC31B9">
      <w:pPr>
        <w:divId w:val="1837377158"/>
        <w:rPr>
          <w:rFonts w:eastAsia="Times New Roman"/>
        </w:rPr>
      </w:pPr>
      <w:r>
        <w:rPr>
          <w:rFonts w:eastAsia="Times New Roman"/>
          <w:b/>
          <w:bCs/>
          <w:color w:val="000000"/>
          <w:sz w:val="20"/>
          <w:szCs w:val="20"/>
        </w:rPr>
        <w:t>Notes to Consolidated Financial Statements</w:t>
      </w:r>
    </w:p>
    <w:p w:rsidR="00000000" w:rsidRDefault="00AC31B9">
      <w:pPr>
        <w:divId w:val="97526466"/>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2068529248"/>
        <w:rPr>
          <w:rFonts w:eastAsia="Times New Roman"/>
        </w:rPr>
      </w:pPr>
      <w:r>
        <w:rPr>
          <w:rFonts w:eastAsia="Times New Roman"/>
          <w:color w:val="000000"/>
          <w:sz w:val="20"/>
          <w:szCs w:val="20"/>
          <w:u w:val="single"/>
        </w:rPr>
        <w:t>Non-utility Operations</w:t>
      </w:r>
    </w:p>
    <w:p w:rsidR="00000000" w:rsidRDefault="00AC31B9">
      <w:pPr>
        <w:jc w:val="both"/>
        <w:divId w:val="1247881764"/>
        <w:rPr>
          <w:rFonts w:eastAsia="Times New Roman"/>
        </w:rPr>
      </w:pPr>
      <w:r>
        <w:rPr>
          <w:rFonts w:eastAsia="Times New Roman"/>
          <w:i/>
          <w:iCs/>
          <w:color w:val="000000"/>
          <w:sz w:val="20"/>
          <w:szCs w:val="20"/>
        </w:rPr>
        <w:t>LPG</w:t>
      </w:r>
    </w:p>
    <w:p w:rsidR="00000000" w:rsidRDefault="00AC31B9">
      <w:pPr>
        <w:jc w:val="both"/>
        <w:divId w:val="804931130"/>
        <w:rPr>
          <w:rFonts w:eastAsia="Times New Roman"/>
        </w:rPr>
      </w:pPr>
      <w:r>
        <w:rPr>
          <w:rFonts w:eastAsia="Times New Roman"/>
          <w:color w:val="000000"/>
          <w:sz w:val="20"/>
          <w:szCs w:val="20"/>
        </w:rPr>
        <w:t>In order to manage market price risk associated with the Partnership’s fixed-price programs and to</w:t>
      </w:r>
      <w:r>
        <w:rPr>
          <w:rFonts w:eastAsia="Times New Roman"/>
          <w:color w:val="000000"/>
          <w:sz w:val="20"/>
          <w:szCs w:val="20"/>
        </w:rPr>
        <w:t xml:space="preserve"> reduce the effects of short-term commodity price volatility, the Partnership uses over-the-counter derivative commodity instruments, principally price swap contracts. In addition, the Partnership and our UGI International operations also use over-the-coun</w:t>
      </w:r>
      <w:r>
        <w:rPr>
          <w:rFonts w:eastAsia="Times New Roman"/>
          <w:color w:val="000000"/>
          <w:sz w:val="20"/>
          <w:szCs w:val="20"/>
        </w:rPr>
        <w:t>ter price swap and option contracts to reduce commodity price volatility associated with a portion of their forecasted LPG purchases.</w:t>
      </w:r>
    </w:p>
    <w:p w:rsidR="00000000" w:rsidRDefault="00AC31B9">
      <w:pPr>
        <w:jc w:val="both"/>
        <w:divId w:val="693531976"/>
        <w:rPr>
          <w:rFonts w:eastAsia="Times New Roman"/>
        </w:rPr>
      </w:pPr>
      <w:r>
        <w:rPr>
          <w:rFonts w:eastAsia="Times New Roman"/>
          <w:i/>
          <w:iCs/>
          <w:color w:val="000000"/>
          <w:sz w:val="20"/>
          <w:szCs w:val="20"/>
        </w:rPr>
        <w:t>Natural Gas</w:t>
      </w:r>
    </w:p>
    <w:p w:rsidR="00000000" w:rsidRDefault="00AC31B9">
      <w:pPr>
        <w:jc w:val="both"/>
        <w:divId w:val="149911800"/>
        <w:rPr>
          <w:rFonts w:eastAsia="Times New Roman"/>
        </w:rPr>
      </w:pPr>
      <w:r>
        <w:rPr>
          <w:rFonts w:eastAsia="Times New Roman"/>
          <w:color w:val="000000"/>
          <w:sz w:val="20"/>
          <w:szCs w:val="20"/>
        </w:rPr>
        <w:t>In order to manage market price risk relating to fixed-price sales contracts for physical natural gas, Midstre</w:t>
      </w:r>
      <w:r>
        <w:rPr>
          <w:rFonts w:eastAsia="Times New Roman"/>
          <w:color w:val="000000"/>
          <w:sz w:val="20"/>
          <w:szCs w:val="20"/>
        </w:rPr>
        <w:t xml:space="preserve">am &amp; Marketing enters into NYMEX and over-the-counter natural gas futures and over-the-counter and ICE natural gas basis swap contracts. In addition, Midstream &amp; Marketing uses NYMEX and over-the-counter futures and options contracts to economically hedge </w:t>
      </w:r>
      <w:r>
        <w:rPr>
          <w:rFonts w:eastAsia="Times New Roman"/>
          <w:color w:val="000000"/>
          <w:sz w:val="20"/>
          <w:szCs w:val="20"/>
        </w:rPr>
        <w:t xml:space="preserve">price volatility associated with the gross margin derived from the purchase and anticipated later near-term sale of natural gas storage inventories. Outside of the financial market, Midstream &amp; Marketing also uses ICE and over-the-counter forward physical </w:t>
      </w:r>
      <w:r>
        <w:rPr>
          <w:rFonts w:eastAsia="Times New Roman"/>
          <w:color w:val="000000"/>
          <w:sz w:val="20"/>
          <w:szCs w:val="20"/>
        </w:rPr>
        <w:t>contracts. UGI International also uses natural gas futures and forward contracts to economically hedge market price risk associated with a substantial portion of anticipated volumes under fixed-price sales contracts with its customers.</w:t>
      </w:r>
    </w:p>
    <w:p w:rsidR="00000000" w:rsidRDefault="00AC31B9">
      <w:pPr>
        <w:jc w:val="both"/>
        <w:divId w:val="1624383308"/>
        <w:rPr>
          <w:rFonts w:eastAsia="Times New Roman"/>
        </w:rPr>
      </w:pPr>
      <w:r>
        <w:rPr>
          <w:rFonts w:eastAsia="Times New Roman"/>
          <w:i/>
          <w:iCs/>
          <w:color w:val="000000"/>
          <w:sz w:val="20"/>
          <w:szCs w:val="20"/>
        </w:rPr>
        <w:t>Electricity</w:t>
      </w:r>
    </w:p>
    <w:p w:rsidR="00000000" w:rsidRDefault="00AC31B9">
      <w:pPr>
        <w:jc w:val="both"/>
        <w:divId w:val="1004163577"/>
        <w:rPr>
          <w:rFonts w:eastAsia="Times New Roman"/>
        </w:rPr>
      </w:pPr>
      <w:r>
        <w:rPr>
          <w:rFonts w:eastAsia="Times New Roman"/>
          <w:color w:val="000000"/>
          <w:sz w:val="20"/>
          <w:szCs w:val="20"/>
        </w:rPr>
        <w:t>In order</w:t>
      </w:r>
      <w:r>
        <w:rPr>
          <w:rFonts w:eastAsia="Times New Roman"/>
          <w:color w:val="000000"/>
          <w:sz w:val="20"/>
          <w:szCs w:val="20"/>
        </w:rPr>
        <w:t xml:space="preserve"> to manage market price risk relating to fixed-price sales contracts for electricity, Midstream &amp; Marketing enters into electricity futures and forward contracts. Midstream &amp; Marketing also uses NYMEX and over-the-counter electricity futures contracts to e</w:t>
      </w:r>
      <w:r>
        <w:rPr>
          <w:rFonts w:eastAsia="Times New Roman"/>
          <w:color w:val="000000"/>
          <w:sz w:val="20"/>
          <w:szCs w:val="20"/>
        </w:rPr>
        <w:t>conomically hedge the price of a portion of its anticipated future sales of electricity from its electric generation facilities. UGI International also uses electricity futures and forward contracts to economically hedge market price risk associated with f</w:t>
      </w:r>
      <w:r>
        <w:rPr>
          <w:rFonts w:eastAsia="Times New Roman"/>
          <w:color w:val="000000"/>
          <w:sz w:val="20"/>
          <w:szCs w:val="20"/>
        </w:rPr>
        <w:t>ixed-price sales and purchase contracts for electricity.</w:t>
      </w:r>
    </w:p>
    <w:p w:rsidR="00000000" w:rsidRDefault="00AC31B9">
      <w:pPr>
        <w:jc w:val="both"/>
        <w:divId w:val="1485195768"/>
        <w:rPr>
          <w:rFonts w:eastAsia="Times New Roman"/>
        </w:rPr>
      </w:pPr>
      <w:r>
        <w:rPr>
          <w:rFonts w:eastAsia="Times New Roman"/>
          <w:b/>
          <w:bCs/>
          <w:color w:val="000000"/>
          <w:sz w:val="20"/>
          <w:szCs w:val="20"/>
        </w:rPr>
        <w:t>Interest Rate Risk</w:t>
      </w:r>
    </w:p>
    <w:p w:rsidR="00000000" w:rsidRDefault="00AC31B9">
      <w:pPr>
        <w:jc w:val="both"/>
        <w:divId w:val="1271860444"/>
        <w:rPr>
          <w:rFonts w:eastAsia="Times New Roman"/>
        </w:rPr>
      </w:pPr>
      <w:r>
        <w:rPr>
          <w:rFonts w:eastAsia="Times New Roman"/>
          <w:color w:val="000000"/>
          <w:sz w:val="20"/>
          <w:szCs w:val="20"/>
        </w:rPr>
        <w:t>Certain of our long-term debt agreements have interest rates that are generally indexed to short-term market interest rates. In order to fix the underlying short-term market intere</w:t>
      </w:r>
      <w:r>
        <w:rPr>
          <w:rFonts w:eastAsia="Times New Roman"/>
          <w:color w:val="000000"/>
          <w:sz w:val="20"/>
          <w:szCs w:val="20"/>
        </w:rPr>
        <w:t>st rates, we may enter into pay-fixed, receive-variable interest rate swap agreements and designate such swaps as cash flow hedges. In March 2023, in connection with the Energy Services Amended Term Loan Credit Agreement, Energy Services terminated and set</w:t>
      </w:r>
      <w:r>
        <w:rPr>
          <w:rFonts w:eastAsia="Times New Roman"/>
          <w:color w:val="000000"/>
          <w:sz w:val="20"/>
          <w:szCs w:val="20"/>
        </w:rPr>
        <w:t>tled its existing interest rate swap associated with the Energy Services Term Loan Credit Agreement (see Note 6).</w:t>
      </w:r>
    </w:p>
    <w:p w:rsidR="00000000" w:rsidRDefault="00AC31B9">
      <w:pPr>
        <w:jc w:val="both"/>
        <w:divId w:val="1805007194"/>
        <w:rPr>
          <w:rFonts w:eastAsia="Times New Roman"/>
        </w:rPr>
      </w:pPr>
      <w:r>
        <w:rPr>
          <w:rFonts w:eastAsia="Times New Roman"/>
          <w:color w:val="000000"/>
          <w:sz w:val="20"/>
          <w:szCs w:val="20"/>
        </w:rPr>
        <w:t>The remainder of our long-term debt is typically issued at fixed rates of interest. As this long-term debt matures, we typically refinance suc</w:t>
      </w:r>
      <w:r>
        <w:rPr>
          <w:rFonts w:eastAsia="Times New Roman"/>
          <w:color w:val="000000"/>
          <w:sz w:val="20"/>
          <w:szCs w:val="20"/>
        </w:rPr>
        <w:t>h debt with new debt having interest rates reflecting then-current market conditions. In order to reduce market rate risk on the underlying benchmark rate of interest associated with near- to medium-term forecasted issuances of fixed-rate debt, from time t</w:t>
      </w:r>
      <w:r>
        <w:rPr>
          <w:rFonts w:eastAsia="Times New Roman"/>
          <w:color w:val="000000"/>
          <w:sz w:val="20"/>
          <w:szCs w:val="20"/>
        </w:rPr>
        <w:t>o time we enter into IRPAs. We account for IRPAs as cash flow hedges. There were no unsettled IRPAs during any of the periods presented. At September 30, 2023, the amount of pre-tax net gains associated with interest rate hedges expected to be reclassified</w:t>
      </w:r>
      <w:r>
        <w:rPr>
          <w:rFonts w:eastAsia="Times New Roman"/>
          <w:color w:val="000000"/>
          <w:sz w:val="20"/>
          <w:szCs w:val="20"/>
        </w:rPr>
        <w:t xml:space="preserve"> into earnings during the next twelve months is $46.</w:t>
      </w:r>
    </w:p>
    <w:p w:rsidR="00000000" w:rsidRDefault="00AC31B9">
      <w:pPr>
        <w:jc w:val="both"/>
        <w:divId w:val="1499925262"/>
        <w:rPr>
          <w:rFonts w:eastAsia="Times New Roman"/>
        </w:rPr>
      </w:pPr>
      <w:r>
        <w:rPr>
          <w:rFonts w:eastAsia="Times New Roman"/>
          <w:b/>
          <w:bCs/>
          <w:color w:val="000000"/>
          <w:sz w:val="20"/>
          <w:szCs w:val="20"/>
        </w:rPr>
        <w:t>Foreign Currency Exchange Rate Risk</w:t>
      </w:r>
    </w:p>
    <w:p w:rsidR="00000000" w:rsidRDefault="00AC31B9">
      <w:pPr>
        <w:jc w:val="both"/>
        <w:divId w:val="489250520"/>
        <w:rPr>
          <w:rFonts w:eastAsia="Times New Roman"/>
        </w:rPr>
      </w:pPr>
      <w:r>
        <w:rPr>
          <w:rFonts w:eastAsia="Times New Roman"/>
          <w:color w:val="000000"/>
          <w:sz w:val="20"/>
          <w:szCs w:val="20"/>
          <w:u w:val="single"/>
        </w:rPr>
        <w:t>Forward Foreign Currency Exchange Contracts</w:t>
      </w:r>
    </w:p>
    <w:p w:rsidR="00000000" w:rsidRDefault="00AC31B9">
      <w:pPr>
        <w:jc w:val="both"/>
        <w:divId w:val="417673704"/>
        <w:rPr>
          <w:rFonts w:eastAsia="Times New Roman"/>
        </w:rPr>
      </w:pPr>
      <w:r>
        <w:rPr>
          <w:rFonts w:eastAsia="Times New Roman"/>
          <w:color w:val="000000"/>
          <w:sz w:val="20"/>
          <w:szCs w:val="20"/>
        </w:rPr>
        <w:t xml:space="preserve">In order to reduce the volatility in net income associated with our foreign operations, principally as a result of changes </w:t>
      </w:r>
      <w:r>
        <w:rPr>
          <w:rFonts w:eastAsia="Times New Roman"/>
          <w:color w:val="000000"/>
          <w:sz w:val="20"/>
          <w:szCs w:val="20"/>
        </w:rPr>
        <w:t>in the USD exchange rate to the euro and British pound sterling, we enter into forward foreign currency exchange contracts. We layer in these foreign currency exchange contracts over multi-year periods to eventually equal approximately 90% of anticipated U</w:t>
      </w:r>
      <w:r>
        <w:rPr>
          <w:rFonts w:eastAsia="Times New Roman"/>
          <w:color w:val="000000"/>
          <w:sz w:val="20"/>
          <w:szCs w:val="20"/>
        </w:rPr>
        <w:t>GI International foreign currency earnings before income taxes. Because these contracts are not designated as hedging instruments, realized and unrealized gains and losses on these contracts are recorded in “Other non-operating (expense) income, net” on th</w:t>
      </w:r>
      <w:r>
        <w:rPr>
          <w:rFonts w:eastAsia="Times New Roman"/>
          <w:color w:val="000000"/>
          <w:sz w:val="20"/>
          <w:szCs w:val="20"/>
        </w:rPr>
        <w:t>e Consolidated Statements of Income.</w:t>
      </w:r>
    </w:p>
    <w:p w:rsidR="00000000" w:rsidRDefault="00AC31B9">
      <w:pPr>
        <w:jc w:val="both"/>
        <w:divId w:val="606156572"/>
        <w:rPr>
          <w:rFonts w:eastAsia="Times New Roman"/>
        </w:rPr>
      </w:pPr>
      <w:r>
        <w:rPr>
          <w:rFonts w:eastAsia="Times New Roman"/>
          <w:color w:val="000000"/>
          <w:sz w:val="20"/>
          <w:szCs w:val="20"/>
          <w:u w:val="single"/>
        </w:rPr>
        <w:t>Net Investment Hedges</w:t>
      </w:r>
    </w:p>
    <w:p w:rsidR="00000000" w:rsidRDefault="00AC31B9">
      <w:pPr>
        <w:jc w:val="both"/>
        <w:divId w:val="864245911"/>
        <w:rPr>
          <w:rFonts w:eastAsia="Times New Roman"/>
        </w:rPr>
      </w:pPr>
      <w:r>
        <w:rPr>
          <w:rFonts w:eastAsia="Times New Roman"/>
          <w:color w:val="000000"/>
          <w:sz w:val="20"/>
          <w:szCs w:val="20"/>
        </w:rPr>
        <w:t>From time to time, we also enter into certain forward foreign currency exchange contracts to reduce the volatility of the USD value of a portion of our UGI International euro-denominated net invest</w:t>
      </w:r>
      <w:r>
        <w:rPr>
          <w:rFonts w:eastAsia="Times New Roman"/>
          <w:color w:val="000000"/>
          <w:sz w:val="20"/>
          <w:szCs w:val="20"/>
        </w:rPr>
        <w:t xml:space="preserve">ments, including anticipated foreign currency denominated dividends. We account for these foreign currency exchange contracts as net investment hedges and all changes in </w:t>
      </w:r>
    </w:p>
    <w:p w:rsidR="00000000" w:rsidRDefault="00AC31B9">
      <w:pPr>
        <w:jc w:val="center"/>
        <w:divId w:val="804856091"/>
        <w:rPr>
          <w:rFonts w:eastAsia="Times New Roman"/>
        </w:rPr>
      </w:pPr>
      <w:r>
        <w:rPr>
          <w:rFonts w:eastAsia="Times New Roman"/>
          <w:color w:val="000000"/>
          <w:sz w:val="20"/>
          <w:szCs w:val="20"/>
        </w:rPr>
        <w:t>F-54</w:t>
      </w:r>
    </w:p>
    <w:p w:rsidR="00000000" w:rsidRDefault="00AC31B9">
      <w:pPr>
        <w:rPr>
          <w:rFonts w:eastAsia="Times New Roman"/>
        </w:rPr>
      </w:pPr>
      <w:r>
        <w:rPr>
          <w:rFonts w:eastAsia="Times New Roman"/>
        </w:rPr>
        <w:pict>
          <v:rect id="_x0000_i1172" style="width:0;height:1.5pt" o:hralign="center" o:hrstd="t" o:hr="t" fillcolor="#a0a0a0" stroked="f"/>
        </w:pict>
      </w:r>
    </w:p>
    <w:p w:rsidR="00000000" w:rsidRDefault="00AC31B9">
      <w:pPr>
        <w:divId w:val="372734236"/>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511524630"/>
        <w:rPr>
          <w:rFonts w:eastAsia="Times New Roman"/>
        </w:rPr>
      </w:pPr>
      <w:r>
        <w:rPr>
          <w:rFonts w:eastAsia="Times New Roman"/>
          <w:b/>
          <w:bCs/>
          <w:color w:val="000000"/>
          <w:sz w:val="20"/>
          <w:szCs w:val="20"/>
        </w:rPr>
        <w:t>UGI Corporation and Subsidiaries</w:t>
      </w:r>
    </w:p>
    <w:p w:rsidR="00000000" w:rsidRDefault="00AC31B9">
      <w:pPr>
        <w:divId w:val="154691856"/>
        <w:rPr>
          <w:rFonts w:eastAsia="Times New Roman"/>
        </w:rPr>
      </w:pPr>
      <w:r>
        <w:rPr>
          <w:rFonts w:eastAsia="Times New Roman"/>
          <w:b/>
          <w:bCs/>
          <w:color w:val="000000"/>
          <w:sz w:val="20"/>
          <w:szCs w:val="20"/>
        </w:rPr>
        <w:t>Notes to Consolidated Financial Statements</w:t>
      </w:r>
    </w:p>
    <w:p w:rsidR="00000000" w:rsidRDefault="00AC31B9">
      <w:pPr>
        <w:divId w:val="851653179"/>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1035158306"/>
        <w:rPr>
          <w:rFonts w:eastAsia="Times New Roman"/>
        </w:rPr>
      </w:pPr>
      <w:r>
        <w:rPr>
          <w:rFonts w:eastAsia="Times New Roman"/>
          <w:color w:val="000000"/>
          <w:sz w:val="20"/>
          <w:szCs w:val="20"/>
        </w:rPr>
        <w:t>the fair value of these contracts are reported in the cumulative translation adjustment component in AOCI. We use the spot rate method to measure ineffectiveness of our net inve</w:t>
      </w:r>
      <w:r>
        <w:rPr>
          <w:rFonts w:eastAsia="Times New Roman"/>
          <w:color w:val="000000"/>
          <w:sz w:val="20"/>
          <w:szCs w:val="20"/>
        </w:rPr>
        <w:t>stment hedges.</w:t>
      </w:r>
    </w:p>
    <w:p w:rsidR="00000000" w:rsidRDefault="00AC31B9">
      <w:pPr>
        <w:jc w:val="both"/>
        <w:divId w:val="75787805"/>
        <w:rPr>
          <w:rFonts w:eastAsia="Times New Roman"/>
        </w:rPr>
      </w:pPr>
      <w:r>
        <w:rPr>
          <w:rFonts w:eastAsia="Times New Roman"/>
          <w:color w:val="000000"/>
          <w:sz w:val="20"/>
          <w:szCs w:val="20"/>
        </w:rPr>
        <w:t>Concurrent with the repayment of UGI International’s 3.25% Senior Notes on December 7, 2021, we settled an associated net investment hedge having a notional value of €93. Additionally, in May 2022, we restructured certain net investment hedg</w:t>
      </w:r>
      <w:r>
        <w:rPr>
          <w:rFonts w:eastAsia="Times New Roman"/>
          <w:color w:val="000000"/>
          <w:sz w:val="20"/>
          <w:szCs w:val="20"/>
        </w:rPr>
        <w:t>es associated with anticipated foreign currency denominated dividends. Cash flows from these settlements are included in cash flows from investing activities on the Consolidated Statements of Cash Flows.</w:t>
      </w:r>
    </w:p>
    <w:p w:rsidR="00000000" w:rsidRDefault="00AC31B9">
      <w:pPr>
        <w:jc w:val="both"/>
        <w:divId w:val="121462513"/>
        <w:rPr>
          <w:rFonts w:eastAsia="Times New Roman"/>
        </w:rPr>
      </w:pPr>
      <w:r>
        <w:rPr>
          <w:rFonts w:eastAsia="Times New Roman"/>
          <w:color w:val="000000"/>
          <w:sz w:val="20"/>
          <w:szCs w:val="20"/>
        </w:rPr>
        <w:t>Our euro-denominated long-term debt has also been de</w:t>
      </w:r>
      <w:r>
        <w:rPr>
          <w:rFonts w:eastAsia="Times New Roman"/>
          <w:color w:val="000000"/>
          <w:sz w:val="20"/>
          <w:szCs w:val="20"/>
        </w:rPr>
        <w:t>signated as net investment hedges, representing a portion of our UGI International euro-denominated net investment. We recognized pre-tax (losses) gains associated with these net investment hedges in the foreign currency component of AOCI totaling $(57), $</w:t>
      </w:r>
      <w:r>
        <w:rPr>
          <w:rFonts w:eastAsia="Times New Roman"/>
          <w:color w:val="000000"/>
          <w:sz w:val="20"/>
          <w:szCs w:val="20"/>
        </w:rPr>
        <w:t>123 and $9 during Fiscal 2023, Fiscal 2022, and Fiscal 2021, respectively.</w:t>
      </w:r>
    </w:p>
    <w:p w:rsidR="00000000" w:rsidRDefault="00AC31B9">
      <w:pPr>
        <w:jc w:val="both"/>
        <w:divId w:val="1924728125"/>
        <w:rPr>
          <w:rFonts w:eastAsia="Times New Roman"/>
        </w:rPr>
      </w:pPr>
      <w:r>
        <w:rPr>
          <w:rFonts w:eastAsia="Times New Roman"/>
          <w:b/>
          <w:bCs/>
          <w:color w:val="000000"/>
          <w:sz w:val="20"/>
          <w:szCs w:val="20"/>
        </w:rPr>
        <w:t>Quantitative Disclosures Related to Derivative Instruments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following table summarizes by derivative type the gross notional amounts related to open derivative contracts at Sep</w:t>
      </w:r>
      <w:r>
        <w:rPr>
          <w:rFonts w:eastAsia="Times New Roman"/>
          <w:color w:val="000000"/>
          <w:sz w:val="20"/>
          <w:szCs w:val="20"/>
        </w:rPr>
        <w:t>tember 30, 2023 and 2022 and the final settlement dates of the Company's open derivative contracts as of September 30, 2023, but excluding those derivatives that qualified for the NPNS exception: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121"/>
        <w:gridCol w:w="36"/>
        <w:gridCol w:w="36"/>
        <w:gridCol w:w="36"/>
        <w:gridCol w:w="36"/>
        <w:gridCol w:w="92"/>
        <w:gridCol w:w="906"/>
        <w:gridCol w:w="36"/>
        <w:gridCol w:w="36"/>
        <w:gridCol w:w="36"/>
        <w:gridCol w:w="36"/>
        <w:gridCol w:w="56"/>
        <w:gridCol w:w="1193"/>
        <w:gridCol w:w="36"/>
        <w:gridCol w:w="36"/>
        <w:gridCol w:w="36"/>
        <w:gridCol w:w="36"/>
        <w:gridCol w:w="120"/>
        <w:gridCol w:w="535"/>
        <w:gridCol w:w="36"/>
        <w:gridCol w:w="36"/>
        <w:gridCol w:w="36"/>
        <w:gridCol w:w="36"/>
        <w:gridCol w:w="120"/>
        <w:gridCol w:w="500"/>
        <w:gridCol w:w="36"/>
      </w:tblGrid>
      <w:tr w:rsidR="00000000">
        <w:trPr>
          <w:divId w:val="1948391674"/>
          <w:jc w:val="center"/>
        </w:trPr>
        <w:tc>
          <w:tcPr>
            <w:tcW w:w="50" w:type="pct"/>
            <w:vAlign w:val="center"/>
            <w:hideMark/>
          </w:tcPr>
          <w:p w:rsidR="00000000" w:rsidRDefault="00AC31B9">
            <w:pPr>
              <w:jc w:val="both"/>
              <w:rPr>
                <w:rFonts w:eastAsia="Times New Roman"/>
              </w:rPr>
            </w:pPr>
          </w:p>
        </w:tc>
        <w:tc>
          <w:tcPr>
            <w:tcW w:w="252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9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82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8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5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948391674"/>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Notional Amounts</w:t>
            </w:r>
            <w:r>
              <w:rPr>
                <w:rFonts w:eastAsia="Times New Roman"/>
                <w:color w:val="000000"/>
                <w:sz w:val="20"/>
                <w:szCs w:val="20"/>
              </w:rPr>
              <w:br/>
              <w:t>(in millions)</w:t>
            </w:r>
          </w:p>
        </w:tc>
      </w:tr>
      <w:tr w:rsidR="00000000">
        <w:trPr>
          <w:divId w:val="1948391674"/>
          <w:jc w:val="center"/>
        </w:trPr>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September 30,</w:t>
            </w:r>
          </w:p>
        </w:tc>
      </w:tr>
      <w:tr w:rsidR="00000000">
        <w:trPr>
          <w:divId w:val="1948391674"/>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Type</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Units</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Settlements Extending Through</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r>
      <w:tr w:rsidR="00000000">
        <w:trPr>
          <w:divId w:val="1948391674"/>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Commodity Price Risk:</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948391674"/>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i/>
                <w:iCs/>
                <w:color w:val="000000"/>
                <w:sz w:val="20"/>
                <w:szCs w:val="20"/>
              </w:rPr>
              <w:t>Regulated Utility Operations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948391674"/>
          <w:jc w:val="center"/>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PA Gas Utility NYMEX natural gas futures and option contracts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Dekatherms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September 2024</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948391674"/>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948391674"/>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948391674"/>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i/>
                <w:iCs/>
                <w:color w:val="000000"/>
                <w:sz w:val="20"/>
                <w:szCs w:val="20"/>
              </w:rPr>
              <w:t>Non-utility Operations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948391674"/>
          <w:jc w:val="center"/>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LPG swaps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Gallons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February 2026</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727 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874 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948391674"/>
          <w:jc w:val="center"/>
        </w:trPr>
        <w:tc>
          <w:tcPr>
            <w:tcW w:w="0" w:type="auto"/>
            <w:gridSpan w:val="3"/>
            <w:shd w:val="clear" w:color="auto" w:fill="CCEE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Natural gas futures, forward, basis swap, options and pipeline contracts (a)</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Dekatherms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December 2027</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948391674"/>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948391674"/>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948391674"/>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948391674"/>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948391674"/>
          <w:jc w:val="center"/>
        </w:trPr>
        <w:tc>
          <w:tcPr>
            <w:tcW w:w="0" w:type="auto"/>
            <w:gridSpan w:val="3"/>
            <w:shd w:val="clear" w:color="auto" w:fill="FFFFFF"/>
            <w:tcMar>
              <w:top w:w="30" w:type="dxa"/>
              <w:left w:w="24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Electricity forward and futures contracts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Kilowatt hours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December 2026</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1,260 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2,446 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948391674"/>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94839167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Interest Rate Risk:</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948391674"/>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Interest rate swaps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Euro</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March 2026</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948391674"/>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Interest rate swaps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USD</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September 2026</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1,270 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1,358 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948391674"/>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948391674"/>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Foreign Currency Exchange Rate Risk:</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948391674"/>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Forward foreign currency exchange contracts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USD</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September 2026</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425 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465 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948391674"/>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investment hedge forward 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Euro</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December 2026</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411 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948391674"/>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bl>
    <w:p w:rsidR="00000000" w:rsidRDefault="00AC31B9">
      <w:pPr>
        <w:ind w:hanging="360"/>
        <w:jc w:val="both"/>
        <w:rPr>
          <w:rFonts w:eastAsia="Times New Roman"/>
        </w:rPr>
      </w:pPr>
      <w:r>
        <w:rPr>
          <w:rFonts w:eastAsia="Times New Roman"/>
          <w:color w:val="000000"/>
          <w:sz w:val="20"/>
          <w:szCs w:val="20"/>
        </w:rPr>
        <w:t>(a)Amounts at September 30, 2023 and 2022 include contracts associated with certain UGI International energy marketing business transactions (se</w:t>
      </w:r>
      <w:r>
        <w:rPr>
          <w:rFonts w:eastAsia="Times New Roman"/>
          <w:color w:val="000000"/>
          <w:sz w:val="20"/>
          <w:szCs w:val="20"/>
        </w:rPr>
        <w:t>e Note 5).</w:t>
      </w:r>
    </w:p>
    <w:p w:rsidR="00000000" w:rsidRDefault="00AC31B9">
      <w:pPr>
        <w:jc w:val="both"/>
        <w:divId w:val="1014112329"/>
        <w:rPr>
          <w:rFonts w:eastAsia="Times New Roman"/>
        </w:rPr>
      </w:pPr>
      <w:r>
        <w:rPr>
          <w:rFonts w:eastAsia="Times New Roman"/>
          <w:b/>
          <w:bCs/>
          <w:color w:val="000000"/>
          <w:sz w:val="20"/>
          <w:szCs w:val="20"/>
        </w:rPr>
        <w:t>Derivative Instrument Credit Risk</w:t>
      </w:r>
    </w:p>
    <w:p w:rsidR="00000000" w:rsidRDefault="00AC31B9">
      <w:pPr>
        <w:jc w:val="both"/>
        <w:divId w:val="568271268"/>
        <w:rPr>
          <w:rFonts w:eastAsia="Times New Roman"/>
        </w:rPr>
      </w:pPr>
      <w:r>
        <w:rPr>
          <w:rFonts w:eastAsia="Times New Roman"/>
          <w:color w:val="000000"/>
          <w:sz w:val="20"/>
          <w:szCs w:val="20"/>
        </w:rPr>
        <w:t>We are exposed to risk of loss in the event of nonperformance by our derivative instrument counterparties. Our derivative instrument counterparties principally comprise large energy companies and major U.S. and international financial institutions. We main</w:t>
      </w:r>
      <w:r>
        <w:rPr>
          <w:rFonts w:eastAsia="Times New Roman"/>
          <w:color w:val="000000"/>
          <w:sz w:val="20"/>
          <w:szCs w:val="20"/>
        </w:rPr>
        <w:t>tain credit policies with regard to our counterparties that we believe reduce overall credit risk. These policies include evaluating and monitoring our counterparties’ financial condition, including their credit ratings, and entering into agreements with c</w:t>
      </w:r>
      <w:r>
        <w:rPr>
          <w:rFonts w:eastAsia="Times New Roman"/>
          <w:color w:val="000000"/>
          <w:sz w:val="20"/>
          <w:szCs w:val="20"/>
        </w:rPr>
        <w:t xml:space="preserve">ounterparties that govern credit limits or entering into netting agreements that allow for offsetting counterparty receivable and payable balances for certain financial transactions, as deemed appropriate. </w:t>
      </w:r>
    </w:p>
    <w:p w:rsidR="00000000" w:rsidRDefault="00AC31B9">
      <w:pPr>
        <w:jc w:val="both"/>
        <w:divId w:val="817846060"/>
        <w:rPr>
          <w:rFonts w:eastAsia="Times New Roman"/>
        </w:rPr>
      </w:pPr>
      <w:r>
        <w:rPr>
          <w:rFonts w:eastAsia="Times New Roman"/>
          <w:color w:val="000000"/>
          <w:sz w:val="20"/>
          <w:szCs w:val="20"/>
        </w:rPr>
        <w:t xml:space="preserve">We have concentrations of credit risk associated </w:t>
      </w:r>
      <w:r>
        <w:rPr>
          <w:rFonts w:eastAsia="Times New Roman"/>
          <w:color w:val="000000"/>
          <w:sz w:val="20"/>
          <w:szCs w:val="20"/>
        </w:rPr>
        <w:t xml:space="preserve">with derivative instruments and we evaluate the creditworthiness of our derivative counterparties on an ongoing basis. As of September 30, 2023, the maximum amount of loss, based upon the gross </w:t>
      </w:r>
    </w:p>
    <w:p w:rsidR="00000000" w:rsidRDefault="00AC31B9">
      <w:pPr>
        <w:jc w:val="center"/>
        <w:divId w:val="1660767454"/>
        <w:rPr>
          <w:rFonts w:eastAsia="Times New Roman"/>
        </w:rPr>
      </w:pPr>
      <w:r>
        <w:rPr>
          <w:rFonts w:eastAsia="Times New Roman"/>
          <w:color w:val="000000"/>
          <w:sz w:val="20"/>
          <w:szCs w:val="20"/>
        </w:rPr>
        <w:t>F-55</w:t>
      </w:r>
    </w:p>
    <w:p w:rsidR="00000000" w:rsidRDefault="00AC31B9">
      <w:pPr>
        <w:rPr>
          <w:rFonts w:eastAsia="Times New Roman"/>
        </w:rPr>
      </w:pPr>
      <w:r>
        <w:rPr>
          <w:rFonts w:eastAsia="Times New Roman"/>
        </w:rPr>
        <w:pict>
          <v:rect id="_x0000_i1173" style="width:0;height:1.5pt" o:hralign="center" o:hrstd="t" o:hr="t" fillcolor="#a0a0a0" stroked="f"/>
        </w:pict>
      </w:r>
    </w:p>
    <w:p w:rsidR="00000000" w:rsidRDefault="00AC31B9">
      <w:pPr>
        <w:divId w:val="54352765"/>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2067561019"/>
        <w:rPr>
          <w:rFonts w:eastAsia="Times New Roman"/>
        </w:rPr>
      </w:pPr>
      <w:r>
        <w:rPr>
          <w:rFonts w:eastAsia="Times New Roman"/>
          <w:b/>
          <w:bCs/>
          <w:color w:val="000000"/>
          <w:sz w:val="20"/>
          <w:szCs w:val="20"/>
        </w:rPr>
        <w:t>UGI Corporation and Subsidiaries</w:t>
      </w:r>
    </w:p>
    <w:p w:rsidR="00000000" w:rsidRDefault="00AC31B9">
      <w:pPr>
        <w:divId w:val="1704358184"/>
        <w:rPr>
          <w:rFonts w:eastAsia="Times New Roman"/>
        </w:rPr>
      </w:pPr>
      <w:r>
        <w:rPr>
          <w:rFonts w:eastAsia="Times New Roman"/>
          <w:b/>
          <w:bCs/>
          <w:color w:val="000000"/>
          <w:sz w:val="20"/>
          <w:szCs w:val="20"/>
        </w:rPr>
        <w:t>Notes to Consolidated Financial Statements</w:t>
      </w:r>
    </w:p>
    <w:p w:rsidR="00000000" w:rsidRDefault="00AC31B9">
      <w:pPr>
        <w:divId w:val="1040862653"/>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722602569"/>
        <w:rPr>
          <w:rFonts w:eastAsia="Times New Roman"/>
        </w:rPr>
      </w:pPr>
      <w:r>
        <w:rPr>
          <w:rFonts w:eastAsia="Times New Roman"/>
          <w:color w:val="000000"/>
          <w:sz w:val="20"/>
          <w:szCs w:val="20"/>
        </w:rPr>
        <w:t>fair values of the derivative instruments, we</w:t>
      </w:r>
      <w:r>
        <w:rPr>
          <w:rFonts w:eastAsia="Times New Roman"/>
          <w:color w:val="000000"/>
          <w:sz w:val="20"/>
          <w:szCs w:val="20"/>
        </w:rPr>
        <w:t xml:space="preserve"> would incur if these counterparties failed to perform according to the terms of their contracts was $298. In general, many of our over-the-counter derivative instruments and all exchange contracts call for the posting of collateral by the counterparty or </w:t>
      </w:r>
      <w:r>
        <w:rPr>
          <w:rFonts w:eastAsia="Times New Roman"/>
          <w:color w:val="000000"/>
          <w:sz w:val="20"/>
          <w:szCs w:val="20"/>
        </w:rPr>
        <w:t>by the Company in the forms of letters of credit, parental guarantees or cash. At September 30, 2023, we had received cash collateral from derivative instrument counterparties totaling $40. In addition, we may have offsetting derivative liabilities and cer</w:t>
      </w:r>
      <w:r>
        <w:rPr>
          <w:rFonts w:eastAsia="Times New Roman"/>
          <w:color w:val="000000"/>
          <w:sz w:val="20"/>
          <w:szCs w:val="20"/>
        </w:rPr>
        <w:t xml:space="preserve">tain accounts payable balances with certain of these counterparties, which further mitigates the previously mentioned maximum amount of losses. Certain of the Partnership’s derivative contracts have credit-risk-related contingent features that may require </w:t>
      </w:r>
      <w:r>
        <w:rPr>
          <w:rFonts w:eastAsia="Times New Roman"/>
          <w:color w:val="000000"/>
          <w:sz w:val="20"/>
          <w:szCs w:val="20"/>
        </w:rPr>
        <w:t>the posting of additional collateral in the event of a downgrade of the Partnership’s debt rating. At September 30, 2023, if the credit-risk-related contingent features were triggered, the amount of collateral required to be posted would not be material.</w:t>
      </w:r>
    </w:p>
    <w:p w:rsidR="00000000" w:rsidRDefault="00AC31B9">
      <w:pPr>
        <w:jc w:val="both"/>
        <w:divId w:val="713233921"/>
        <w:rPr>
          <w:rFonts w:eastAsia="Times New Roman"/>
        </w:rPr>
      </w:pPr>
      <w:r>
        <w:rPr>
          <w:rFonts w:eastAsia="Times New Roman"/>
          <w:b/>
          <w:bCs/>
          <w:color w:val="000000"/>
          <w:sz w:val="20"/>
          <w:szCs w:val="20"/>
        </w:rPr>
        <w:t>O</w:t>
      </w:r>
      <w:r>
        <w:rPr>
          <w:rFonts w:eastAsia="Times New Roman"/>
          <w:b/>
          <w:bCs/>
          <w:color w:val="000000"/>
          <w:sz w:val="20"/>
          <w:szCs w:val="20"/>
        </w:rPr>
        <w:t>ffsetting Derivative Assets and Liabilities</w:t>
      </w:r>
    </w:p>
    <w:p w:rsidR="00000000" w:rsidRDefault="00AC31B9">
      <w:pPr>
        <w:jc w:val="both"/>
        <w:divId w:val="1074204465"/>
        <w:rPr>
          <w:rFonts w:eastAsia="Times New Roman"/>
        </w:rPr>
      </w:pPr>
      <w:r>
        <w:rPr>
          <w:rFonts w:eastAsia="Times New Roman"/>
          <w:color w:val="000000"/>
          <w:sz w:val="20"/>
          <w:szCs w:val="20"/>
        </w:rPr>
        <w:t>Derivative assets and liabilities are presented net by counterparty on the Consolidated Balance Sheets if the right of offset exists. We offset amounts recognized for the right to reclaim cash collateral or the o</w:t>
      </w:r>
      <w:r>
        <w:rPr>
          <w:rFonts w:eastAsia="Times New Roman"/>
          <w:color w:val="000000"/>
          <w:sz w:val="20"/>
          <w:szCs w:val="20"/>
        </w:rPr>
        <w:t>bligation to return cash collateral against amounts recognized for derivative instruments executed with the same counterparty. Our derivative instruments include both those that are executed on an exchange through brokers and centrally cleared and over-the</w:t>
      </w:r>
      <w:r>
        <w:rPr>
          <w:rFonts w:eastAsia="Times New Roman"/>
          <w:color w:val="000000"/>
          <w:sz w:val="20"/>
          <w:szCs w:val="20"/>
        </w:rPr>
        <w:t>-counter transactions. Exchange contracts utilize a financial intermediary, exchange, or clearinghouse to enter, execute, or clear the transactions. Over-the-counter contracts are bilateral contracts that are transacted directly with a third party. Certain</w:t>
      </w:r>
      <w:r>
        <w:rPr>
          <w:rFonts w:eastAsia="Times New Roman"/>
          <w:color w:val="000000"/>
          <w:sz w:val="20"/>
          <w:szCs w:val="20"/>
        </w:rPr>
        <w:t xml:space="preserve"> over-the-counter and exchange contracts contain contractual rights of offset through master netting arrangements, derivative clearing agreements, and contract default provisions. In addition, the contracts are subject to conditional rights of offset throu</w:t>
      </w:r>
      <w:r>
        <w:rPr>
          <w:rFonts w:eastAsia="Times New Roman"/>
          <w:color w:val="000000"/>
          <w:sz w:val="20"/>
          <w:szCs w:val="20"/>
        </w:rPr>
        <w:t>gh counterparty nonperformance, insolvency or other conditions.</w:t>
      </w:r>
    </w:p>
    <w:p w:rsidR="00000000" w:rsidRDefault="00AC31B9">
      <w:pPr>
        <w:jc w:val="both"/>
        <w:divId w:val="1451361472"/>
        <w:rPr>
          <w:rFonts w:eastAsia="Times New Roman"/>
        </w:rPr>
      </w:pPr>
      <w:r>
        <w:rPr>
          <w:rFonts w:eastAsia="Times New Roman"/>
          <w:color w:val="000000"/>
          <w:sz w:val="20"/>
          <w:szCs w:val="20"/>
        </w:rPr>
        <w:t>In general, many of our over-the-counter transactions and all exchange contracts are subject to collateral requirements. Types of collateral generally include cash or letters of credit. Cash collateral paid by us to our over-the-counter derivative counterp</w:t>
      </w:r>
      <w:r>
        <w:rPr>
          <w:rFonts w:eastAsia="Times New Roman"/>
          <w:color w:val="000000"/>
          <w:sz w:val="20"/>
          <w:szCs w:val="20"/>
        </w:rPr>
        <w:t>arties, if any, is reflected in the table below to offset derivative liabilities. Cash collateral received by us from our over-the-counter derivative counterparties, if any, is reflected in the table below to offset derivative assets. Certain other account</w:t>
      </w:r>
      <w:r>
        <w:rPr>
          <w:rFonts w:eastAsia="Times New Roman"/>
          <w:color w:val="000000"/>
          <w:sz w:val="20"/>
          <w:szCs w:val="20"/>
        </w:rPr>
        <w:t>s receivable and accounts payable balances recognized on the Consolidated Balance Sheets with our derivative counterparties are not included in the table below but could reduce our net exposure to such counterparties because such balances are subject to ma</w:t>
      </w:r>
      <w:r>
        <w:rPr>
          <w:rFonts w:eastAsia="Times New Roman"/>
          <w:color w:val="000000"/>
          <w:sz w:val="20"/>
          <w:szCs w:val="20"/>
        </w:rPr>
        <w:t>ster netting or similar arrangements.</w:t>
      </w:r>
    </w:p>
    <w:p w:rsidR="00000000" w:rsidRDefault="00AC31B9">
      <w:pPr>
        <w:jc w:val="both"/>
        <w:divId w:val="1192038801"/>
        <w:rPr>
          <w:rFonts w:eastAsia="Times New Roman"/>
        </w:rPr>
      </w:pPr>
    </w:p>
    <w:p w:rsidR="00000000" w:rsidRDefault="00AC31B9">
      <w:pPr>
        <w:jc w:val="center"/>
        <w:divId w:val="2071688416"/>
        <w:rPr>
          <w:rFonts w:eastAsia="Times New Roman"/>
        </w:rPr>
      </w:pPr>
      <w:r>
        <w:rPr>
          <w:rFonts w:eastAsia="Times New Roman"/>
          <w:color w:val="000000"/>
          <w:sz w:val="20"/>
          <w:szCs w:val="20"/>
        </w:rPr>
        <w:t>F-56</w:t>
      </w:r>
    </w:p>
    <w:p w:rsidR="00000000" w:rsidRDefault="00AC31B9">
      <w:pPr>
        <w:rPr>
          <w:rFonts w:eastAsia="Times New Roman"/>
        </w:rPr>
      </w:pPr>
      <w:r>
        <w:rPr>
          <w:rFonts w:eastAsia="Times New Roman"/>
        </w:rPr>
        <w:pict>
          <v:rect id="_x0000_i1174" style="width:0;height:1.5pt" o:hralign="center" o:hrstd="t" o:hr="t" fillcolor="#a0a0a0" stroked="f"/>
        </w:pict>
      </w:r>
    </w:p>
    <w:p w:rsidR="00000000" w:rsidRDefault="00AC31B9">
      <w:pPr>
        <w:divId w:val="607616383"/>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450515077"/>
        <w:rPr>
          <w:rFonts w:eastAsia="Times New Roman"/>
        </w:rPr>
      </w:pPr>
      <w:r>
        <w:rPr>
          <w:rFonts w:eastAsia="Times New Roman"/>
          <w:b/>
          <w:bCs/>
          <w:color w:val="000000"/>
          <w:sz w:val="20"/>
          <w:szCs w:val="20"/>
        </w:rPr>
        <w:t>UGI Corporation and Subsidiaries</w:t>
      </w:r>
    </w:p>
    <w:p w:rsidR="00000000" w:rsidRDefault="00AC31B9">
      <w:pPr>
        <w:divId w:val="753358708"/>
        <w:rPr>
          <w:rFonts w:eastAsia="Times New Roman"/>
        </w:rPr>
      </w:pPr>
      <w:r>
        <w:rPr>
          <w:rFonts w:eastAsia="Times New Roman"/>
          <w:b/>
          <w:bCs/>
          <w:color w:val="000000"/>
          <w:sz w:val="20"/>
          <w:szCs w:val="20"/>
        </w:rPr>
        <w:t>Notes to Consolidated Financial Statements</w:t>
      </w:r>
    </w:p>
    <w:p w:rsidR="00000000" w:rsidRDefault="00AC31B9">
      <w:pPr>
        <w:divId w:val="717168781"/>
        <w:rPr>
          <w:rFonts w:eastAsia="Times New Roman"/>
        </w:rPr>
      </w:pPr>
      <w:r>
        <w:rPr>
          <w:rFonts w:eastAsia="Times New Roman"/>
          <w:color w:val="000000"/>
          <w:sz w:val="20"/>
          <w:szCs w:val="20"/>
        </w:rPr>
        <w:t>(Currency in millions,</w:t>
      </w:r>
      <w:r>
        <w:rPr>
          <w:rFonts w:eastAsia="Times New Roman"/>
          <w:color w:val="000000"/>
          <w:sz w:val="20"/>
          <w:szCs w:val="20"/>
        </w:rPr>
        <w:t xml:space="preserve"> except per share amounts and where indicated otherwise)</w:t>
      </w:r>
    </w:p>
    <w:p w:rsidR="00000000" w:rsidRDefault="00AC31B9">
      <w:pPr>
        <w:jc w:val="both"/>
        <w:divId w:val="226304285"/>
        <w:rPr>
          <w:rFonts w:eastAsia="Times New Roman"/>
        </w:rPr>
      </w:pPr>
      <w:r>
        <w:rPr>
          <w:rFonts w:eastAsia="Times New Roman"/>
          <w:b/>
          <w:bCs/>
          <w:color w:val="000000"/>
          <w:sz w:val="20"/>
          <w:szCs w:val="20"/>
        </w:rPr>
        <w:t>Fair Value of Derivative Instruments</w:t>
      </w:r>
    </w:p>
    <w:p w:rsidR="00000000" w:rsidRDefault="00AC31B9">
      <w:pPr>
        <w:jc w:val="both"/>
        <w:divId w:val="1778333046"/>
        <w:rPr>
          <w:rFonts w:eastAsia="Times New Roman"/>
        </w:rPr>
      </w:pPr>
      <w:r>
        <w:rPr>
          <w:rFonts w:eastAsia="Times New Roman"/>
          <w:color w:val="000000"/>
          <w:sz w:val="20"/>
          <w:szCs w:val="20"/>
        </w:rPr>
        <w:t>The following table presents the Company’s derivative assets and liabilities by type, as well as the effects of offsetting, as of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6328"/>
        <w:gridCol w:w="37"/>
        <w:gridCol w:w="120"/>
        <w:gridCol w:w="751"/>
        <w:gridCol w:w="36"/>
        <w:gridCol w:w="36"/>
        <w:gridCol w:w="36"/>
        <w:gridCol w:w="36"/>
        <w:gridCol w:w="120"/>
        <w:gridCol w:w="717"/>
        <w:gridCol w:w="36"/>
      </w:tblGrid>
      <w:tr w:rsidR="00000000">
        <w:trPr>
          <w:divId w:val="854658283"/>
        </w:trPr>
        <w:tc>
          <w:tcPr>
            <w:tcW w:w="50" w:type="pct"/>
            <w:vAlign w:val="center"/>
            <w:hideMark/>
          </w:tcPr>
          <w:p w:rsidR="00000000" w:rsidRDefault="00AC31B9">
            <w:pPr>
              <w:jc w:val="both"/>
              <w:rPr>
                <w:rFonts w:eastAsia="Times New Roman"/>
              </w:rPr>
            </w:pPr>
          </w:p>
        </w:tc>
        <w:tc>
          <w:tcPr>
            <w:tcW w:w="383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7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7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854658283"/>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r>
      <w:tr w:rsidR="00000000">
        <w:trPr>
          <w:divId w:val="854658283"/>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Derivative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854658283"/>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854658283"/>
        </w:trPr>
        <w:tc>
          <w:tcPr>
            <w:tcW w:w="0" w:type="auto"/>
            <w:gridSpan w:val="3"/>
            <w:vAlign w:val="center"/>
            <w:hideMark/>
          </w:tcPr>
          <w:p w:rsidR="00000000" w:rsidRDefault="00AC31B9">
            <w:pPr>
              <w:spacing w:after="100"/>
              <w:rPr>
                <w:rFonts w:eastAsia="Times New Roman"/>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854658283"/>
        </w:trPr>
        <w:tc>
          <w:tcPr>
            <w:tcW w:w="0" w:type="auto"/>
            <w:gridSpan w:val="3"/>
            <w:shd w:val="clear" w:color="auto" w:fill="CCEEFF"/>
            <w:tcMar>
              <w:top w:w="30" w:type="dxa"/>
              <w:left w:w="245" w:type="dxa"/>
              <w:bottom w:w="30" w:type="dxa"/>
              <w:right w:w="20" w:type="dxa"/>
            </w:tcMar>
            <w:hideMark/>
          </w:tcPr>
          <w:p w:rsidR="00000000" w:rsidRDefault="00AC31B9">
            <w:pPr>
              <w:spacing w:after="100"/>
              <w:rPr>
                <w:rFonts w:eastAsia="Times New Roman"/>
              </w:rPr>
            </w:pPr>
            <w:r>
              <w:rPr>
                <w:rFonts w:eastAsia="Times New Roman"/>
                <w:color w:val="000000"/>
                <w:sz w:val="20"/>
                <w:szCs w:val="20"/>
              </w:rPr>
              <w:t>Foreign currency contracts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854658283"/>
        </w:trPr>
        <w:tc>
          <w:tcPr>
            <w:tcW w:w="0" w:type="auto"/>
            <w:gridSpan w:val="3"/>
            <w:shd w:val="clear" w:color="auto" w:fill="FFFFFF"/>
            <w:tcMar>
              <w:top w:w="30" w:type="dxa"/>
              <w:left w:w="245" w:type="dxa"/>
              <w:bottom w:w="30" w:type="dxa"/>
              <w:right w:w="20" w:type="dxa"/>
            </w:tcMar>
            <w:hideMark/>
          </w:tcPr>
          <w:p w:rsidR="00000000" w:rsidRDefault="00AC31B9">
            <w:pPr>
              <w:spacing w:after="100"/>
              <w:rPr>
                <w:rFonts w:eastAsia="Times New Roman"/>
              </w:rPr>
            </w:pPr>
            <w:r>
              <w:rPr>
                <w:rFonts w:eastAsia="Times New Roman"/>
                <w:color w:val="000000"/>
                <w:sz w:val="20"/>
                <w:szCs w:val="20"/>
              </w:rPr>
              <w:t>Interest rate contracts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Pr>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Derivatives subject to PGC and DS mechanisms: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854658283"/>
        </w:trPr>
        <w:tc>
          <w:tcPr>
            <w:tcW w:w="0" w:type="auto"/>
            <w:gridSpan w:val="3"/>
            <w:shd w:val="clear" w:color="auto" w:fill="CCEEFF"/>
            <w:tcMar>
              <w:top w:w="30" w:type="dxa"/>
              <w:left w:w="245" w:type="dxa"/>
              <w:bottom w:w="30" w:type="dxa"/>
              <w:right w:w="20" w:type="dxa"/>
            </w:tcMar>
            <w:hideMark/>
          </w:tcPr>
          <w:p w:rsidR="00000000" w:rsidRDefault="00AC31B9">
            <w:pPr>
              <w:spacing w:after="100"/>
              <w:rPr>
                <w:rFonts w:eastAsia="Times New Roman"/>
              </w:rPr>
            </w:pPr>
            <w:r>
              <w:rPr>
                <w:rFonts w:eastAsia="Times New Roman"/>
                <w:color w:val="000000"/>
                <w:sz w:val="20"/>
                <w:szCs w:val="20"/>
              </w:rPr>
              <w:t>Commodity contracts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854658283"/>
        </w:trPr>
        <w:tc>
          <w:tcPr>
            <w:tcW w:w="0" w:type="auto"/>
            <w:gridSpan w:val="3"/>
            <w:shd w:val="clear" w:color="auto" w:fill="CCEEFF"/>
            <w:tcMar>
              <w:top w:w="30" w:type="dxa"/>
              <w:left w:w="245" w:type="dxa"/>
              <w:bottom w:w="30" w:type="dxa"/>
              <w:right w:w="20" w:type="dxa"/>
            </w:tcMar>
            <w:hideMark/>
          </w:tcPr>
          <w:p w:rsidR="00000000" w:rsidRDefault="00AC31B9">
            <w:pPr>
              <w:spacing w:after="100"/>
              <w:rPr>
                <w:rFonts w:eastAsia="Times New Roman"/>
              </w:rPr>
            </w:pPr>
            <w:r>
              <w:rPr>
                <w:rFonts w:eastAsia="Times New Roman"/>
                <w:color w:val="000000"/>
                <w:sz w:val="20"/>
                <w:szCs w:val="20"/>
              </w:rPr>
              <w:t>Commodity contracts (a)</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2,202 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Pr>
        <w:tc>
          <w:tcPr>
            <w:tcW w:w="0" w:type="auto"/>
            <w:gridSpan w:val="3"/>
            <w:shd w:val="clear" w:color="auto" w:fill="FFFFFF"/>
            <w:tcMar>
              <w:top w:w="30" w:type="dxa"/>
              <w:left w:w="245" w:type="dxa"/>
              <w:bottom w:w="30" w:type="dxa"/>
              <w:right w:w="20" w:type="dxa"/>
            </w:tcMar>
            <w:hideMark/>
          </w:tcPr>
          <w:p w:rsidR="00000000" w:rsidRDefault="00AC31B9">
            <w:pPr>
              <w:spacing w:after="100"/>
              <w:rPr>
                <w:rFonts w:eastAsia="Times New Roman"/>
              </w:rPr>
            </w:pPr>
            <w:r>
              <w:rPr>
                <w:rFonts w:eastAsia="Times New Roman"/>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Pr>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derivative assets –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Gross amounts offset in the balance sheet</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(124)</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Cash collateral received</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(398)</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derivative assets – net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Height w:val="280"/>
        </w:trPr>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854658283"/>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Derivative liabilities: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854658283"/>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854658283"/>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854658283"/>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854658283"/>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854658283"/>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854658283"/>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854658283"/>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Derivatives subject to PGC and DS mechanisms: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854658283"/>
        </w:trPr>
        <w:tc>
          <w:tcPr>
            <w:tcW w:w="0" w:type="auto"/>
            <w:gridSpan w:val="3"/>
            <w:shd w:val="clear" w:color="auto" w:fill="CCEEFF"/>
            <w:tcMar>
              <w:top w:w="30" w:type="dxa"/>
              <w:left w:w="245" w:type="dxa"/>
              <w:bottom w:w="30" w:type="dxa"/>
              <w:right w:w="20" w:type="dxa"/>
            </w:tcMar>
            <w:hideMark/>
          </w:tcPr>
          <w:p w:rsidR="00000000" w:rsidRDefault="00AC31B9">
            <w:pPr>
              <w:spacing w:after="100"/>
              <w:rPr>
                <w:rFonts w:eastAsia="Times New Roman"/>
              </w:rPr>
            </w:pPr>
            <w:r>
              <w:rPr>
                <w:rFonts w:eastAsia="Times New Roman"/>
                <w:color w:val="000000"/>
                <w:sz w:val="20"/>
                <w:szCs w:val="20"/>
              </w:rPr>
              <w:t>Commodity contracts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854658283"/>
        </w:trPr>
        <w:tc>
          <w:tcPr>
            <w:tcW w:w="0" w:type="auto"/>
            <w:gridSpan w:val="3"/>
            <w:shd w:val="clear" w:color="auto" w:fill="CCEEFF"/>
            <w:tcMar>
              <w:top w:w="30" w:type="dxa"/>
              <w:left w:w="245" w:type="dxa"/>
              <w:bottom w:w="30" w:type="dxa"/>
              <w:right w:w="20" w:type="dxa"/>
            </w:tcMar>
            <w:hideMark/>
          </w:tcPr>
          <w:p w:rsidR="00000000" w:rsidRDefault="00AC31B9">
            <w:pPr>
              <w:spacing w:after="100"/>
              <w:rPr>
                <w:rFonts w:eastAsia="Times New Roman"/>
              </w:rPr>
            </w:pPr>
            <w:r>
              <w:rPr>
                <w:rFonts w:eastAsia="Times New Roman"/>
                <w:color w:val="000000"/>
                <w:sz w:val="20"/>
                <w:szCs w:val="20"/>
              </w:rPr>
              <w:t>Commodity contracts (a)</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(266)</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(487)</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Pr>
        <w:tc>
          <w:tcPr>
            <w:tcW w:w="0" w:type="auto"/>
            <w:gridSpan w:val="3"/>
            <w:shd w:val="clear" w:color="auto" w:fill="FFFFFF"/>
            <w:tcMar>
              <w:top w:w="30" w:type="dxa"/>
              <w:left w:w="245" w:type="dxa"/>
              <w:bottom w:w="30" w:type="dxa"/>
              <w:right w:w="20" w:type="dxa"/>
            </w:tcMar>
            <w:hideMark/>
          </w:tcPr>
          <w:p w:rsidR="00000000" w:rsidRDefault="00AC31B9">
            <w:pPr>
              <w:spacing w:after="100"/>
              <w:rPr>
                <w:rFonts w:eastAsia="Times New Roman"/>
              </w:rPr>
            </w:pPr>
            <w:r>
              <w:rPr>
                <w:rFonts w:eastAsia="Times New Roman"/>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Pr>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derivative liabilities –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(276)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Gross amounts offset in the balance sheet</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Cash collateral pledged</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854658283"/>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derivative liabilities –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ind w:hanging="360"/>
        <w:jc w:val="both"/>
        <w:rPr>
          <w:rFonts w:eastAsia="Times New Roman"/>
        </w:rPr>
      </w:pPr>
      <w:r>
        <w:rPr>
          <w:rFonts w:eastAsia="Times New Roman"/>
          <w:color w:val="000000"/>
          <w:sz w:val="20"/>
          <w:szCs w:val="20"/>
        </w:rPr>
        <w:t>(a)</w:t>
      </w:r>
      <w:r>
        <w:rPr>
          <w:rFonts w:eastAsia="Times New Roman"/>
          <w:color w:val="000000"/>
          <w:sz w:val="20"/>
          <w:szCs w:val="20"/>
        </w:rPr>
        <w:t>Includes certain derivative contracts associated with UGI International energy marketing business transactions (see Note 5) that are classified as held for sale on the Consolidated Balance Sheets at September 30, 2023 and 2022. At September 30, 2023 and 20</w:t>
      </w:r>
      <w:r>
        <w:rPr>
          <w:rFonts w:eastAsia="Times New Roman"/>
          <w:color w:val="000000"/>
          <w:sz w:val="20"/>
          <w:szCs w:val="20"/>
        </w:rPr>
        <w:t xml:space="preserve">22, there were $10 and $295 of derivative assets, respectively, included in Held for sale assets and $12 and $19 of derivative liabilities, respectively, included in Held for sale liabilities, on the Consolidated Balance Sheets. </w:t>
      </w:r>
    </w:p>
    <w:p w:rsidR="00000000" w:rsidRDefault="00AC31B9">
      <w:pPr>
        <w:jc w:val="center"/>
        <w:divId w:val="840970705"/>
        <w:rPr>
          <w:rFonts w:eastAsia="Times New Roman"/>
        </w:rPr>
      </w:pPr>
      <w:r>
        <w:rPr>
          <w:rFonts w:eastAsia="Times New Roman"/>
          <w:color w:val="000000"/>
          <w:sz w:val="20"/>
          <w:szCs w:val="20"/>
        </w:rPr>
        <w:t>F-57</w:t>
      </w:r>
    </w:p>
    <w:p w:rsidR="00000000" w:rsidRDefault="00AC31B9">
      <w:pPr>
        <w:rPr>
          <w:rFonts w:eastAsia="Times New Roman"/>
        </w:rPr>
      </w:pPr>
      <w:r>
        <w:rPr>
          <w:rFonts w:eastAsia="Times New Roman"/>
        </w:rPr>
        <w:pict>
          <v:rect id="_x0000_i1175" style="width:0;height:1.5pt" o:hralign="center" o:hrstd="t" o:hr="t" fillcolor="#a0a0a0" stroked="f"/>
        </w:pict>
      </w:r>
    </w:p>
    <w:p w:rsidR="00000000" w:rsidRDefault="00AC31B9">
      <w:pPr>
        <w:divId w:val="260769144"/>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665081638"/>
        <w:rPr>
          <w:rFonts w:eastAsia="Times New Roman"/>
        </w:rPr>
      </w:pPr>
      <w:r>
        <w:rPr>
          <w:rFonts w:eastAsia="Times New Roman"/>
          <w:b/>
          <w:bCs/>
          <w:color w:val="000000"/>
          <w:sz w:val="20"/>
          <w:szCs w:val="20"/>
        </w:rPr>
        <w:t>UGI Corporation and Subsidiaries</w:t>
      </w:r>
    </w:p>
    <w:p w:rsidR="00000000" w:rsidRDefault="00AC31B9">
      <w:pPr>
        <w:divId w:val="1383409462"/>
        <w:rPr>
          <w:rFonts w:eastAsia="Times New Roman"/>
        </w:rPr>
      </w:pPr>
      <w:r>
        <w:rPr>
          <w:rFonts w:eastAsia="Times New Roman"/>
          <w:b/>
          <w:bCs/>
          <w:color w:val="000000"/>
          <w:sz w:val="20"/>
          <w:szCs w:val="20"/>
        </w:rPr>
        <w:t>Notes to Consolidated Financial Statements</w:t>
      </w:r>
    </w:p>
    <w:p w:rsidR="00000000" w:rsidRDefault="00AC31B9">
      <w:pPr>
        <w:divId w:val="1331524887"/>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AC31B9">
      <w:pPr>
        <w:divId w:val="1547253532"/>
        <w:rPr>
          <w:rFonts w:eastAsia="Times New Roman"/>
        </w:rPr>
      </w:pPr>
      <w:r>
        <w:rPr>
          <w:rFonts w:eastAsia="Times New Roman"/>
          <w:b/>
          <w:bCs/>
          <w:color w:val="000000"/>
          <w:sz w:val="20"/>
          <w:szCs w:val="20"/>
        </w:rPr>
        <w:t>Effects of Derivative Instruments</w:t>
      </w:r>
    </w:p>
    <w:p w:rsidR="00000000" w:rsidRDefault="00AC31B9">
      <w:pPr>
        <w:jc w:val="both"/>
        <w:divId w:val="1176649158"/>
        <w:rPr>
          <w:rFonts w:eastAsia="Times New Roman"/>
        </w:rPr>
      </w:pPr>
      <w:r>
        <w:rPr>
          <w:rFonts w:eastAsia="Times New Roman"/>
          <w:color w:val="000000"/>
          <w:sz w:val="20"/>
          <w:szCs w:val="20"/>
        </w:rPr>
        <w:t>The following tables provide information on the effects of derivative instruments on the Consolidated Statements of Income and changes in AOCI for Fiscal 2023, Fiscal 2022 and Fiscal 2021:</w:t>
      </w:r>
    </w:p>
    <w:tbl>
      <w:tblPr>
        <w:tblW w:w="4963" w:type="pct"/>
        <w:tblCellMar>
          <w:top w:w="15" w:type="dxa"/>
          <w:left w:w="15" w:type="dxa"/>
          <w:bottom w:w="15" w:type="dxa"/>
          <w:right w:w="15" w:type="dxa"/>
        </w:tblCellMar>
        <w:tblLook w:val="04A0" w:firstRow="1" w:lastRow="0" w:firstColumn="1" w:lastColumn="0" w:noHBand="0" w:noVBand="1"/>
      </w:tblPr>
      <w:tblGrid>
        <w:gridCol w:w="39"/>
        <w:gridCol w:w="2128"/>
        <w:gridCol w:w="38"/>
        <w:gridCol w:w="120"/>
        <w:gridCol w:w="503"/>
        <w:gridCol w:w="36"/>
        <w:gridCol w:w="36"/>
        <w:gridCol w:w="36"/>
        <w:gridCol w:w="36"/>
        <w:gridCol w:w="121"/>
        <w:gridCol w:w="461"/>
        <w:gridCol w:w="36"/>
        <w:gridCol w:w="36"/>
        <w:gridCol w:w="36"/>
        <w:gridCol w:w="36"/>
        <w:gridCol w:w="121"/>
        <w:gridCol w:w="461"/>
        <w:gridCol w:w="36"/>
        <w:gridCol w:w="36"/>
        <w:gridCol w:w="36"/>
        <w:gridCol w:w="36"/>
        <w:gridCol w:w="121"/>
        <w:gridCol w:w="461"/>
        <w:gridCol w:w="36"/>
        <w:gridCol w:w="36"/>
        <w:gridCol w:w="36"/>
        <w:gridCol w:w="36"/>
        <w:gridCol w:w="121"/>
        <w:gridCol w:w="463"/>
        <w:gridCol w:w="36"/>
        <w:gridCol w:w="36"/>
        <w:gridCol w:w="36"/>
        <w:gridCol w:w="36"/>
        <w:gridCol w:w="120"/>
        <w:gridCol w:w="463"/>
        <w:gridCol w:w="36"/>
        <w:gridCol w:w="36"/>
        <w:gridCol w:w="36"/>
        <w:gridCol w:w="36"/>
        <w:gridCol w:w="49"/>
        <w:gridCol w:w="1555"/>
        <w:gridCol w:w="36"/>
      </w:tblGrid>
      <w:tr w:rsidR="00000000">
        <w:trPr>
          <w:divId w:val="993529251"/>
        </w:trPr>
        <w:tc>
          <w:tcPr>
            <w:tcW w:w="50" w:type="pct"/>
            <w:vAlign w:val="center"/>
            <w:hideMark/>
          </w:tcPr>
          <w:p w:rsidR="00000000" w:rsidRDefault="00AC31B9">
            <w:pPr>
              <w:jc w:val="both"/>
              <w:rPr>
                <w:rFonts w:eastAsia="Times New Roman"/>
              </w:rPr>
            </w:pPr>
          </w:p>
        </w:tc>
        <w:tc>
          <w:tcPr>
            <w:tcW w:w="132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3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3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3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3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3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3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00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993529251"/>
          <w:trHeight w:val="700"/>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t>Recognized in</w:t>
            </w:r>
            <w:r>
              <w:rPr>
                <w:rFonts w:eastAsia="Times New Roman"/>
                <w:color w:val="000000"/>
                <w:sz w:val="20"/>
                <w:szCs w:val="20"/>
              </w:rPr>
              <w:br/>
              <w:t>AOCI</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t>Reclassified from</w:t>
            </w:r>
            <w:r>
              <w:rPr>
                <w:rFonts w:eastAsia="Times New Roman"/>
                <w:color w:val="000000"/>
                <w:sz w:val="20"/>
                <w:szCs w:val="20"/>
              </w:rPr>
              <w:br/>
              <w:t>AOCI into Income</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Location of Gain (Loss) Reclassified from</w:t>
            </w:r>
            <w:r>
              <w:rPr>
                <w:rFonts w:eastAsia="Times New Roman"/>
                <w:color w:val="000000"/>
                <w:sz w:val="20"/>
                <w:szCs w:val="20"/>
              </w:rPr>
              <w:br/>
              <w:t>AOCI into Income</w:t>
            </w:r>
          </w:p>
        </w:tc>
      </w:tr>
      <w:tr w:rsidR="00000000">
        <w:trPr>
          <w:divId w:val="993529251"/>
          <w:trHeight w:val="300"/>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vMerge/>
            <w:vAlign w:val="center"/>
            <w:hideMark/>
          </w:tcPr>
          <w:p w:rsidR="00000000" w:rsidRDefault="00AC31B9">
            <w:pPr>
              <w:spacing w:after="100"/>
              <w:rPr>
                <w:rFonts w:eastAsia="Times New Roman"/>
              </w:rPr>
            </w:pPr>
          </w:p>
        </w:tc>
      </w:tr>
      <w:tr w:rsidR="00000000">
        <w:trPr>
          <w:divId w:val="993529251"/>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Cash Flow Hedges: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 </w:t>
            </w:r>
          </w:p>
        </w:tc>
      </w:tr>
      <w:tr w:rsidR="00000000">
        <w:trPr>
          <w:divId w:val="993529251"/>
        </w:trPr>
        <w:tc>
          <w:tcPr>
            <w:tcW w:w="0" w:type="auto"/>
            <w:gridSpan w:val="3"/>
            <w:vAlign w:val="center"/>
            <w:hideMark/>
          </w:tcPr>
          <w:p w:rsidR="00000000" w:rsidRDefault="00AC31B9">
            <w:pPr>
              <w:spacing w:after="100"/>
              <w:jc w:val="center"/>
              <w:rPr>
                <w:rFonts w:eastAsia="Times New Roman"/>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35292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3529251"/>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AC31B9">
        <w:trPr>
          <w:divId w:val="99352925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Interest rate contracts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Interest expense</w:t>
            </w:r>
          </w:p>
        </w:tc>
      </w:tr>
      <w:tr w:rsidR="00000000">
        <w:trPr>
          <w:divId w:val="993529251"/>
        </w:trPr>
        <w:tc>
          <w:tcPr>
            <w:tcW w:w="0" w:type="auto"/>
            <w:gridSpan w:val="3"/>
            <w:vAlign w:val="center"/>
            <w:hideMark/>
          </w:tcPr>
          <w:p w:rsidR="00000000" w:rsidRDefault="00AC31B9">
            <w:pPr>
              <w:spacing w:after="100"/>
              <w:rPr>
                <w:rFonts w:eastAsia="Times New Roman"/>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993529251"/>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Net Investment Hedges: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 </w:t>
            </w:r>
          </w:p>
        </w:tc>
      </w:tr>
      <w:tr w:rsidR="00000000">
        <w:trPr>
          <w:divId w:val="99352925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Foreign currency contracts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 </w:t>
            </w: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177"/>
        <w:gridCol w:w="144"/>
        <w:gridCol w:w="144"/>
        <w:gridCol w:w="576"/>
        <w:gridCol w:w="144"/>
        <w:gridCol w:w="144"/>
        <w:gridCol w:w="144"/>
        <w:gridCol w:w="144"/>
        <w:gridCol w:w="144"/>
        <w:gridCol w:w="576"/>
        <w:gridCol w:w="144"/>
        <w:gridCol w:w="144"/>
        <w:gridCol w:w="144"/>
        <w:gridCol w:w="144"/>
        <w:gridCol w:w="144"/>
        <w:gridCol w:w="576"/>
        <w:gridCol w:w="144"/>
        <w:gridCol w:w="144"/>
        <w:gridCol w:w="144"/>
        <w:gridCol w:w="144"/>
        <w:gridCol w:w="144"/>
        <w:gridCol w:w="3757"/>
        <w:gridCol w:w="144"/>
        <w:gridCol w:w="160"/>
        <w:gridCol w:w="160"/>
        <w:gridCol w:w="160"/>
      </w:tblGrid>
      <w:tr w:rsidR="00000000">
        <w:tc>
          <w:tcPr>
            <w:tcW w:w="50" w:type="pct"/>
            <w:vAlign w:val="center"/>
            <w:hideMark/>
          </w:tcPr>
          <w:p w:rsidR="00000000" w:rsidRDefault="00AC31B9">
            <w:pPr>
              <w:rPr>
                <w:rFonts w:eastAsia="Times New Roman"/>
              </w:rPr>
            </w:pPr>
          </w:p>
        </w:tc>
        <w:tc>
          <w:tcPr>
            <w:tcW w:w="131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47"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47"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47"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226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trHeight w:val="480"/>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t>Recognized in Income</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Location of </w:t>
            </w:r>
            <w:r>
              <w:rPr>
                <w:rFonts w:eastAsia="Times New Roman"/>
                <w:color w:val="000000"/>
                <w:sz w:val="20"/>
                <w:szCs w:val="20"/>
              </w:rPr>
              <w:br/>
              <w:t>Gain (Loss)</w:t>
            </w:r>
            <w:r>
              <w:rPr>
                <w:rFonts w:eastAsia="Times New Roman"/>
                <w:color w:val="000000"/>
                <w:sz w:val="20"/>
                <w:szCs w:val="20"/>
              </w:rPr>
              <w:br/>
            </w:r>
            <w:r>
              <w:rPr>
                <w:rFonts w:eastAsia="Times New Roman"/>
                <w:color w:val="000000"/>
                <w:sz w:val="20"/>
                <w:szCs w:val="20"/>
              </w:rPr>
              <w:t>Recognized in Income</w:t>
            </w:r>
          </w:p>
        </w:tc>
        <w:tc>
          <w:tcPr>
            <w:tcW w:w="0" w:type="auto"/>
            <w:gridSpan w:val="3"/>
            <w:vAlign w:val="center"/>
            <w:hideMark/>
          </w:tcPr>
          <w:p w:rsidR="00000000" w:rsidRDefault="00AC31B9">
            <w:pPr>
              <w:spacing w:after="100"/>
              <w:rPr>
                <w:rFonts w:eastAsia="Times New Roman"/>
              </w:rPr>
            </w:pPr>
          </w:p>
        </w:tc>
      </w:tr>
      <w:tr w:rsidR="00000000">
        <w:trPr>
          <w:trHeight w:val="300"/>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vMerge/>
            <w:vAlign w:val="center"/>
            <w:hideMark/>
          </w:tcPr>
          <w:p w:rsidR="00000000" w:rsidRDefault="00AC31B9">
            <w:pPr>
              <w:spacing w:after="100"/>
              <w:rPr>
                <w:rFonts w:eastAsia="Times New Roman"/>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c>
          <w:tcPr>
            <w:tcW w:w="0" w:type="auto"/>
            <w:vAlign w:val="center"/>
            <w:hideMark/>
          </w:tcPr>
          <w:p w:rsidR="00000000" w:rsidRDefault="00AC31B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Derivatives Not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Commodity contracts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Revenues</w:t>
            </w:r>
          </w:p>
        </w:tc>
        <w:tc>
          <w:tcPr>
            <w:tcW w:w="0" w:type="auto"/>
            <w:gridSpan w:val="3"/>
            <w:vAlign w:val="center"/>
            <w:hideMark/>
          </w:tcPr>
          <w:p w:rsidR="00000000" w:rsidRDefault="00AC31B9">
            <w:pPr>
              <w:spacing w:after="100"/>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Commodity contracts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(1,771)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1,181 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1,545 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C31B9">
            <w:pPr>
              <w:spacing w:after="100"/>
              <w:rPr>
                <w:rFonts w:eastAsia="Times New Roman"/>
              </w:rPr>
            </w:pPr>
            <w:r>
              <w:rPr>
                <w:rFonts w:eastAsia="Times New Roman"/>
                <w:color w:val="000000"/>
                <w:sz w:val="20"/>
                <w:szCs w:val="20"/>
              </w:rPr>
              <w:t>Cost of sales</w:t>
            </w:r>
          </w:p>
        </w:tc>
        <w:tc>
          <w:tcPr>
            <w:tcW w:w="0" w:type="auto"/>
            <w:gridSpan w:val="3"/>
            <w:vAlign w:val="center"/>
            <w:hideMark/>
          </w:tcPr>
          <w:p w:rsidR="00000000" w:rsidRDefault="00AC31B9">
            <w:pPr>
              <w:spacing w:after="100"/>
              <w:rPr>
                <w:rFonts w:eastAsia="Times New Roman"/>
              </w:rPr>
            </w:pPr>
          </w:p>
        </w:tc>
      </w:tr>
      <w:tr w:rsidR="00000000">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Commodity contracts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operating income, net</w:t>
            </w:r>
          </w:p>
        </w:tc>
        <w:tc>
          <w:tcPr>
            <w:tcW w:w="0" w:type="auto"/>
            <w:gridSpan w:val="3"/>
            <w:vAlign w:val="center"/>
            <w:hideMark/>
          </w:tcPr>
          <w:p w:rsidR="00000000" w:rsidRDefault="00AC31B9">
            <w:pPr>
              <w:spacing w:after="100"/>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non-operating (expense) income, net</w:t>
            </w:r>
          </w:p>
        </w:tc>
        <w:tc>
          <w:tcPr>
            <w:tcW w:w="0" w:type="auto"/>
            <w:gridSpan w:val="3"/>
            <w:vAlign w:val="center"/>
            <w:hideMark/>
          </w:tcPr>
          <w:p w:rsidR="00000000" w:rsidRDefault="00AC31B9">
            <w:pPr>
              <w:spacing w:after="100"/>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(1,781)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bl>
    <w:p w:rsidR="00000000" w:rsidRDefault="00AC31B9">
      <w:pPr>
        <w:jc w:val="both"/>
        <w:divId w:val="1502352839"/>
        <w:rPr>
          <w:rFonts w:eastAsia="Times New Roman"/>
        </w:rPr>
      </w:pPr>
      <w:r>
        <w:rPr>
          <w:rFonts w:eastAsia="Times New Roman"/>
          <w:color w:val="000000"/>
          <w:sz w:val="20"/>
          <w:szCs w:val="20"/>
        </w:rPr>
        <w:t>We are also a party to a number of other contracts that have elements of a derivative instrument. Ho</w:t>
      </w:r>
      <w:r>
        <w:rPr>
          <w:rFonts w:eastAsia="Times New Roman"/>
          <w:color w:val="000000"/>
          <w:sz w:val="20"/>
          <w:szCs w:val="20"/>
        </w:rPr>
        <w:t xml:space="preserve">wever, these contracts qualify for NPNS exception accounting because they provide for the delivery of products or services in quantities that are expected to be used in the normal course of operating our business and the price in these contracts are based </w:t>
      </w:r>
      <w:r>
        <w:rPr>
          <w:rFonts w:eastAsia="Times New Roman"/>
          <w:color w:val="000000"/>
          <w:sz w:val="20"/>
          <w:szCs w:val="20"/>
        </w:rPr>
        <w:t>on an underlying that is directly associated with the price of the product or service being purchased or sold. These contracts include, among others, binding purchase orders, contracts that provide for the purchase and delivery, or sale, of energy products</w:t>
      </w:r>
      <w:r>
        <w:rPr>
          <w:rFonts w:eastAsia="Times New Roman"/>
          <w:color w:val="000000"/>
          <w:sz w:val="20"/>
          <w:szCs w:val="20"/>
        </w:rPr>
        <w:t>, and service contracts that require the counterparty to provide commodity storage, transportation or capacity service to meet our normal sales commitments.</w:t>
      </w:r>
    </w:p>
    <w:p w:rsidR="00000000" w:rsidRDefault="00AC31B9">
      <w:pPr>
        <w:jc w:val="both"/>
        <w:rPr>
          <w:rFonts w:eastAsia="Times New Roman"/>
        </w:rPr>
      </w:pPr>
    </w:p>
    <w:p w:rsidR="00000000" w:rsidRDefault="00AC31B9">
      <w:pPr>
        <w:divId w:val="39744263"/>
        <w:rPr>
          <w:rFonts w:eastAsia="Times New Roman"/>
        </w:rPr>
      </w:pPr>
      <w:r>
        <w:rPr>
          <w:rFonts w:eastAsia="Times New Roman"/>
          <w:b/>
          <w:bCs/>
          <w:color w:val="000000"/>
          <w:sz w:val="20"/>
          <w:szCs w:val="20"/>
          <w:u w:val="single"/>
        </w:rPr>
        <w:t xml:space="preserve">Note 19 — Accumulated Other Comprehensive Income (Loss) </w:t>
      </w:r>
    </w:p>
    <w:p w:rsidR="00000000" w:rsidRDefault="00AC31B9">
      <w:pPr>
        <w:jc w:val="both"/>
        <w:divId w:val="2120685737"/>
        <w:rPr>
          <w:rFonts w:eastAsia="Times New Roman"/>
        </w:rPr>
      </w:pPr>
      <w:r>
        <w:rPr>
          <w:rFonts w:eastAsia="Times New Roman"/>
          <w:color w:val="000000"/>
          <w:sz w:val="20"/>
          <w:szCs w:val="20"/>
        </w:rPr>
        <w:t>Other comprehensive income (loss) princi</w:t>
      </w:r>
      <w:r>
        <w:rPr>
          <w:rFonts w:eastAsia="Times New Roman"/>
          <w:color w:val="000000"/>
          <w:sz w:val="20"/>
          <w:szCs w:val="20"/>
        </w:rPr>
        <w:t xml:space="preserve">pally comprises (1) gains and losses on derivative instruments qualifying as cash flow hedges, net of reclassifications to net income; (2) actuarial gains and losses on postretirement benefit plans, net of associated amortization; and (3) foreign currency </w:t>
      </w:r>
      <w:r>
        <w:rPr>
          <w:rFonts w:eastAsia="Times New Roman"/>
          <w:color w:val="000000"/>
          <w:sz w:val="20"/>
          <w:szCs w:val="20"/>
        </w:rPr>
        <w:t>translation and long-term intra-company transaction adjustments.</w:t>
      </w:r>
    </w:p>
    <w:p w:rsidR="00000000" w:rsidRDefault="00AC31B9">
      <w:pPr>
        <w:jc w:val="center"/>
        <w:divId w:val="227812071"/>
        <w:rPr>
          <w:rFonts w:eastAsia="Times New Roman"/>
        </w:rPr>
      </w:pPr>
      <w:r>
        <w:rPr>
          <w:rFonts w:eastAsia="Times New Roman"/>
          <w:color w:val="000000"/>
          <w:sz w:val="20"/>
          <w:szCs w:val="20"/>
        </w:rPr>
        <w:t>F-58</w:t>
      </w:r>
    </w:p>
    <w:p w:rsidR="00000000" w:rsidRDefault="00AC31B9">
      <w:pPr>
        <w:rPr>
          <w:rFonts w:eastAsia="Times New Roman"/>
        </w:rPr>
      </w:pPr>
      <w:r>
        <w:rPr>
          <w:rFonts w:eastAsia="Times New Roman"/>
        </w:rPr>
        <w:pict>
          <v:rect id="_x0000_i1176" style="width:0;height:1.5pt" o:hralign="center" o:hrstd="t" o:hr="t" fillcolor="#a0a0a0" stroked="f"/>
        </w:pict>
      </w:r>
    </w:p>
    <w:p w:rsidR="00000000" w:rsidRDefault="00AC31B9">
      <w:pPr>
        <w:divId w:val="742797516"/>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87565501"/>
        <w:rPr>
          <w:rFonts w:eastAsia="Times New Roman"/>
        </w:rPr>
      </w:pPr>
      <w:r>
        <w:rPr>
          <w:rFonts w:eastAsia="Times New Roman"/>
          <w:b/>
          <w:bCs/>
          <w:color w:val="000000"/>
          <w:sz w:val="20"/>
          <w:szCs w:val="20"/>
        </w:rPr>
        <w:t>UGI Corporation and Subsidiaries</w:t>
      </w:r>
    </w:p>
    <w:p w:rsidR="00000000" w:rsidRDefault="00AC31B9">
      <w:pPr>
        <w:divId w:val="524711014"/>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rsidR="00000000" w:rsidRDefault="00AC31B9">
      <w:pPr>
        <w:divId w:val="249966498"/>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divId w:val="985473366"/>
        <w:rPr>
          <w:rFonts w:eastAsia="Times New Roman"/>
        </w:rPr>
      </w:pPr>
      <w:r>
        <w:rPr>
          <w:rFonts w:eastAsia="Times New Roman"/>
          <w:color w:val="000000"/>
          <w:sz w:val="20"/>
          <w:szCs w:val="20"/>
        </w:rPr>
        <w:t>The tables below present changes in AOCI, net of tax, during Fiscal 2023, Fiscal 2022 and Fiscal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959"/>
        <w:gridCol w:w="37"/>
        <w:gridCol w:w="121"/>
        <w:gridCol w:w="1107"/>
        <w:gridCol w:w="36"/>
        <w:gridCol w:w="36"/>
        <w:gridCol w:w="36"/>
        <w:gridCol w:w="36"/>
        <w:gridCol w:w="121"/>
        <w:gridCol w:w="888"/>
        <w:gridCol w:w="36"/>
        <w:gridCol w:w="36"/>
        <w:gridCol w:w="36"/>
        <w:gridCol w:w="36"/>
        <w:gridCol w:w="121"/>
        <w:gridCol w:w="711"/>
        <w:gridCol w:w="36"/>
        <w:gridCol w:w="36"/>
        <w:gridCol w:w="36"/>
        <w:gridCol w:w="36"/>
        <w:gridCol w:w="120"/>
        <w:gridCol w:w="615"/>
        <w:gridCol w:w="36"/>
      </w:tblGrid>
      <w:tr w:rsidR="00000000">
        <w:trPr>
          <w:divId w:val="344862742"/>
          <w:jc w:val="center"/>
        </w:trPr>
        <w:tc>
          <w:tcPr>
            <w:tcW w:w="50" w:type="pct"/>
            <w:vAlign w:val="center"/>
            <w:hideMark/>
          </w:tcPr>
          <w:p w:rsidR="00000000" w:rsidRDefault="00AC31B9">
            <w:pPr>
              <w:jc w:val="both"/>
              <w:rPr>
                <w:rFonts w:eastAsia="Times New Roman"/>
              </w:rPr>
            </w:pPr>
          </w:p>
        </w:tc>
        <w:tc>
          <w:tcPr>
            <w:tcW w:w="245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61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0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2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6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344862742"/>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Postretirement</w:t>
            </w:r>
            <w:r>
              <w:rPr>
                <w:rFonts w:eastAsia="Times New Roman"/>
                <w:color w:val="000000"/>
                <w:sz w:val="20"/>
                <w:szCs w:val="20"/>
              </w:rPr>
              <w:br/>
              <w:t>Benefit</w:t>
            </w:r>
            <w:r>
              <w:rPr>
                <w:rFonts w:eastAsia="Times New Roman"/>
                <w:color w:val="000000"/>
                <w:sz w:val="20"/>
                <w:szCs w:val="20"/>
              </w:rPr>
              <w:br/>
              <w:t>Plans</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Derivative</w:t>
            </w:r>
            <w:r>
              <w:rPr>
                <w:rFonts w:eastAsia="Times New Roman"/>
                <w:color w:val="000000"/>
                <w:sz w:val="20"/>
                <w:szCs w:val="20"/>
              </w:rPr>
              <w:br/>
              <w:t>Instruments</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Foreign</w:t>
            </w:r>
            <w:r>
              <w:rPr>
                <w:rFonts w:eastAsia="Times New Roman"/>
                <w:color w:val="000000"/>
                <w:sz w:val="20"/>
                <w:szCs w:val="20"/>
              </w:rPr>
              <w:br/>
              <w:t>Currency</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Total</w:t>
            </w:r>
          </w:p>
        </w:tc>
      </w:tr>
      <w:tr w:rsidR="00000000">
        <w:trPr>
          <w:divId w:val="344862742"/>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AOCI - September 30,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44862742"/>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comprehensive income (loss) before reclassification adjustments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44862742"/>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44862742"/>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Other comprehensive income (loss) attributable to UGI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44862742"/>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344862742"/>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AOCI - September 30,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44862742"/>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comprehensive income (loss) before reclassification adjustments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44862742"/>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44862742"/>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Other comprehensive income (loss) attributable to UGI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44862742"/>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344862742"/>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AOCI - September 30,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44862742"/>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comprehensive income (loss) before reclassification adjustments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44862742"/>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44862742"/>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Other comprehensive income (loss) attributable to UGI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344862742"/>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344862742"/>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AOCI - September 30, 2023</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both"/>
        <w:divId w:val="1356733962"/>
        <w:rPr>
          <w:rFonts w:eastAsia="Times New Roman"/>
        </w:rPr>
      </w:pPr>
    </w:p>
    <w:p w:rsidR="00000000" w:rsidRDefault="00AC31B9">
      <w:pPr>
        <w:jc w:val="both"/>
        <w:rPr>
          <w:rFonts w:eastAsia="Times New Roman"/>
        </w:rPr>
      </w:pPr>
      <w:r>
        <w:rPr>
          <w:rFonts w:eastAsia="Times New Roman"/>
          <w:b/>
          <w:bCs/>
          <w:color w:val="000000"/>
          <w:sz w:val="20"/>
          <w:szCs w:val="20"/>
          <w:u w:val="single"/>
        </w:rPr>
        <w:t xml:space="preserve">Note 20 — Other Operating Income, Net and Other Non-Operating Income (Expense), Net </w:t>
      </w:r>
    </w:p>
    <w:p w:rsidR="00000000" w:rsidRDefault="00AC31B9">
      <w:pPr>
        <w:jc w:val="both"/>
        <w:divId w:val="1806001892"/>
        <w:rPr>
          <w:rFonts w:eastAsia="Times New Roman"/>
        </w:rPr>
      </w:pPr>
      <w:r>
        <w:rPr>
          <w:rFonts w:eastAsia="Times New Roman"/>
          <w:b/>
          <w:bCs/>
          <w:color w:val="000000"/>
          <w:sz w:val="20"/>
          <w:szCs w:val="20"/>
        </w:rPr>
        <w:t>Other Operating Income, Net</w:t>
      </w:r>
    </w:p>
    <w:p w:rsidR="00000000" w:rsidRDefault="00AC31B9">
      <w:pPr>
        <w:jc w:val="both"/>
        <w:divId w:val="1670209762"/>
        <w:rPr>
          <w:rFonts w:eastAsia="Times New Roman"/>
        </w:rPr>
      </w:pPr>
      <w:r>
        <w:rPr>
          <w:rFonts w:eastAsia="Times New Roman"/>
          <w:color w:val="000000"/>
          <w:sz w:val="20"/>
          <w:szCs w:val="20"/>
        </w:rPr>
        <w:t>Other operating income, net, comprises the following:</w:t>
      </w:r>
    </w:p>
    <w:tbl>
      <w:tblPr>
        <w:tblW w:w="4992" w:type="pct"/>
        <w:tblCellMar>
          <w:top w:w="15" w:type="dxa"/>
          <w:left w:w="15" w:type="dxa"/>
          <w:bottom w:w="15" w:type="dxa"/>
          <w:right w:w="15" w:type="dxa"/>
        </w:tblCellMar>
        <w:tblLook w:val="04A0" w:firstRow="1" w:lastRow="0" w:firstColumn="1" w:lastColumn="0" w:noHBand="0" w:noVBand="1"/>
      </w:tblPr>
      <w:tblGrid>
        <w:gridCol w:w="38"/>
        <w:gridCol w:w="4863"/>
        <w:gridCol w:w="37"/>
        <w:gridCol w:w="120"/>
        <w:gridCol w:w="916"/>
        <w:gridCol w:w="36"/>
        <w:gridCol w:w="36"/>
        <w:gridCol w:w="36"/>
        <w:gridCol w:w="36"/>
        <w:gridCol w:w="121"/>
        <w:gridCol w:w="875"/>
        <w:gridCol w:w="36"/>
        <w:gridCol w:w="36"/>
        <w:gridCol w:w="36"/>
        <w:gridCol w:w="36"/>
        <w:gridCol w:w="121"/>
        <w:gridCol w:w="878"/>
        <w:gridCol w:w="36"/>
      </w:tblGrid>
      <w:tr w:rsidR="00000000">
        <w:trPr>
          <w:divId w:val="1740905224"/>
        </w:trPr>
        <w:tc>
          <w:tcPr>
            <w:tcW w:w="50" w:type="pct"/>
            <w:vAlign w:val="center"/>
            <w:hideMark/>
          </w:tcPr>
          <w:p w:rsidR="00000000" w:rsidRDefault="00AC31B9">
            <w:pPr>
              <w:jc w:val="both"/>
              <w:rPr>
                <w:rFonts w:eastAsia="Times New Roman"/>
              </w:rPr>
            </w:pPr>
          </w:p>
        </w:tc>
        <w:tc>
          <w:tcPr>
            <w:tcW w:w="296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740905224"/>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r>
      <w:tr w:rsidR="00000000">
        <w:trPr>
          <w:divId w:val="1740905224"/>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Finance charges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40905224"/>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740905224"/>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Gains on sales of fixed assets, net (a)</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40905224"/>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Gain on early derivative termination</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40905224"/>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Foreign currency transaction gains (losses)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40905224"/>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Cylinder deposit income</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40905224"/>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Interest and interest-related income</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40905224"/>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740905224"/>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740905224"/>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740905224"/>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40905224"/>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other operating income,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ind w:hanging="360"/>
        <w:jc w:val="both"/>
        <w:rPr>
          <w:rFonts w:eastAsia="Times New Roman"/>
        </w:rPr>
      </w:pPr>
      <w:r>
        <w:rPr>
          <w:rFonts w:eastAsia="Times New Roman"/>
          <w:color w:val="000000"/>
          <w:sz w:val="20"/>
          <w:szCs w:val="20"/>
        </w:rPr>
        <w:t xml:space="preserve">(a)Fiscal 2023 includes a $15 gain on the sale of UGI Corporation’s headquarters building in August 2023. </w:t>
      </w:r>
    </w:p>
    <w:p w:rsidR="00000000" w:rsidRDefault="00AC31B9">
      <w:pPr>
        <w:divId w:val="8216502"/>
        <w:rPr>
          <w:rFonts w:eastAsia="Times New Roman"/>
        </w:rPr>
      </w:pPr>
    </w:p>
    <w:p w:rsidR="00000000" w:rsidRDefault="00AC31B9">
      <w:pPr>
        <w:divId w:val="2002615838"/>
        <w:rPr>
          <w:rFonts w:eastAsia="Times New Roman"/>
        </w:rPr>
      </w:pPr>
      <w:r>
        <w:rPr>
          <w:rFonts w:eastAsia="Times New Roman"/>
          <w:b/>
          <w:bCs/>
          <w:color w:val="000000"/>
          <w:sz w:val="20"/>
          <w:szCs w:val="20"/>
        </w:rPr>
        <w:t xml:space="preserve">Other Non-Operating (Expense) Income, Net </w:t>
      </w:r>
    </w:p>
    <w:p w:rsidR="00000000" w:rsidRDefault="00AC31B9">
      <w:pPr>
        <w:jc w:val="both"/>
        <w:divId w:val="1985885230"/>
        <w:rPr>
          <w:rFonts w:eastAsia="Times New Roman"/>
        </w:rPr>
      </w:pPr>
      <w:r>
        <w:rPr>
          <w:rFonts w:eastAsia="Times New Roman"/>
          <w:color w:val="000000"/>
          <w:sz w:val="20"/>
          <w:szCs w:val="20"/>
        </w:rPr>
        <w:t>Other non-operating (expense) income, net comprises the following:</w:t>
      </w:r>
    </w:p>
    <w:tbl>
      <w:tblPr>
        <w:tblW w:w="4970" w:type="pct"/>
        <w:jc w:val="center"/>
        <w:tblCellMar>
          <w:top w:w="15" w:type="dxa"/>
          <w:left w:w="15" w:type="dxa"/>
          <w:bottom w:w="15" w:type="dxa"/>
          <w:right w:w="15" w:type="dxa"/>
        </w:tblCellMar>
        <w:tblLook w:val="04A0" w:firstRow="1" w:lastRow="0" w:firstColumn="1" w:lastColumn="0" w:noHBand="0" w:noVBand="1"/>
      </w:tblPr>
      <w:tblGrid>
        <w:gridCol w:w="39"/>
        <w:gridCol w:w="4826"/>
        <w:gridCol w:w="38"/>
        <w:gridCol w:w="120"/>
        <w:gridCol w:w="916"/>
        <w:gridCol w:w="36"/>
        <w:gridCol w:w="36"/>
        <w:gridCol w:w="36"/>
        <w:gridCol w:w="36"/>
        <w:gridCol w:w="121"/>
        <w:gridCol w:w="875"/>
        <w:gridCol w:w="36"/>
        <w:gridCol w:w="36"/>
        <w:gridCol w:w="36"/>
        <w:gridCol w:w="36"/>
        <w:gridCol w:w="121"/>
        <w:gridCol w:w="876"/>
        <w:gridCol w:w="36"/>
      </w:tblGrid>
      <w:tr w:rsidR="00000000">
        <w:trPr>
          <w:divId w:val="1645892719"/>
          <w:jc w:val="center"/>
        </w:trPr>
        <w:tc>
          <w:tcPr>
            <w:tcW w:w="50" w:type="pct"/>
            <w:vAlign w:val="center"/>
            <w:hideMark/>
          </w:tcPr>
          <w:p w:rsidR="00000000" w:rsidRDefault="00AC31B9">
            <w:pPr>
              <w:jc w:val="both"/>
              <w:rPr>
                <w:rFonts w:eastAsia="Times New Roman"/>
              </w:rPr>
            </w:pPr>
          </w:p>
        </w:tc>
        <w:tc>
          <w:tcPr>
            <w:tcW w:w="295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645892719"/>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r>
      <w:tr w:rsidR="00000000">
        <w:trPr>
          <w:divId w:val="1645892719"/>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(Losses) gains on foreign currency contracts, net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45892719"/>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both"/>
              <w:rPr>
                <w:rFonts w:eastAsia="Times New Roman"/>
              </w:rPr>
            </w:pPr>
            <w:r>
              <w:rPr>
                <w:rFonts w:eastAsia="Times New Roman"/>
                <w:color w:val="000000"/>
                <w:sz w:val="20"/>
                <w:szCs w:val="20"/>
              </w:rPr>
              <w:t xml:space="preserve">Amortization of excluded components of certain net investment hedges </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45892719"/>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Pension and other postretirement plans non-service income, net</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645892719"/>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other non-operating (expense) income,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both"/>
        <w:divId w:val="1116024196"/>
        <w:rPr>
          <w:rFonts w:eastAsia="Times New Roman"/>
        </w:rPr>
      </w:pPr>
    </w:p>
    <w:p w:rsidR="00000000" w:rsidRDefault="00AC31B9">
      <w:pPr>
        <w:jc w:val="center"/>
        <w:divId w:val="1087075126"/>
        <w:rPr>
          <w:rFonts w:eastAsia="Times New Roman"/>
        </w:rPr>
      </w:pPr>
      <w:r>
        <w:rPr>
          <w:rFonts w:eastAsia="Times New Roman"/>
          <w:color w:val="000000"/>
          <w:sz w:val="20"/>
          <w:szCs w:val="20"/>
        </w:rPr>
        <w:t>F-59</w:t>
      </w:r>
    </w:p>
    <w:p w:rsidR="00000000" w:rsidRDefault="00AC31B9">
      <w:pPr>
        <w:rPr>
          <w:rFonts w:eastAsia="Times New Roman"/>
        </w:rPr>
      </w:pPr>
      <w:r>
        <w:rPr>
          <w:rFonts w:eastAsia="Times New Roman"/>
        </w:rPr>
        <w:pict>
          <v:rect id="_x0000_i1177" style="width:0;height:1.5pt" o:hralign="center" o:hrstd="t" o:hr="t" fillcolor="#a0a0a0" stroked="f"/>
        </w:pict>
      </w:r>
    </w:p>
    <w:p w:rsidR="00000000" w:rsidRDefault="00AC31B9">
      <w:pPr>
        <w:divId w:val="1975213467"/>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754480260"/>
        <w:rPr>
          <w:rFonts w:eastAsia="Times New Roman"/>
        </w:rPr>
      </w:pPr>
      <w:r>
        <w:rPr>
          <w:rFonts w:eastAsia="Times New Roman"/>
          <w:b/>
          <w:bCs/>
          <w:color w:val="000000"/>
          <w:sz w:val="20"/>
          <w:szCs w:val="20"/>
        </w:rPr>
        <w:t>UGI Corporation and Subsidiaries</w:t>
      </w:r>
    </w:p>
    <w:p w:rsidR="00000000" w:rsidRDefault="00AC31B9">
      <w:pPr>
        <w:divId w:val="651062775"/>
        <w:rPr>
          <w:rFonts w:eastAsia="Times New Roman"/>
        </w:rPr>
      </w:pPr>
      <w:r>
        <w:rPr>
          <w:rFonts w:eastAsia="Times New Roman"/>
          <w:b/>
          <w:bCs/>
          <w:color w:val="000000"/>
          <w:sz w:val="20"/>
          <w:szCs w:val="20"/>
        </w:rPr>
        <w:t>Notes to Consolidated Financial Statements</w:t>
      </w:r>
    </w:p>
    <w:p w:rsidR="00000000" w:rsidRDefault="00AC31B9">
      <w:pPr>
        <w:divId w:val="982268558"/>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AC31B9">
      <w:pPr>
        <w:jc w:val="both"/>
        <w:rPr>
          <w:rFonts w:eastAsia="Times New Roman"/>
        </w:rPr>
      </w:pPr>
      <w:r>
        <w:rPr>
          <w:rFonts w:eastAsia="Times New Roman"/>
          <w:b/>
          <w:bCs/>
          <w:color w:val="000000"/>
          <w:sz w:val="20"/>
          <w:szCs w:val="20"/>
          <w:u w:val="single"/>
        </w:rPr>
        <w:t>Note 21 — Equity Method Investments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Equity method investments which are included within “Other assets” on the Consolidated Balance Sheets, comprises the following as of September 30:</w:t>
      </w:r>
    </w:p>
    <w:tbl>
      <w:tblPr>
        <w:tblW w:w="4999" w:type="pct"/>
        <w:tblCellMar>
          <w:top w:w="15" w:type="dxa"/>
          <w:left w:w="15" w:type="dxa"/>
          <w:bottom w:w="15" w:type="dxa"/>
          <w:right w:w="15" w:type="dxa"/>
        </w:tblCellMar>
        <w:tblLook w:val="04A0" w:firstRow="1" w:lastRow="0" w:firstColumn="1" w:lastColumn="0" w:noHBand="0" w:noVBand="1"/>
      </w:tblPr>
      <w:tblGrid>
        <w:gridCol w:w="40"/>
        <w:gridCol w:w="3093"/>
        <w:gridCol w:w="38"/>
        <w:gridCol w:w="36"/>
        <w:gridCol w:w="36"/>
        <w:gridCol w:w="36"/>
        <w:gridCol w:w="120"/>
        <w:gridCol w:w="1040"/>
        <w:gridCol w:w="36"/>
        <w:gridCol w:w="36"/>
        <w:gridCol w:w="36"/>
        <w:gridCol w:w="36"/>
        <w:gridCol w:w="120"/>
        <w:gridCol w:w="1078"/>
        <w:gridCol w:w="36"/>
        <w:gridCol w:w="36"/>
        <w:gridCol w:w="36"/>
        <w:gridCol w:w="36"/>
        <w:gridCol w:w="46"/>
        <w:gridCol w:w="1032"/>
        <w:gridCol w:w="38"/>
        <w:gridCol w:w="37"/>
        <w:gridCol w:w="36"/>
        <w:gridCol w:w="36"/>
        <w:gridCol w:w="45"/>
        <w:gridCol w:w="1072"/>
        <w:gridCol w:w="37"/>
      </w:tblGrid>
      <w:tr w:rsidR="00000000">
        <w:tc>
          <w:tcPr>
            <w:tcW w:w="50" w:type="pct"/>
            <w:vAlign w:val="center"/>
            <w:hideMark/>
          </w:tcPr>
          <w:p w:rsidR="00000000" w:rsidRDefault="00AC31B9">
            <w:pPr>
              <w:jc w:val="both"/>
              <w:rPr>
                <w:rFonts w:eastAsia="Times New Roman"/>
              </w:rPr>
            </w:pPr>
          </w:p>
        </w:tc>
        <w:tc>
          <w:tcPr>
            <w:tcW w:w="188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67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67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67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67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Carrying Value</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Ownership Interest</w:t>
            </w:r>
          </w:p>
        </w:tc>
      </w:tr>
      <w:tr w:rsidR="00000000">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Investees</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c>
          <w:tcPr>
            <w:tcW w:w="0" w:type="auto"/>
            <w:gridSpan w:val="3"/>
            <w:shd w:val="clear" w:color="auto" w:fill="FFFF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Aurum Renewables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40%</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N/A</w:t>
            </w:r>
          </w:p>
        </w:tc>
      </w:tr>
      <w:tr w:rsidR="00000000">
        <w:tc>
          <w:tcPr>
            <w:tcW w:w="0" w:type="auto"/>
            <w:gridSpan w:val="3"/>
            <w:shd w:val="clear" w:color="auto" w:fill="CCEE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Pine Run</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77</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68</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49%</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49%</w:t>
            </w:r>
          </w:p>
        </w:tc>
      </w:tr>
      <w:tr w:rsidR="00000000">
        <w:tc>
          <w:tcPr>
            <w:tcW w:w="0" w:type="auto"/>
            <w:gridSpan w:val="3"/>
            <w:shd w:val="clear" w:color="auto" w:fill="FFFF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MBL Bioenergy</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122</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23</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99.99%</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99.99%</w:t>
            </w:r>
          </w:p>
        </w:tc>
      </w:tr>
      <w:tr w:rsidR="00000000">
        <w:tc>
          <w:tcPr>
            <w:tcW w:w="0" w:type="auto"/>
            <w:gridSpan w:val="3"/>
            <w:shd w:val="clear" w:color="auto" w:fill="CCEE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20</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18</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various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various</w:t>
            </w:r>
          </w:p>
        </w:tc>
      </w:tr>
      <w:tr w:rsidR="00000000">
        <w:tc>
          <w:tcPr>
            <w:tcW w:w="0" w:type="auto"/>
            <w:gridSpan w:val="3"/>
            <w:shd w:val="clear" w:color="auto" w:fill="FFFFFF"/>
            <w:tcMar>
              <w:top w:w="30" w:type="dxa"/>
              <w:left w:w="6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Total Midstream &amp; Marketing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264</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109</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xml:space="preserve">UGI International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35</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21</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various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various</w:t>
            </w:r>
          </w:p>
        </w:tc>
      </w:tr>
      <w:tr w:rsidR="00000000">
        <w:tc>
          <w:tcPr>
            <w:tcW w:w="0" w:type="auto"/>
            <w:gridSpan w:val="3"/>
            <w:vAlign w:val="center"/>
            <w:hideMark/>
          </w:tcPr>
          <w:p w:rsidR="00000000" w:rsidRDefault="00AC31B9">
            <w:pPr>
              <w:spacing w:after="100"/>
              <w:jc w:val="center"/>
              <w:rPr>
                <w:rFonts w:eastAsia="Times New Roman"/>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investments in equity method investees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bl>
    <w:p w:rsidR="00000000" w:rsidRDefault="00AC31B9">
      <w:pPr>
        <w:jc w:val="both"/>
        <w:rPr>
          <w:rFonts w:eastAsia="Times New Roman"/>
        </w:rPr>
      </w:pPr>
    </w:p>
    <w:p w:rsidR="00000000" w:rsidRDefault="00AC31B9">
      <w:pPr>
        <w:jc w:val="both"/>
        <w:rPr>
          <w:rFonts w:eastAsia="Times New Roman"/>
        </w:rPr>
      </w:pPr>
    </w:p>
    <w:p w:rsidR="00000000" w:rsidRDefault="00AC31B9">
      <w:pPr>
        <w:jc w:val="both"/>
        <w:rPr>
          <w:rFonts w:eastAsia="Times New Roman"/>
        </w:rPr>
      </w:pPr>
      <w:r>
        <w:rPr>
          <w:rFonts w:eastAsia="Times New Roman"/>
          <w:i/>
          <w:iCs/>
          <w:color w:val="000000"/>
          <w:sz w:val="20"/>
          <w:szCs w:val="20"/>
          <w:u w:val="single"/>
        </w:rPr>
        <w:t>Aurum Renewables</w:t>
      </w:r>
      <w:r>
        <w:rPr>
          <w:rFonts w:eastAsia="Times New Roman"/>
          <w:color w:val="000000"/>
          <w:sz w:val="20"/>
          <w:szCs w:val="20"/>
        </w:rPr>
        <w:t>. In January 2023, the Company, through its wholly owned indirect subsidiary, entered into a joint venture agreement with a third party Archaea Holdings, LLC (“Archaea”</w:t>
      </w:r>
      <w:r>
        <w:rPr>
          <w:rFonts w:eastAsia="Times New Roman"/>
          <w:color w:val="000000"/>
          <w:sz w:val="20"/>
          <w:szCs w:val="20"/>
        </w:rPr>
        <w:t xml:space="preserve">). The primary purpose of the joint venture, Aurum Renewables LLC, is to upgrade landfill gas from the Commonwealth Environmental Systems landfill located in Hegins, Pennsylvania to pipeline-quality RNG. Pursuant to this agreement, the Company contributed </w:t>
      </w:r>
      <w:r>
        <w:rPr>
          <w:rFonts w:eastAsia="Times New Roman"/>
          <w:color w:val="000000"/>
          <w:sz w:val="20"/>
          <w:szCs w:val="20"/>
        </w:rPr>
        <w:t xml:space="preserve">its existing 11 megawatt landfill gas-to-electricity facility, as non-cash consideration, in return for a 40% equity interest in the joint venture. Once complete, the project is expected to have the capacity to produce approximately 5,000 MMBtu per day of </w:t>
      </w:r>
      <w:r>
        <w:rPr>
          <w:rFonts w:eastAsia="Times New Roman"/>
          <w:color w:val="000000"/>
          <w:sz w:val="20"/>
          <w:szCs w:val="20"/>
        </w:rPr>
        <w:t>pipeline-quality RNG. Archaea will lead the development, engineering, construction, and operation of the new RNG facility, and Energy Services will take a lead role in marketing the RNG produced by the facility.</w:t>
      </w:r>
      <w:r>
        <w:rPr>
          <w:rFonts w:ascii="Lato" w:eastAsia="Times New Roman" w:hAnsi="Lato"/>
          <w:color w:val="FF0000"/>
          <w:shd w:val="clear" w:color="auto" w:fill="FFFFFF"/>
        </w:rPr>
        <w:t xml:space="preserve"> </w:t>
      </w:r>
    </w:p>
    <w:p w:rsidR="00000000" w:rsidRDefault="00AC31B9">
      <w:pPr>
        <w:jc w:val="both"/>
        <w:rPr>
          <w:rFonts w:eastAsia="Times New Roman"/>
        </w:rPr>
      </w:pPr>
    </w:p>
    <w:p w:rsidR="00000000" w:rsidRDefault="00AC31B9">
      <w:pPr>
        <w:jc w:val="both"/>
        <w:rPr>
          <w:rFonts w:eastAsia="Times New Roman"/>
        </w:rPr>
      </w:pPr>
      <w:r>
        <w:rPr>
          <w:rFonts w:eastAsia="Times New Roman"/>
          <w:i/>
          <w:iCs/>
          <w:color w:val="000000"/>
          <w:sz w:val="20"/>
          <w:szCs w:val="20"/>
          <w:u w:val="single"/>
        </w:rPr>
        <w:t>Pine Run.</w:t>
      </w:r>
      <w:r>
        <w:rPr>
          <w:rFonts w:eastAsia="Times New Roman"/>
          <w:color w:val="000000"/>
          <w:sz w:val="20"/>
          <w:szCs w:val="20"/>
        </w:rPr>
        <w:t xml:space="preserve"> Pine Run is a company jointly o</w:t>
      </w:r>
      <w:r>
        <w:rPr>
          <w:rFonts w:eastAsia="Times New Roman"/>
          <w:color w:val="000000"/>
          <w:sz w:val="20"/>
          <w:szCs w:val="20"/>
        </w:rPr>
        <w:t>wned by UGI Pine Run, LLC (a wholly-owned subsidiary of Energy Services) and Stonehenge Energy Resources</w:t>
      </w:r>
      <w:r>
        <w:rPr>
          <w:rFonts w:eastAsia="Times New Roman"/>
          <w:color w:val="000000"/>
          <w:sz w:val="20"/>
          <w:szCs w:val="20"/>
          <w:shd w:val="clear" w:color="auto" w:fill="FFFFFF"/>
        </w:rPr>
        <w:t xml:space="preserve">. </w:t>
      </w:r>
      <w:r>
        <w:rPr>
          <w:rFonts w:eastAsia="Times New Roman"/>
          <w:color w:val="000000"/>
          <w:sz w:val="20"/>
          <w:szCs w:val="20"/>
        </w:rPr>
        <w:t xml:space="preserve">In February 2021, Pine Run completed the acquisition of Pine Run Midstream, an affiliate of PennEnergy, and minority partners for approximately $205. </w:t>
      </w:r>
      <w:r>
        <w:rPr>
          <w:rFonts w:eastAsia="Times New Roman"/>
          <w:color w:val="000000"/>
          <w:sz w:val="20"/>
          <w:szCs w:val="20"/>
        </w:rPr>
        <w:t>The acquisition was funded by cash contributions by UGI Pine Run, LLC and Stonehenge Energy Resources totaling approximately $115, and the issuance by Pine Run of $90 of long-term debt. Pine Run Midstream operates dry gas gathering pipelines and compressio</w:t>
      </w:r>
      <w:r>
        <w:rPr>
          <w:rFonts w:eastAsia="Times New Roman"/>
          <w:color w:val="000000"/>
          <w:sz w:val="20"/>
          <w:szCs w:val="20"/>
        </w:rPr>
        <w:t xml:space="preserve">n assets in western Pennsylvania. Pine Run is accounted for as an equity method investment as we have the ability to exercise significant influence, but not control, over the entity. </w:t>
      </w:r>
    </w:p>
    <w:p w:rsidR="00000000" w:rsidRDefault="00AC31B9">
      <w:pPr>
        <w:jc w:val="both"/>
        <w:rPr>
          <w:rFonts w:eastAsia="Times New Roman"/>
        </w:rPr>
      </w:pPr>
    </w:p>
    <w:p w:rsidR="00000000" w:rsidRDefault="00AC31B9">
      <w:pPr>
        <w:jc w:val="both"/>
        <w:rPr>
          <w:rFonts w:eastAsia="Times New Roman"/>
        </w:rPr>
      </w:pPr>
      <w:r>
        <w:rPr>
          <w:rFonts w:eastAsia="Times New Roman"/>
          <w:i/>
          <w:iCs/>
          <w:color w:val="000000"/>
          <w:sz w:val="20"/>
          <w:szCs w:val="20"/>
          <w:u w:val="single"/>
        </w:rPr>
        <w:t>MBL Bioenergy</w:t>
      </w:r>
      <w:r>
        <w:rPr>
          <w:rFonts w:eastAsia="Times New Roman"/>
          <w:color w:val="000000"/>
          <w:sz w:val="20"/>
          <w:szCs w:val="20"/>
        </w:rPr>
        <w:t>.</w:t>
      </w:r>
      <w:r>
        <w:rPr>
          <w:rFonts w:ascii="Calibri" w:eastAsia="Times New Roman" w:hAnsi="Calibri" w:cs="Calibri"/>
          <w:color w:val="000000"/>
          <w:sz w:val="20"/>
          <w:szCs w:val="20"/>
        </w:rPr>
        <w:t xml:space="preserve"> </w:t>
      </w:r>
      <w:r>
        <w:rPr>
          <w:rFonts w:eastAsia="Times New Roman"/>
          <w:color w:val="000000"/>
          <w:sz w:val="20"/>
          <w:szCs w:val="20"/>
        </w:rPr>
        <w:t>MBL Bioenergy is a company jointly owned by UGI Dakota,</w:t>
      </w:r>
      <w:r>
        <w:rPr>
          <w:rFonts w:eastAsia="Times New Roman"/>
          <w:color w:val="000000"/>
          <w:sz w:val="20"/>
          <w:szCs w:val="20"/>
        </w:rPr>
        <w:t xml:space="preserve"> LLC (a wholly-owned subsidiary of Energy Services), Sevana Bioenergy and a subsidiary of California Bioenergy. The sole purpose of MBL Bioenergy is the development of RNG projects in South Dakota comprising three dairy waste anaerobic digester systems. MB</w:t>
      </w:r>
      <w:r>
        <w:rPr>
          <w:rFonts w:eastAsia="Times New Roman"/>
          <w:color w:val="000000"/>
          <w:sz w:val="20"/>
          <w:szCs w:val="20"/>
        </w:rPr>
        <w:t>L Bioenergy is a variable interest entity whereby the Company has determined that it is not the primary beneficiary since it does not direct the activities that most significantly impact the entity’s economic performance. In addition to consent being requi</w:t>
      </w:r>
      <w:r>
        <w:rPr>
          <w:rFonts w:eastAsia="Times New Roman"/>
          <w:color w:val="000000"/>
          <w:sz w:val="20"/>
          <w:szCs w:val="20"/>
        </w:rPr>
        <w:t>red for all equity holders for significant activities, such as major procurement, construction contracting and offtake, our partners manage the day-to-day project management and operations for MBL Bioenergy and its subsidiaries.</w:t>
      </w:r>
    </w:p>
    <w:p w:rsidR="00000000" w:rsidRDefault="00AC31B9">
      <w:pPr>
        <w:jc w:val="both"/>
        <w:rPr>
          <w:rFonts w:eastAsia="Times New Roman"/>
        </w:rPr>
      </w:pPr>
    </w:p>
    <w:p w:rsidR="00000000" w:rsidRDefault="00AC31B9">
      <w:pPr>
        <w:jc w:val="both"/>
        <w:rPr>
          <w:rFonts w:eastAsia="Times New Roman"/>
        </w:rPr>
      </w:pPr>
      <w:r>
        <w:rPr>
          <w:rFonts w:eastAsia="Times New Roman"/>
          <w:i/>
          <w:iCs/>
          <w:color w:val="000000"/>
          <w:sz w:val="20"/>
          <w:szCs w:val="20"/>
          <w:u w:val="single"/>
        </w:rPr>
        <w:t>Pennant.</w:t>
      </w:r>
      <w:r>
        <w:rPr>
          <w:rFonts w:eastAsia="Times New Roman"/>
          <w:color w:val="000000"/>
          <w:sz w:val="20"/>
          <w:szCs w:val="20"/>
        </w:rPr>
        <w:t xml:space="preserve"> During the fourt</w:t>
      </w:r>
      <w:r>
        <w:rPr>
          <w:rFonts w:eastAsia="Times New Roman"/>
          <w:color w:val="000000"/>
          <w:sz w:val="20"/>
          <w:szCs w:val="20"/>
        </w:rPr>
        <w:t>h quarter of Fiscal 2022, Energy Services completed the Pennant Acquisition and acquired the remaining 53% of the equity interests in Pennant. Prior to the Pennant Acquisition, the Company’s investment in Pennant was accounted for as an equity method inves</w:t>
      </w:r>
      <w:r>
        <w:rPr>
          <w:rFonts w:eastAsia="Times New Roman"/>
          <w:color w:val="000000"/>
          <w:sz w:val="20"/>
          <w:szCs w:val="20"/>
        </w:rPr>
        <w:t>tment as we had the ability to exercise significant influence, but not control, over the entity. The acquisition of the remaining interests was accounted for as an acquisition of assets, and the purchase price of approximately $61 was primarily allocated t</w:t>
      </w:r>
      <w:r>
        <w:rPr>
          <w:rFonts w:eastAsia="Times New Roman"/>
          <w:color w:val="000000"/>
          <w:sz w:val="20"/>
          <w:szCs w:val="20"/>
        </w:rPr>
        <w:t>o property, plant and equipment. In connection with the acquisition of the controlling financial interest in Pennant, the Company recognized an other-than-temporary pre-tax impairment charge of $44 related to its then existing 47% membership interest, whic</w:t>
      </w:r>
      <w:r>
        <w:rPr>
          <w:rFonts w:eastAsia="Times New Roman"/>
          <w:color w:val="000000"/>
          <w:sz w:val="20"/>
          <w:szCs w:val="20"/>
        </w:rPr>
        <w:t>h amount is reflected in “Income (loss) from equity investees” in the Consolidated Statements of Income.</w:t>
      </w:r>
    </w:p>
    <w:p w:rsidR="00000000" w:rsidRDefault="00AC31B9">
      <w:pPr>
        <w:jc w:val="both"/>
        <w:rPr>
          <w:rFonts w:eastAsia="Times New Roman"/>
        </w:rPr>
      </w:pPr>
    </w:p>
    <w:p w:rsidR="00000000" w:rsidRDefault="00AC31B9">
      <w:pPr>
        <w:jc w:val="both"/>
        <w:rPr>
          <w:rFonts w:eastAsia="Times New Roman"/>
        </w:rPr>
      </w:pPr>
      <w:r>
        <w:rPr>
          <w:rFonts w:eastAsia="Times New Roman"/>
          <w:i/>
          <w:iCs/>
          <w:color w:val="000000"/>
          <w:sz w:val="20"/>
          <w:szCs w:val="20"/>
          <w:u w:val="single"/>
          <w:shd w:val="clear" w:color="auto" w:fill="FFFFFF"/>
        </w:rPr>
        <w:t>PennEast</w:t>
      </w:r>
      <w:r>
        <w:rPr>
          <w:rFonts w:eastAsia="Times New Roman"/>
          <w:color w:val="000000"/>
          <w:sz w:val="20"/>
          <w:szCs w:val="20"/>
          <w:u w:val="single"/>
          <w:shd w:val="clear" w:color="auto" w:fill="FFFFFF"/>
        </w:rPr>
        <w:t>.</w:t>
      </w:r>
      <w:r>
        <w:rPr>
          <w:rFonts w:eastAsia="Times New Roman"/>
          <w:color w:val="000000"/>
          <w:sz w:val="20"/>
          <w:szCs w:val="20"/>
          <w:shd w:val="clear" w:color="auto" w:fill="FFFFFF"/>
        </w:rPr>
        <w:t xml:space="preserve"> UGI PennEast, LLC and four other members each hold a 20% membership interest in PennEast. PennEast was formed to construct an approximate 1</w:t>
      </w:r>
      <w:r>
        <w:rPr>
          <w:rFonts w:eastAsia="Times New Roman"/>
          <w:color w:val="000000"/>
          <w:sz w:val="20"/>
          <w:szCs w:val="20"/>
          <w:shd w:val="clear" w:color="auto" w:fill="FFFFFF"/>
        </w:rPr>
        <w:t>20-mile natural gas pipeline from Luzerne County, Pennsylvania to the Trenton-</w:t>
      </w:r>
    </w:p>
    <w:p w:rsidR="00000000" w:rsidRDefault="00AC31B9">
      <w:pPr>
        <w:jc w:val="center"/>
        <w:divId w:val="1627349317"/>
        <w:rPr>
          <w:rFonts w:eastAsia="Times New Roman"/>
        </w:rPr>
      </w:pPr>
      <w:r>
        <w:rPr>
          <w:rFonts w:eastAsia="Times New Roman"/>
          <w:color w:val="000000"/>
          <w:sz w:val="20"/>
          <w:szCs w:val="20"/>
        </w:rPr>
        <w:t>F-60</w:t>
      </w:r>
    </w:p>
    <w:p w:rsidR="00000000" w:rsidRDefault="00AC31B9">
      <w:pPr>
        <w:rPr>
          <w:rFonts w:eastAsia="Times New Roman"/>
        </w:rPr>
      </w:pPr>
      <w:r>
        <w:rPr>
          <w:rFonts w:eastAsia="Times New Roman"/>
        </w:rPr>
        <w:pict>
          <v:rect id="_x0000_i1178" style="width:0;height:1.5pt" o:hralign="center" o:hrstd="t" o:hr="t" fillcolor="#a0a0a0" stroked="f"/>
        </w:pict>
      </w:r>
    </w:p>
    <w:p w:rsidR="00000000" w:rsidRDefault="00AC31B9">
      <w:pPr>
        <w:divId w:val="85810493"/>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272979215"/>
        <w:rPr>
          <w:rFonts w:eastAsia="Times New Roman"/>
        </w:rPr>
      </w:pPr>
      <w:r>
        <w:rPr>
          <w:rFonts w:eastAsia="Times New Roman"/>
          <w:b/>
          <w:bCs/>
          <w:color w:val="000000"/>
          <w:sz w:val="20"/>
          <w:szCs w:val="20"/>
        </w:rPr>
        <w:t>UGI Corporation and Subsidiaries</w:t>
      </w:r>
    </w:p>
    <w:p w:rsidR="00000000" w:rsidRDefault="00AC31B9">
      <w:pPr>
        <w:divId w:val="1421215442"/>
        <w:rPr>
          <w:rFonts w:eastAsia="Times New Roman"/>
        </w:rPr>
      </w:pPr>
      <w:r>
        <w:rPr>
          <w:rFonts w:eastAsia="Times New Roman"/>
          <w:b/>
          <w:bCs/>
          <w:color w:val="000000"/>
          <w:sz w:val="20"/>
          <w:szCs w:val="20"/>
        </w:rPr>
        <w:t>Notes to Consolidated Financial Statements</w:t>
      </w:r>
    </w:p>
    <w:p w:rsidR="00000000" w:rsidRDefault="00AC31B9">
      <w:pPr>
        <w:divId w:val="1031878905"/>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rPr>
          <w:rFonts w:eastAsia="Times New Roman"/>
        </w:rPr>
      </w:pPr>
      <w:r>
        <w:rPr>
          <w:rFonts w:eastAsia="Times New Roman"/>
          <w:color w:val="000000"/>
          <w:sz w:val="20"/>
          <w:szCs w:val="20"/>
          <w:shd w:val="clear" w:color="auto" w:fill="FFFFFF"/>
        </w:rPr>
        <w:t>Woodbury interconnection in New Jersey. PennEast is accounted for as an equity method investment as we have the ability to exercise si</w:t>
      </w:r>
      <w:r>
        <w:rPr>
          <w:rFonts w:eastAsia="Times New Roman"/>
          <w:color w:val="000000"/>
          <w:sz w:val="20"/>
          <w:szCs w:val="20"/>
          <w:shd w:val="clear" w:color="auto" w:fill="FFFFFF"/>
        </w:rPr>
        <w:t>gnificant influence, but not control, over PennEast.</w:t>
      </w:r>
    </w:p>
    <w:p w:rsidR="00000000" w:rsidRDefault="00AC31B9">
      <w:pPr>
        <w:divId w:val="1743405654"/>
        <w:rPr>
          <w:rFonts w:eastAsia="Times New Roman"/>
        </w:rPr>
      </w:pPr>
    </w:p>
    <w:p w:rsidR="00000000" w:rsidRDefault="00AC31B9">
      <w:pPr>
        <w:jc w:val="both"/>
        <w:rPr>
          <w:rFonts w:eastAsia="Times New Roman"/>
        </w:rPr>
      </w:pPr>
      <w:r>
        <w:rPr>
          <w:rFonts w:eastAsia="Times New Roman"/>
          <w:color w:val="000000"/>
          <w:sz w:val="20"/>
          <w:szCs w:val="20"/>
          <w:shd w:val="clear" w:color="auto" w:fill="FFFFFF"/>
        </w:rPr>
        <w:t>During the third-quarter of Fiscal 2021, the partners of the PennEast project re-assessed the remaining legal and regulatory contingencies which needed to be resolved before construction could commence. Based on the significant remaining legal challenges a</w:t>
      </w:r>
      <w:r>
        <w:rPr>
          <w:rFonts w:eastAsia="Times New Roman"/>
          <w:color w:val="000000"/>
          <w:sz w:val="20"/>
          <w:szCs w:val="20"/>
          <w:shd w:val="clear" w:color="auto" w:fill="FFFFFF"/>
        </w:rPr>
        <w:t>nd the expected further delays in obtaining necessary regulatory approvals, which were preventing the commencement of construction and commercial operation of the project, the Company concluded that its investment in PennEast was impaired at June 30, 2021,</w:t>
      </w:r>
      <w:r>
        <w:rPr>
          <w:rFonts w:eastAsia="Times New Roman"/>
          <w:color w:val="000000"/>
          <w:sz w:val="20"/>
          <w:szCs w:val="20"/>
          <w:shd w:val="clear" w:color="auto" w:fill="FFFFFF"/>
        </w:rPr>
        <w:t xml:space="preserve"> and that such impairment was other-than-temporary. The estimated fair value of the Company’s investment in PennEast was measured using probability-weighted cash flows under an expected present value technique based on management's estimates and assumption</w:t>
      </w:r>
      <w:r>
        <w:rPr>
          <w:rFonts w:eastAsia="Times New Roman"/>
          <w:color w:val="000000"/>
          <w:sz w:val="20"/>
          <w:szCs w:val="20"/>
          <w:shd w:val="clear" w:color="auto" w:fill="FFFFFF"/>
        </w:rPr>
        <w:t xml:space="preserve">s regarding the likelihood of certain outcomes (and the related timing) that would be used by market participants at the time. </w:t>
      </w:r>
      <w:r>
        <w:rPr>
          <w:rFonts w:eastAsia="Times New Roman"/>
          <w:color w:val="000000"/>
          <w:sz w:val="20"/>
          <w:szCs w:val="20"/>
        </w:rPr>
        <w:t xml:space="preserve">Based upon this analysis, the Company recognized an other-than-temporary pre-tax impairment charge of $93 in June 2021, which is </w:t>
      </w:r>
      <w:r>
        <w:rPr>
          <w:rFonts w:eastAsia="Times New Roman"/>
          <w:color w:val="000000"/>
          <w:sz w:val="20"/>
          <w:szCs w:val="20"/>
        </w:rPr>
        <w:t>reflected in “Income (loss) from equity investees” in the Consolidated Statements of Income.</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In September 2021, the PennEast partners announced that further development of the project is no longer supported and all further development has ceased. Followi</w:t>
      </w:r>
      <w:r>
        <w:rPr>
          <w:rFonts w:eastAsia="Times New Roman"/>
          <w:color w:val="000000"/>
          <w:sz w:val="20"/>
          <w:szCs w:val="20"/>
        </w:rPr>
        <w:t>ng this announcement, the estimated fair value of the remaining assets of the project was assessed using the liquidation value of equipment held by PennEast. Such assessment did not result in a material change in the carrying value and no further impairmen</w:t>
      </w:r>
      <w:r>
        <w:rPr>
          <w:rFonts w:eastAsia="Times New Roman"/>
          <w:color w:val="000000"/>
          <w:sz w:val="20"/>
          <w:szCs w:val="20"/>
        </w:rPr>
        <w:t>t loss was recognized. The estimated fair value of the Company’s investment in PennEast was determined to be a Level 2 measurement within the fair value hierarchy. During the fourth quarter of Fiscal 2022, the Company recognized $9 of equity earnings relat</w:t>
      </w:r>
      <w:r>
        <w:rPr>
          <w:rFonts w:eastAsia="Times New Roman"/>
          <w:color w:val="000000"/>
          <w:sz w:val="20"/>
          <w:szCs w:val="20"/>
        </w:rPr>
        <w:t>ed to the ongoing liquidation of PennEast assets. The carrying value of our investment in PennEast at September 30, 2023 and 2022 was not material.</w:t>
      </w:r>
    </w:p>
    <w:p w:rsidR="00000000" w:rsidRDefault="00AC31B9">
      <w:pPr>
        <w:jc w:val="both"/>
        <w:rPr>
          <w:rFonts w:eastAsia="Times New Roman"/>
        </w:rPr>
      </w:pPr>
    </w:p>
    <w:p w:rsidR="00000000" w:rsidRDefault="00AC31B9">
      <w:pPr>
        <w:jc w:val="both"/>
        <w:rPr>
          <w:rFonts w:eastAsia="Times New Roman"/>
        </w:rPr>
      </w:pPr>
      <w:r>
        <w:rPr>
          <w:rFonts w:eastAsia="Times New Roman"/>
          <w:i/>
          <w:iCs/>
          <w:color w:val="000000"/>
          <w:sz w:val="20"/>
          <w:szCs w:val="20"/>
          <w:u w:val="single"/>
          <w:shd w:val="clear" w:color="auto" w:fill="FFFFFF"/>
        </w:rPr>
        <w:t>Other Equity Method Investment</w:t>
      </w:r>
      <w:r>
        <w:rPr>
          <w:rFonts w:eastAsia="Times New Roman"/>
          <w:i/>
          <w:iCs/>
          <w:color w:val="000000"/>
          <w:sz w:val="20"/>
          <w:szCs w:val="20"/>
          <w:u w:val="single"/>
        </w:rPr>
        <w:t>s.</w:t>
      </w:r>
      <w:r>
        <w:rPr>
          <w:rFonts w:eastAsia="Times New Roman"/>
          <w:color w:val="000000"/>
          <w:sz w:val="20"/>
          <w:szCs w:val="20"/>
        </w:rPr>
        <w:t xml:space="preserve"> The carrying values of our other equity investments totaled $55 and $39 a</w:t>
      </w:r>
      <w:r>
        <w:rPr>
          <w:rFonts w:eastAsia="Times New Roman"/>
          <w:color w:val="000000"/>
          <w:sz w:val="20"/>
          <w:szCs w:val="20"/>
        </w:rPr>
        <w:t xml:space="preserve">t September 30, 2023 and 2022, respectively, and principally comprise a number of investments in biomass and other renewable energy projects at Energy Services and an investment in a renewable energy joint venture at UGI International.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Our maximum expos</w:t>
      </w:r>
      <w:r>
        <w:rPr>
          <w:rFonts w:eastAsia="Times New Roman"/>
          <w:color w:val="000000"/>
          <w:sz w:val="20"/>
          <w:szCs w:val="20"/>
        </w:rPr>
        <w:t>ure to loss related to these investments is limited to the amount invested.</w:t>
      </w:r>
    </w:p>
    <w:p w:rsidR="00000000" w:rsidRDefault="00AC31B9">
      <w:pPr>
        <w:jc w:val="center"/>
        <w:divId w:val="2048873629"/>
        <w:rPr>
          <w:rFonts w:eastAsia="Times New Roman"/>
        </w:rPr>
      </w:pPr>
      <w:r>
        <w:rPr>
          <w:rFonts w:eastAsia="Times New Roman"/>
          <w:color w:val="000000"/>
          <w:sz w:val="20"/>
          <w:szCs w:val="20"/>
        </w:rPr>
        <w:t>F-61</w:t>
      </w:r>
    </w:p>
    <w:p w:rsidR="00000000" w:rsidRDefault="00AC31B9">
      <w:pPr>
        <w:rPr>
          <w:rFonts w:eastAsia="Times New Roman"/>
        </w:rPr>
      </w:pPr>
      <w:r>
        <w:rPr>
          <w:rFonts w:eastAsia="Times New Roman"/>
        </w:rPr>
        <w:pict>
          <v:rect id="_x0000_i1179" style="width:0;height:1.5pt" o:hralign="center" o:hrstd="t" o:hr="t" fillcolor="#a0a0a0" stroked="f"/>
        </w:pict>
      </w:r>
    </w:p>
    <w:p w:rsidR="00000000" w:rsidRDefault="00AC31B9">
      <w:pPr>
        <w:divId w:val="1507088590"/>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879932562"/>
        <w:rPr>
          <w:rFonts w:eastAsia="Times New Roman"/>
        </w:rPr>
      </w:pPr>
      <w:r>
        <w:rPr>
          <w:rFonts w:eastAsia="Times New Roman"/>
          <w:b/>
          <w:bCs/>
          <w:color w:val="000000"/>
          <w:sz w:val="20"/>
          <w:szCs w:val="20"/>
        </w:rPr>
        <w:t>UGI Corporation and Subsidiaries</w:t>
      </w:r>
    </w:p>
    <w:p w:rsidR="00000000" w:rsidRDefault="00AC31B9">
      <w:pPr>
        <w:divId w:val="1215198315"/>
        <w:rPr>
          <w:rFonts w:eastAsia="Times New Roman"/>
        </w:rPr>
      </w:pPr>
      <w:r>
        <w:rPr>
          <w:rFonts w:eastAsia="Times New Roman"/>
          <w:b/>
          <w:bCs/>
          <w:color w:val="000000"/>
          <w:sz w:val="20"/>
          <w:szCs w:val="20"/>
        </w:rPr>
        <w:t>Notes to Consolidated Financi</w:t>
      </w:r>
      <w:r>
        <w:rPr>
          <w:rFonts w:eastAsia="Times New Roman"/>
          <w:b/>
          <w:bCs/>
          <w:color w:val="000000"/>
          <w:sz w:val="20"/>
          <w:szCs w:val="20"/>
        </w:rPr>
        <w:t>al Statements</w:t>
      </w:r>
    </w:p>
    <w:p w:rsidR="00000000" w:rsidRDefault="00AC31B9">
      <w:pPr>
        <w:divId w:val="1155074878"/>
        <w:rPr>
          <w:rFonts w:eastAsia="Times New Roman"/>
        </w:rPr>
      </w:pPr>
      <w:r>
        <w:rPr>
          <w:rFonts w:eastAsia="Times New Roman"/>
          <w:color w:val="000000"/>
          <w:sz w:val="20"/>
          <w:szCs w:val="20"/>
        </w:rPr>
        <w:t>(Currency in millions, except per share amounts and where indicated otherwise)</w:t>
      </w:r>
    </w:p>
    <w:p w:rsidR="00000000" w:rsidRDefault="00AC31B9">
      <w:pPr>
        <w:jc w:val="both"/>
        <w:rPr>
          <w:rFonts w:eastAsia="Times New Roman"/>
        </w:rPr>
      </w:pPr>
      <w:r>
        <w:rPr>
          <w:rFonts w:eastAsia="Times New Roman"/>
          <w:b/>
          <w:bCs/>
          <w:color w:val="000000"/>
          <w:sz w:val="20"/>
          <w:szCs w:val="20"/>
          <w:u w:val="single"/>
        </w:rPr>
        <w:t xml:space="preserve">Note 22 — Segment Information </w:t>
      </w:r>
    </w:p>
    <w:p w:rsidR="00000000" w:rsidRDefault="00AC31B9">
      <w:pPr>
        <w:jc w:val="both"/>
        <w:divId w:val="74016354"/>
        <w:rPr>
          <w:rFonts w:eastAsia="Times New Roman"/>
        </w:rPr>
      </w:pPr>
      <w:r>
        <w:rPr>
          <w:rFonts w:eastAsia="Times New Roman"/>
          <w:color w:val="000000"/>
          <w:sz w:val="20"/>
          <w:szCs w:val="20"/>
        </w:rPr>
        <w:t xml:space="preserve">Our operations comprise four reportable segments generally based upon products or services sold, geographic location and regulatory </w:t>
      </w:r>
      <w:r>
        <w:rPr>
          <w:rFonts w:eastAsia="Times New Roman"/>
          <w:color w:val="000000"/>
          <w:sz w:val="20"/>
          <w:szCs w:val="20"/>
        </w:rPr>
        <w:t>environment: (1) AmeriGas Propane; (2) UGI International; (3) Midstream &amp; Marketing; and (4) Utilities.</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AmeriGas Propane derives its revenues principally from the sale of propane and related equipment and supplies to retail customers in all 50 states. UG</w:t>
      </w:r>
      <w:r>
        <w:rPr>
          <w:rFonts w:eastAsia="Times New Roman"/>
          <w:color w:val="000000"/>
          <w:sz w:val="20"/>
          <w:szCs w:val="20"/>
        </w:rPr>
        <w:t>I International derives its revenues principally from the distribution of LPG to retail customers throughout much of Europe.  In addition, UGI International derives revenue from energy marketing business that primarily markets natural gas and electricity t</w:t>
      </w:r>
      <w:r>
        <w:rPr>
          <w:rFonts w:eastAsia="Times New Roman"/>
          <w:color w:val="000000"/>
          <w:sz w:val="20"/>
          <w:szCs w:val="20"/>
        </w:rPr>
        <w:t xml:space="preserve">o customers in France, the Netherlands and, prior to its sales, in Belgium and the United Kingdom (see Note 5 regarding the sale and wind-down of the UGI International energy marketing business). Midstream &amp; Marketing derives its revenues principally from </w:t>
      </w:r>
      <w:r>
        <w:rPr>
          <w:rFonts w:eastAsia="Times New Roman"/>
          <w:color w:val="000000"/>
          <w:sz w:val="20"/>
          <w:szCs w:val="20"/>
        </w:rPr>
        <w:t>the sale of natural gas, liquid fuels and electricity as well as revenues and fees from storage, pipeline transportation, natural gas gathering, and natural gas and RNG production activities primarily in the Mid-Atlantic region of the U.S. eastern Ohio, th</w:t>
      </w:r>
      <w:r>
        <w:rPr>
          <w:rFonts w:eastAsia="Times New Roman"/>
          <w:color w:val="000000"/>
          <w:sz w:val="20"/>
          <w:szCs w:val="20"/>
        </w:rPr>
        <w:t>e panhandle of West Virginia and California. Midstream &amp; Marketing also derives revenues from the sale of electricity through PJM, a regional electricity transmission organization in the eastern U.S. Our Utilities segment primarily derives its revenues fro</w:t>
      </w:r>
      <w:r>
        <w:rPr>
          <w:rFonts w:eastAsia="Times New Roman"/>
          <w:color w:val="000000"/>
          <w:sz w:val="20"/>
          <w:szCs w:val="20"/>
        </w:rPr>
        <w:t>m the sale and distribution of natural gas to customers in eastern and central Pennsylvania and subsequent to the Mountaineer Acquisition in September 2021, in West Virginia (see Note 5). To a much lesser extent, Utilities also derives revenues from the sa</w:t>
      </w:r>
      <w:r>
        <w:rPr>
          <w:rFonts w:eastAsia="Times New Roman"/>
          <w:color w:val="000000"/>
          <w:sz w:val="20"/>
          <w:szCs w:val="20"/>
        </w:rPr>
        <w:t xml:space="preserve">le and distribution of electricity in two northeastern Pennsylvania counties.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Corporate &amp; Other includes certain items that are excluded from our CODM’</w:t>
      </w:r>
      <w:r>
        <w:rPr>
          <w:rFonts w:eastAsia="Times New Roman"/>
          <w:color w:val="000000"/>
          <w:sz w:val="20"/>
          <w:szCs w:val="20"/>
        </w:rPr>
        <w:t>s assessment of segment performance (see below for further details on these items). Corporate &amp; Other also includes the net expenses of UGI’s captive general liability insurance company, UGI’s corporate headquarters facility and UGI’s unallocated corporate</w:t>
      </w:r>
      <w:r>
        <w:rPr>
          <w:rFonts w:eastAsia="Times New Roman"/>
          <w:color w:val="000000"/>
          <w:sz w:val="20"/>
          <w:szCs w:val="20"/>
        </w:rPr>
        <w:t xml:space="preserve"> and general expenses as well as interest expense on UGI debt that is not allocated. Corporate &amp; Other assets principally comprise cash and cash equivalents of UGI and its captive insurance company, and UGI corporate headquarters’ assets. </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The accounting</w:t>
      </w:r>
      <w:r>
        <w:rPr>
          <w:rFonts w:eastAsia="Times New Roman"/>
          <w:color w:val="000000"/>
          <w:sz w:val="20"/>
          <w:szCs w:val="20"/>
        </w:rPr>
        <w:t xml:space="preserve"> policies of our reportable segments are the same as those described in Note 2. Our CODM evaluates the performance of all of our reportable segments based upon earnings before interest expense and income taxes, excluding the items noted below.</w:t>
      </w:r>
    </w:p>
    <w:p w:rsidR="00000000" w:rsidRDefault="00AC31B9">
      <w:pPr>
        <w:jc w:val="both"/>
        <w:rPr>
          <w:rFonts w:eastAsia="Times New Roman"/>
        </w:rPr>
      </w:pPr>
    </w:p>
    <w:p w:rsidR="00000000" w:rsidRDefault="00AC31B9">
      <w:pPr>
        <w:jc w:val="both"/>
        <w:rPr>
          <w:rFonts w:eastAsia="Times New Roman"/>
        </w:rPr>
      </w:pPr>
      <w:r>
        <w:rPr>
          <w:rFonts w:eastAsia="Times New Roman"/>
          <w:color w:val="000000"/>
          <w:sz w:val="20"/>
          <w:szCs w:val="20"/>
        </w:rPr>
        <w:t xml:space="preserve">No single </w:t>
      </w:r>
      <w:r>
        <w:rPr>
          <w:rFonts w:eastAsia="Times New Roman"/>
          <w:color w:val="000000"/>
          <w:sz w:val="20"/>
          <w:szCs w:val="20"/>
        </w:rPr>
        <w:t>customer represents more than ten percent of our consolidated revenues. In addition, all of our reportable segments’ revenues, other than those of UGI International, are derived from sources within the United States, and all of our reportable segments’ lon</w:t>
      </w:r>
      <w:r>
        <w:rPr>
          <w:rFonts w:eastAsia="Times New Roman"/>
          <w:color w:val="000000"/>
          <w:sz w:val="20"/>
          <w:szCs w:val="20"/>
        </w:rPr>
        <w:t>g-lived assets, other than those of UGI International, are located in the United States. The amounts of revenues and long-lived assets associated with our operations in France represent approximately 20% and 10% of the respective consolidated amounts.</w:t>
      </w:r>
    </w:p>
    <w:tbl>
      <w:tblPr>
        <w:tblW w:w="5000" w:type="pct"/>
        <w:tblCellMar>
          <w:top w:w="15" w:type="dxa"/>
          <w:left w:w="15" w:type="dxa"/>
          <w:bottom w:w="15" w:type="dxa"/>
          <w:right w:w="15" w:type="dxa"/>
        </w:tblCellMar>
        <w:tblLook w:val="04A0" w:firstRow="1" w:lastRow="0" w:firstColumn="1" w:lastColumn="0" w:noHBand="0" w:noVBand="1"/>
      </w:tblPr>
      <w:tblGrid>
        <w:gridCol w:w="40"/>
        <w:gridCol w:w="2420"/>
        <w:gridCol w:w="38"/>
        <w:gridCol w:w="100"/>
        <w:gridCol w:w="480"/>
        <w:gridCol w:w="36"/>
        <w:gridCol w:w="36"/>
        <w:gridCol w:w="36"/>
        <w:gridCol w:w="36"/>
        <w:gridCol w:w="101"/>
        <w:gridCol w:w="451"/>
        <w:gridCol w:w="36"/>
        <w:gridCol w:w="37"/>
        <w:gridCol w:w="210"/>
        <w:gridCol w:w="36"/>
        <w:gridCol w:w="101"/>
        <w:gridCol w:w="613"/>
        <w:gridCol w:w="36"/>
        <w:gridCol w:w="36"/>
        <w:gridCol w:w="36"/>
        <w:gridCol w:w="36"/>
        <w:gridCol w:w="101"/>
        <w:gridCol w:w="754"/>
        <w:gridCol w:w="36"/>
        <w:gridCol w:w="36"/>
        <w:gridCol w:w="36"/>
        <w:gridCol w:w="36"/>
        <w:gridCol w:w="101"/>
        <w:gridCol w:w="644"/>
        <w:gridCol w:w="36"/>
        <w:gridCol w:w="36"/>
        <w:gridCol w:w="36"/>
        <w:gridCol w:w="36"/>
        <w:gridCol w:w="101"/>
        <w:gridCol w:w="488"/>
        <w:gridCol w:w="36"/>
        <w:gridCol w:w="36"/>
        <w:gridCol w:w="36"/>
        <w:gridCol w:w="36"/>
        <w:gridCol w:w="101"/>
        <w:gridCol w:w="597"/>
        <w:gridCol w:w="36"/>
      </w:tblGrid>
      <w:tr w:rsidR="00000000">
        <w:trPr>
          <w:divId w:val="1583367649"/>
        </w:trPr>
        <w:tc>
          <w:tcPr>
            <w:tcW w:w="50" w:type="pct"/>
            <w:vAlign w:val="center"/>
            <w:hideMark/>
          </w:tcPr>
          <w:p w:rsidR="00000000" w:rsidRDefault="00AC31B9">
            <w:pPr>
              <w:jc w:val="both"/>
              <w:rPr>
                <w:rFonts w:eastAsia="Times New Roman"/>
              </w:rPr>
            </w:pPr>
          </w:p>
        </w:tc>
        <w:tc>
          <w:tcPr>
            <w:tcW w:w="158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5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25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12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9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9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9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9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9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583367649"/>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6"/>
                <w:szCs w:val="16"/>
              </w:rPr>
              <w:t>Total</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6"/>
                <w:szCs w:val="16"/>
              </w:rPr>
              <w:t>Elim-</w:t>
            </w:r>
            <w:r>
              <w:rPr>
                <w:rFonts w:eastAsia="Times New Roman"/>
                <w:color w:val="000000"/>
                <w:sz w:val="16"/>
                <w:szCs w:val="16"/>
              </w:rPr>
              <w:br/>
              <w:t>inations</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6"/>
                <w:szCs w:val="16"/>
              </w:rPr>
              <w:t>Midstream</w:t>
            </w:r>
            <w:r>
              <w:rPr>
                <w:rFonts w:eastAsia="Times New Roman"/>
                <w:color w:val="000000"/>
                <w:sz w:val="16"/>
                <w:szCs w:val="16"/>
              </w:rPr>
              <w:br/>
              <w:t>&amp; Marketing</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6"/>
                <w:szCs w:val="16"/>
              </w:rPr>
              <w:t>Utilities</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6"/>
                <w:szCs w:val="16"/>
              </w:rPr>
              <w:t>Corporate &amp;</w:t>
            </w:r>
            <w:r>
              <w:rPr>
                <w:rFonts w:eastAsia="Times New Roman"/>
                <w:color w:val="000000"/>
                <w:sz w:val="16"/>
                <w:szCs w:val="16"/>
              </w:rPr>
              <w:br/>
              <w:t>Other (a)</w:t>
            </w:r>
          </w:p>
        </w:tc>
      </w:tr>
      <w:tr w:rsidR="00000000">
        <w:trPr>
          <w:divId w:val="1583367649"/>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2023</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r>
      <w:tr w:rsidR="00AC31B9">
        <w:trPr>
          <w:divId w:val="1583367649"/>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Revenues from external customers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8,928 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2,581 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2,965 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1,596 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1,780 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583367649"/>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Intersegment revenues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(326)</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251 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74 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583367649"/>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Cost of sales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6,937 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(325)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1,250 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2,045 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1,360 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953 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1,654 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583367649"/>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xml:space="preserve">Operating (loss) income </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(1,444)</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268 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215 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285 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357 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(2,569)</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583367649"/>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Income (loss) from equity investees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583367649"/>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Loss on extinguishments of debt</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(9)</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(9)</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583367649"/>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Other non-operating (loss) income, net</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(7)</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(38)</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583367649"/>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(Loss) earnings before interest expense and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(1,458)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(2,616)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583367649"/>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(379)</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(163)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(37)</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(45)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(82)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583367649"/>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Income tax benefit (expense)</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335 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(34)</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(64)</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511 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583367649"/>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AC31B9">
        <w:trPr>
          <w:divId w:val="1583367649"/>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Net (loss) income attributable to UGI</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(1,502)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w:t>
            </w:r>
            <w:r>
              <w:rPr>
                <w:rFonts w:eastAsia="Times New Roman"/>
                <w:color w:val="000000"/>
                <w:sz w:val="16"/>
                <w:szCs w:val="16"/>
              </w:rPr>
              <w:t>2,157)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583367649"/>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Depreciation and amortization</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532 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177 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116 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86 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152 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583367649"/>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Total assets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15,401 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(173)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3,415 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3,105 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3,160 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5,691 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203 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583367649"/>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Short-term borrowings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649 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214 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103 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332 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583367649"/>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Capital expenditures (including the effects of accruals)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956 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134 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129 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130 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563 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583367649"/>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Investments in equity investees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299 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264 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583367649"/>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583367649"/>
          <w:trHeight w:val="240"/>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bl>
    <w:p w:rsidR="00000000" w:rsidRDefault="00AC31B9">
      <w:pPr>
        <w:jc w:val="center"/>
        <w:divId w:val="2020235033"/>
        <w:rPr>
          <w:rFonts w:eastAsia="Times New Roman"/>
        </w:rPr>
      </w:pPr>
      <w:r>
        <w:rPr>
          <w:rFonts w:eastAsia="Times New Roman"/>
          <w:color w:val="000000"/>
          <w:sz w:val="20"/>
          <w:szCs w:val="20"/>
        </w:rPr>
        <w:t>F-62</w:t>
      </w:r>
    </w:p>
    <w:p w:rsidR="00000000" w:rsidRDefault="00AC31B9">
      <w:pPr>
        <w:rPr>
          <w:rFonts w:eastAsia="Times New Roman"/>
        </w:rPr>
      </w:pPr>
      <w:r>
        <w:rPr>
          <w:rFonts w:eastAsia="Times New Roman"/>
        </w:rPr>
        <w:pict>
          <v:rect id="_x0000_i1180" style="width:0;height:1.5pt" o:hralign="center" o:hrstd="t" o:hr="t" fillcolor="#a0a0a0" stroked="f"/>
        </w:pict>
      </w:r>
    </w:p>
    <w:p w:rsidR="00000000" w:rsidRDefault="00AC31B9">
      <w:pPr>
        <w:divId w:val="1161116121"/>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562447951"/>
        <w:rPr>
          <w:rFonts w:eastAsia="Times New Roman"/>
        </w:rPr>
      </w:pPr>
      <w:r>
        <w:rPr>
          <w:rFonts w:eastAsia="Times New Roman"/>
          <w:b/>
          <w:bCs/>
          <w:color w:val="000000"/>
          <w:sz w:val="20"/>
          <w:szCs w:val="20"/>
        </w:rPr>
        <w:t>UGI Corporation and Subsidiaries</w:t>
      </w:r>
    </w:p>
    <w:p w:rsidR="00000000" w:rsidRDefault="00AC31B9">
      <w:pPr>
        <w:divId w:val="887575150"/>
        <w:rPr>
          <w:rFonts w:eastAsia="Times New Roman"/>
        </w:rPr>
      </w:pPr>
      <w:r>
        <w:rPr>
          <w:rFonts w:eastAsia="Times New Roman"/>
          <w:b/>
          <w:bCs/>
          <w:color w:val="000000"/>
          <w:sz w:val="20"/>
          <w:szCs w:val="20"/>
        </w:rPr>
        <w:t>Notes to Consolidated Financial Statements</w:t>
      </w:r>
    </w:p>
    <w:p w:rsidR="00000000" w:rsidRDefault="00AC31B9">
      <w:pPr>
        <w:divId w:val="1631549719"/>
        <w:rPr>
          <w:rFonts w:eastAsia="Times New Roman"/>
        </w:rPr>
      </w:pPr>
      <w:r>
        <w:rPr>
          <w:rFonts w:eastAsia="Times New Roman"/>
          <w:color w:val="000000"/>
          <w:sz w:val="20"/>
          <w:szCs w:val="20"/>
        </w:rPr>
        <w:t>(Currency in millions, except per share amounts and where indicated otherwise)</w:t>
      </w:r>
    </w:p>
    <w:tbl>
      <w:tblPr>
        <w:tblW w:w="5000" w:type="pct"/>
        <w:tblCellMar>
          <w:top w:w="15" w:type="dxa"/>
          <w:left w:w="15" w:type="dxa"/>
          <w:bottom w:w="15" w:type="dxa"/>
          <w:right w:w="15" w:type="dxa"/>
        </w:tblCellMar>
        <w:tblLook w:val="04A0" w:firstRow="1" w:lastRow="0" w:firstColumn="1" w:lastColumn="0" w:noHBand="0" w:noVBand="1"/>
      </w:tblPr>
      <w:tblGrid>
        <w:gridCol w:w="40"/>
        <w:gridCol w:w="2420"/>
        <w:gridCol w:w="38"/>
        <w:gridCol w:w="100"/>
        <w:gridCol w:w="480"/>
        <w:gridCol w:w="36"/>
        <w:gridCol w:w="36"/>
        <w:gridCol w:w="36"/>
        <w:gridCol w:w="36"/>
        <w:gridCol w:w="101"/>
        <w:gridCol w:w="451"/>
        <w:gridCol w:w="36"/>
        <w:gridCol w:w="37"/>
        <w:gridCol w:w="210"/>
        <w:gridCol w:w="36"/>
        <w:gridCol w:w="101"/>
        <w:gridCol w:w="613"/>
        <w:gridCol w:w="36"/>
        <w:gridCol w:w="36"/>
        <w:gridCol w:w="36"/>
        <w:gridCol w:w="36"/>
        <w:gridCol w:w="101"/>
        <w:gridCol w:w="754"/>
        <w:gridCol w:w="36"/>
        <w:gridCol w:w="36"/>
        <w:gridCol w:w="36"/>
        <w:gridCol w:w="36"/>
        <w:gridCol w:w="101"/>
        <w:gridCol w:w="644"/>
        <w:gridCol w:w="36"/>
        <w:gridCol w:w="36"/>
        <w:gridCol w:w="36"/>
        <w:gridCol w:w="36"/>
        <w:gridCol w:w="101"/>
        <w:gridCol w:w="488"/>
        <w:gridCol w:w="36"/>
        <w:gridCol w:w="36"/>
        <w:gridCol w:w="36"/>
        <w:gridCol w:w="36"/>
        <w:gridCol w:w="101"/>
        <w:gridCol w:w="597"/>
        <w:gridCol w:w="36"/>
      </w:tblGrid>
      <w:tr w:rsidR="00000000">
        <w:trPr>
          <w:divId w:val="1763450701"/>
        </w:trPr>
        <w:tc>
          <w:tcPr>
            <w:tcW w:w="50" w:type="pct"/>
            <w:vAlign w:val="center"/>
            <w:hideMark/>
          </w:tcPr>
          <w:p w:rsidR="00000000" w:rsidRDefault="00AC31B9">
            <w:pPr>
              <w:rPr>
                <w:rFonts w:eastAsia="Times New Roman"/>
              </w:rPr>
            </w:pPr>
          </w:p>
        </w:tc>
        <w:tc>
          <w:tcPr>
            <w:tcW w:w="158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5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25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12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9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9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9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19"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9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4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398"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763450701"/>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6"/>
                <w:szCs w:val="16"/>
              </w:rPr>
              <w:t>Total</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6"/>
                <w:szCs w:val="16"/>
              </w:rPr>
              <w:t>Elim-</w:t>
            </w:r>
            <w:r>
              <w:rPr>
                <w:rFonts w:eastAsia="Times New Roman"/>
                <w:color w:val="000000"/>
                <w:sz w:val="16"/>
                <w:szCs w:val="16"/>
              </w:rPr>
              <w:br/>
              <w:t>inations</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6"/>
                <w:szCs w:val="16"/>
              </w:rPr>
              <w:t>Midstream</w:t>
            </w:r>
            <w:r>
              <w:rPr>
                <w:rFonts w:eastAsia="Times New Roman"/>
                <w:color w:val="000000"/>
                <w:sz w:val="16"/>
                <w:szCs w:val="16"/>
              </w:rPr>
              <w:br/>
              <w:t>&amp; Marketing</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6"/>
                <w:szCs w:val="16"/>
              </w:rPr>
              <w:t>Utilities</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6"/>
                <w:szCs w:val="16"/>
              </w:rPr>
              <w:t>Corporate &amp;</w:t>
            </w:r>
            <w:r>
              <w:rPr>
                <w:rFonts w:eastAsia="Times New Roman"/>
                <w:color w:val="000000"/>
                <w:sz w:val="16"/>
                <w:szCs w:val="16"/>
              </w:rPr>
              <w:br/>
              <w:t>Other (a)</w:t>
            </w:r>
          </w:p>
        </w:tc>
      </w:tr>
      <w:tr w:rsidR="00000000">
        <w:trPr>
          <w:divId w:val="1763450701"/>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2022</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r>
      <w:tr w:rsidR="00AC31B9">
        <w:trPr>
          <w:divId w:val="176345070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Revenues from external customers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10,106 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2,943 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3,686 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1,957 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1,515 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76345070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Intersegment revenues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(477)</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369 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105 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76345070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Cost of sales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5,973 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(474)</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1,613 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2,751 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1,876 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798 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(591)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76345070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Operating income</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1,666 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307 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237 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246 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327 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549 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6345070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(Loss) income from equity investees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(14)</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6345070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Loss on extinguishments of debt</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6345070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Other non-operating income, net</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75 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47 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63450701"/>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76345070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Earnings before interest expense and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1,716 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6345070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(329)</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(160)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(28)</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(41)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(65)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6345070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Income tax expense</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(313)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(50)</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(98)</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6345070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Noncontrolling interests’ net (income) loss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76345070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Net income attributable to UGI</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1,073 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417 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76345070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Depreciation and amortization</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518 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177 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116 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79 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144 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76345070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Total assets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17,575 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(203)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4,332 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4,610 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3,286 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5,354 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196 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76345070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Short-term borrowings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368 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131 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236 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76345070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Capital expenditures (including the effects of accruals)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835 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128 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107 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562 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76345070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Investments in equity investees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130 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109 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63450701"/>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763450701"/>
          <w:trHeight w:val="240"/>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763450701"/>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2021</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r>
      <w:tr w:rsidR="00AC31B9">
        <w:trPr>
          <w:divId w:val="176345070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Revenues from external customers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7,447 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2,614 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2,651 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1,182 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1,015 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76345070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Intersegment revenues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(291)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224 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64 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76345070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Cost of sales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2,614 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(288)</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1,217 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1,598 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1,033 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458 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(1,404)</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76345070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Operating income</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2,350 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385 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314 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160 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241 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1,250 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6345070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(Loss) income from equity investees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(63)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(93)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63450701"/>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76345070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Other non-operating income, net</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6345070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Earnings before interest expense and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6345070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(310)</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(159)</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(27)</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(42)</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(56)</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(26)</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6345070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Income tax expense</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(522)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(58)</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(69)</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(41)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(42)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(312)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63450701"/>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AC31B9">
        <w:trPr>
          <w:divId w:val="176345070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Net income attributable to UGI</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827 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76345070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Depreciation and amortization</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502 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173 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134 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76 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119 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76345070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Total assets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16,723 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(241)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4,485 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4,421 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3,010 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4,859 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189 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76345070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Short-term borrowings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367 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170 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197 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763450701"/>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Capital expenditures (including the effects of accruals)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674 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130 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107 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43 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394 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AC31B9">
        <w:trPr>
          <w:divId w:val="1763450701"/>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16"/>
                <w:szCs w:val="16"/>
              </w:rPr>
              <w:t>Investments in equity investees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174 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163 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763450701"/>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bl>
    <w:p w:rsidR="00000000" w:rsidRDefault="00AC31B9">
      <w:pPr>
        <w:jc w:val="both"/>
        <w:rPr>
          <w:rFonts w:eastAsia="Times New Roman"/>
        </w:rPr>
      </w:pPr>
    </w:p>
    <w:p w:rsidR="00000000" w:rsidRDefault="00AC31B9">
      <w:pPr>
        <w:ind w:hanging="360"/>
        <w:jc w:val="both"/>
        <w:rPr>
          <w:rFonts w:eastAsia="Times New Roman"/>
        </w:rPr>
      </w:pPr>
      <w:r>
        <w:rPr>
          <w:rFonts w:eastAsia="Times New Roman"/>
          <w:color w:val="000000"/>
          <w:sz w:val="20"/>
          <w:szCs w:val="20"/>
        </w:rPr>
        <w:t xml:space="preserve">(a)Corporate &amp; </w:t>
      </w:r>
      <w:r>
        <w:rPr>
          <w:rFonts w:eastAsia="Times New Roman"/>
          <w:color w:val="000000"/>
          <w:sz w:val="20"/>
          <w:szCs w:val="20"/>
        </w:rPr>
        <w:t>Other includes specific items attributable to our reportable segments that are not included in the segment profit measures used by our CODM in assessing our reportable segments’ performance or allocating resources. The following table presents such pre-tax</w:t>
      </w:r>
      <w:r>
        <w:rPr>
          <w:rFonts w:eastAsia="Times New Roman"/>
          <w:color w:val="000000"/>
          <w:sz w:val="20"/>
          <w:szCs w:val="20"/>
        </w:rPr>
        <w:t xml:space="preserve"> gains (losses) which have been included in Corporate &amp; Other, and the reportable segments to which they relate, for Fiscal 2023, Fiscal 2022 and Fiscal 2021:</w:t>
      </w:r>
    </w:p>
    <w:p w:rsidR="00000000" w:rsidRDefault="00AC31B9">
      <w:pPr>
        <w:jc w:val="center"/>
        <w:divId w:val="1330865179"/>
        <w:rPr>
          <w:rFonts w:eastAsia="Times New Roman"/>
        </w:rPr>
      </w:pPr>
      <w:r>
        <w:rPr>
          <w:rFonts w:eastAsia="Times New Roman"/>
          <w:color w:val="000000"/>
          <w:sz w:val="20"/>
          <w:szCs w:val="20"/>
        </w:rPr>
        <w:t>F-63</w:t>
      </w:r>
    </w:p>
    <w:p w:rsidR="00000000" w:rsidRDefault="00AC31B9">
      <w:pPr>
        <w:rPr>
          <w:rFonts w:eastAsia="Times New Roman"/>
        </w:rPr>
      </w:pPr>
      <w:r>
        <w:rPr>
          <w:rFonts w:eastAsia="Times New Roman"/>
        </w:rPr>
        <w:pict>
          <v:rect id="_x0000_i1181" style="width:0;height:1.5pt" o:hralign="center" o:hrstd="t" o:hr="t" fillcolor="#a0a0a0" stroked="f"/>
        </w:pict>
      </w:r>
    </w:p>
    <w:p w:rsidR="00000000" w:rsidRDefault="00AC31B9">
      <w:pPr>
        <w:divId w:val="967784502"/>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90805911"/>
        <w:rPr>
          <w:rFonts w:eastAsia="Times New Roman"/>
        </w:rPr>
      </w:pPr>
      <w:r>
        <w:rPr>
          <w:rFonts w:eastAsia="Times New Roman"/>
          <w:b/>
          <w:bCs/>
          <w:color w:val="000000"/>
          <w:sz w:val="20"/>
          <w:szCs w:val="20"/>
        </w:rPr>
        <w:t>UGI Corporation and Subsidiaries</w:t>
      </w:r>
    </w:p>
    <w:p w:rsidR="00000000" w:rsidRDefault="00AC31B9">
      <w:pPr>
        <w:divId w:val="216014549"/>
        <w:rPr>
          <w:rFonts w:eastAsia="Times New Roman"/>
        </w:rPr>
      </w:pPr>
      <w:r>
        <w:rPr>
          <w:rFonts w:eastAsia="Times New Roman"/>
          <w:b/>
          <w:bCs/>
          <w:color w:val="000000"/>
          <w:sz w:val="20"/>
          <w:szCs w:val="20"/>
        </w:rPr>
        <w:t>Notes to Consolidated Financial Statements</w:t>
      </w:r>
    </w:p>
    <w:p w:rsidR="00000000" w:rsidRDefault="00AC31B9">
      <w:pPr>
        <w:divId w:val="1485854028"/>
        <w:rPr>
          <w:rFonts w:eastAsia="Times New Roman"/>
        </w:rPr>
      </w:pPr>
      <w:r>
        <w:rPr>
          <w:rFonts w:eastAsia="Times New Roman"/>
          <w:color w:val="000000"/>
          <w:sz w:val="20"/>
          <w:szCs w:val="20"/>
        </w:rPr>
        <w:t>(Currency in millions, except per share amounts and where indicated otherwise)</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3142"/>
        <w:gridCol w:w="38"/>
        <w:gridCol w:w="36"/>
        <w:gridCol w:w="36"/>
        <w:gridCol w:w="36"/>
        <w:gridCol w:w="60"/>
        <w:gridCol w:w="1812"/>
        <w:gridCol w:w="39"/>
        <w:gridCol w:w="36"/>
        <w:gridCol w:w="36"/>
        <w:gridCol w:w="36"/>
        <w:gridCol w:w="111"/>
        <w:gridCol w:w="697"/>
        <w:gridCol w:w="36"/>
        <w:gridCol w:w="36"/>
        <w:gridCol w:w="36"/>
        <w:gridCol w:w="36"/>
        <w:gridCol w:w="111"/>
        <w:gridCol w:w="858"/>
        <w:gridCol w:w="36"/>
        <w:gridCol w:w="36"/>
        <w:gridCol w:w="36"/>
        <w:gridCol w:w="36"/>
        <w:gridCol w:w="111"/>
        <w:gridCol w:w="734"/>
        <w:gridCol w:w="36"/>
      </w:tblGrid>
      <w:tr w:rsidR="00000000">
        <w:trPr>
          <w:divId w:val="1279022014"/>
          <w:jc w:val="center"/>
        </w:trPr>
        <w:tc>
          <w:tcPr>
            <w:tcW w:w="50" w:type="pct"/>
            <w:vAlign w:val="center"/>
            <w:hideMark/>
          </w:tcPr>
          <w:p w:rsidR="00000000" w:rsidRDefault="00AC31B9">
            <w:pPr>
              <w:rPr>
                <w:rFonts w:eastAsia="Times New Roman"/>
              </w:rPr>
            </w:pPr>
          </w:p>
        </w:tc>
        <w:tc>
          <w:tcPr>
            <w:tcW w:w="197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21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6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6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46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18"/>
                <w:szCs w:val="18"/>
              </w:rPr>
              <w:t>Midstream &amp; Marketing</w:t>
            </w:r>
          </w:p>
        </w:tc>
      </w:tr>
      <w:tr w:rsidR="00000000">
        <w:trPr>
          <w:divId w:val="1279022014"/>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Net losses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Cost of Sales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(16)</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(1,402)</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(236)</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 xml:space="preserve">AmeriGas performance enhancement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(24)</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Loss on extinguishments of debt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Unrealized losses on foreign currency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Other non-operating (expense) income, net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(38)</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Loss associated with impairment of AmeriGas Propane goodwill</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Impairment of goodwill</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(656)</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Costs associated with exit of the UGI International energy marketing business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Revenues/Operating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(27)</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Costs associated with exit of the UGI International energy marketing business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Loss on disposal of UGI International energy marketing business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(221)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trHeight w:val="300"/>
          <w:jc w:val="center"/>
        </w:trPr>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Net gains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Net (losses)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Cost of sales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(185)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797 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Other operating income, net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Restructuring costs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Operating and administrative expense</w:t>
            </w:r>
            <w:r>
              <w:rPr>
                <w:rFonts w:eastAsia="Times New Roman"/>
                <w:color w:val="000000"/>
                <w:sz w:val="18"/>
                <w:szCs w:val="18"/>
              </w:rPr>
              <w:t>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(16)</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Loss on extinguishments of debt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Unrealized gains on foreign currency 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Other non-operating (expense) income, net</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 xml:space="preserve">AmeriGas performance enhancement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Costs associated with exit of the UGI International energy marketing business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Impairments associated with certain equity method investments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Income (loss)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trHeight w:val="300"/>
          <w:jc w:val="center"/>
        </w:trPr>
        <w:tc>
          <w:tcPr>
            <w:tcW w:w="0" w:type="auto"/>
            <w:gridSpan w:val="3"/>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Net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Cost of Sales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167 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1,065 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173 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Unrealized gains on foreign currency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Other non-operating (expense) income, net</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1279022014"/>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Business transformation expenses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(54)</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(33)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Impairment of customer relationship intangible</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1279022014"/>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Impairments associated with certain equity method investments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18"/>
                <w:szCs w:val="18"/>
              </w:rPr>
              <w:t>Income (loss) from equity investees</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18"/>
                <w:szCs w:val="18"/>
              </w:rPr>
              <w:t>(93)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both"/>
        <w:rPr>
          <w:rFonts w:eastAsia="Times New Roman"/>
        </w:rPr>
      </w:pPr>
    </w:p>
    <w:p w:rsidR="00000000" w:rsidRDefault="00AC31B9">
      <w:pPr>
        <w:ind w:hanging="360"/>
        <w:jc w:val="both"/>
        <w:rPr>
          <w:rFonts w:eastAsia="Times New Roman"/>
        </w:rPr>
      </w:pPr>
      <w:r>
        <w:rPr>
          <w:rFonts w:eastAsia="Times New Roman"/>
          <w:color w:val="000000"/>
          <w:sz w:val="20"/>
          <w:szCs w:val="20"/>
        </w:rPr>
        <w:t>(b)Represents the elimination of intersegment transactions principally among Midstream &amp; Marketing, Utilities and AmeriGas Propane.</w:t>
      </w:r>
    </w:p>
    <w:p w:rsidR="00000000" w:rsidRDefault="00AC31B9">
      <w:pPr>
        <w:jc w:val="both"/>
        <w:rPr>
          <w:rFonts w:eastAsia="Times New Roman"/>
        </w:rPr>
      </w:pPr>
    </w:p>
    <w:p w:rsidR="00000000" w:rsidRDefault="00AC31B9">
      <w:pPr>
        <w:jc w:val="center"/>
        <w:divId w:val="851794711"/>
        <w:rPr>
          <w:rFonts w:eastAsia="Times New Roman"/>
        </w:rPr>
      </w:pPr>
      <w:r>
        <w:rPr>
          <w:rFonts w:eastAsia="Times New Roman"/>
          <w:color w:val="000000"/>
          <w:sz w:val="20"/>
          <w:szCs w:val="20"/>
        </w:rPr>
        <w:t>F-64</w:t>
      </w:r>
    </w:p>
    <w:p w:rsidR="00000000" w:rsidRDefault="00AC31B9">
      <w:pPr>
        <w:rPr>
          <w:rFonts w:eastAsia="Times New Roman"/>
        </w:rPr>
      </w:pPr>
      <w:r>
        <w:rPr>
          <w:rFonts w:eastAsia="Times New Roman"/>
        </w:rPr>
        <w:pict>
          <v:rect id="_x0000_i1182" style="width:0;height:1.5pt" o:hralign="center" o:hrstd="t" o:hr="t" fillcolor="#a0a0a0" stroked="f"/>
        </w:pict>
      </w:r>
    </w:p>
    <w:p w:rsidR="00000000" w:rsidRDefault="00AC31B9">
      <w:pPr>
        <w:divId w:val="1111972706"/>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629361739"/>
        <w:rPr>
          <w:rFonts w:eastAsia="Times New Roman"/>
        </w:rPr>
      </w:pPr>
      <w:r>
        <w:rPr>
          <w:rFonts w:eastAsia="Times New Roman"/>
          <w:b/>
          <w:bCs/>
          <w:color w:val="000000"/>
          <w:sz w:val="20"/>
          <w:szCs w:val="20"/>
        </w:rPr>
        <w:t>UGI Corporation and Subsidiaries</w:t>
      </w:r>
    </w:p>
    <w:p w:rsidR="00000000" w:rsidRDefault="00AC31B9">
      <w:pPr>
        <w:divId w:val="1535265830"/>
        <w:rPr>
          <w:rFonts w:eastAsia="Times New Roman"/>
        </w:rPr>
      </w:pPr>
      <w:r>
        <w:rPr>
          <w:rFonts w:eastAsia="Times New Roman"/>
          <w:b/>
          <w:bCs/>
          <w:color w:val="000000"/>
          <w:sz w:val="20"/>
          <w:szCs w:val="20"/>
        </w:rPr>
        <w:t>Notes to Consolidated Financial Statements</w:t>
      </w:r>
    </w:p>
    <w:p w:rsidR="00000000" w:rsidRDefault="00AC31B9">
      <w:pPr>
        <w:divId w:val="1685939739"/>
        <w:rPr>
          <w:rFonts w:eastAsia="Times New Roman"/>
        </w:rPr>
      </w:pPr>
      <w:r>
        <w:rPr>
          <w:rFonts w:eastAsia="Times New Roman"/>
          <w:color w:val="000000"/>
          <w:sz w:val="20"/>
          <w:szCs w:val="20"/>
        </w:rPr>
        <w:t>(Currency in millions, except per share amounts and where indicated otherwise)</w:t>
      </w:r>
    </w:p>
    <w:p w:rsidR="00000000" w:rsidRDefault="00AC31B9">
      <w:pPr>
        <w:divId w:val="371460471"/>
        <w:rPr>
          <w:rFonts w:eastAsia="Times New Roman"/>
        </w:rPr>
      </w:pPr>
      <w:r>
        <w:rPr>
          <w:rFonts w:eastAsia="Times New Roman"/>
          <w:b/>
          <w:bCs/>
          <w:color w:val="000000"/>
          <w:sz w:val="20"/>
          <w:szCs w:val="20"/>
          <w:u w:val="single"/>
        </w:rPr>
        <w:t>Note 23 — Global LPG Business Transformation Initiatives</w:t>
      </w:r>
      <w:r>
        <w:rPr>
          <w:rFonts w:eastAsia="Times New Roman"/>
          <w:b/>
          <w:bCs/>
          <w:color w:val="000000"/>
          <w:sz w:val="20"/>
          <w:szCs w:val="20"/>
        </w:rPr>
        <w:t xml:space="preserve"> </w:t>
      </w:r>
    </w:p>
    <w:p w:rsidR="00000000" w:rsidRDefault="00AC31B9">
      <w:pPr>
        <w:jc w:val="both"/>
        <w:divId w:val="442069309"/>
        <w:rPr>
          <w:rFonts w:eastAsia="Times New Roman"/>
        </w:rPr>
      </w:pPr>
      <w:r>
        <w:rPr>
          <w:rFonts w:eastAsia="Times New Roman"/>
          <w:b/>
          <w:bCs/>
          <w:i/>
          <w:iCs/>
          <w:color w:val="000000"/>
          <w:sz w:val="20"/>
          <w:szCs w:val="20"/>
        </w:rPr>
        <w:t xml:space="preserve">AmeriGas Propane </w:t>
      </w:r>
      <w:r>
        <w:rPr>
          <w:rFonts w:eastAsia="Times New Roman"/>
          <w:b/>
          <w:bCs/>
          <w:i/>
          <w:iCs/>
          <w:color w:val="000000"/>
          <w:sz w:val="20"/>
          <w:szCs w:val="20"/>
        </w:rPr>
        <w:t>and UGI International.</w:t>
      </w:r>
      <w:r>
        <w:rPr>
          <w:rFonts w:eastAsia="Times New Roman"/>
          <w:color w:val="000000"/>
          <w:sz w:val="20"/>
          <w:szCs w:val="20"/>
        </w:rPr>
        <w:t xml:space="preserve"> Beginning in Fiscal 2019, we began executing on multi-year business transformation initiatives at our AmeriGas Propane and UGI International business segments. These initiatives are designed to improve long-term operational performan</w:t>
      </w:r>
      <w:r>
        <w:rPr>
          <w:rFonts w:eastAsia="Times New Roman"/>
          <w:color w:val="000000"/>
          <w:sz w:val="20"/>
          <w:szCs w:val="20"/>
        </w:rPr>
        <w:t>ce by, among other things, reducing costs and improving efficiency in the areas of sales and marketing, supply and logistics, operations, purchasing, and administration. In addition, these business transformation initiatives focus on enhancing the customer</w:t>
      </w:r>
      <w:r>
        <w:rPr>
          <w:rFonts w:eastAsia="Times New Roman"/>
          <w:color w:val="000000"/>
          <w:sz w:val="20"/>
          <w:szCs w:val="20"/>
        </w:rPr>
        <w:t xml:space="preserve"> experience through, among other things, enhanced customer relationship management and an improved digital customer experience. During Fiscal 2021 we incurred $87 of costs principally comprising consulting, advisory, marketing and employee-related costs. T</w:t>
      </w:r>
      <w:r>
        <w:rPr>
          <w:rFonts w:eastAsia="Times New Roman"/>
          <w:color w:val="000000"/>
          <w:sz w:val="20"/>
          <w:szCs w:val="20"/>
        </w:rPr>
        <w:t xml:space="preserve">hese costs are primarily reflected in “Operating and administrative expenses” on the Consolidated Statements of Income. These previously announced business transformation initiatives were substantially complete by the end of Fiscal 2021. </w:t>
      </w:r>
    </w:p>
    <w:p w:rsidR="00000000" w:rsidRDefault="00AC31B9">
      <w:pPr>
        <w:divId w:val="1424763999"/>
        <w:rPr>
          <w:rFonts w:eastAsia="Times New Roman"/>
        </w:rPr>
      </w:pPr>
    </w:p>
    <w:p w:rsidR="00000000" w:rsidRDefault="00AC31B9">
      <w:pPr>
        <w:jc w:val="both"/>
        <w:rPr>
          <w:rFonts w:eastAsia="Times New Roman"/>
        </w:rPr>
      </w:pPr>
      <w:r>
        <w:rPr>
          <w:rFonts w:eastAsia="Times New Roman"/>
          <w:b/>
          <w:bCs/>
          <w:i/>
          <w:iCs/>
          <w:color w:val="000000"/>
          <w:sz w:val="20"/>
          <w:szCs w:val="20"/>
        </w:rPr>
        <w:t xml:space="preserve">Corporate Services. </w:t>
      </w:r>
      <w:r>
        <w:rPr>
          <w:rFonts w:eastAsia="Times New Roman"/>
          <w:color w:val="000000"/>
          <w:sz w:val="20"/>
          <w:szCs w:val="20"/>
        </w:rPr>
        <w:t>Beginning in Fiscal 2020, we initiated a transformation project focused on our support functions including: finance, procurement, human resources, and information technology. This initiative will standardize processes and activities acr</w:t>
      </w:r>
      <w:r>
        <w:rPr>
          <w:rFonts w:eastAsia="Times New Roman"/>
          <w:color w:val="000000"/>
          <w:sz w:val="20"/>
          <w:szCs w:val="20"/>
        </w:rPr>
        <w:t>oss our global platform, while leveraging the use of best practices and efficiencies between our businesses. In connection with this initiative, during Fiscal 2023, 2022 and 2021, we incurred costs of $10, $9, and $14, respectively, that are reflected in “</w:t>
      </w:r>
      <w:r>
        <w:rPr>
          <w:rFonts w:eastAsia="Times New Roman"/>
          <w:color w:val="000000"/>
          <w:sz w:val="20"/>
          <w:szCs w:val="20"/>
        </w:rPr>
        <w:t xml:space="preserve">Operating and administrative expenses” on the Consolidated Statements of Income. This transformation project was substantially complete by the end of Fiscal 2023. </w:t>
      </w:r>
    </w:p>
    <w:p w:rsidR="00000000" w:rsidRDefault="00AC31B9">
      <w:pPr>
        <w:jc w:val="both"/>
        <w:divId w:val="1242788191"/>
        <w:rPr>
          <w:rFonts w:eastAsia="Times New Roman"/>
        </w:rPr>
      </w:pPr>
    </w:p>
    <w:p w:rsidR="00000000" w:rsidRDefault="00AC31B9">
      <w:pPr>
        <w:jc w:val="center"/>
        <w:divId w:val="1813861991"/>
        <w:rPr>
          <w:rFonts w:eastAsia="Times New Roman"/>
        </w:rPr>
      </w:pPr>
      <w:r>
        <w:rPr>
          <w:rFonts w:eastAsia="Times New Roman"/>
          <w:color w:val="000000"/>
          <w:sz w:val="20"/>
          <w:szCs w:val="20"/>
        </w:rPr>
        <w:t>F-65</w:t>
      </w:r>
    </w:p>
    <w:p w:rsidR="00000000" w:rsidRDefault="00AC31B9">
      <w:pPr>
        <w:rPr>
          <w:rFonts w:eastAsia="Times New Roman"/>
        </w:rPr>
      </w:pPr>
      <w:r>
        <w:rPr>
          <w:rFonts w:eastAsia="Times New Roman"/>
        </w:rPr>
        <w:pict>
          <v:rect id="_x0000_i1183" style="width:0;height:1.5pt" o:hralign="center" o:hrstd="t" o:hr="t" fillcolor="#a0a0a0" stroked="f"/>
        </w:pict>
      </w:r>
    </w:p>
    <w:p w:rsidR="00000000" w:rsidRDefault="00AC31B9">
      <w:pPr>
        <w:divId w:val="462189885"/>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503357693"/>
        <w:rPr>
          <w:rFonts w:eastAsia="Times New Roman"/>
        </w:rPr>
      </w:pPr>
    </w:p>
    <w:p w:rsidR="00000000" w:rsidRDefault="00AC31B9">
      <w:pPr>
        <w:jc w:val="center"/>
        <w:divId w:val="123159286"/>
        <w:rPr>
          <w:rFonts w:eastAsia="Times New Roman"/>
        </w:rPr>
      </w:pPr>
      <w:r>
        <w:rPr>
          <w:rFonts w:eastAsia="Times New Roman"/>
          <w:b/>
          <w:bCs/>
          <w:color w:val="000000"/>
          <w:sz w:val="20"/>
          <w:szCs w:val="20"/>
        </w:rPr>
        <w:t>UGI CORPORATION</w:t>
      </w:r>
    </w:p>
    <w:p w:rsidR="00000000" w:rsidRDefault="00AC31B9">
      <w:pPr>
        <w:jc w:val="center"/>
        <w:divId w:val="123159286"/>
        <w:rPr>
          <w:rFonts w:eastAsia="Times New Roman"/>
        </w:rPr>
      </w:pPr>
      <w:r>
        <w:rPr>
          <w:rFonts w:eastAsia="Times New Roman"/>
          <w:b/>
          <w:bCs/>
          <w:color w:val="000000"/>
          <w:sz w:val="20"/>
          <w:szCs w:val="20"/>
        </w:rPr>
        <w:t>SCHEDULE I — CONDENSED FINANCIAL INFORMATION OF REGISTRANT (PARENT COMPANY)</w:t>
      </w:r>
    </w:p>
    <w:p w:rsidR="00000000" w:rsidRDefault="00AC31B9">
      <w:pPr>
        <w:divId w:val="60644942"/>
        <w:rPr>
          <w:rFonts w:eastAsia="Times New Roman"/>
        </w:rPr>
      </w:pPr>
    </w:p>
    <w:p w:rsidR="00000000" w:rsidRDefault="00AC31B9">
      <w:pPr>
        <w:divId w:val="225845820"/>
        <w:rPr>
          <w:rFonts w:eastAsia="Times New Roman"/>
        </w:rPr>
      </w:pPr>
    </w:p>
    <w:p w:rsidR="00000000" w:rsidRDefault="00AC31B9">
      <w:pPr>
        <w:jc w:val="center"/>
        <w:rPr>
          <w:rFonts w:eastAsia="Times New Roman"/>
        </w:rPr>
      </w:pPr>
    </w:p>
    <w:p w:rsidR="00000000" w:rsidRDefault="00AC31B9">
      <w:pPr>
        <w:jc w:val="center"/>
        <w:rPr>
          <w:rFonts w:eastAsia="Times New Roman"/>
        </w:rPr>
      </w:pPr>
      <w:r>
        <w:rPr>
          <w:rFonts w:eastAsia="Times New Roman"/>
          <w:color w:val="000000"/>
          <w:sz w:val="20"/>
          <w:szCs w:val="20"/>
        </w:rPr>
        <w:t>BALANCE SHEETS</w:t>
      </w:r>
    </w:p>
    <w:p w:rsidR="00000000" w:rsidRDefault="00AC31B9">
      <w:pPr>
        <w:jc w:val="center"/>
        <w:rPr>
          <w:rFonts w:eastAsia="Times New Roman"/>
        </w:rPr>
      </w:pPr>
      <w:r>
        <w:rPr>
          <w:rFonts w:eastAsia="Times New Roman"/>
          <w:color w:val="000000"/>
          <w:sz w:val="20"/>
          <w:szCs w:val="20"/>
        </w:rPr>
        <w:t>(Millions of dollars)</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988"/>
        <w:gridCol w:w="38"/>
        <w:gridCol w:w="120"/>
        <w:gridCol w:w="921"/>
        <w:gridCol w:w="36"/>
        <w:gridCol w:w="36"/>
        <w:gridCol w:w="36"/>
        <w:gridCol w:w="36"/>
        <w:gridCol w:w="120"/>
        <w:gridCol w:w="886"/>
        <w:gridCol w:w="36"/>
      </w:tblGrid>
      <w:tr w:rsidR="00000000">
        <w:trPr>
          <w:jc w:val="center"/>
        </w:trPr>
        <w:tc>
          <w:tcPr>
            <w:tcW w:w="50" w:type="pct"/>
            <w:vAlign w:val="center"/>
            <w:hideMark/>
          </w:tcPr>
          <w:p w:rsidR="00000000" w:rsidRDefault="00AC31B9">
            <w:pPr>
              <w:jc w:val="center"/>
              <w:rPr>
                <w:rFonts w:eastAsia="Times New Roman"/>
              </w:rPr>
            </w:pPr>
          </w:p>
        </w:tc>
        <w:tc>
          <w:tcPr>
            <w:tcW w:w="3634"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Accounts receivable – related parties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Property, plant and equipment, net</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Investments in subsidiaries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5,343 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7,035 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5,527 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LIABILITIES AND COMMON STOCKHOLDERS’ EQUITY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Current maturities of long-term debt</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Accounts and notes payable</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Accrued liabilities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Long-term debt</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969 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889 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noncurrent liabilities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Commitments and contingencies (Note 1)</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Equity:</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divId w:val="1830630782"/>
              <w:rPr>
                <w:rFonts w:eastAsia="Times New Roman"/>
              </w:rPr>
            </w:pPr>
            <w:r>
              <w:rPr>
                <w:rFonts w:eastAsia="Times New Roman"/>
                <w:color w:val="000000"/>
                <w:sz w:val="20"/>
                <w:szCs w:val="20"/>
              </w:rPr>
              <w:t>Preferred Stock, without par value (authorized - 5,000,000; issued - 220,000 and 220,000, respectively)</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divId w:val="817498737"/>
              <w:rPr>
                <w:rFonts w:eastAsia="Times New Roman"/>
              </w:rPr>
            </w:pPr>
            <w:r>
              <w:rPr>
                <w:rFonts w:eastAsia="Times New Roman"/>
                <w:color w:val="000000"/>
                <w:sz w:val="20"/>
                <w:szCs w:val="20"/>
              </w:rPr>
              <w:t xml:space="preserve">Common Stock, without par value (authorized – 450,000,000 shares; issued – 210,906,052 and 210,560,494 </w:t>
            </w:r>
            <w:r>
              <w:rPr>
                <w:rFonts w:eastAsia="Times New Roman"/>
                <w:color w:val="000000"/>
                <w:sz w:val="20"/>
                <w:szCs w:val="20"/>
              </w:rPr>
              <w:t>shares, respectively)</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1,503 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1,483 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3,027 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4,841 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(256)</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Treasury stock, at cost</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60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common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4,386 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6,066 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60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Total liabilities and common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5,527 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7,197 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divId w:val="1773085123"/>
        <w:rPr>
          <w:rFonts w:eastAsia="Times New Roman"/>
        </w:rPr>
      </w:pPr>
    </w:p>
    <w:p w:rsidR="00000000" w:rsidRDefault="00AC31B9">
      <w:pPr>
        <w:jc w:val="both"/>
        <w:rPr>
          <w:rFonts w:eastAsia="Times New Roman"/>
        </w:rPr>
      </w:pPr>
      <w:r>
        <w:rPr>
          <w:rFonts w:eastAsia="Times New Roman"/>
          <w:color w:val="000000"/>
          <w:sz w:val="20"/>
          <w:szCs w:val="20"/>
        </w:rPr>
        <w:t>Note 1 — Commitments and Contingencies:</w:t>
      </w:r>
    </w:p>
    <w:p w:rsidR="00000000" w:rsidRDefault="00AC31B9">
      <w:pPr>
        <w:jc w:val="both"/>
        <w:divId w:val="1276445227"/>
        <w:rPr>
          <w:rFonts w:eastAsia="Times New Roman"/>
        </w:rPr>
      </w:pPr>
      <w:r>
        <w:rPr>
          <w:rFonts w:eastAsia="Times New Roman"/>
          <w:color w:val="000000"/>
          <w:sz w:val="20"/>
          <w:szCs w:val="20"/>
        </w:rPr>
        <w:t>At September </w:t>
      </w:r>
      <w:r>
        <w:rPr>
          <w:rFonts w:eastAsia="Times New Roman"/>
          <w:color w:val="000000"/>
          <w:sz w:val="20"/>
          <w:szCs w:val="20"/>
        </w:rPr>
        <w:t>30, 2023, UGI Corporation had agreed to indemnify the issuers of $105 of surety bonds issued on behalf of certain UGI subsidiaries. UGI Corporation is authorized to guarantee up to $475 of obligations to suppliers and customers of Energy Services and subsi</w:t>
      </w:r>
      <w:r>
        <w:rPr>
          <w:rFonts w:eastAsia="Times New Roman"/>
          <w:color w:val="000000"/>
          <w:sz w:val="20"/>
          <w:szCs w:val="20"/>
        </w:rPr>
        <w:t>diaries of which $358 of such obligations were outstanding as of September 30, 2023.</w:t>
      </w:r>
    </w:p>
    <w:p w:rsidR="00000000" w:rsidRDefault="00AC31B9">
      <w:pPr>
        <w:jc w:val="both"/>
        <w:divId w:val="1186596033"/>
        <w:rPr>
          <w:rFonts w:eastAsia="Times New Roman"/>
        </w:rPr>
      </w:pPr>
      <w:r>
        <w:rPr>
          <w:rFonts w:eastAsia="Times New Roman"/>
          <w:color w:val="000000"/>
          <w:sz w:val="20"/>
          <w:szCs w:val="20"/>
        </w:rPr>
        <w:t>Scheduled principal repayments of long-term debt include $38 in Fiscal 2024 and $973 in Fiscal 2025.</w:t>
      </w:r>
    </w:p>
    <w:p w:rsidR="00000000" w:rsidRDefault="00AC31B9">
      <w:pPr>
        <w:divId w:val="1621110734"/>
        <w:rPr>
          <w:rFonts w:eastAsia="Times New Roman"/>
        </w:rPr>
      </w:pPr>
    </w:p>
    <w:p w:rsidR="00000000" w:rsidRDefault="00AC31B9">
      <w:pPr>
        <w:jc w:val="center"/>
        <w:divId w:val="143665496"/>
        <w:rPr>
          <w:rFonts w:eastAsia="Times New Roman"/>
        </w:rPr>
      </w:pPr>
      <w:r>
        <w:rPr>
          <w:rFonts w:eastAsia="Times New Roman"/>
          <w:color w:val="000000"/>
          <w:sz w:val="20"/>
          <w:szCs w:val="20"/>
        </w:rPr>
        <w:t>S-1</w:t>
      </w:r>
    </w:p>
    <w:p w:rsidR="00000000" w:rsidRDefault="00AC31B9">
      <w:pPr>
        <w:rPr>
          <w:rFonts w:eastAsia="Times New Roman"/>
        </w:rPr>
      </w:pPr>
      <w:r>
        <w:rPr>
          <w:rFonts w:eastAsia="Times New Roman"/>
        </w:rPr>
        <w:pict>
          <v:rect id="_x0000_i1184" style="width:0;height:1.5pt" o:hralign="center" o:hrstd="t" o:hr="t" fillcolor="#a0a0a0" stroked="f"/>
        </w:pict>
      </w:r>
    </w:p>
    <w:p w:rsidR="00000000" w:rsidRDefault="00AC31B9">
      <w:pPr>
        <w:divId w:val="972758867"/>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219586037"/>
        <w:rPr>
          <w:rFonts w:eastAsia="Times New Roman"/>
        </w:rPr>
      </w:pPr>
    </w:p>
    <w:p w:rsidR="00000000" w:rsidRDefault="00AC31B9">
      <w:pPr>
        <w:jc w:val="center"/>
        <w:divId w:val="1098452582"/>
        <w:rPr>
          <w:rFonts w:eastAsia="Times New Roman"/>
        </w:rPr>
      </w:pPr>
      <w:r>
        <w:rPr>
          <w:rFonts w:eastAsia="Times New Roman"/>
          <w:b/>
          <w:bCs/>
          <w:color w:val="000000"/>
          <w:sz w:val="20"/>
          <w:szCs w:val="20"/>
        </w:rPr>
        <w:t>UGI CORPORATION</w:t>
      </w:r>
    </w:p>
    <w:p w:rsidR="00000000" w:rsidRDefault="00AC31B9">
      <w:pPr>
        <w:jc w:val="center"/>
        <w:divId w:val="1098452582"/>
        <w:rPr>
          <w:rFonts w:eastAsia="Times New Roman"/>
        </w:rPr>
      </w:pPr>
      <w:r>
        <w:rPr>
          <w:rFonts w:eastAsia="Times New Roman"/>
          <w:b/>
          <w:bCs/>
          <w:color w:val="000000"/>
          <w:sz w:val="20"/>
          <w:szCs w:val="20"/>
        </w:rPr>
        <w:t>SCHEDULE I — CONDENSED FINANCIAL INFORMATION OF REGISTRANT (PARENT COMPANY)</w:t>
      </w:r>
    </w:p>
    <w:p w:rsidR="00000000" w:rsidRDefault="00AC31B9">
      <w:pPr>
        <w:jc w:val="center"/>
        <w:rPr>
          <w:rFonts w:eastAsia="Times New Roman"/>
        </w:rPr>
      </w:pPr>
      <w:r>
        <w:rPr>
          <w:rFonts w:eastAsia="Times New Roman"/>
          <w:color w:val="000000"/>
          <w:sz w:val="20"/>
          <w:szCs w:val="20"/>
        </w:rPr>
        <w:t>STATEMENTS OF INCOME</w:t>
      </w:r>
    </w:p>
    <w:p w:rsidR="00000000" w:rsidRDefault="00AC31B9">
      <w:pPr>
        <w:jc w:val="center"/>
        <w:rPr>
          <w:rFonts w:eastAsia="Times New Roman"/>
        </w:rPr>
      </w:pPr>
      <w:r>
        <w:rPr>
          <w:rFonts w:eastAsia="Times New Roman"/>
          <w:color w:val="000000"/>
          <w:sz w:val="20"/>
          <w:szCs w:val="20"/>
        </w:rPr>
        <w:t>(Millions of dollars, except per share amounts)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863"/>
        <w:gridCol w:w="37"/>
        <w:gridCol w:w="121"/>
        <w:gridCol w:w="916"/>
        <w:gridCol w:w="36"/>
        <w:gridCol w:w="36"/>
        <w:gridCol w:w="36"/>
        <w:gridCol w:w="36"/>
        <w:gridCol w:w="121"/>
        <w:gridCol w:w="875"/>
        <w:gridCol w:w="36"/>
        <w:gridCol w:w="36"/>
        <w:gridCol w:w="36"/>
        <w:gridCol w:w="36"/>
        <w:gridCol w:w="121"/>
        <w:gridCol w:w="877"/>
        <w:gridCol w:w="36"/>
      </w:tblGrid>
      <w:tr w:rsidR="00000000">
        <w:trPr>
          <w:jc w:val="center"/>
        </w:trPr>
        <w:tc>
          <w:tcPr>
            <w:tcW w:w="50" w:type="pct"/>
            <w:vAlign w:val="center"/>
            <w:hideMark/>
          </w:tcPr>
          <w:p w:rsidR="00000000" w:rsidRDefault="00AC31B9">
            <w:pPr>
              <w:jc w:val="center"/>
              <w:rPr>
                <w:rFonts w:eastAsia="Times New Roman"/>
              </w:rPr>
            </w:pPr>
          </w:p>
        </w:tc>
        <w:tc>
          <w:tcPr>
            <w:tcW w:w="296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Year Ended 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Costs and expenses:</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operating income, net (a)</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Operating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Pension and other postretirement plans non-service expense</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Loss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Income tax (benefit) expense</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Loss before equity in income of unconsolidated subsidiaries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Equity in (loss) income of unconsolidated subsidiaries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(1,451)</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1,122 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1,532 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(loss) income attributable to UGI Corporation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(1,502)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comprehensive (loss) income</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Equity in other comprehensive income (loss) of unconsolidated subsidiaries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(274)</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Comprehensive (loss) income attributable to UGI Corporation</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833 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(Loss) earnings per common share attributable to UGI Corporation stockholders: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(7.16)</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7.02 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(7.16)</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4.97 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6.92 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Weighted - average common shares outstanding (thousands):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209,806 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209,940 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209,063 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209,806 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215,821 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212,126 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jc w:val="center"/>
        <w:rPr>
          <w:rFonts w:eastAsia="Times New Roman"/>
        </w:rPr>
      </w:pPr>
    </w:p>
    <w:p w:rsidR="00000000" w:rsidRDefault="00AC31B9">
      <w:pPr>
        <w:ind w:hanging="360"/>
        <w:jc w:val="both"/>
        <w:rPr>
          <w:rFonts w:eastAsia="Times New Roman"/>
        </w:rPr>
      </w:pPr>
      <w:r>
        <w:rPr>
          <w:rFonts w:eastAsia="Times New Roman"/>
          <w:color w:val="000000"/>
          <w:sz w:val="20"/>
          <w:szCs w:val="20"/>
        </w:rPr>
        <w:t>(a)</w:t>
      </w:r>
      <w:r>
        <w:rPr>
          <w:rFonts w:eastAsia="Times New Roman"/>
          <w:color w:val="000000"/>
          <w:sz w:val="20"/>
          <w:szCs w:val="20"/>
        </w:rPr>
        <w:t xml:space="preserve">UGI provides certain financial and administrative services to certain of its subsidiaries. UGI bills these subsidiaries monthly for all direct expenses incurred by UGI on behalf of its subsidiaries as well as allocated shares of indirect corporate expense </w:t>
      </w:r>
      <w:r>
        <w:rPr>
          <w:rFonts w:eastAsia="Times New Roman"/>
          <w:color w:val="000000"/>
          <w:sz w:val="20"/>
          <w:szCs w:val="20"/>
        </w:rPr>
        <w:t>incurred or paid with respect to services provided by UGI. The allocation of indirect UGI corporate expenses to certain of its subsidiaries utilizes a weighted, three-component formula comprising revenues, operating expenses, and net assets employed and co</w:t>
      </w:r>
      <w:r>
        <w:rPr>
          <w:rFonts w:eastAsia="Times New Roman"/>
          <w:color w:val="000000"/>
          <w:sz w:val="20"/>
          <w:szCs w:val="20"/>
        </w:rPr>
        <w:t>nsiders the relative percentage of such items for each subsidiary to the total of such items for all UGI operating subsidiaries for which general and administrative services are provided. Management believes that this allocation method is reasonable and eq</w:t>
      </w:r>
      <w:r>
        <w:rPr>
          <w:rFonts w:eastAsia="Times New Roman"/>
          <w:color w:val="000000"/>
          <w:sz w:val="20"/>
          <w:szCs w:val="20"/>
        </w:rPr>
        <w:t>uitable to its subsidiaries. These billed expenses are classified as “Other operating income, net” in the Statements of Income above.</w:t>
      </w:r>
    </w:p>
    <w:p w:rsidR="00000000" w:rsidRDefault="00AC31B9">
      <w:pPr>
        <w:jc w:val="both"/>
        <w:rPr>
          <w:rFonts w:eastAsia="Times New Roman"/>
        </w:rPr>
      </w:pPr>
    </w:p>
    <w:p w:rsidR="00000000" w:rsidRDefault="00AC31B9">
      <w:pPr>
        <w:jc w:val="center"/>
        <w:divId w:val="1684016552"/>
        <w:rPr>
          <w:rFonts w:eastAsia="Times New Roman"/>
        </w:rPr>
      </w:pPr>
      <w:r>
        <w:rPr>
          <w:rFonts w:eastAsia="Times New Roman"/>
          <w:color w:val="000000"/>
          <w:sz w:val="20"/>
          <w:szCs w:val="20"/>
        </w:rPr>
        <w:t>S-2</w:t>
      </w:r>
    </w:p>
    <w:p w:rsidR="00000000" w:rsidRDefault="00AC31B9">
      <w:pPr>
        <w:rPr>
          <w:rFonts w:eastAsia="Times New Roman"/>
        </w:rPr>
      </w:pPr>
      <w:r>
        <w:rPr>
          <w:rFonts w:eastAsia="Times New Roman"/>
        </w:rPr>
        <w:pict>
          <v:rect id="_x0000_i1185" style="width:0;height:1.5pt" o:hralign="center" o:hrstd="t" o:hr="t" fillcolor="#a0a0a0" stroked="f"/>
        </w:pict>
      </w:r>
    </w:p>
    <w:p w:rsidR="00000000" w:rsidRDefault="00AC31B9">
      <w:pPr>
        <w:divId w:val="1382901306"/>
        <w:rPr>
          <w:rFonts w:eastAsia="Times New Roman"/>
        </w:rPr>
      </w:pPr>
      <w:hyperlink w:anchor="ic92dd05487854a4eaece953328045c39_7" w:history="1">
        <w:r>
          <w:rPr>
            <w:rStyle w:val="a3"/>
            <w:rFonts w:eastAsia="Times New Roman"/>
            <w:sz w:val="20"/>
            <w:szCs w:val="20"/>
          </w:rPr>
          <w:t>Table of Contents</w:t>
        </w:r>
      </w:hyperlink>
    </w:p>
    <w:p w:rsidR="00000000" w:rsidRDefault="00AC31B9">
      <w:pPr>
        <w:divId w:val="1892685999"/>
        <w:rPr>
          <w:rFonts w:eastAsia="Times New Roman"/>
        </w:rPr>
      </w:pPr>
    </w:p>
    <w:p w:rsidR="00000000" w:rsidRDefault="00AC31B9">
      <w:pPr>
        <w:jc w:val="center"/>
        <w:divId w:val="146290871"/>
        <w:rPr>
          <w:rFonts w:eastAsia="Times New Roman"/>
        </w:rPr>
      </w:pPr>
      <w:r>
        <w:rPr>
          <w:rFonts w:eastAsia="Times New Roman"/>
          <w:b/>
          <w:bCs/>
          <w:color w:val="000000"/>
          <w:sz w:val="20"/>
          <w:szCs w:val="20"/>
        </w:rPr>
        <w:t>UG</w:t>
      </w:r>
      <w:r>
        <w:rPr>
          <w:rFonts w:eastAsia="Times New Roman"/>
          <w:b/>
          <w:bCs/>
          <w:color w:val="000000"/>
          <w:sz w:val="20"/>
          <w:szCs w:val="20"/>
        </w:rPr>
        <w:t>I CORPORATION</w:t>
      </w:r>
    </w:p>
    <w:p w:rsidR="00000000" w:rsidRDefault="00AC31B9">
      <w:pPr>
        <w:jc w:val="center"/>
        <w:divId w:val="146290871"/>
        <w:rPr>
          <w:rFonts w:eastAsia="Times New Roman"/>
        </w:rPr>
      </w:pPr>
      <w:r>
        <w:rPr>
          <w:rFonts w:eastAsia="Times New Roman"/>
          <w:b/>
          <w:bCs/>
          <w:color w:val="000000"/>
          <w:sz w:val="20"/>
          <w:szCs w:val="20"/>
        </w:rPr>
        <w:t>SCHEDULE I — CONDENSED FINANCIAL INFORMATION OF REGISTRANT (PARENT COMPANY)</w:t>
      </w:r>
    </w:p>
    <w:p w:rsidR="00000000" w:rsidRDefault="00AC31B9">
      <w:pPr>
        <w:jc w:val="center"/>
        <w:rPr>
          <w:rFonts w:eastAsia="Times New Roman"/>
        </w:rPr>
      </w:pPr>
      <w:r>
        <w:rPr>
          <w:rFonts w:eastAsia="Times New Roman"/>
          <w:color w:val="000000"/>
          <w:sz w:val="20"/>
          <w:szCs w:val="20"/>
        </w:rPr>
        <w:t>STATEMENTS OF CASH FLOWS</w:t>
      </w:r>
    </w:p>
    <w:p w:rsidR="00000000" w:rsidRDefault="00AC31B9">
      <w:pPr>
        <w:jc w:val="center"/>
        <w:rPr>
          <w:rFonts w:eastAsia="Times New Roman"/>
        </w:rPr>
      </w:pPr>
      <w:r>
        <w:rPr>
          <w:rFonts w:eastAsia="Times New Roman"/>
          <w:color w:val="000000"/>
          <w:sz w:val="20"/>
          <w:szCs w:val="20"/>
        </w:rPr>
        <w:t>(Millions of dollars)</w:t>
      </w:r>
    </w:p>
    <w:tbl>
      <w:tblPr>
        <w:tblW w:w="4992" w:type="pct"/>
        <w:tblCellMar>
          <w:top w:w="15" w:type="dxa"/>
          <w:left w:w="15" w:type="dxa"/>
          <w:bottom w:w="15" w:type="dxa"/>
          <w:right w:w="15" w:type="dxa"/>
        </w:tblCellMar>
        <w:tblLook w:val="04A0" w:firstRow="1" w:lastRow="0" w:firstColumn="1" w:lastColumn="0" w:noHBand="0" w:noVBand="1"/>
      </w:tblPr>
      <w:tblGrid>
        <w:gridCol w:w="39"/>
        <w:gridCol w:w="4862"/>
        <w:gridCol w:w="38"/>
        <w:gridCol w:w="120"/>
        <w:gridCol w:w="916"/>
        <w:gridCol w:w="36"/>
        <w:gridCol w:w="36"/>
        <w:gridCol w:w="36"/>
        <w:gridCol w:w="36"/>
        <w:gridCol w:w="120"/>
        <w:gridCol w:w="876"/>
        <w:gridCol w:w="36"/>
        <w:gridCol w:w="36"/>
        <w:gridCol w:w="36"/>
        <w:gridCol w:w="36"/>
        <w:gridCol w:w="120"/>
        <w:gridCol w:w="878"/>
        <w:gridCol w:w="36"/>
      </w:tblGrid>
      <w:tr w:rsidR="00000000">
        <w:trPr>
          <w:divId w:val="240915558"/>
        </w:trPr>
        <w:tc>
          <w:tcPr>
            <w:tcW w:w="50" w:type="pct"/>
            <w:vAlign w:val="center"/>
            <w:hideMark/>
          </w:tcPr>
          <w:p w:rsidR="00000000" w:rsidRDefault="00AC31B9">
            <w:pPr>
              <w:jc w:val="center"/>
              <w:rPr>
                <w:rFonts w:eastAsia="Times New Roman"/>
              </w:rPr>
            </w:pPr>
          </w:p>
        </w:tc>
        <w:tc>
          <w:tcPr>
            <w:tcW w:w="296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1"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8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divId w:val="240915558"/>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Year Ended September 30,</w:t>
            </w:r>
          </w:p>
        </w:tc>
      </w:tr>
      <w:tr w:rsidR="00000000">
        <w:trPr>
          <w:divId w:val="240915558"/>
        </w:trPr>
        <w:tc>
          <w:tcPr>
            <w:tcW w:w="0" w:type="auto"/>
            <w:gridSpan w:val="3"/>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2021</w:t>
            </w:r>
          </w:p>
        </w:tc>
      </w:tr>
      <w:tr w:rsidR="00000000">
        <w:trPr>
          <w:divId w:val="240915558"/>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NET CASH PROVIDED BY OPERATING ACTIVITIES (a)</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40915558"/>
          <w:trHeight w:val="300"/>
        </w:trPr>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240915558"/>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CASH FLOWS FROM INVESTING ACTIVITIES:</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240915558"/>
        </w:trPr>
        <w:tc>
          <w:tcPr>
            <w:tcW w:w="0" w:type="auto"/>
            <w:gridSpan w:val="3"/>
            <w:vAlign w:val="center"/>
            <w:hideMark/>
          </w:tcPr>
          <w:p w:rsidR="00000000" w:rsidRDefault="00AC31B9">
            <w:pPr>
              <w:spacing w:after="100"/>
              <w:rPr>
                <w:rFonts w:eastAsia="Times New Roman"/>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240915558"/>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Return of capital distributions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175 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40915558"/>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240915558"/>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investments in unconsolidated subsidiaries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(309)</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(390)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(401)</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40915558"/>
        </w:trPr>
        <w:tc>
          <w:tcPr>
            <w:tcW w:w="0" w:type="auto"/>
            <w:gridSpan w:val="3"/>
            <w:shd w:val="clear" w:color="auto" w:fill="FFFF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cash used by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40915558"/>
          <w:trHeight w:val="300"/>
        </w:trPr>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divId w:val="240915558"/>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CASH FLOWS FROM FINANCING ACTIVITIES:</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240915558"/>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Dividends on UGI Common Stock</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(308)</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(296)</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(282)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40915558"/>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Issuances of debt, net of issuance costs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597 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40915558"/>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Repayments of long-term debt</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(333)</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(530)</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(385)</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40915558"/>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Issuance of Preferred Stock, net of issuance costs</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40915558"/>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Issuances of UGI Common Stock</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40915558"/>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Repurchases of UGI Common Stock</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40915558"/>
        </w:trPr>
        <w:tc>
          <w:tcPr>
            <w:tcW w:w="0" w:type="auto"/>
            <w:gridSpan w:val="3"/>
            <w:vAlign w:val="center"/>
            <w:hideMark/>
          </w:tcPr>
          <w:p w:rsidR="00000000" w:rsidRDefault="00AC31B9">
            <w:pPr>
              <w:spacing w:after="100"/>
              <w:jc w:val="right"/>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divId w:val="240915558"/>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Payments on Purchase Contracts</w:t>
            </w: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40915558"/>
        </w:trPr>
        <w:tc>
          <w:tcPr>
            <w:tcW w:w="0" w:type="auto"/>
            <w:gridSpan w:val="3"/>
            <w:shd w:val="clear" w:color="auto" w:fill="FFFFFF"/>
            <w:tcMar>
              <w:top w:w="30" w:type="dxa"/>
              <w:left w:w="38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Net cash (used)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40915558"/>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Cash and cash equivalents (decrease) increase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40915558"/>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Cash and cash equivalents: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divId w:val="240915558"/>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End of year</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40915558"/>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Beginning of year</w:t>
            </w: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r>
      <w:tr w:rsidR="00000000">
        <w:trPr>
          <w:divId w:val="240915558"/>
        </w:trPr>
        <w:tc>
          <w:tcPr>
            <w:tcW w:w="0" w:type="auto"/>
            <w:gridSpan w:val="3"/>
            <w:shd w:val="clear" w:color="auto" w:fill="CCEEFF"/>
            <w:tcMar>
              <w:top w:w="30" w:type="dxa"/>
              <w:left w:w="60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Cash and cash equivalents (decrease) increase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r>
    </w:tbl>
    <w:p w:rsidR="00000000" w:rsidRDefault="00AC31B9">
      <w:pPr>
        <w:divId w:val="548340639"/>
        <w:rPr>
          <w:rFonts w:eastAsia="Times New Roman"/>
        </w:rPr>
      </w:pPr>
    </w:p>
    <w:p w:rsidR="00000000" w:rsidRDefault="00AC31B9">
      <w:pPr>
        <w:ind w:hanging="360"/>
        <w:jc w:val="both"/>
        <w:rPr>
          <w:rFonts w:eastAsia="Times New Roman"/>
        </w:rPr>
      </w:pPr>
      <w:r>
        <w:rPr>
          <w:rFonts w:eastAsia="Times New Roman"/>
          <w:color w:val="000000"/>
          <w:sz w:val="20"/>
          <w:szCs w:val="20"/>
        </w:rPr>
        <w:t>(a)Includes dividends received from unconsolidated subsidiaries of $680, $506 and $354 for the years ended September </w:t>
      </w:r>
      <w:r>
        <w:rPr>
          <w:rFonts w:eastAsia="Times New Roman"/>
          <w:color w:val="000000"/>
          <w:sz w:val="20"/>
          <w:szCs w:val="20"/>
        </w:rPr>
        <w:t>30, 2023, 2022 and 2021, respectively.</w:t>
      </w:r>
    </w:p>
    <w:p w:rsidR="00000000" w:rsidRDefault="00AC31B9">
      <w:pPr>
        <w:divId w:val="1813327494"/>
        <w:rPr>
          <w:rFonts w:eastAsia="Times New Roman"/>
        </w:rPr>
      </w:pPr>
    </w:p>
    <w:p w:rsidR="00000000" w:rsidRDefault="00AC31B9">
      <w:pPr>
        <w:jc w:val="center"/>
        <w:divId w:val="1868525996"/>
        <w:rPr>
          <w:rFonts w:eastAsia="Times New Roman"/>
        </w:rPr>
      </w:pPr>
      <w:r>
        <w:rPr>
          <w:rFonts w:eastAsia="Times New Roman"/>
          <w:color w:val="000000"/>
          <w:sz w:val="20"/>
          <w:szCs w:val="20"/>
        </w:rPr>
        <w:t>S-3</w:t>
      </w:r>
    </w:p>
    <w:p w:rsidR="00000000" w:rsidRDefault="00AC31B9">
      <w:pPr>
        <w:rPr>
          <w:rFonts w:eastAsia="Times New Roman"/>
        </w:rPr>
      </w:pPr>
      <w:r>
        <w:rPr>
          <w:rFonts w:eastAsia="Times New Roman"/>
        </w:rPr>
        <w:pict>
          <v:rect id="_x0000_i1186" style="width:0;height:1.5pt" o:hralign="center" o:hrstd="t" o:hr="t" fillcolor="#a0a0a0" stroked="f"/>
        </w:pict>
      </w:r>
    </w:p>
    <w:p w:rsidR="00000000" w:rsidRDefault="00AC31B9">
      <w:pPr>
        <w:divId w:val="1104419241"/>
        <w:rPr>
          <w:rFonts w:eastAsia="Times New Roman"/>
        </w:rPr>
      </w:pPr>
      <w:hyperlink w:anchor="ic92dd05487854a4eaece953328045c39_7" w:history="1">
        <w:r>
          <w:rPr>
            <w:rStyle w:val="a3"/>
            <w:rFonts w:eastAsia="Times New Roman"/>
            <w:b/>
            <w:bCs/>
            <w:sz w:val="20"/>
            <w:szCs w:val="20"/>
          </w:rPr>
          <w:t>Table of Contents</w:t>
        </w:r>
      </w:hyperlink>
    </w:p>
    <w:p w:rsidR="00000000" w:rsidRDefault="00AC31B9">
      <w:pPr>
        <w:jc w:val="center"/>
        <w:rPr>
          <w:rFonts w:eastAsia="Times New Roman"/>
        </w:rPr>
      </w:pPr>
      <w:r>
        <w:rPr>
          <w:rFonts w:eastAsia="Times New Roman"/>
          <w:b/>
          <w:bCs/>
          <w:color w:val="000000"/>
          <w:sz w:val="20"/>
          <w:szCs w:val="20"/>
        </w:rPr>
        <w:t>UGI CORPORATION AND SUBSIDIARIES</w:t>
      </w:r>
    </w:p>
    <w:p w:rsidR="00000000" w:rsidRDefault="00AC31B9">
      <w:pPr>
        <w:jc w:val="center"/>
        <w:rPr>
          <w:rFonts w:eastAsia="Times New Roman"/>
        </w:rPr>
      </w:pPr>
      <w:r>
        <w:rPr>
          <w:rFonts w:eastAsia="Times New Roman"/>
          <w:b/>
          <w:bCs/>
          <w:color w:val="000000"/>
          <w:sz w:val="20"/>
          <w:szCs w:val="20"/>
        </w:rPr>
        <w:t xml:space="preserve">SCHEDULE II — </w:t>
      </w:r>
      <w:r>
        <w:rPr>
          <w:rFonts w:eastAsia="Times New Roman"/>
          <w:b/>
          <w:bCs/>
          <w:color w:val="000000"/>
          <w:sz w:val="20"/>
          <w:szCs w:val="20"/>
        </w:rPr>
        <w:t>VALUATION AND QUALIFYING ACCOUNTS</w:t>
      </w:r>
    </w:p>
    <w:p w:rsidR="00000000" w:rsidRDefault="00AC31B9">
      <w:pPr>
        <w:jc w:val="center"/>
        <w:rPr>
          <w:rFonts w:eastAsia="Times New Roman"/>
        </w:rPr>
      </w:pPr>
      <w:r>
        <w:rPr>
          <w:rFonts w:eastAsia="Times New Roman"/>
          <w:color w:val="000000"/>
          <w:sz w:val="20"/>
          <w:szCs w:val="20"/>
        </w:rPr>
        <w:t>(Millions of dollars)</w:t>
      </w:r>
    </w:p>
    <w:tbl>
      <w:tblPr>
        <w:tblW w:w="4992" w:type="pct"/>
        <w:jc w:val="center"/>
        <w:tblCellMar>
          <w:top w:w="15" w:type="dxa"/>
          <w:left w:w="15" w:type="dxa"/>
          <w:bottom w:w="15" w:type="dxa"/>
          <w:right w:w="15" w:type="dxa"/>
        </w:tblCellMar>
        <w:tblLook w:val="04A0" w:firstRow="1" w:lastRow="0" w:firstColumn="1" w:lastColumn="0" w:noHBand="0" w:noVBand="1"/>
      </w:tblPr>
      <w:tblGrid>
        <w:gridCol w:w="44"/>
        <w:gridCol w:w="3504"/>
        <w:gridCol w:w="37"/>
        <w:gridCol w:w="121"/>
        <w:gridCol w:w="842"/>
        <w:gridCol w:w="36"/>
        <w:gridCol w:w="36"/>
        <w:gridCol w:w="36"/>
        <w:gridCol w:w="36"/>
        <w:gridCol w:w="121"/>
        <w:gridCol w:w="810"/>
        <w:gridCol w:w="36"/>
        <w:gridCol w:w="36"/>
        <w:gridCol w:w="36"/>
        <w:gridCol w:w="36"/>
        <w:gridCol w:w="121"/>
        <w:gridCol w:w="811"/>
        <w:gridCol w:w="36"/>
        <w:gridCol w:w="70"/>
        <w:gridCol w:w="198"/>
        <w:gridCol w:w="36"/>
        <w:gridCol w:w="121"/>
        <w:gridCol w:w="818"/>
        <w:gridCol w:w="36"/>
        <w:gridCol w:w="45"/>
        <w:gridCol w:w="198"/>
        <w:gridCol w:w="36"/>
      </w:tblGrid>
      <w:tr w:rsidR="00000000">
        <w:trPr>
          <w:jc w:val="center"/>
        </w:trPr>
        <w:tc>
          <w:tcPr>
            <w:tcW w:w="50" w:type="pct"/>
            <w:vAlign w:val="center"/>
            <w:hideMark/>
          </w:tcPr>
          <w:p w:rsidR="00000000" w:rsidRDefault="00AC31B9">
            <w:pPr>
              <w:jc w:val="center"/>
              <w:rPr>
                <w:rFonts w:eastAsia="Times New Roman"/>
              </w:rPr>
            </w:pPr>
          </w:p>
        </w:tc>
        <w:tc>
          <w:tcPr>
            <w:tcW w:w="2133"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26"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4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530"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c>
          <w:tcPr>
            <w:tcW w:w="50" w:type="pct"/>
            <w:vAlign w:val="center"/>
            <w:hideMark/>
          </w:tcPr>
          <w:p w:rsidR="00000000" w:rsidRDefault="00AC31B9">
            <w:pPr>
              <w:spacing w:after="100"/>
              <w:rPr>
                <w:rFonts w:eastAsia="Times New Roman"/>
                <w:sz w:val="20"/>
                <w:szCs w:val="20"/>
              </w:rPr>
            </w:pPr>
          </w:p>
        </w:tc>
        <w:tc>
          <w:tcPr>
            <w:tcW w:w="142" w:type="pct"/>
            <w:vAlign w:val="center"/>
            <w:hideMark/>
          </w:tcPr>
          <w:p w:rsidR="00000000" w:rsidRDefault="00AC31B9">
            <w:pPr>
              <w:spacing w:after="100"/>
              <w:rPr>
                <w:rFonts w:eastAsia="Times New Roman"/>
                <w:sz w:val="20"/>
                <w:szCs w:val="20"/>
              </w:rPr>
            </w:pPr>
          </w:p>
        </w:tc>
        <w:tc>
          <w:tcPr>
            <w:tcW w:w="5" w:type="pct"/>
            <w:vAlign w:val="center"/>
            <w:hideMark/>
          </w:tcPr>
          <w:p w:rsidR="00000000" w:rsidRDefault="00AC31B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Balance at</w:t>
            </w:r>
            <w:r>
              <w:rPr>
                <w:rFonts w:eastAsia="Times New Roman"/>
                <w:color w:val="000000"/>
                <w:sz w:val="20"/>
                <w:szCs w:val="20"/>
              </w:rPr>
              <w:br/>
              <w:t>beginning</w:t>
            </w:r>
            <w:r>
              <w:rPr>
                <w:rFonts w:eastAsia="Times New Roman"/>
                <w:color w:val="000000"/>
                <w:sz w:val="20"/>
                <w:szCs w:val="20"/>
              </w:rPr>
              <w:br/>
              <w:t>of year</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Charged</w:t>
            </w:r>
            <w:r>
              <w:rPr>
                <w:rFonts w:eastAsia="Times New Roman"/>
                <w:color w:val="000000"/>
                <w:sz w:val="20"/>
                <w:szCs w:val="20"/>
              </w:rPr>
              <w:br/>
              <w:t>(credited)</w:t>
            </w:r>
            <w:r>
              <w:rPr>
                <w:rFonts w:eastAsia="Times New Roman"/>
                <w:color w:val="000000"/>
                <w:sz w:val="20"/>
                <w:szCs w:val="20"/>
              </w:rPr>
              <w:br/>
              <w:t>to costs and</w:t>
            </w:r>
            <w:r>
              <w:rPr>
                <w:rFonts w:eastAsia="Times New Roman"/>
                <w:color w:val="000000"/>
                <w:sz w:val="20"/>
                <w:szCs w:val="20"/>
              </w:rPr>
              <w:br/>
              <w:t>expenses</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Other</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C31B9">
            <w:pPr>
              <w:spacing w:after="100"/>
              <w:jc w:val="center"/>
              <w:rPr>
                <w:rFonts w:eastAsia="Times New Roman"/>
              </w:rPr>
            </w:pPr>
            <w:r>
              <w:rPr>
                <w:rFonts w:eastAsia="Times New Roman"/>
                <w:color w:val="000000"/>
                <w:sz w:val="20"/>
                <w:szCs w:val="20"/>
              </w:rPr>
              <w:t>Balance at</w:t>
            </w:r>
            <w:r>
              <w:rPr>
                <w:rFonts w:eastAsia="Times New Roman"/>
                <w:color w:val="000000"/>
                <w:sz w:val="20"/>
                <w:szCs w:val="20"/>
              </w:rPr>
              <w:br/>
              <w:t>end of</w:t>
            </w:r>
            <w:r>
              <w:rPr>
                <w:rFonts w:eastAsia="Times New Roman"/>
                <w:color w:val="000000"/>
                <w:sz w:val="20"/>
                <w:szCs w:val="20"/>
              </w:rPr>
              <w:br/>
              <w:t>year</w:t>
            </w:r>
          </w:p>
        </w:tc>
        <w:tc>
          <w:tcPr>
            <w:tcW w:w="0" w:type="auto"/>
            <w:gridSpan w:val="3"/>
            <w:tcMar>
              <w:top w:w="0" w:type="dxa"/>
              <w:left w:w="20" w:type="dxa"/>
              <w:bottom w:w="0" w:type="dxa"/>
              <w:right w:w="20" w:type="dxa"/>
            </w:tcMar>
            <w:vAlign w:val="center"/>
            <w:hideMark/>
          </w:tcPr>
          <w:p w:rsidR="00000000" w:rsidRDefault="00AC31B9">
            <w:pPr>
              <w:spacing w:after="100"/>
              <w:jc w:val="center"/>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Year Ended September 30, 2023</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Reserves deducted from assets in the consolidated balance sheet:</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Allowance for doubtful accounts</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(1)</w:t>
            </w:r>
          </w:p>
        </w:tc>
        <w:tc>
          <w:tcPr>
            <w:tcW w:w="0" w:type="auto"/>
            <w:shd w:val="clear" w:color="auto" w:fill="CCEE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reserves:</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AC31B9">
            <w:pPr>
              <w:spacing w:after="100"/>
              <w:rPr>
                <w:rFonts w:eastAsia="Times New Roman"/>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Deferred tax assets valuation allowance</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(2)</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AC31B9">
            <w:pPr>
              <w:spacing w:after="100"/>
              <w:rPr>
                <w:rFonts w:eastAsia="Times New Roman"/>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Year Ended September 30, 2022</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Reserves deducted from assets in the consolidated balance sheet:</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Allowance for doubtful accounts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(50)</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(1)</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AC31B9">
            <w:pPr>
              <w:spacing w:after="100"/>
              <w:rPr>
                <w:rFonts w:eastAsia="Times New Roman"/>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reserves: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AC31B9">
            <w:pPr>
              <w:spacing w:after="100"/>
              <w:rPr>
                <w:rFonts w:eastAsia="Times New Roman"/>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Deferred tax assets valuation allowance</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138 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(2)</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AC31B9">
            <w:pPr>
              <w:spacing w:after="100"/>
              <w:rPr>
                <w:rFonts w:eastAsia="Times New Roman"/>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b/>
                <w:bCs/>
                <w:color w:val="000000"/>
                <w:sz w:val="20"/>
                <w:szCs w:val="20"/>
              </w:rPr>
              <w:t>Year Ended September 30, 2021</w:t>
            </w: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Reserves deducted from assets in the consolidated balance sheet:</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Allowance for doubtful accounts</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(1)</w:t>
            </w: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AC31B9">
            <w:pPr>
              <w:spacing w:after="100"/>
              <w:rPr>
                <w:rFonts w:eastAsia="Times New Roman"/>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Other reserves: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C31B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AC31B9">
            <w:pPr>
              <w:spacing w:after="100"/>
              <w:rPr>
                <w:rFonts w:eastAsia="Times New Roman"/>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Deferred tax assets valuation allowance</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105 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C31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(2)</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AC31B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AC31B9">
            <w:pPr>
              <w:spacing w:after="100"/>
              <w:jc w:val="right"/>
              <w:rPr>
                <w:rFonts w:eastAsia="Times New Roman"/>
              </w:rPr>
            </w:pPr>
            <w:r>
              <w:rPr>
                <w:rFonts w:eastAsia="Times New Roman"/>
                <w:color w:val="000000"/>
                <w:sz w:val="20"/>
                <w:szCs w:val="20"/>
              </w:rPr>
              <w:t>138 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AC31B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C31B9">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AC31B9">
            <w:pPr>
              <w:spacing w:after="100"/>
              <w:rPr>
                <w:rFonts w:eastAsia="Times New Roman"/>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r w:rsidR="00000000">
        <w:trPr>
          <w:jc w:val="center"/>
        </w:trPr>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c>
          <w:tcPr>
            <w:tcW w:w="0" w:type="auto"/>
            <w:gridSpan w:val="3"/>
            <w:vAlign w:val="center"/>
            <w:hideMark/>
          </w:tcPr>
          <w:p w:rsidR="00000000" w:rsidRDefault="00AC31B9">
            <w:pPr>
              <w:spacing w:after="100"/>
              <w:rPr>
                <w:rFonts w:eastAsia="Times New Roman"/>
                <w:sz w:val="20"/>
                <w:szCs w:val="20"/>
              </w:rPr>
            </w:pPr>
          </w:p>
        </w:tc>
      </w:tr>
    </w:tbl>
    <w:p w:rsidR="00000000" w:rsidRDefault="00AC31B9">
      <w:pPr>
        <w:ind w:hanging="360"/>
        <w:jc w:val="both"/>
        <w:rPr>
          <w:rFonts w:eastAsia="Times New Roman"/>
        </w:rPr>
      </w:pPr>
      <w:r>
        <w:rPr>
          <w:rFonts w:eastAsia="Times New Roman"/>
          <w:color w:val="000000"/>
          <w:sz w:val="20"/>
          <w:szCs w:val="20"/>
        </w:rPr>
        <w:t>(1)Uncollectible accounts written off, net of recoveries.</w:t>
      </w:r>
    </w:p>
    <w:p w:rsidR="00000000" w:rsidRDefault="00AC31B9">
      <w:pPr>
        <w:ind w:hanging="360"/>
        <w:jc w:val="both"/>
        <w:rPr>
          <w:rFonts w:eastAsia="Times New Roman"/>
        </w:rPr>
      </w:pPr>
      <w:r>
        <w:rPr>
          <w:rFonts w:eastAsia="Times New Roman"/>
          <w:color w:val="000000"/>
          <w:sz w:val="20"/>
          <w:szCs w:val="20"/>
        </w:rPr>
        <w:t xml:space="preserve">(2)Primarily a notional interest deduction valuation </w:t>
      </w:r>
      <w:r>
        <w:rPr>
          <w:rFonts w:eastAsia="Times New Roman"/>
          <w:color w:val="000000"/>
          <w:sz w:val="20"/>
          <w:szCs w:val="20"/>
        </w:rPr>
        <w:t>allowance adjustment.</w:t>
      </w:r>
    </w:p>
    <w:p w:rsidR="00000000" w:rsidRDefault="00AC31B9">
      <w:pPr>
        <w:jc w:val="both"/>
        <w:divId w:val="1034842266"/>
        <w:rPr>
          <w:rFonts w:eastAsia="Times New Roman"/>
        </w:rPr>
      </w:pPr>
    </w:p>
    <w:p w:rsidR="00AC31B9" w:rsidRDefault="00AC31B9">
      <w:pPr>
        <w:jc w:val="center"/>
        <w:divId w:val="1560048319"/>
        <w:rPr>
          <w:rFonts w:eastAsia="Times New Roman"/>
        </w:rPr>
      </w:pPr>
      <w:r>
        <w:rPr>
          <w:rFonts w:eastAsia="Times New Roman"/>
          <w:color w:val="000000"/>
          <w:sz w:val="20"/>
          <w:szCs w:val="20"/>
        </w:rPr>
        <w:t>S-4</w:t>
      </w:r>
    </w:p>
    <w:sectPr w:rsidR="00AC31B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C31B9"/>
    <w:rsid w:val="00AC31B9"/>
  </w:rsids>
  <m:mathPr>
    <m:mathFont m:val="Cambria Math"/>
    <m:brkBin m:val="before"/>
    <m:brkBinSub m:val="--"/>
    <m:smallFrac m:val="0"/>
    <m:dispDef/>
    <m:lMargin m:val="0"/>
    <m:rMargin m:val="0"/>
    <m:defJc m:val="centerGroup"/>
    <m:wrapIndent m:val="1440"/>
    <m:intLim m:val="subSup"/>
    <m:naryLim m:val="undOvr"/>
  </m:mathPr>
  <w:attachedSchema w:val="http://www.ugicorp.com/20230930"/>
  <w:attachedSchema w:val="http://fasb.org/srt/2023"/>
  <w:attachedSchema w:val="http://xbrl.sec.gov/country/2023"/>
  <w:attachedSchema w:val="http://xbrl.sec.gov/ecd/2023"/>
  <w:attachedSchema w:val="http://www.xbrl.org/inlineXBRL/transformation/2020-02-12"/>
  <w:attachedSchema w:val="http://www.sec.gov/inlineXBRL/transformation/2015-08-31"/>
  <w:attachedSchema w:val="http://www.xbrl.org/2003/iso4217"/>
  <w:attachedSchema w:val="http://www.xbrl.org/2013/inlineXBRL"/>
  <w:attachedSchema w:val="http://www.xbrl.org/2009/utr"/>
  <w:attachedSchema w:val="http://www.xbrl.org/2003/linkbase"/>
  <w:attachedSchema w:val="http://fasb.org/us-gaap/2023"/>
  <w:attachedSchema w:val="http://xbrl.org/2006/xbrldi"/>
  <w:attachedSchema w:val="http://www.xbrl.org/2003/instance"/>
  <w:attachedSchema w:val="http://www.w3.org/1999/xlink"/>
  <w:attachedSchema w:val="http://xbrl.sec.gov/dei/202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805">
      <w:marLeft w:val="0"/>
      <w:marRight w:val="0"/>
      <w:marTop w:val="0"/>
      <w:marBottom w:val="0"/>
      <w:divBdr>
        <w:top w:val="none" w:sz="0" w:space="0" w:color="auto"/>
        <w:left w:val="none" w:sz="0" w:space="0" w:color="auto"/>
        <w:bottom w:val="none" w:sz="0" w:space="0" w:color="auto"/>
        <w:right w:val="none" w:sz="0" w:space="0" w:color="auto"/>
      </w:divBdr>
      <w:divsChild>
        <w:div w:id="1735933423">
          <w:marLeft w:val="0"/>
          <w:marRight w:val="0"/>
          <w:marTop w:val="0"/>
          <w:marBottom w:val="0"/>
          <w:divBdr>
            <w:top w:val="none" w:sz="0" w:space="0" w:color="auto"/>
            <w:left w:val="none" w:sz="0" w:space="0" w:color="auto"/>
            <w:bottom w:val="none" w:sz="0" w:space="0" w:color="auto"/>
            <w:right w:val="none" w:sz="0" w:space="0" w:color="auto"/>
          </w:divBdr>
        </w:div>
        <w:div w:id="133179664">
          <w:marLeft w:val="0"/>
          <w:marRight w:val="0"/>
          <w:marTop w:val="0"/>
          <w:marBottom w:val="0"/>
          <w:divBdr>
            <w:top w:val="none" w:sz="0" w:space="0" w:color="auto"/>
            <w:left w:val="none" w:sz="0" w:space="0" w:color="auto"/>
            <w:bottom w:val="none" w:sz="0" w:space="0" w:color="auto"/>
            <w:right w:val="none" w:sz="0" w:space="0" w:color="auto"/>
          </w:divBdr>
        </w:div>
        <w:div w:id="1597861930">
          <w:marLeft w:val="0"/>
          <w:marRight w:val="0"/>
          <w:marTop w:val="0"/>
          <w:marBottom w:val="0"/>
          <w:divBdr>
            <w:top w:val="none" w:sz="0" w:space="0" w:color="auto"/>
            <w:left w:val="none" w:sz="0" w:space="0" w:color="auto"/>
            <w:bottom w:val="none" w:sz="0" w:space="0" w:color="auto"/>
            <w:right w:val="none" w:sz="0" w:space="0" w:color="auto"/>
          </w:divBdr>
        </w:div>
        <w:div w:id="910582824">
          <w:marLeft w:val="0"/>
          <w:marRight w:val="0"/>
          <w:marTop w:val="0"/>
          <w:marBottom w:val="0"/>
          <w:divBdr>
            <w:top w:val="none" w:sz="0" w:space="0" w:color="auto"/>
            <w:left w:val="none" w:sz="0" w:space="0" w:color="auto"/>
            <w:bottom w:val="none" w:sz="0" w:space="0" w:color="auto"/>
            <w:right w:val="none" w:sz="0" w:space="0" w:color="auto"/>
          </w:divBdr>
        </w:div>
      </w:divsChild>
    </w:div>
    <w:div w:id="5864078">
      <w:marLeft w:val="0"/>
      <w:marRight w:val="0"/>
      <w:marTop w:val="0"/>
      <w:marBottom w:val="0"/>
      <w:divBdr>
        <w:top w:val="none" w:sz="0" w:space="0" w:color="auto"/>
        <w:left w:val="none" w:sz="0" w:space="0" w:color="auto"/>
        <w:bottom w:val="none" w:sz="0" w:space="0" w:color="auto"/>
        <w:right w:val="none" w:sz="0" w:space="0" w:color="auto"/>
      </w:divBdr>
      <w:divsChild>
        <w:div w:id="375397468">
          <w:marLeft w:val="0"/>
          <w:marRight w:val="0"/>
          <w:marTop w:val="0"/>
          <w:marBottom w:val="0"/>
          <w:divBdr>
            <w:top w:val="none" w:sz="0" w:space="0" w:color="auto"/>
            <w:left w:val="none" w:sz="0" w:space="0" w:color="auto"/>
            <w:bottom w:val="none" w:sz="0" w:space="0" w:color="auto"/>
            <w:right w:val="none" w:sz="0" w:space="0" w:color="auto"/>
          </w:divBdr>
        </w:div>
      </w:divsChild>
    </w:div>
    <w:div w:id="6446824">
      <w:marLeft w:val="0"/>
      <w:marRight w:val="0"/>
      <w:marTop w:val="0"/>
      <w:marBottom w:val="0"/>
      <w:divBdr>
        <w:top w:val="none" w:sz="0" w:space="0" w:color="auto"/>
        <w:left w:val="none" w:sz="0" w:space="0" w:color="auto"/>
        <w:bottom w:val="none" w:sz="0" w:space="0" w:color="auto"/>
        <w:right w:val="none" w:sz="0" w:space="0" w:color="auto"/>
      </w:divBdr>
    </w:div>
    <w:div w:id="6948366">
      <w:marLeft w:val="0"/>
      <w:marRight w:val="0"/>
      <w:marTop w:val="200"/>
      <w:marBottom w:val="0"/>
      <w:divBdr>
        <w:top w:val="none" w:sz="0" w:space="0" w:color="auto"/>
        <w:left w:val="none" w:sz="0" w:space="0" w:color="auto"/>
        <w:bottom w:val="none" w:sz="0" w:space="0" w:color="auto"/>
        <w:right w:val="none" w:sz="0" w:space="0" w:color="auto"/>
      </w:divBdr>
    </w:div>
    <w:div w:id="7215222">
      <w:marLeft w:val="0"/>
      <w:marRight w:val="0"/>
      <w:marTop w:val="0"/>
      <w:marBottom w:val="0"/>
      <w:divBdr>
        <w:top w:val="none" w:sz="0" w:space="0" w:color="auto"/>
        <w:left w:val="none" w:sz="0" w:space="0" w:color="auto"/>
        <w:bottom w:val="none" w:sz="0" w:space="0" w:color="auto"/>
        <w:right w:val="none" w:sz="0" w:space="0" w:color="auto"/>
      </w:divBdr>
      <w:divsChild>
        <w:div w:id="1723018176">
          <w:marLeft w:val="0"/>
          <w:marRight w:val="0"/>
          <w:marTop w:val="0"/>
          <w:marBottom w:val="0"/>
          <w:divBdr>
            <w:top w:val="none" w:sz="0" w:space="0" w:color="auto"/>
            <w:left w:val="none" w:sz="0" w:space="0" w:color="auto"/>
            <w:bottom w:val="none" w:sz="0" w:space="0" w:color="auto"/>
            <w:right w:val="none" w:sz="0" w:space="0" w:color="auto"/>
          </w:divBdr>
        </w:div>
      </w:divsChild>
    </w:div>
    <w:div w:id="8216502">
      <w:marLeft w:val="0"/>
      <w:marRight w:val="0"/>
      <w:marTop w:val="0"/>
      <w:marBottom w:val="0"/>
      <w:divBdr>
        <w:top w:val="none" w:sz="0" w:space="0" w:color="auto"/>
        <w:left w:val="none" w:sz="0" w:space="0" w:color="auto"/>
        <w:bottom w:val="none" w:sz="0" w:space="0" w:color="auto"/>
        <w:right w:val="none" w:sz="0" w:space="0" w:color="auto"/>
      </w:divBdr>
    </w:div>
    <w:div w:id="8607075">
      <w:marLeft w:val="0"/>
      <w:marRight w:val="0"/>
      <w:marTop w:val="100"/>
      <w:marBottom w:val="0"/>
      <w:divBdr>
        <w:top w:val="none" w:sz="0" w:space="0" w:color="auto"/>
        <w:left w:val="none" w:sz="0" w:space="0" w:color="auto"/>
        <w:bottom w:val="none" w:sz="0" w:space="0" w:color="auto"/>
        <w:right w:val="none" w:sz="0" w:space="0" w:color="auto"/>
      </w:divBdr>
    </w:div>
    <w:div w:id="11229841">
      <w:marLeft w:val="0"/>
      <w:marRight w:val="0"/>
      <w:marTop w:val="0"/>
      <w:marBottom w:val="0"/>
      <w:divBdr>
        <w:top w:val="none" w:sz="0" w:space="0" w:color="auto"/>
        <w:left w:val="none" w:sz="0" w:space="0" w:color="auto"/>
        <w:bottom w:val="none" w:sz="0" w:space="0" w:color="auto"/>
        <w:right w:val="none" w:sz="0" w:space="0" w:color="auto"/>
      </w:divBdr>
    </w:div>
    <w:div w:id="11807043">
      <w:marLeft w:val="0"/>
      <w:marRight w:val="0"/>
      <w:marTop w:val="200"/>
      <w:marBottom w:val="0"/>
      <w:divBdr>
        <w:top w:val="none" w:sz="0" w:space="0" w:color="auto"/>
        <w:left w:val="none" w:sz="0" w:space="0" w:color="auto"/>
        <w:bottom w:val="none" w:sz="0" w:space="0" w:color="auto"/>
        <w:right w:val="none" w:sz="0" w:space="0" w:color="auto"/>
      </w:divBdr>
    </w:div>
    <w:div w:id="14575003">
      <w:marLeft w:val="0"/>
      <w:marRight w:val="0"/>
      <w:marTop w:val="0"/>
      <w:marBottom w:val="0"/>
      <w:divBdr>
        <w:top w:val="none" w:sz="0" w:space="0" w:color="auto"/>
        <w:left w:val="none" w:sz="0" w:space="0" w:color="auto"/>
        <w:bottom w:val="none" w:sz="0" w:space="0" w:color="auto"/>
        <w:right w:val="none" w:sz="0" w:space="0" w:color="auto"/>
      </w:divBdr>
    </w:div>
    <w:div w:id="15012207">
      <w:marLeft w:val="0"/>
      <w:marRight w:val="0"/>
      <w:marTop w:val="0"/>
      <w:marBottom w:val="0"/>
      <w:divBdr>
        <w:top w:val="none" w:sz="0" w:space="0" w:color="auto"/>
        <w:left w:val="none" w:sz="0" w:space="0" w:color="auto"/>
        <w:bottom w:val="none" w:sz="0" w:space="0" w:color="auto"/>
        <w:right w:val="none" w:sz="0" w:space="0" w:color="auto"/>
      </w:divBdr>
      <w:divsChild>
        <w:div w:id="1719468903">
          <w:marLeft w:val="0"/>
          <w:marRight w:val="0"/>
          <w:marTop w:val="0"/>
          <w:marBottom w:val="0"/>
          <w:divBdr>
            <w:top w:val="none" w:sz="0" w:space="0" w:color="auto"/>
            <w:left w:val="none" w:sz="0" w:space="0" w:color="auto"/>
            <w:bottom w:val="none" w:sz="0" w:space="0" w:color="auto"/>
            <w:right w:val="none" w:sz="0" w:space="0" w:color="auto"/>
          </w:divBdr>
        </w:div>
      </w:divsChild>
    </w:div>
    <w:div w:id="16195899">
      <w:marLeft w:val="0"/>
      <w:marRight w:val="0"/>
      <w:marTop w:val="0"/>
      <w:marBottom w:val="0"/>
      <w:divBdr>
        <w:top w:val="none" w:sz="0" w:space="0" w:color="auto"/>
        <w:left w:val="none" w:sz="0" w:space="0" w:color="auto"/>
        <w:bottom w:val="none" w:sz="0" w:space="0" w:color="auto"/>
        <w:right w:val="none" w:sz="0" w:space="0" w:color="auto"/>
      </w:divBdr>
      <w:divsChild>
        <w:div w:id="1104419241">
          <w:marLeft w:val="0"/>
          <w:marRight w:val="0"/>
          <w:marTop w:val="0"/>
          <w:marBottom w:val="0"/>
          <w:divBdr>
            <w:top w:val="none" w:sz="0" w:space="0" w:color="auto"/>
            <w:left w:val="none" w:sz="0" w:space="0" w:color="auto"/>
            <w:bottom w:val="none" w:sz="0" w:space="0" w:color="auto"/>
            <w:right w:val="none" w:sz="0" w:space="0" w:color="auto"/>
          </w:divBdr>
        </w:div>
      </w:divsChild>
    </w:div>
    <w:div w:id="22831629">
      <w:marLeft w:val="0"/>
      <w:marRight w:val="0"/>
      <w:marTop w:val="200"/>
      <w:marBottom w:val="0"/>
      <w:divBdr>
        <w:top w:val="none" w:sz="0" w:space="0" w:color="auto"/>
        <w:left w:val="none" w:sz="0" w:space="0" w:color="auto"/>
        <w:bottom w:val="none" w:sz="0" w:space="0" w:color="auto"/>
        <w:right w:val="none" w:sz="0" w:space="0" w:color="auto"/>
      </w:divBdr>
    </w:div>
    <w:div w:id="23873595">
      <w:marLeft w:val="0"/>
      <w:marRight w:val="0"/>
      <w:marTop w:val="0"/>
      <w:marBottom w:val="0"/>
      <w:divBdr>
        <w:top w:val="none" w:sz="0" w:space="0" w:color="auto"/>
        <w:left w:val="none" w:sz="0" w:space="0" w:color="auto"/>
        <w:bottom w:val="none" w:sz="0" w:space="0" w:color="auto"/>
        <w:right w:val="none" w:sz="0" w:space="0" w:color="auto"/>
      </w:divBdr>
    </w:div>
    <w:div w:id="27143626">
      <w:marLeft w:val="0"/>
      <w:marRight w:val="0"/>
      <w:marTop w:val="0"/>
      <w:marBottom w:val="0"/>
      <w:divBdr>
        <w:top w:val="none" w:sz="0" w:space="0" w:color="auto"/>
        <w:left w:val="none" w:sz="0" w:space="0" w:color="auto"/>
        <w:bottom w:val="none" w:sz="0" w:space="0" w:color="auto"/>
        <w:right w:val="none" w:sz="0" w:space="0" w:color="auto"/>
      </w:divBdr>
    </w:div>
    <w:div w:id="27536204">
      <w:marLeft w:val="0"/>
      <w:marRight w:val="0"/>
      <w:marTop w:val="200"/>
      <w:marBottom w:val="0"/>
      <w:divBdr>
        <w:top w:val="none" w:sz="0" w:space="0" w:color="auto"/>
        <w:left w:val="none" w:sz="0" w:space="0" w:color="auto"/>
        <w:bottom w:val="none" w:sz="0" w:space="0" w:color="auto"/>
        <w:right w:val="none" w:sz="0" w:space="0" w:color="auto"/>
      </w:divBdr>
    </w:div>
    <w:div w:id="32465686">
      <w:marLeft w:val="0"/>
      <w:marRight w:val="0"/>
      <w:marTop w:val="0"/>
      <w:marBottom w:val="0"/>
      <w:divBdr>
        <w:top w:val="none" w:sz="0" w:space="0" w:color="auto"/>
        <w:left w:val="none" w:sz="0" w:space="0" w:color="auto"/>
        <w:bottom w:val="none" w:sz="0" w:space="0" w:color="auto"/>
        <w:right w:val="none" w:sz="0" w:space="0" w:color="auto"/>
      </w:divBdr>
    </w:div>
    <w:div w:id="33622222">
      <w:marLeft w:val="0"/>
      <w:marRight w:val="0"/>
      <w:marTop w:val="0"/>
      <w:marBottom w:val="0"/>
      <w:divBdr>
        <w:top w:val="none" w:sz="0" w:space="0" w:color="auto"/>
        <w:left w:val="none" w:sz="0" w:space="0" w:color="auto"/>
        <w:bottom w:val="none" w:sz="0" w:space="0" w:color="auto"/>
        <w:right w:val="none" w:sz="0" w:space="0" w:color="auto"/>
      </w:divBdr>
      <w:divsChild>
        <w:div w:id="456023500">
          <w:marLeft w:val="0"/>
          <w:marRight w:val="0"/>
          <w:marTop w:val="0"/>
          <w:marBottom w:val="0"/>
          <w:divBdr>
            <w:top w:val="none" w:sz="0" w:space="0" w:color="auto"/>
            <w:left w:val="none" w:sz="0" w:space="0" w:color="auto"/>
            <w:bottom w:val="none" w:sz="0" w:space="0" w:color="auto"/>
            <w:right w:val="none" w:sz="0" w:space="0" w:color="auto"/>
          </w:divBdr>
        </w:div>
      </w:divsChild>
    </w:div>
    <w:div w:id="34039466">
      <w:marLeft w:val="0"/>
      <w:marRight w:val="0"/>
      <w:marTop w:val="0"/>
      <w:marBottom w:val="0"/>
      <w:divBdr>
        <w:top w:val="none" w:sz="0" w:space="0" w:color="auto"/>
        <w:left w:val="none" w:sz="0" w:space="0" w:color="auto"/>
        <w:bottom w:val="none" w:sz="0" w:space="0" w:color="auto"/>
        <w:right w:val="none" w:sz="0" w:space="0" w:color="auto"/>
      </w:divBdr>
      <w:divsChild>
        <w:div w:id="1672103096">
          <w:marLeft w:val="0"/>
          <w:marRight w:val="0"/>
          <w:marTop w:val="0"/>
          <w:marBottom w:val="0"/>
          <w:divBdr>
            <w:top w:val="none" w:sz="0" w:space="0" w:color="auto"/>
            <w:left w:val="none" w:sz="0" w:space="0" w:color="auto"/>
            <w:bottom w:val="none" w:sz="0" w:space="0" w:color="auto"/>
            <w:right w:val="none" w:sz="0" w:space="0" w:color="auto"/>
          </w:divBdr>
        </w:div>
        <w:div w:id="1444573941">
          <w:marLeft w:val="0"/>
          <w:marRight w:val="0"/>
          <w:marTop w:val="0"/>
          <w:marBottom w:val="0"/>
          <w:divBdr>
            <w:top w:val="none" w:sz="0" w:space="0" w:color="auto"/>
            <w:left w:val="none" w:sz="0" w:space="0" w:color="auto"/>
            <w:bottom w:val="none" w:sz="0" w:space="0" w:color="auto"/>
            <w:right w:val="none" w:sz="0" w:space="0" w:color="auto"/>
          </w:divBdr>
        </w:div>
        <w:div w:id="948003087">
          <w:marLeft w:val="0"/>
          <w:marRight w:val="0"/>
          <w:marTop w:val="0"/>
          <w:marBottom w:val="0"/>
          <w:divBdr>
            <w:top w:val="none" w:sz="0" w:space="0" w:color="auto"/>
            <w:left w:val="none" w:sz="0" w:space="0" w:color="auto"/>
            <w:bottom w:val="none" w:sz="0" w:space="0" w:color="auto"/>
            <w:right w:val="none" w:sz="0" w:space="0" w:color="auto"/>
          </w:divBdr>
        </w:div>
        <w:div w:id="417989482">
          <w:marLeft w:val="0"/>
          <w:marRight w:val="0"/>
          <w:marTop w:val="0"/>
          <w:marBottom w:val="0"/>
          <w:divBdr>
            <w:top w:val="none" w:sz="0" w:space="0" w:color="auto"/>
            <w:left w:val="none" w:sz="0" w:space="0" w:color="auto"/>
            <w:bottom w:val="none" w:sz="0" w:space="0" w:color="auto"/>
            <w:right w:val="none" w:sz="0" w:space="0" w:color="auto"/>
          </w:divBdr>
        </w:div>
      </w:divsChild>
    </w:div>
    <w:div w:id="34552063">
      <w:marLeft w:val="0"/>
      <w:marRight w:val="0"/>
      <w:marTop w:val="200"/>
      <w:marBottom w:val="0"/>
      <w:divBdr>
        <w:top w:val="none" w:sz="0" w:space="0" w:color="auto"/>
        <w:left w:val="none" w:sz="0" w:space="0" w:color="auto"/>
        <w:bottom w:val="none" w:sz="0" w:space="0" w:color="auto"/>
        <w:right w:val="none" w:sz="0" w:space="0" w:color="auto"/>
      </w:divBdr>
    </w:div>
    <w:div w:id="35396848">
      <w:marLeft w:val="0"/>
      <w:marRight w:val="0"/>
      <w:marTop w:val="0"/>
      <w:marBottom w:val="0"/>
      <w:divBdr>
        <w:top w:val="none" w:sz="0" w:space="0" w:color="auto"/>
        <w:left w:val="none" w:sz="0" w:space="0" w:color="auto"/>
        <w:bottom w:val="none" w:sz="0" w:space="0" w:color="auto"/>
        <w:right w:val="none" w:sz="0" w:space="0" w:color="auto"/>
      </w:divBdr>
      <w:divsChild>
        <w:div w:id="227812071">
          <w:marLeft w:val="0"/>
          <w:marRight w:val="0"/>
          <w:marTop w:val="0"/>
          <w:marBottom w:val="0"/>
          <w:divBdr>
            <w:top w:val="none" w:sz="0" w:space="0" w:color="auto"/>
            <w:left w:val="none" w:sz="0" w:space="0" w:color="auto"/>
            <w:bottom w:val="none" w:sz="0" w:space="0" w:color="auto"/>
            <w:right w:val="none" w:sz="0" w:space="0" w:color="auto"/>
          </w:divBdr>
        </w:div>
      </w:divsChild>
    </w:div>
    <w:div w:id="37894886">
      <w:marLeft w:val="0"/>
      <w:marRight w:val="0"/>
      <w:marTop w:val="0"/>
      <w:marBottom w:val="0"/>
      <w:divBdr>
        <w:top w:val="none" w:sz="0" w:space="0" w:color="auto"/>
        <w:left w:val="none" w:sz="0" w:space="0" w:color="auto"/>
        <w:bottom w:val="none" w:sz="0" w:space="0" w:color="auto"/>
        <w:right w:val="none" w:sz="0" w:space="0" w:color="auto"/>
      </w:divBdr>
      <w:divsChild>
        <w:div w:id="1876574256">
          <w:marLeft w:val="0"/>
          <w:marRight w:val="0"/>
          <w:marTop w:val="0"/>
          <w:marBottom w:val="0"/>
          <w:divBdr>
            <w:top w:val="none" w:sz="0" w:space="0" w:color="auto"/>
            <w:left w:val="none" w:sz="0" w:space="0" w:color="auto"/>
            <w:bottom w:val="none" w:sz="0" w:space="0" w:color="auto"/>
            <w:right w:val="none" w:sz="0" w:space="0" w:color="auto"/>
          </w:divBdr>
        </w:div>
        <w:div w:id="180054310">
          <w:marLeft w:val="0"/>
          <w:marRight w:val="0"/>
          <w:marTop w:val="0"/>
          <w:marBottom w:val="0"/>
          <w:divBdr>
            <w:top w:val="none" w:sz="0" w:space="0" w:color="auto"/>
            <w:left w:val="none" w:sz="0" w:space="0" w:color="auto"/>
            <w:bottom w:val="none" w:sz="0" w:space="0" w:color="auto"/>
            <w:right w:val="none" w:sz="0" w:space="0" w:color="auto"/>
          </w:divBdr>
        </w:div>
        <w:div w:id="1809518598">
          <w:marLeft w:val="0"/>
          <w:marRight w:val="0"/>
          <w:marTop w:val="0"/>
          <w:marBottom w:val="0"/>
          <w:divBdr>
            <w:top w:val="none" w:sz="0" w:space="0" w:color="auto"/>
            <w:left w:val="none" w:sz="0" w:space="0" w:color="auto"/>
            <w:bottom w:val="none" w:sz="0" w:space="0" w:color="auto"/>
            <w:right w:val="none" w:sz="0" w:space="0" w:color="auto"/>
          </w:divBdr>
        </w:div>
        <w:div w:id="1146356182">
          <w:marLeft w:val="0"/>
          <w:marRight w:val="0"/>
          <w:marTop w:val="0"/>
          <w:marBottom w:val="0"/>
          <w:divBdr>
            <w:top w:val="none" w:sz="0" w:space="0" w:color="auto"/>
            <w:left w:val="none" w:sz="0" w:space="0" w:color="auto"/>
            <w:bottom w:val="none" w:sz="0" w:space="0" w:color="auto"/>
            <w:right w:val="none" w:sz="0" w:space="0" w:color="auto"/>
          </w:divBdr>
        </w:div>
      </w:divsChild>
    </w:div>
    <w:div w:id="39744263">
      <w:marLeft w:val="0"/>
      <w:marRight w:val="0"/>
      <w:marTop w:val="0"/>
      <w:marBottom w:val="0"/>
      <w:divBdr>
        <w:top w:val="none" w:sz="0" w:space="0" w:color="auto"/>
        <w:left w:val="none" w:sz="0" w:space="0" w:color="auto"/>
        <w:bottom w:val="none" w:sz="0" w:space="0" w:color="auto"/>
        <w:right w:val="none" w:sz="0" w:space="0" w:color="auto"/>
      </w:divBdr>
    </w:div>
    <w:div w:id="41055207">
      <w:marLeft w:val="0"/>
      <w:marRight w:val="0"/>
      <w:marTop w:val="0"/>
      <w:marBottom w:val="0"/>
      <w:divBdr>
        <w:top w:val="none" w:sz="0" w:space="0" w:color="auto"/>
        <w:left w:val="none" w:sz="0" w:space="0" w:color="auto"/>
        <w:bottom w:val="none" w:sz="0" w:space="0" w:color="auto"/>
        <w:right w:val="none" w:sz="0" w:space="0" w:color="auto"/>
      </w:divBdr>
      <w:divsChild>
        <w:div w:id="2013993375">
          <w:marLeft w:val="0"/>
          <w:marRight w:val="0"/>
          <w:marTop w:val="0"/>
          <w:marBottom w:val="0"/>
          <w:divBdr>
            <w:top w:val="none" w:sz="0" w:space="0" w:color="auto"/>
            <w:left w:val="none" w:sz="0" w:space="0" w:color="auto"/>
            <w:bottom w:val="none" w:sz="0" w:space="0" w:color="auto"/>
            <w:right w:val="none" w:sz="0" w:space="0" w:color="auto"/>
          </w:divBdr>
        </w:div>
      </w:divsChild>
    </w:div>
    <w:div w:id="42220511">
      <w:marLeft w:val="0"/>
      <w:marRight w:val="0"/>
      <w:marTop w:val="200"/>
      <w:marBottom w:val="0"/>
      <w:divBdr>
        <w:top w:val="none" w:sz="0" w:space="0" w:color="auto"/>
        <w:left w:val="none" w:sz="0" w:space="0" w:color="auto"/>
        <w:bottom w:val="none" w:sz="0" w:space="0" w:color="auto"/>
        <w:right w:val="none" w:sz="0" w:space="0" w:color="auto"/>
      </w:divBdr>
    </w:div>
    <w:div w:id="45380144">
      <w:marLeft w:val="0"/>
      <w:marRight w:val="0"/>
      <w:marTop w:val="0"/>
      <w:marBottom w:val="0"/>
      <w:divBdr>
        <w:top w:val="none" w:sz="0" w:space="0" w:color="auto"/>
        <w:left w:val="none" w:sz="0" w:space="0" w:color="auto"/>
        <w:bottom w:val="none" w:sz="0" w:space="0" w:color="auto"/>
        <w:right w:val="none" w:sz="0" w:space="0" w:color="auto"/>
      </w:divBdr>
      <w:divsChild>
        <w:div w:id="1473906725">
          <w:marLeft w:val="0"/>
          <w:marRight w:val="0"/>
          <w:marTop w:val="0"/>
          <w:marBottom w:val="0"/>
          <w:divBdr>
            <w:top w:val="none" w:sz="0" w:space="0" w:color="auto"/>
            <w:left w:val="none" w:sz="0" w:space="0" w:color="auto"/>
            <w:bottom w:val="none" w:sz="0" w:space="0" w:color="auto"/>
            <w:right w:val="none" w:sz="0" w:space="0" w:color="auto"/>
          </w:divBdr>
        </w:div>
      </w:divsChild>
    </w:div>
    <w:div w:id="50737350">
      <w:marLeft w:val="0"/>
      <w:marRight w:val="0"/>
      <w:marTop w:val="200"/>
      <w:marBottom w:val="0"/>
      <w:divBdr>
        <w:top w:val="none" w:sz="0" w:space="0" w:color="auto"/>
        <w:left w:val="none" w:sz="0" w:space="0" w:color="auto"/>
        <w:bottom w:val="none" w:sz="0" w:space="0" w:color="auto"/>
        <w:right w:val="none" w:sz="0" w:space="0" w:color="auto"/>
      </w:divBdr>
    </w:div>
    <w:div w:id="57942656">
      <w:marLeft w:val="0"/>
      <w:marRight w:val="0"/>
      <w:marTop w:val="0"/>
      <w:marBottom w:val="0"/>
      <w:divBdr>
        <w:top w:val="none" w:sz="0" w:space="0" w:color="auto"/>
        <w:left w:val="none" w:sz="0" w:space="0" w:color="auto"/>
        <w:bottom w:val="none" w:sz="0" w:space="0" w:color="auto"/>
        <w:right w:val="none" w:sz="0" w:space="0" w:color="auto"/>
      </w:divBdr>
      <w:divsChild>
        <w:div w:id="1216241667">
          <w:marLeft w:val="0"/>
          <w:marRight w:val="0"/>
          <w:marTop w:val="0"/>
          <w:marBottom w:val="0"/>
          <w:divBdr>
            <w:top w:val="none" w:sz="0" w:space="0" w:color="auto"/>
            <w:left w:val="none" w:sz="0" w:space="0" w:color="auto"/>
            <w:bottom w:val="none" w:sz="0" w:space="0" w:color="auto"/>
            <w:right w:val="none" w:sz="0" w:space="0" w:color="auto"/>
          </w:divBdr>
        </w:div>
      </w:divsChild>
    </w:div>
    <w:div w:id="60644942">
      <w:marLeft w:val="0"/>
      <w:marRight w:val="0"/>
      <w:marTop w:val="0"/>
      <w:marBottom w:val="0"/>
      <w:divBdr>
        <w:top w:val="none" w:sz="0" w:space="0" w:color="auto"/>
        <w:left w:val="none" w:sz="0" w:space="0" w:color="auto"/>
        <w:bottom w:val="none" w:sz="0" w:space="0" w:color="auto"/>
        <w:right w:val="none" w:sz="0" w:space="0" w:color="auto"/>
      </w:divBdr>
    </w:div>
    <w:div w:id="63527649">
      <w:marLeft w:val="0"/>
      <w:marRight w:val="0"/>
      <w:marTop w:val="0"/>
      <w:marBottom w:val="0"/>
      <w:divBdr>
        <w:top w:val="none" w:sz="0" w:space="0" w:color="auto"/>
        <w:left w:val="none" w:sz="0" w:space="0" w:color="auto"/>
        <w:bottom w:val="none" w:sz="0" w:space="0" w:color="auto"/>
        <w:right w:val="none" w:sz="0" w:space="0" w:color="auto"/>
      </w:divBdr>
      <w:divsChild>
        <w:div w:id="1975213467">
          <w:marLeft w:val="0"/>
          <w:marRight w:val="0"/>
          <w:marTop w:val="0"/>
          <w:marBottom w:val="0"/>
          <w:divBdr>
            <w:top w:val="none" w:sz="0" w:space="0" w:color="auto"/>
            <w:left w:val="none" w:sz="0" w:space="0" w:color="auto"/>
            <w:bottom w:val="none" w:sz="0" w:space="0" w:color="auto"/>
            <w:right w:val="none" w:sz="0" w:space="0" w:color="auto"/>
          </w:divBdr>
        </w:div>
        <w:div w:id="754480260">
          <w:marLeft w:val="0"/>
          <w:marRight w:val="0"/>
          <w:marTop w:val="0"/>
          <w:marBottom w:val="0"/>
          <w:divBdr>
            <w:top w:val="none" w:sz="0" w:space="0" w:color="auto"/>
            <w:left w:val="none" w:sz="0" w:space="0" w:color="auto"/>
            <w:bottom w:val="none" w:sz="0" w:space="0" w:color="auto"/>
            <w:right w:val="none" w:sz="0" w:space="0" w:color="auto"/>
          </w:divBdr>
        </w:div>
        <w:div w:id="651062775">
          <w:marLeft w:val="0"/>
          <w:marRight w:val="0"/>
          <w:marTop w:val="0"/>
          <w:marBottom w:val="0"/>
          <w:divBdr>
            <w:top w:val="none" w:sz="0" w:space="0" w:color="auto"/>
            <w:left w:val="none" w:sz="0" w:space="0" w:color="auto"/>
            <w:bottom w:val="none" w:sz="0" w:space="0" w:color="auto"/>
            <w:right w:val="none" w:sz="0" w:space="0" w:color="auto"/>
          </w:divBdr>
        </w:div>
        <w:div w:id="982268558">
          <w:marLeft w:val="0"/>
          <w:marRight w:val="0"/>
          <w:marTop w:val="0"/>
          <w:marBottom w:val="0"/>
          <w:divBdr>
            <w:top w:val="none" w:sz="0" w:space="0" w:color="auto"/>
            <w:left w:val="none" w:sz="0" w:space="0" w:color="auto"/>
            <w:bottom w:val="none" w:sz="0" w:space="0" w:color="auto"/>
            <w:right w:val="none" w:sz="0" w:space="0" w:color="auto"/>
          </w:divBdr>
        </w:div>
      </w:divsChild>
    </w:div>
    <w:div w:id="67465534">
      <w:marLeft w:val="0"/>
      <w:marRight w:val="0"/>
      <w:marTop w:val="200"/>
      <w:marBottom w:val="0"/>
      <w:divBdr>
        <w:top w:val="none" w:sz="0" w:space="0" w:color="auto"/>
        <w:left w:val="none" w:sz="0" w:space="0" w:color="auto"/>
        <w:bottom w:val="none" w:sz="0" w:space="0" w:color="auto"/>
        <w:right w:val="none" w:sz="0" w:space="0" w:color="auto"/>
      </w:divBdr>
    </w:div>
    <w:div w:id="73749559">
      <w:marLeft w:val="0"/>
      <w:marRight w:val="0"/>
      <w:marTop w:val="0"/>
      <w:marBottom w:val="0"/>
      <w:divBdr>
        <w:top w:val="none" w:sz="0" w:space="0" w:color="auto"/>
        <w:left w:val="none" w:sz="0" w:space="0" w:color="auto"/>
        <w:bottom w:val="none" w:sz="0" w:space="0" w:color="auto"/>
        <w:right w:val="none" w:sz="0" w:space="0" w:color="auto"/>
      </w:divBdr>
    </w:div>
    <w:div w:id="74016354">
      <w:marLeft w:val="0"/>
      <w:marRight w:val="0"/>
      <w:marTop w:val="200"/>
      <w:marBottom w:val="0"/>
      <w:divBdr>
        <w:top w:val="none" w:sz="0" w:space="0" w:color="auto"/>
        <w:left w:val="none" w:sz="0" w:space="0" w:color="auto"/>
        <w:bottom w:val="none" w:sz="0" w:space="0" w:color="auto"/>
        <w:right w:val="none" w:sz="0" w:space="0" w:color="auto"/>
      </w:divBdr>
    </w:div>
    <w:div w:id="75252889">
      <w:marLeft w:val="0"/>
      <w:marRight w:val="0"/>
      <w:marTop w:val="0"/>
      <w:marBottom w:val="0"/>
      <w:divBdr>
        <w:top w:val="none" w:sz="0" w:space="0" w:color="auto"/>
        <w:left w:val="none" w:sz="0" w:space="0" w:color="auto"/>
        <w:bottom w:val="none" w:sz="0" w:space="0" w:color="auto"/>
        <w:right w:val="none" w:sz="0" w:space="0" w:color="auto"/>
      </w:divBdr>
      <w:divsChild>
        <w:div w:id="1330865179">
          <w:marLeft w:val="0"/>
          <w:marRight w:val="0"/>
          <w:marTop w:val="0"/>
          <w:marBottom w:val="0"/>
          <w:divBdr>
            <w:top w:val="none" w:sz="0" w:space="0" w:color="auto"/>
            <w:left w:val="none" w:sz="0" w:space="0" w:color="auto"/>
            <w:bottom w:val="none" w:sz="0" w:space="0" w:color="auto"/>
            <w:right w:val="none" w:sz="0" w:space="0" w:color="auto"/>
          </w:divBdr>
        </w:div>
      </w:divsChild>
    </w:div>
    <w:div w:id="75787805">
      <w:marLeft w:val="0"/>
      <w:marRight w:val="0"/>
      <w:marTop w:val="200"/>
      <w:marBottom w:val="0"/>
      <w:divBdr>
        <w:top w:val="none" w:sz="0" w:space="0" w:color="auto"/>
        <w:left w:val="none" w:sz="0" w:space="0" w:color="auto"/>
        <w:bottom w:val="none" w:sz="0" w:space="0" w:color="auto"/>
        <w:right w:val="none" w:sz="0" w:space="0" w:color="auto"/>
      </w:divBdr>
    </w:div>
    <w:div w:id="76556062">
      <w:marLeft w:val="0"/>
      <w:marRight w:val="0"/>
      <w:marTop w:val="200"/>
      <w:marBottom w:val="0"/>
      <w:divBdr>
        <w:top w:val="none" w:sz="0" w:space="0" w:color="auto"/>
        <w:left w:val="none" w:sz="0" w:space="0" w:color="auto"/>
        <w:bottom w:val="none" w:sz="0" w:space="0" w:color="auto"/>
        <w:right w:val="none" w:sz="0" w:space="0" w:color="auto"/>
      </w:divBdr>
    </w:div>
    <w:div w:id="77219347">
      <w:marLeft w:val="0"/>
      <w:marRight w:val="0"/>
      <w:marTop w:val="0"/>
      <w:marBottom w:val="0"/>
      <w:divBdr>
        <w:top w:val="none" w:sz="0" w:space="0" w:color="auto"/>
        <w:left w:val="none" w:sz="0" w:space="0" w:color="auto"/>
        <w:bottom w:val="none" w:sz="0" w:space="0" w:color="auto"/>
        <w:right w:val="none" w:sz="0" w:space="0" w:color="auto"/>
      </w:divBdr>
      <w:divsChild>
        <w:div w:id="1282690027">
          <w:marLeft w:val="0"/>
          <w:marRight w:val="0"/>
          <w:marTop w:val="0"/>
          <w:marBottom w:val="0"/>
          <w:divBdr>
            <w:top w:val="none" w:sz="0" w:space="0" w:color="auto"/>
            <w:left w:val="none" w:sz="0" w:space="0" w:color="auto"/>
            <w:bottom w:val="none" w:sz="0" w:space="0" w:color="auto"/>
            <w:right w:val="none" w:sz="0" w:space="0" w:color="auto"/>
          </w:divBdr>
        </w:div>
      </w:divsChild>
    </w:div>
    <w:div w:id="77792970">
      <w:marLeft w:val="0"/>
      <w:marRight w:val="0"/>
      <w:marTop w:val="0"/>
      <w:marBottom w:val="0"/>
      <w:divBdr>
        <w:top w:val="none" w:sz="0" w:space="0" w:color="auto"/>
        <w:left w:val="none" w:sz="0" w:space="0" w:color="auto"/>
        <w:bottom w:val="none" w:sz="0" w:space="0" w:color="auto"/>
        <w:right w:val="none" w:sz="0" w:space="0" w:color="auto"/>
      </w:divBdr>
      <w:divsChild>
        <w:div w:id="819543888">
          <w:marLeft w:val="0"/>
          <w:marRight w:val="0"/>
          <w:marTop w:val="0"/>
          <w:marBottom w:val="0"/>
          <w:divBdr>
            <w:top w:val="none" w:sz="0" w:space="0" w:color="auto"/>
            <w:left w:val="none" w:sz="0" w:space="0" w:color="auto"/>
            <w:bottom w:val="none" w:sz="0" w:space="0" w:color="auto"/>
            <w:right w:val="none" w:sz="0" w:space="0" w:color="auto"/>
          </w:divBdr>
        </w:div>
      </w:divsChild>
    </w:div>
    <w:div w:id="77797030">
      <w:marLeft w:val="0"/>
      <w:marRight w:val="0"/>
      <w:marTop w:val="0"/>
      <w:marBottom w:val="160"/>
      <w:divBdr>
        <w:top w:val="none" w:sz="0" w:space="0" w:color="auto"/>
        <w:left w:val="none" w:sz="0" w:space="0" w:color="auto"/>
        <w:bottom w:val="none" w:sz="0" w:space="0" w:color="auto"/>
        <w:right w:val="none" w:sz="0" w:space="0" w:color="auto"/>
      </w:divBdr>
    </w:div>
    <w:div w:id="78795540">
      <w:marLeft w:val="0"/>
      <w:marRight w:val="0"/>
      <w:marTop w:val="225"/>
      <w:marBottom w:val="0"/>
      <w:divBdr>
        <w:top w:val="none" w:sz="0" w:space="0" w:color="auto"/>
        <w:left w:val="none" w:sz="0" w:space="0" w:color="auto"/>
        <w:bottom w:val="none" w:sz="0" w:space="0" w:color="auto"/>
        <w:right w:val="none" w:sz="0" w:space="0" w:color="auto"/>
      </w:divBdr>
    </w:div>
    <w:div w:id="80831415">
      <w:marLeft w:val="0"/>
      <w:marRight w:val="0"/>
      <w:marTop w:val="0"/>
      <w:marBottom w:val="0"/>
      <w:divBdr>
        <w:top w:val="none" w:sz="0" w:space="0" w:color="auto"/>
        <w:left w:val="none" w:sz="0" w:space="0" w:color="auto"/>
        <w:bottom w:val="none" w:sz="0" w:space="0" w:color="auto"/>
        <w:right w:val="none" w:sz="0" w:space="0" w:color="auto"/>
      </w:divBdr>
      <w:divsChild>
        <w:div w:id="2076512504">
          <w:marLeft w:val="0"/>
          <w:marRight w:val="0"/>
          <w:marTop w:val="0"/>
          <w:marBottom w:val="0"/>
          <w:divBdr>
            <w:top w:val="none" w:sz="0" w:space="0" w:color="auto"/>
            <w:left w:val="none" w:sz="0" w:space="0" w:color="auto"/>
            <w:bottom w:val="none" w:sz="0" w:space="0" w:color="auto"/>
            <w:right w:val="none" w:sz="0" w:space="0" w:color="auto"/>
          </w:divBdr>
        </w:div>
      </w:divsChild>
    </w:div>
    <w:div w:id="81996481">
      <w:marLeft w:val="0"/>
      <w:marRight w:val="0"/>
      <w:marTop w:val="0"/>
      <w:marBottom w:val="0"/>
      <w:divBdr>
        <w:top w:val="none" w:sz="0" w:space="0" w:color="auto"/>
        <w:left w:val="none" w:sz="0" w:space="0" w:color="auto"/>
        <w:bottom w:val="none" w:sz="0" w:space="0" w:color="auto"/>
        <w:right w:val="none" w:sz="0" w:space="0" w:color="auto"/>
      </w:divBdr>
    </w:div>
    <w:div w:id="82530879">
      <w:marLeft w:val="0"/>
      <w:marRight w:val="0"/>
      <w:marTop w:val="0"/>
      <w:marBottom w:val="0"/>
      <w:divBdr>
        <w:top w:val="none" w:sz="0" w:space="0" w:color="auto"/>
        <w:left w:val="none" w:sz="0" w:space="0" w:color="auto"/>
        <w:bottom w:val="none" w:sz="0" w:space="0" w:color="auto"/>
        <w:right w:val="none" w:sz="0" w:space="0" w:color="auto"/>
      </w:divBdr>
      <w:divsChild>
        <w:div w:id="531768823">
          <w:marLeft w:val="0"/>
          <w:marRight w:val="0"/>
          <w:marTop w:val="0"/>
          <w:marBottom w:val="0"/>
          <w:divBdr>
            <w:top w:val="none" w:sz="0" w:space="0" w:color="auto"/>
            <w:left w:val="none" w:sz="0" w:space="0" w:color="auto"/>
            <w:bottom w:val="none" w:sz="0" w:space="0" w:color="auto"/>
            <w:right w:val="none" w:sz="0" w:space="0" w:color="auto"/>
          </w:divBdr>
        </w:div>
      </w:divsChild>
    </w:div>
    <w:div w:id="90056212">
      <w:marLeft w:val="0"/>
      <w:marRight w:val="0"/>
      <w:marTop w:val="0"/>
      <w:marBottom w:val="160"/>
      <w:divBdr>
        <w:top w:val="none" w:sz="0" w:space="0" w:color="auto"/>
        <w:left w:val="none" w:sz="0" w:space="0" w:color="auto"/>
        <w:bottom w:val="none" w:sz="0" w:space="0" w:color="auto"/>
        <w:right w:val="none" w:sz="0" w:space="0" w:color="auto"/>
      </w:divBdr>
    </w:div>
    <w:div w:id="91584786">
      <w:marLeft w:val="0"/>
      <w:marRight w:val="0"/>
      <w:marTop w:val="200"/>
      <w:marBottom w:val="0"/>
      <w:divBdr>
        <w:top w:val="none" w:sz="0" w:space="0" w:color="auto"/>
        <w:left w:val="none" w:sz="0" w:space="0" w:color="auto"/>
        <w:bottom w:val="none" w:sz="0" w:space="0" w:color="auto"/>
        <w:right w:val="none" w:sz="0" w:space="0" w:color="auto"/>
      </w:divBdr>
    </w:div>
    <w:div w:id="97725434">
      <w:marLeft w:val="0"/>
      <w:marRight w:val="0"/>
      <w:marTop w:val="60"/>
      <w:marBottom w:val="0"/>
      <w:divBdr>
        <w:top w:val="none" w:sz="0" w:space="0" w:color="auto"/>
        <w:left w:val="none" w:sz="0" w:space="0" w:color="auto"/>
        <w:bottom w:val="none" w:sz="0" w:space="0" w:color="auto"/>
        <w:right w:val="none" w:sz="0" w:space="0" w:color="auto"/>
      </w:divBdr>
    </w:div>
    <w:div w:id="98378591">
      <w:marLeft w:val="0"/>
      <w:marRight w:val="0"/>
      <w:marTop w:val="0"/>
      <w:marBottom w:val="0"/>
      <w:divBdr>
        <w:top w:val="none" w:sz="0" w:space="0" w:color="auto"/>
        <w:left w:val="none" w:sz="0" w:space="0" w:color="auto"/>
        <w:bottom w:val="none" w:sz="0" w:space="0" w:color="auto"/>
        <w:right w:val="none" w:sz="0" w:space="0" w:color="auto"/>
      </w:divBdr>
    </w:div>
    <w:div w:id="98723507">
      <w:marLeft w:val="0"/>
      <w:marRight w:val="0"/>
      <w:marTop w:val="200"/>
      <w:marBottom w:val="0"/>
      <w:divBdr>
        <w:top w:val="none" w:sz="0" w:space="0" w:color="auto"/>
        <w:left w:val="none" w:sz="0" w:space="0" w:color="auto"/>
        <w:bottom w:val="none" w:sz="0" w:space="0" w:color="auto"/>
        <w:right w:val="none" w:sz="0" w:space="0" w:color="auto"/>
      </w:divBdr>
    </w:div>
    <w:div w:id="98960936">
      <w:marLeft w:val="0"/>
      <w:marRight w:val="0"/>
      <w:marTop w:val="0"/>
      <w:marBottom w:val="0"/>
      <w:divBdr>
        <w:top w:val="none" w:sz="0" w:space="0" w:color="auto"/>
        <w:left w:val="none" w:sz="0" w:space="0" w:color="auto"/>
        <w:bottom w:val="none" w:sz="0" w:space="0" w:color="auto"/>
        <w:right w:val="none" w:sz="0" w:space="0" w:color="auto"/>
      </w:divBdr>
    </w:div>
    <w:div w:id="100422319">
      <w:marLeft w:val="0"/>
      <w:marRight w:val="0"/>
      <w:marTop w:val="100"/>
      <w:marBottom w:val="0"/>
      <w:divBdr>
        <w:top w:val="none" w:sz="0" w:space="0" w:color="auto"/>
        <w:left w:val="none" w:sz="0" w:space="0" w:color="auto"/>
        <w:bottom w:val="none" w:sz="0" w:space="0" w:color="auto"/>
        <w:right w:val="none" w:sz="0" w:space="0" w:color="auto"/>
      </w:divBdr>
    </w:div>
    <w:div w:id="100532391">
      <w:marLeft w:val="0"/>
      <w:marRight w:val="0"/>
      <w:marTop w:val="200"/>
      <w:marBottom w:val="0"/>
      <w:divBdr>
        <w:top w:val="none" w:sz="0" w:space="0" w:color="auto"/>
        <w:left w:val="none" w:sz="0" w:space="0" w:color="auto"/>
        <w:bottom w:val="none" w:sz="0" w:space="0" w:color="auto"/>
        <w:right w:val="none" w:sz="0" w:space="0" w:color="auto"/>
      </w:divBdr>
    </w:div>
    <w:div w:id="107050428">
      <w:marLeft w:val="0"/>
      <w:marRight w:val="0"/>
      <w:marTop w:val="200"/>
      <w:marBottom w:val="0"/>
      <w:divBdr>
        <w:top w:val="none" w:sz="0" w:space="0" w:color="auto"/>
        <w:left w:val="none" w:sz="0" w:space="0" w:color="auto"/>
        <w:bottom w:val="none" w:sz="0" w:space="0" w:color="auto"/>
        <w:right w:val="none" w:sz="0" w:space="0" w:color="auto"/>
      </w:divBdr>
    </w:div>
    <w:div w:id="108672470">
      <w:marLeft w:val="0"/>
      <w:marRight w:val="0"/>
      <w:marTop w:val="200"/>
      <w:marBottom w:val="0"/>
      <w:divBdr>
        <w:top w:val="none" w:sz="0" w:space="0" w:color="auto"/>
        <w:left w:val="none" w:sz="0" w:space="0" w:color="auto"/>
        <w:bottom w:val="none" w:sz="0" w:space="0" w:color="auto"/>
        <w:right w:val="none" w:sz="0" w:space="0" w:color="auto"/>
      </w:divBdr>
    </w:div>
    <w:div w:id="109130151">
      <w:marLeft w:val="0"/>
      <w:marRight w:val="0"/>
      <w:marTop w:val="0"/>
      <w:marBottom w:val="0"/>
      <w:divBdr>
        <w:top w:val="none" w:sz="0" w:space="0" w:color="auto"/>
        <w:left w:val="none" w:sz="0" w:space="0" w:color="auto"/>
        <w:bottom w:val="none" w:sz="0" w:space="0" w:color="auto"/>
        <w:right w:val="none" w:sz="0" w:space="0" w:color="auto"/>
      </w:divBdr>
    </w:div>
    <w:div w:id="110251790">
      <w:marLeft w:val="0"/>
      <w:marRight w:val="0"/>
      <w:marTop w:val="40"/>
      <w:marBottom w:val="0"/>
      <w:divBdr>
        <w:top w:val="none" w:sz="0" w:space="0" w:color="auto"/>
        <w:left w:val="none" w:sz="0" w:space="0" w:color="auto"/>
        <w:bottom w:val="none" w:sz="0" w:space="0" w:color="auto"/>
        <w:right w:val="none" w:sz="0" w:space="0" w:color="auto"/>
      </w:divBdr>
    </w:div>
    <w:div w:id="110711677">
      <w:marLeft w:val="0"/>
      <w:marRight w:val="0"/>
      <w:marTop w:val="0"/>
      <w:marBottom w:val="0"/>
      <w:divBdr>
        <w:top w:val="none" w:sz="0" w:space="0" w:color="auto"/>
        <w:left w:val="none" w:sz="0" w:space="0" w:color="auto"/>
        <w:bottom w:val="none" w:sz="0" w:space="0" w:color="auto"/>
        <w:right w:val="none" w:sz="0" w:space="0" w:color="auto"/>
      </w:divBdr>
      <w:divsChild>
        <w:div w:id="982346619">
          <w:marLeft w:val="0"/>
          <w:marRight w:val="0"/>
          <w:marTop w:val="0"/>
          <w:marBottom w:val="0"/>
          <w:divBdr>
            <w:top w:val="none" w:sz="0" w:space="0" w:color="auto"/>
            <w:left w:val="none" w:sz="0" w:space="0" w:color="auto"/>
            <w:bottom w:val="none" w:sz="0" w:space="0" w:color="auto"/>
            <w:right w:val="none" w:sz="0" w:space="0" w:color="auto"/>
          </w:divBdr>
        </w:div>
      </w:divsChild>
    </w:div>
    <w:div w:id="115410131">
      <w:marLeft w:val="0"/>
      <w:marRight w:val="0"/>
      <w:marTop w:val="0"/>
      <w:marBottom w:val="0"/>
      <w:divBdr>
        <w:top w:val="none" w:sz="0" w:space="0" w:color="auto"/>
        <w:left w:val="none" w:sz="0" w:space="0" w:color="auto"/>
        <w:bottom w:val="none" w:sz="0" w:space="0" w:color="auto"/>
        <w:right w:val="none" w:sz="0" w:space="0" w:color="auto"/>
      </w:divBdr>
      <w:divsChild>
        <w:div w:id="337924222">
          <w:marLeft w:val="0"/>
          <w:marRight w:val="0"/>
          <w:marTop w:val="0"/>
          <w:marBottom w:val="0"/>
          <w:divBdr>
            <w:top w:val="none" w:sz="0" w:space="0" w:color="auto"/>
            <w:left w:val="none" w:sz="0" w:space="0" w:color="auto"/>
            <w:bottom w:val="none" w:sz="0" w:space="0" w:color="auto"/>
            <w:right w:val="none" w:sz="0" w:space="0" w:color="auto"/>
          </w:divBdr>
        </w:div>
      </w:divsChild>
    </w:div>
    <w:div w:id="116263890">
      <w:marLeft w:val="0"/>
      <w:marRight w:val="0"/>
      <w:marTop w:val="0"/>
      <w:marBottom w:val="0"/>
      <w:divBdr>
        <w:top w:val="none" w:sz="0" w:space="0" w:color="auto"/>
        <w:left w:val="none" w:sz="0" w:space="0" w:color="auto"/>
        <w:bottom w:val="none" w:sz="0" w:space="0" w:color="auto"/>
        <w:right w:val="none" w:sz="0" w:space="0" w:color="auto"/>
      </w:divBdr>
    </w:div>
    <w:div w:id="119156157">
      <w:marLeft w:val="0"/>
      <w:marRight w:val="0"/>
      <w:marTop w:val="0"/>
      <w:marBottom w:val="0"/>
      <w:divBdr>
        <w:top w:val="none" w:sz="0" w:space="0" w:color="auto"/>
        <w:left w:val="none" w:sz="0" w:space="0" w:color="auto"/>
        <w:bottom w:val="none" w:sz="0" w:space="0" w:color="auto"/>
        <w:right w:val="none" w:sz="0" w:space="0" w:color="auto"/>
      </w:divBdr>
      <w:divsChild>
        <w:div w:id="443309476">
          <w:marLeft w:val="0"/>
          <w:marRight w:val="0"/>
          <w:marTop w:val="0"/>
          <w:marBottom w:val="0"/>
          <w:divBdr>
            <w:top w:val="none" w:sz="0" w:space="0" w:color="auto"/>
            <w:left w:val="none" w:sz="0" w:space="0" w:color="auto"/>
            <w:bottom w:val="none" w:sz="0" w:space="0" w:color="auto"/>
            <w:right w:val="none" w:sz="0" w:space="0" w:color="auto"/>
          </w:divBdr>
        </w:div>
      </w:divsChild>
    </w:div>
    <w:div w:id="121119146">
      <w:marLeft w:val="0"/>
      <w:marRight w:val="0"/>
      <w:marTop w:val="200"/>
      <w:marBottom w:val="0"/>
      <w:divBdr>
        <w:top w:val="none" w:sz="0" w:space="0" w:color="auto"/>
        <w:left w:val="none" w:sz="0" w:space="0" w:color="auto"/>
        <w:bottom w:val="none" w:sz="0" w:space="0" w:color="auto"/>
        <w:right w:val="none" w:sz="0" w:space="0" w:color="auto"/>
      </w:divBdr>
    </w:div>
    <w:div w:id="121462513">
      <w:marLeft w:val="0"/>
      <w:marRight w:val="0"/>
      <w:marTop w:val="200"/>
      <w:marBottom w:val="0"/>
      <w:divBdr>
        <w:top w:val="none" w:sz="0" w:space="0" w:color="auto"/>
        <w:left w:val="none" w:sz="0" w:space="0" w:color="auto"/>
        <w:bottom w:val="none" w:sz="0" w:space="0" w:color="auto"/>
        <w:right w:val="none" w:sz="0" w:space="0" w:color="auto"/>
      </w:divBdr>
    </w:div>
    <w:div w:id="123156927">
      <w:marLeft w:val="0"/>
      <w:marRight w:val="0"/>
      <w:marTop w:val="60"/>
      <w:marBottom w:val="0"/>
      <w:divBdr>
        <w:top w:val="none" w:sz="0" w:space="0" w:color="auto"/>
        <w:left w:val="none" w:sz="0" w:space="0" w:color="auto"/>
        <w:bottom w:val="none" w:sz="0" w:space="0" w:color="auto"/>
        <w:right w:val="none" w:sz="0" w:space="0" w:color="auto"/>
      </w:divBdr>
    </w:div>
    <w:div w:id="123159286">
      <w:marLeft w:val="0"/>
      <w:marRight w:val="0"/>
      <w:marTop w:val="0"/>
      <w:marBottom w:val="0"/>
      <w:divBdr>
        <w:top w:val="none" w:sz="0" w:space="0" w:color="auto"/>
        <w:left w:val="none" w:sz="0" w:space="0" w:color="auto"/>
        <w:bottom w:val="none" w:sz="0" w:space="0" w:color="auto"/>
        <w:right w:val="none" w:sz="0" w:space="0" w:color="auto"/>
      </w:divBdr>
      <w:divsChild>
        <w:div w:id="462189885">
          <w:marLeft w:val="0"/>
          <w:marRight w:val="0"/>
          <w:marTop w:val="0"/>
          <w:marBottom w:val="0"/>
          <w:divBdr>
            <w:top w:val="none" w:sz="0" w:space="0" w:color="auto"/>
            <w:left w:val="none" w:sz="0" w:space="0" w:color="auto"/>
            <w:bottom w:val="none" w:sz="0" w:space="0" w:color="auto"/>
            <w:right w:val="none" w:sz="0" w:space="0" w:color="auto"/>
          </w:divBdr>
        </w:div>
        <w:div w:id="1503357693">
          <w:marLeft w:val="0"/>
          <w:marRight w:val="0"/>
          <w:marTop w:val="0"/>
          <w:marBottom w:val="0"/>
          <w:divBdr>
            <w:top w:val="none" w:sz="0" w:space="0" w:color="auto"/>
            <w:left w:val="none" w:sz="0" w:space="0" w:color="auto"/>
            <w:bottom w:val="none" w:sz="0" w:space="0" w:color="auto"/>
            <w:right w:val="none" w:sz="0" w:space="0" w:color="auto"/>
          </w:divBdr>
        </w:div>
      </w:divsChild>
    </w:div>
    <w:div w:id="124351694">
      <w:marLeft w:val="0"/>
      <w:marRight w:val="0"/>
      <w:marTop w:val="0"/>
      <w:marBottom w:val="0"/>
      <w:divBdr>
        <w:top w:val="none" w:sz="0" w:space="0" w:color="auto"/>
        <w:left w:val="none" w:sz="0" w:space="0" w:color="auto"/>
        <w:bottom w:val="none" w:sz="0" w:space="0" w:color="auto"/>
        <w:right w:val="none" w:sz="0" w:space="0" w:color="auto"/>
      </w:divBdr>
    </w:div>
    <w:div w:id="126824598">
      <w:marLeft w:val="0"/>
      <w:marRight w:val="0"/>
      <w:marTop w:val="0"/>
      <w:marBottom w:val="0"/>
      <w:divBdr>
        <w:top w:val="none" w:sz="0" w:space="0" w:color="auto"/>
        <w:left w:val="none" w:sz="0" w:space="0" w:color="auto"/>
        <w:bottom w:val="none" w:sz="0" w:space="0" w:color="auto"/>
        <w:right w:val="none" w:sz="0" w:space="0" w:color="auto"/>
      </w:divBdr>
      <w:divsChild>
        <w:div w:id="582690739">
          <w:marLeft w:val="0"/>
          <w:marRight w:val="0"/>
          <w:marTop w:val="0"/>
          <w:marBottom w:val="0"/>
          <w:divBdr>
            <w:top w:val="none" w:sz="0" w:space="0" w:color="auto"/>
            <w:left w:val="none" w:sz="0" w:space="0" w:color="auto"/>
            <w:bottom w:val="none" w:sz="0" w:space="0" w:color="auto"/>
            <w:right w:val="none" w:sz="0" w:space="0" w:color="auto"/>
          </w:divBdr>
        </w:div>
      </w:divsChild>
    </w:div>
    <w:div w:id="127748082">
      <w:marLeft w:val="0"/>
      <w:marRight w:val="0"/>
      <w:marTop w:val="200"/>
      <w:marBottom w:val="0"/>
      <w:divBdr>
        <w:top w:val="none" w:sz="0" w:space="0" w:color="auto"/>
        <w:left w:val="none" w:sz="0" w:space="0" w:color="auto"/>
        <w:bottom w:val="none" w:sz="0" w:space="0" w:color="auto"/>
        <w:right w:val="none" w:sz="0" w:space="0" w:color="auto"/>
      </w:divBdr>
    </w:div>
    <w:div w:id="131412219">
      <w:marLeft w:val="0"/>
      <w:marRight w:val="0"/>
      <w:marTop w:val="0"/>
      <w:marBottom w:val="0"/>
      <w:divBdr>
        <w:top w:val="none" w:sz="0" w:space="0" w:color="auto"/>
        <w:left w:val="none" w:sz="0" w:space="0" w:color="auto"/>
        <w:bottom w:val="none" w:sz="0" w:space="0" w:color="auto"/>
        <w:right w:val="none" w:sz="0" w:space="0" w:color="auto"/>
      </w:divBdr>
      <w:divsChild>
        <w:div w:id="615718994">
          <w:marLeft w:val="0"/>
          <w:marRight w:val="0"/>
          <w:marTop w:val="0"/>
          <w:marBottom w:val="0"/>
          <w:divBdr>
            <w:top w:val="none" w:sz="0" w:space="0" w:color="auto"/>
            <w:left w:val="none" w:sz="0" w:space="0" w:color="auto"/>
            <w:bottom w:val="none" w:sz="0" w:space="0" w:color="auto"/>
            <w:right w:val="none" w:sz="0" w:space="0" w:color="auto"/>
          </w:divBdr>
        </w:div>
      </w:divsChild>
    </w:div>
    <w:div w:id="131557970">
      <w:marLeft w:val="0"/>
      <w:marRight w:val="0"/>
      <w:marTop w:val="100"/>
      <w:marBottom w:val="0"/>
      <w:divBdr>
        <w:top w:val="none" w:sz="0" w:space="0" w:color="auto"/>
        <w:left w:val="none" w:sz="0" w:space="0" w:color="auto"/>
        <w:bottom w:val="none" w:sz="0" w:space="0" w:color="auto"/>
        <w:right w:val="none" w:sz="0" w:space="0" w:color="auto"/>
      </w:divBdr>
    </w:div>
    <w:div w:id="131875138">
      <w:marLeft w:val="0"/>
      <w:marRight w:val="0"/>
      <w:marTop w:val="200"/>
      <w:marBottom w:val="0"/>
      <w:divBdr>
        <w:top w:val="none" w:sz="0" w:space="0" w:color="auto"/>
        <w:left w:val="none" w:sz="0" w:space="0" w:color="auto"/>
        <w:bottom w:val="none" w:sz="0" w:space="0" w:color="auto"/>
        <w:right w:val="none" w:sz="0" w:space="0" w:color="auto"/>
      </w:divBdr>
    </w:div>
    <w:div w:id="132990670">
      <w:marLeft w:val="0"/>
      <w:marRight w:val="0"/>
      <w:marTop w:val="0"/>
      <w:marBottom w:val="200"/>
      <w:divBdr>
        <w:top w:val="none" w:sz="0" w:space="0" w:color="auto"/>
        <w:left w:val="none" w:sz="0" w:space="0" w:color="auto"/>
        <w:bottom w:val="none" w:sz="0" w:space="0" w:color="auto"/>
        <w:right w:val="none" w:sz="0" w:space="0" w:color="auto"/>
      </w:divBdr>
    </w:div>
    <w:div w:id="136148750">
      <w:marLeft w:val="0"/>
      <w:marRight w:val="0"/>
      <w:marTop w:val="200"/>
      <w:marBottom w:val="0"/>
      <w:divBdr>
        <w:top w:val="none" w:sz="0" w:space="0" w:color="auto"/>
        <w:left w:val="none" w:sz="0" w:space="0" w:color="auto"/>
        <w:bottom w:val="none" w:sz="0" w:space="0" w:color="auto"/>
        <w:right w:val="none" w:sz="0" w:space="0" w:color="auto"/>
      </w:divBdr>
    </w:div>
    <w:div w:id="136841637">
      <w:marLeft w:val="0"/>
      <w:marRight w:val="0"/>
      <w:marTop w:val="200"/>
      <w:marBottom w:val="0"/>
      <w:divBdr>
        <w:top w:val="none" w:sz="0" w:space="0" w:color="auto"/>
        <w:left w:val="none" w:sz="0" w:space="0" w:color="auto"/>
        <w:bottom w:val="none" w:sz="0" w:space="0" w:color="auto"/>
        <w:right w:val="none" w:sz="0" w:space="0" w:color="auto"/>
      </w:divBdr>
    </w:div>
    <w:div w:id="137965225">
      <w:marLeft w:val="0"/>
      <w:marRight w:val="0"/>
      <w:marTop w:val="40"/>
      <w:marBottom w:val="0"/>
      <w:divBdr>
        <w:top w:val="none" w:sz="0" w:space="0" w:color="auto"/>
        <w:left w:val="none" w:sz="0" w:space="0" w:color="auto"/>
        <w:bottom w:val="none" w:sz="0" w:space="0" w:color="auto"/>
        <w:right w:val="none" w:sz="0" w:space="0" w:color="auto"/>
      </w:divBdr>
    </w:div>
    <w:div w:id="138426837">
      <w:marLeft w:val="0"/>
      <w:marRight w:val="0"/>
      <w:marTop w:val="0"/>
      <w:marBottom w:val="0"/>
      <w:divBdr>
        <w:top w:val="none" w:sz="0" w:space="0" w:color="auto"/>
        <w:left w:val="none" w:sz="0" w:space="0" w:color="auto"/>
        <w:bottom w:val="none" w:sz="0" w:space="0" w:color="auto"/>
        <w:right w:val="none" w:sz="0" w:space="0" w:color="auto"/>
      </w:divBdr>
    </w:div>
    <w:div w:id="138572560">
      <w:marLeft w:val="0"/>
      <w:marRight w:val="0"/>
      <w:marTop w:val="0"/>
      <w:marBottom w:val="0"/>
      <w:divBdr>
        <w:top w:val="none" w:sz="0" w:space="0" w:color="auto"/>
        <w:left w:val="none" w:sz="0" w:space="0" w:color="auto"/>
        <w:bottom w:val="none" w:sz="0" w:space="0" w:color="auto"/>
        <w:right w:val="none" w:sz="0" w:space="0" w:color="auto"/>
      </w:divBdr>
      <w:divsChild>
        <w:div w:id="750658154">
          <w:marLeft w:val="0"/>
          <w:marRight w:val="0"/>
          <w:marTop w:val="0"/>
          <w:marBottom w:val="0"/>
          <w:divBdr>
            <w:top w:val="none" w:sz="0" w:space="0" w:color="auto"/>
            <w:left w:val="none" w:sz="0" w:space="0" w:color="auto"/>
            <w:bottom w:val="none" w:sz="0" w:space="0" w:color="auto"/>
            <w:right w:val="none" w:sz="0" w:space="0" w:color="auto"/>
          </w:divBdr>
        </w:div>
        <w:div w:id="1147553087">
          <w:marLeft w:val="0"/>
          <w:marRight w:val="0"/>
          <w:marTop w:val="0"/>
          <w:marBottom w:val="0"/>
          <w:divBdr>
            <w:top w:val="none" w:sz="0" w:space="0" w:color="auto"/>
            <w:left w:val="none" w:sz="0" w:space="0" w:color="auto"/>
            <w:bottom w:val="none" w:sz="0" w:space="0" w:color="auto"/>
            <w:right w:val="none" w:sz="0" w:space="0" w:color="auto"/>
          </w:divBdr>
        </w:div>
        <w:div w:id="784008555">
          <w:marLeft w:val="0"/>
          <w:marRight w:val="0"/>
          <w:marTop w:val="0"/>
          <w:marBottom w:val="0"/>
          <w:divBdr>
            <w:top w:val="none" w:sz="0" w:space="0" w:color="auto"/>
            <w:left w:val="none" w:sz="0" w:space="0" w:color="auto"/>
            <w:bottom w:val="none" w:sz="0" w:space="0" w:color="auto"/>
            <w:right w:val="none" w:sz="0" w:space="0" w:color="auto"/>
          </w:divBdr>
        </w:div>
        <w:div w:id="1472626544">
          <w:marLeft w:val="0"/>
          <w:marRight w:val="0"/>
          <w:marTop w:val="0"/>
          <w:marBottom w:val="0"/>
          <w:divBdr>
            <w:top w:val="none" w:sz="0" w:space="0" w:color="auto"/>
            <w:left w:val="none" w:sz="0" w:space="0" w:color="auto"/>
            <w:bottom w:val="none" w:sz="0" w:space="0" w:color="auto"/>
            <w:right w:val="none" w:sz="0" w:space="0" w:color="auto"/>
          </w:divBdr>
        </w:div>
      </w:divsChild>
    </w:div>
    <w:div w:id="138965908">
      <w:marLeft w:val="0"/>
      <w:marRight w:val="0"/>
      <w:marTop w:val="0"/>
      <w:marBottom w:val="0"/>
      <w:divBdr>
        <w:top w:val="none" w:sz="0" w:space="0" w:color="auto"/>
        <w:left w:val="none" w:sz="0" w:space="0" w:color="auto"/>
        <w:bottom w:val="none" w:sz="0" w:space="0" w:color="auto"/>
        <w:right w:val="none" w:sz="0" w:space="0" w:color="auto"/>
      </w:divBdr>
    </w:div>
    <w:div w:id="143745347">
      <w:marLeft w:val="0"/>
      <w:marRight w:val="0"/>
      <w:marTop w:val="0"/>
      <w:marBottom w:val="0"/>
      <w:divBdr>
        <w:top w:val="none" w:sz="0" w:space="0" w:color="auto"/>
        <w:left w:val="none" w:sz="0" w:space="0" w:color="auto"/>
        <w:bottom w:val="none" w:sz="0" w:space="0" w:color="auto"/>
        <w:right w:val="none" w:sz="0" w:space="0" w:color="auto"/>
      </w:divBdr>
      <w:divsChild>
        <w:div w:id="683483721">
          <w:marLeft w:val="0"/>
          <w:marRight w:val="0"/>
          <w:marTop w:val="0"/>
          <w:marBottom w:val="0"/>
          <w:divBdr>
            <w:top w:val="none" w:sz="0" w:space="0" w:color="auto"/>
            <w:left w:val="none" w:sz="0" w:space="0" w:color="auto"/>
            <w:bottom w:val="none" w:sz="0" w:space="0" w:color="auto"/>
            <w:right w:val="none" w:sz="0" w:space="0" w:color="auto"/>
          </w:divBdr>
        </w:div>
        <w:div w:id="1462917062">
          <w:marLeft w:val="0"/>
          <w:marRight w:val="0"/>
          <w:marTop w:val="0"/>
          <w:marBottom w:val="0"/>
          <w:divBdr>
            <w:top w:val="none" w:sz="0" w:space="0" w:color="auto"/>
            <w:left w:val="none" w:sz="0" w:space="0" w:color="auto"/>
            <w:bottom w:val="none" w:sz="0" w:space="0" w:color="auto"/>
            <w:right w:val="none" w:sz="0" w:space="0" w:color="auto"/>
          </w:divBdr>
        </w:div>
        <w:div w:id="1837377158">
          <w:marLeft w:val="0"/>
          <w:marRight w:val="0"/>
          <w:marTop w:val="0"/>
          <w:marBottom w:val="0"/>
          <w:divBdr>
            <w:top w:val="none" w:sz="0" w:space="0" w:color="auto"/>
            <w:left w:val="none" w:sz="0" w:space="0" w:color="auto"/>
            <w:bottom w:val="none" w:sz="0" w:space="0" w:color="auto"/>
            <w:right w:val="none" w:sz="0" w:space="0" w:color="auto"/>
          </w:divBdr>
        </w:div>
        <w:div w:id="97526466">
          <w:marLeft w:val="0"/>
          <w:marRight w:val="0"/>
          <w:marTop w:val="0"/>
          <w:marBottom w:val="0"/>
          <w:divBdr>
            <w:top w:val="none" w:sz="0" w:space="0" w:color="auto"/>
            <w:left w:val="none" w:sz="0" w:space="0" w:color="auto"/>
            <w:bottom w:val="none" w:sz="0" w:space="0" w:color="auto"/>
            <w:right w:val="none" w:sz="0" w:space="0" w:color="auto"/>
          </w:divBdr>
        </w:div>
      </w:divsChild>
    </w:div>
    <w:div w:id="145440061">
      <w:marLeft w:val="0"/>
      <w:marRight w:val="0"/>
      <w:marTop w:val="0"/>
      <w:marBottom w:val="0"/>
      <w:divBdr>
        <w:top w:val="none" w:sz="0" w:space="0" w:color="auto"/>
        <w:left w:val="none" w:sz="0" w:space="0" w:color="auto"/>
        <w:bottom w:val="none" w:sz="0" w:space="0" w:color="auto"/>
        <w:right w:val="none" w:sz="0" w:space="0" w:color="auto"/>
      </w:divBdr>
    </w:div>
    <w:div w:id="146290871">
      <w:marLeft w:val="0"/>
      <w:marRight w:val="0"/>
      <w:marTop w:val="0"/>
      <w:marBottom w:val="0"/>
      <w:divBdr>
        <w:top w:val="none" w:sz="0" w:space="0" w:color="auto"/>
        <w:left w:val="none" w:sz="0" w:space="0" w:color="auto"/>
        <w:bottom w:val="none" w:sz="0" w:space="0" w:color="auto"/>
        <w:right w:val="none" w:sz="0" w:space="0" w:color="auto"/>
      </w:divBdr>
      <w:divsChild>
        <w:div w:id="1382901306">
          <w:marLeft w:val="0"/>
          <w:marRight w:val="0"/>
          <w:marTop w:val="0"/>
          <w:marBottom w:val="0"/>
          <w:divBdr>
            <w:top w:val="none" w:sz="0" w:space="0" w:color="auto"/>
            <w:left w:val="none" w:sz="0" w:space="0" w:color="auto"/>
            <w:bottom w:val="none" w:sz="0" w:space="0" w:color="auto"/>
            <w:right w:val="none" w:sz="0" w:space="0" w:color="auto"/>
          </w:divBdr>
        </w:div>
        <w:div w:id="1892685999">
          <w:marLeft w:val="0"/>
          <w:marRight w:val="0"/>
          <w:marTop w:val="0"/>
          <w:marBottom w:val="0"/>
          <w:divBdr>
            <w:top w:val="none" w:sz="0" w:space="0" w:color="auto"/>
            <w:left w:val="none" w:sz="0" w:space="0" w:color="auto"/>
            <w:bottom w:val="none" w:sz="0" w:space="0" w:color="auto"/>
            <w:right w:val="none" w:sz="0" w:space="0" w:color="auto"/>
          </w:divBdr>
        </w:div>
      </w:divsChild>
    </w:div>
    <w:div w:id="148791667">
      <w:marLeft w:val="0"/>
      <w:marRight w:val="0"/>
      <w:marTop w:val="0"/>
      <w:marBottom w:val="0"/>
      <w:divBdr>
        <w:top w:val="none" w:sz="0" w:space="0" w:color="auto"/>
        <w:left w:val="none" w:sz="0" w:space="0" w:color="auto"/>
        <w:bottom w:val="none" w:sz="0" w:space="0" w:color="auto"/>
        <w:right w:val="none" w:sz="0" w:space="0" w:color="auto"/>
      </w:divBdr>
      <w:divsChild>
        <w:div w:id="695932686">
          <w:marLeft w:val="0"/>
          <w:marRight w:val="0"/>
          <w:marTop w:val="0"/>
          <w:marBottom w:val="0"/>
          <w:divBdr>
            <w:top w:val="none" w:sz="0" w:space="0" w:color="auto"/>
            <w:left w:val="none" w:sz="0" w:space="0" w:color="auto"/>
            <w:bottom w:val="none" w:sz="0" w:space="0" w:color="auto"/>
            <w:right w:val="none" w:sz="0" w:space="0" w:color="auto"/>
          </w:divBdr>
        </w:div>
      </w:divsChild>
    </w:div>
    <w:div w:id="149834420">
      <w:marLeft w:val="0"/>
      <w:marRight w:val="0"/>
      <w:marTop w:val="0"/>
      <w:marBottom w:val="0"/>
      <w:divBdr>
        <w:top w:val="none" w:sz="0" w:space="0" w:color="auto"/>
        <w:left w:val="none" w:sz="0" w:space="0" w:color="auto"/>
        <w:bottom w:val="none" w:sz="0" w:space="0" w:color="auto"/>
        <w:right w:val="none" w:sz="0" w:space="0" w:color="auto"/>
      </w:divBdr>
    </w:div>
    <w:div w:id="149911800">
      <w:marLeft w:val="0"/>
      <w:marRight w:val="0"/>
      <w:marTop w:val="200"/>
      <w:marBottom w:val="0"/>
      <w:divBdr>
        <w:top w:val="none" w:sz="0" w:space="0" w:color="auto"/>
        <w:left w:val="none" w:sz="0" w:space="0" w:color="auto"/>
        <w:bottom w:val="none" w:sz="0" w:space="0" w:color="auto"/>
        <w:right w:val="none" w:sz="0" w:space="0" w:color="auto"/>
      </w:divBdr>
    </w:div>
    <w:div w:id="153186434">
      <w:marLeft w:val="0"/>
      <w:marRight w:val="0"/>
      <w:marTop w:val="0"/>
      <w:marBottom w:val="0"/>
      <w:divBdr>
        <w:top w:val="none" w:sz="0" w:space="0" w:color="auto"/>
        <w:left w:val="none" w:sz="0" w:space="0" w:color="auto"/>
        <w:bottom w:val="none" w:sz="0" w:space="0" w:color="auto"/>
        <w:right w:val="none" w:sz="0" w:space="0" w:color="auto"/>
      </w:divBdr>
      <w:divsChild>
        <w:div w:id="315649820">
          <w:marLeft w:val="0"/>
          <w:marRight w:val="0"/>
          <w:marTop w:val="0"/>
          <w:marBottom w:val="0"/>
          <w:divBdr>
            <w:top w:val="none" w:sz="0" w:space="0" w:color="auto"/>
            <w:left w:val="none" w:sz="0" w:space="0" w:color="auto"/>
            <w:bottom w:val="none" w:sz="0" w:space="0" w:color="auto"/>
            <w:right w:val="none" w:sz="0" w:space="0" w:color="auto"/>
          </w:divBdr>
        </w:div>
        <w:div w:id="865993972">
          <w:marLeft w:val="0"/>
          <w:marRight w:val="0"/>
          <w:marTop w:val="0"/>
          <w:marBottom w:val="0"/>
          <w:divBdr>
            <w:top w:val="none" w:sz="0" w:space="0" w:color="auto"/>
            <w:left w:val="none" w:sz="0" w:space="0" w:color="auto"/>
            <w:bottom w:val="none" w:sz="0" w:space="0" w:color="auto"/>
            <w:right w:val="none" w:sz="0" w:space="0" w:color="auto"/>
          </w:divBdr>
        </w:div>
        <w:div w:id="380137164">
          <w:marLeft w:val="0"/>
          <w:marRight w:val="0"/>
          <w:marTop w:val="0"/>
          <w:marBottom w:val="0"/>
          <w:divBdr>
            <w:top w:val="none" w:sz="0" w:space="0" w:color="auto"/>
            <w:left w:val="none" w:sz="0" w:space="0" w:color="auto"/>
            <w:bottom w:val="none" w:sz="0" w:space="0" w:color="auto"/>
            <w:right w:val="none" w:sz="0" w:space="0" w:color="auto"/>
          </w:divBdr>
        </w:div>
        <w:div w:id="997346893">
          <w:marLeft w:val="0"/>
          <w:marRight w:val="0"/>
          <w:marTop w:val="0"/>
          <w:marBottom w:val="0"/>
          <w:divBdr>
            <w:top w:val="none" w:sz="0" w:space="0" w:color="auto"/>
            <w:left w:val="none" w:sz="0" w:space="0" w:color="auto"/>
            <w:bottom w:val="none" w:sz="0" w:space="0" w:color="auto"/>
            <w:right w:val="none" w:sz="0" w:space="0" w:color="auto"/>
          </w:divBdr>
        </w:div>
      </w:divsChild>
    </w:div>
    <w:div w:id="153573009">
      <w:marLeft w:val="0"/>
      <w:marRight w:val="0"/>
      <w:marTop w:val="200"/>
      <w:marBottom w:val="0"/>
      <w:divBdr>
        <w:top w:val="none" w:sz="0" w:space="0" w:color="auto"/>
        <w:left w:val="none" w:sz="0" w:space="0" w:color="auto"/>
        <w:bottom w:val="none" w:sz="0" w:space="0" w:color="auto"/>
        <w:right w:val="none" w:sz="0" w:space="0" w:color="auto"/>
      </w:divBdr>
    </w:div>
    <w:div w:id="158666419">
      <w:marLeft w:val="0"/>
      <w:marRight w:val="0"/>
      <w:marTop w:val="200"/>
      <w:marBottom w:val="0"/>
      <w:divBdr>
        <w:top w:val="none" w:sz="0" w:space="0" w:color="auto"/>
        <w:left w:val="none" w:sz="0" w:space="0" w:color="auto"/>
        <w:bottom w:val="none" w:sz="0" w:space="0" w:color="auto"/>
        <w:right w:val="none" w:sz="0" w:space="0" w:color="auto"/>
      </w:divBdr>
    </w:div>
    <w:div w:id="160396616">
      <w:marLeft w:val="0"/>
      <w:marRight w:val="0"/>
      <w:marTop w:val="0"/>
      <w:marBottom w:val="0"/>
      <w:divBdr>
        <w:top w:val="none" w:sz="0" w:space="0" w:color="auto"/>
        <w:left w:val="none" w:sz="0" w:space="0" w:color="auto"/>
        <w:bottom w:val="none" w:sz="0" w:space="0" w:color="auto"/>
        <w:right w:val="none" w:sz="0" w:space="0" w:color="auto"/>
      </w:divBdr>
    </w:div>
    <w:div w:id="163666056">
      <w:marLeft w:val="0"/>
      <w:marRight w:val="0"/>
      <w:marTop w:val="0"/>
      <w:marBottom w:val="0"/>
      <w:divBdr>
        <w:top w:val="none" w:sz="0" w:space="0" w:color="auto"/>
        <w:left w:val="none" w:sz="0" w:space="0" w:color="auto"/>
        <w:bottom w:val="none" w:sz="0" w:space="0" w:color="auto"/>
        <w:right w:val="none" w:sz="0" w:space="0" w:color="auto"/>
      </w:divBdr>
      <w:divsChild>
        <w:div w:id="1087075126">
          <w:marLeft w:val="0"/>
          <w:marRight w:val="0"/>
          <w:marTop w:val="0"/>
          <w:marBottom w:val="0"/>
          <w:divBdr>
            <w:top w:val="none" w:sz="0" w:space="0" w:color="auto"/>
            <w:left w:val="none" w:sz="0" w:space="0" w:color="auto"/>
            <w:bottom w:val="none" w:sz="0" w:space="0" w:color="auto"/>
            <w:right w:val="none" w:sz="0" w:space="0" w:color="auto"/>
          </w:divBdr>
        </w:div>
      </w:divsChild>
    </w:div>
    <w:div w:id="165290560">
      <w:marLeft w:val="0"/>
      <w:marRight w:val="0"/>
      <w:marTop w:val="200"/>
      <w:marBottom w:val="0"/>
      <w:divBdr>
        <w:top w:val="none" w:sz="0" w:space="0" w:color="auto"/>
        <w:left w:val="none" w:sz="0" w:space="0" w:color="auto"/>
        <w:bottom w:val="none" w:sz="0" w:space="0" w:color="auto"/>
        <w:right w:val="none" w:sz="0" w:space="0" w:color="auto"/>
      </w:divBdr>
    </w:div>
    <w:div w:id="167869365">
      <w:marLeft w:val="0"/>
      <w:marRight w:val="0"/>
      <w:marTop w:val="200"/>
      <w:marBottom w:val="0"/>
      <w:divBdr>
        <w:top w:val="none" w:sz="0" w:space="0" w:color="auto"/>
        <w:left w:val="none" w:sz="0" w:space="0" w:color="auto"/>
        <w:bottom w:val="none" w:sz="0" w:space="0" w:color="auto"/>
        <w:right w:val="none" w:sz="0" w:space="0" w:color="auto"/>
      </w:divBdr>
    </w:div>
    <w:div w:id="168373446">
      <w:marLeft w:val="0"/>
      <w:marRight w:val="0"/>
      <w:marTop w:val="200"/>
      <w:marBottom w:val="0"/>
      <w:divBdr>
        <w:top w:val="none" w:sz="0" w:space="0" w:color="auto"/>
        <w:left w:val="none" w:sz="0" w:space="0" w:color="auto"/>
        <w:bottom w:val="none" w:sz="0" w:space="0" w:color="auto"/>
        <w:right w:val="none" w:sz="0" w:space="0" w:color="auto"/>
      </w:divBdr>
    </w:div>
    <w:div w:id="170726814">
      <w:marLeft w:val="0"/>
      <w:marRight w:val="0"/>
      <w:marTop w:val="0"/>
      <w:marBottom w:val="0"/>
      <w:divBdr>
        <w:top w:val="none" w:sz="0" w:space="0" w:color="auto"/>
        <w:left w:val="none" w:sz="0" w:space="0" w:color="auto"/>
        <w:bottom w:val="none" w:sz="0" w:space="0" w:color="auto"/>
        <w:right w:val="none" w:sz="0" w:space="0" w:color="auto"/>
      </w:divBdr>
    </w:div>
    <w:div w:id="175466109">
      <w:marLeft w:val="0"/>
      <w:marRight w:val="0"/>
      <w:marTop w:val="0"/>
      <w:marBottom w:val="0"/>
      <w:divBdr>
        <w:top w:val="none" w:sz="0" w:space="0" w:color="auto"/>
        <w:left w:val="none" w:sz="0" w:space="0" w:color="auto"/>
        <w:bottom w:val="none" w:sz="0" w:space="0" w:color="auto"/>
        <w:right w:val="none" w:sz="0" w:space="0" w:color="auto"/>
      </w:divBdr>
    </w:div>
    <w:div w:id="176233635">
      <w:marLeft w:val="0"/>
      <w:marRight w:val="0"/>
      <w:marTop w:val="200"/>
      <w:marBottom w:val="0"/>
      <w:divBdr>
        <w:top w:val="none" w:sz="0" w:space="0" w:color="auto"/>
        <w:left w:val="none" w:sz="0" w:space="0" w:color="auto"/>
        <w:bottom w:val="none" w:sz="0" w:space="0" w:color="auto"/>
        <w:right w:val="none" w:sz="0" w:space="0" w:color="auto"/>
      </w:divBdr>
    </w:div>
    <w:div w:id="176239036">
      <w:marLeft w:val="0"/>
      <w:marRight w:val="0"/>
      <w:marTop w:val="200"/>
      <w:marBottom w:val="0"/>
      <w:divBdr>
        <w:top w:val="none" w:sz="0" w:space="0" w:color="auto"/>
        <w:left w:val="none" w:sz="0" w:space="0" w:color="auto"/>
        <w:bottom w:val="none" w:sz="0" w:space="0" w:color="auto"/>
        <w:right w:val="none" w:sz="0" w:space="0" w:color="auto"/>
      </w:divBdr>
    </w:div>
    <w:div w:id="179857137">
      <w:marLeft w:val="0"/>
      <w:marRight w:val="0"/>
      <w:marTop w:val="200"/>
      <w:marBottom w:val="0"/>
      <w:divBdr>
        <w:top w:val="none" w:sz="0" w:space="0" w:color="auto"/>
        <w:left w:val="none" w:sz="0" w:space="0" w:color="auto"/>
        <w:bottom w:val="none" w:sz="0" w:space="0" w:color="auto"/>
        <w:right w:val="none" w:sz="0" w:space="0" w:color="auto"/>
      </w:divBdr>
    </w:div>
    <w:div w:id="184448148">
      <w:marLeft w:val="0"/>
      <w:marRight w:val="0"/>
      <w:marTop w:val="0"/>
      <w:marBottom w:val="0"/>
      <w:divBdr>
        <w:top w:val="none" w:sz="0" w:space="0" w:color="auto"/>
        <w:left w:val="none" w:sz="0" w:space="0" w:color="auto"/>
        <w:bottom w:val="none" w:sz="0" w:space="0" w:color="auto"/>
        <w:right w:val="none" w:sz="0" w:space="0" w:color="auto"/>
      </w:divBdr>
    </w:div>
    <w:div w:id="184952498">
      <w:marLeft w:val="0"/>
      <w:marRight w:val="0"/>
      <w:marTop w:val="0"/>
      <w:marBottom w:val="0"/>
      <w:divBdr>
        <w:top w:val="none" w:sz="0" w:space="0" w:color="auto"/>
        <w:left w:val="none" w:sz="0" w:space="0" w:color="auto"/>
        <w:bottom w:val="none" w:sz="0" w:space="0" w:color="auto"/>
        <w:right w:val="none" w:sz="0" w:space="0" w:color="auto"/>
      </w:divBdr>
    </w:div>
    <w:div w:id="187447650">
      <w:marLeft w:val="0"/>
      <w:marRight w:val="0"/>
      <w:marTop w:val="0"/>
      <w:marBottom w:val="0"/>
      <w:divBdr>
        <w:top w:val="none" w:sz="0" w:space="0" w:color="auto"/>
        <w:left w:val="none" w:sz="0" w:space="0" w:color="auto"/>
        <w:bottom w:val="none" w:sz="0" w:space="0" w:color="auto"/>
        <w:right w:val="none" w:sz="0" w:space="0" w:color="auto"/>
      </w:divBdr>
    </w:div>
    <w:div w:id="188640185">
      <w:marLeft w:val="0"/>
      <w:marRight w:val="0"/>
      <w:marTop w:val="0"/>
      <w:marBottom w:val="200"/>
      <w:divBdr>
        <w:top w:val="none" w:sz="0" w:space="0" w:color="auto"/>
        <w:left w:val="none" w:sz="0" w:space="0" w:color="auto"/>
        <w:bottom w:val="none" w:sz="0" w:space="0" w:color="auto"/>
        <w:right w:val="none" w:sz="0" w:space="0" w:color="auto"/>
      </w:divBdr>
    </w:div>
    <w:div w:id="189418270">
      <w:marLeft w:val="0"/>
      <w:marRight w:val="0"/>
      <w:marTop w:val="200"/>
      <w:marBottom w:val="0"/>
      <w:divBdr>
        <w:top w:val="none" w:sz="0" w:space="0" w:color="auto"/>
        <w:left w:val="none" w:sz="0" w:space="0" w:color="auto"/>
        <w:bottom w:val="none" w:sz="0" w:space="0" w:color="auto"/>
        <w:right w:val="none" w:sz="0" w:space="0" w:color="auto"/>
      </w:divBdr>
    </w:div>
    <w:div w:id="191382311">
      <w:marLeft w:val="0"/>
      <w:marRight w:val="0"/>
      <w:marTop w:val="0"/>
      <w:marBottom w:val="0"/>
      <w:divBdr>
        <w:top w:val="none" w:sz="0" w:space="0" w:color="auto"/>
        <w:left w:val="none" w:sz="0" w:space="0" w:color="auto"/>
        <w:bottom w:val="none" w:sz="0" w:space="0" w:color="auto"/>
        <w:right w:val="none" w:sz="0" w:space="0" w:color="auto"/>
      </w:divBdr>
    </w:div>
    <w:div w:id="192885028">
      <w:marLeft w:val="0"/>
      <w:marRight w:val="0"/>
      <w:marTop w:val="0"/>
      <w:marBottom w:val="0"/>
      <w:divBdr>
        <w:top w:val="none" w:sz="0" w:space="0" w:color="auto"/>
        <w:left w:val="none" w:sz="0" w:space="0" w:color="auto"/>
        <w:bottom w:val="none" w:sz="0" w:space="0" w:color="auto"/>
        <w:right w:val="none" w:sz="0" w:space="0" w:color="auto"/>
      </w:divBdr>
    </w:div>
    <w:div w:id="194277534">
      <w:marLeft w:val="0"/>
      <w:marRight w:val="0"/>
      <w:marTop w:val="200"/>
      <w:marBottom w:val="0"/>
      <w:divBdr>
        <w:top w:val="none" w:sz="0" w:space="0" w:color="auto"/>
        <w:left w:val="none" w:sz="0" w:space="0" w:color="auto"/>
        <w:bottom w:val="none" w:sz="0" w:space="0" w:color="auto"/>
        <w:right w:val="none" w:sz="0" w:space="0" w:color="auto"/>
      </w:divBdr>
    </w:div>
    <w:div w:id="203490541">
      <w:marLeft w:val="0"/>
      <w:marRight w:val="0"/>
      <w:marTop w:val="0"/>
      <w:marBottom w:val="0"/>
      <w:divBdr>
        <w:top w:val="none" w:sz="0" w:space="0" w:color="auto"/>
        <w:left w:val="none" w:sz="0" w:space="0" w:color="auto"/>
        <w:bottom w:val="none" w:sz="0" w:space="0" w:color="auto"/>
        <w:right w:val="none" w:sz="0" w:space="0" w:color="auto"/>
      </w:divBdr>
      <w:divsChild>
        <w:div w:id="1760910536">
          <w:marLeft w:val="0"/>
          <w:marRight w:val="0"/>
          <w:marTop w:val="0"/>
          <w:marBottom w:val="0"/>
          <w:divBdr>
            <w:top w:val="none" w:sz="0" w:space="0" w:color="auto"/>
            <w:left w:val="none" w:sz="0" w:space="0" w:color="auto"/>
            <w:bottom w:val="none" w:sz="0" w:space="0" w:color="auto"/>
            <w:right w:val="none" w:sz="0" w:space="0" w:color="auto"/>
          </w:divBdr>
        </w:div>
      </w:divsChild>
    </w:div>
    <w:div w:id="205798152">
      <w:marLeft w:val="0"/>
      <w:marRight w:val="0"/>
      <w:marTop w:val="0"/>
      <w:marBottom w:val="0"/>
      <w:divBdr>
        <w:top w:val="none" w:sz="0" w:space="0" w:color="auto"/>
        <w:left w:val="none" w:sz="0" w:space="0" w:color="auto"/>
        <w:bottom w:val="none" w:sz="0" w:space="0" w:color="auto"/>
        <w:right w:val="none" w:sz="0" w:space="0" w:color="auto"/>
      </w:divBdr>
      <w:divsChild>
        <w:div w:id="1396079395">
          <w:marLeft w:val="0"/>
          <w:marRight w:val="0"/>
          <w:marTop w:val="0"/>
          <w:marBottom w:val="0"/>
          <w:divBdr>
            <w:top w:val="none" w:sz="0" w:space="0" w:color="auto"/>
            <w:left w:val="none" w:sz="0" w:space="0" w:color="auto"/>
            <w:bottom w:val="none" w:sz="0" w:space="0" w:color="auto"/>
            <w:right w:val="none" w:sz="0" w:space="0" w:color="auto"/>
          </w:divBdr>
        </w:div>
      </w:divsChild>
    </w:div>
    <w:div w:id="209079359">
      <w:marLeft w:val="0"/>
      <w:marRight w:val="0"/>
      <w:marTop w:val="0"/>
      <w:marBottom w:val="160"/>
      <w:divBdr>
        <w:top w:val="none" w:sz="0" w:space="0" w:color="auto"/>
        <w:left w:val="none" w:sz="0" w:space="0" w:color="auto"/>
        <w:bottom w:val="none" w:sz="0" w:space="0" w:color="auto"/>
        <w:right w:val="none" w:sz="0" w:space="0" w:color="auto"/>
      </w:divBdr>
    </w:div>
    <w:div w:id="211693739">
      <w:marLeft w:val="0"/>
      <w:marRight w:val="0"/>
      <w:marTop w:val="0"/>
      <w:marBottom w:val="0"/>
      <w:divBdr>
        <w:top w:val="none" w:sz="0" w:space="0" w:color="auto"/>
        <w:left w:val="none" w:sz="0" w:space="0" w:color="auto"/>
        <w:bottom w:val="none" w:sz="0" w:space="0" w:color="auto"/>
        <w:right w:val="none" w:sz="0" w:space="0" w:color="auto"/>
      </w:divBdr>
    </w:div>
    <w:div w:id="211768471">
      <w:marLeft w:val="0"/>
      <w:marRight w:val="0"/>
      <w:marTop w:val="0"/>
      <w:marBottom w:val="0"/>
      <w:divBdr>
        <w:top w:val="none" w:sz="0" w:space="0" w:color="auto"/>
        <w:left w:val="none" w:sz="0" w:space="0" w:color="auto"/>
        <w:bottom w:val="none" w:sz="0" w:space="0" w:color="auto"/>
        <w:right w:val="none" w:sz="0" w:space="0" w:color="auto"/>
      </w:divBdr>
      <w:divsChild>
        <w:div w:id="252904388">
          <w:marLeft w:val="0"/>
          <w:marRight w:val="0"/>
          <w:marTop w:val="0"/>
          <w:marBottom w:val="0"/>
          <w:divBdr>
            <w:top w:val="none" w:sz="0" w:space="0" w:color="auto"/>
            <w:left w:val="none" w:sz="0" w:space="0" w:color="auto"/>
            <w:bottom w:val="none" w:sz="0" w:space="0" w:color="auto"/>
            <w:right w:val="none" w:sz="0" w:space="0" w:color="auto"/>
          </w:divBdr>
        </w:div>
      </w:divsChild>
    </w:div>
    <w:div w:id="213588809">
      <w:marLeft w:val="0"/>
      <w:marRight w:val="0"/>
      <w:marTop w:val="200"/>
      <w:marBottom w:val="0"/>
      <w:divBdr>
        <w:top w:val="none" w:sz="0" w:space="0" w:color="auto"/>
        <w:left w:val="none" w:sz="0" w:space="0" w:color="auto"/>
        <w:bottom w:val="none" w:sz="0" w:space="0" w:color="auto"/>
        <w:right w:val="none" w:sz="0" w:space="0" w:color="auto"/>
      </w:divBdr>
    </w:div>
    <w:div w:id="215169867">
      <w:marLeft w:val="0"/>
      <w:marRight w:val="0"/>
      <w:marTop w:val="0"/>
      <w:marBottom w:val="0"/>
      <w:divBdr>
        <w:top w:val="none" w:sz="0" w:space="0" w:color="auto"/>
        <w:left w:val="none" w:sz="0" w:space="0" w:color="auto"/>
        <w:bottom w:val="none" w:sz="0" w:space="0" w:color="auto"/>
        <w:right w:val="none" w:sz="0" w:space="0" w:color="auto"/>
      </w:divBdr>
      <w:divsChild>
        <w:div w:id="1902712554">
          <w:marLeft w:val="0"/>
          <w:marRight w:val="0"/>
          <w:marTop w:val="0"/>
          <w:marBottom w:val="0"/>
          <w:divBdr>
            <w:top w:val="none" w:sz="0" w:space="0" w:color="auto"/>
            <w:left w:val="none" w:sz="0" w:space="0" w:color="auto"/>
            <w:bottom w:val="none" w:sz="0" w:space="0" w:color="auto"/>
            <w:right w:val="none" w:sz="0" w:space="0" w:color="auto"/>
          </w:divBdr>
        </w:div>
      </w:divsChild>
    </w:div>
    <w:div w:id="215825022">
      <w:marLeft w:val="0"/>
      <w:marRight w:val="0"/>
      <w:marTop w:val="0"/>
      <w:marBottom w:val="0"/>
      <w:divBdr>
        <w:top w:val="none" w:sz="0" w:space="0" w:color="auto"/>
        <w:left w:val="none" w:sz="0" w:space="0" w:color="auto"/>
        <w:bottom w:val="none" w:sz="0" w:space="0" w:color="auto"/>
        <w:right w:val="none" w:sz="0" w:space="0" w:color="auto"/>
      </w:divBdr>
      <w:divsChild>
        <w:div w:id="595287394">
          <w:marLeft w:val="0"/>
          <w:marRight w:val="0"/>
          <w:marTop w:val="0"/>
          <w:marBottom w:val="0"/>
          <w:divBdr>
            <w:top w:val="none" w:sz="0" w:space="0" w:color="auto"/>
            <w:left w:val="none" w:sz="0" w:space="0" w:color="auto"/>
            <w:bottom w:val="none" w:sz="0" w:space="0" w:color="auto"/>
            <w:right w:val="none" w:sz="0" w:space="0" w:color="auto"/>
          </w:divBdr>
        </w:div>
      </w:divsChild>
    </w:div>
    <w:div w:id="218443063">
      <w:marLeft w:val="0"/>
      <w:marRight w:val="0"/>
      <w:marTop w:val="0"/>
      <w:marBottom w:val="0"/>
      <w:divBdr>
        <w:top w:val="none" w:sz="0" w:space="0" w:color="auto"/>
        <w:left w:val="none" w:sz="0" w:space="0" w:color="auto"/>
        <w:bottom w:val="none" w:sz="0" w:space="0" w:color="auto"/>
        <w:right w:val="none" w:sz="0" w:space="0" w:color="auto"/>
      </w:divBdr>
      <w:divsChild>
        <w:div w:id="1336616226">
          <w:marLeft w:val="0"/>
          <w:marRight w:val="0"/>
          <w:marTop w:val="0"/>
          <w:marBottom w:val="0"/>
          <w:divBdr>
            <w:top w:val="none" w:sz="0" w:space="0" w:color="auto"/>
            <w:left w:val="none" w:sz="0" w:space="0" w:color="auto"/>
            <w:bottom w:val="none" w:sz="0" w:space="0" w:color="auto"/>
            <w:right w:val="none" w:sz="0" w:space="0" w:color="auto"/>
          </w:divBdr>
        </w:div>
      </w:divsChild>
    </w:div>
    <w:div w:id="219948898">
      <w:marLeft w:val="0"/>
      <w:marRight w:val="0"/>
      <w:marTop w:val="0"/>
      <w:marBottom w:val="0"/>
      <w:divBdr>
        <w:top w:val="none" w:sz="0" w:space="0" w:color="auto"/>
        <w:left w:val="none" w:sz="0" w:space="0" w:color="auto"/>
        <w:bottom w:val="none" w:sz="0" w:space="0" w:color="auto"/>
        <w:right w:val="none" w:sz="0" w:space="0" w:color="auto"/>
      </w:divBdr>
    </w:div>
    <w:div w:id="223181916">
      <w:marLeft w:val="0"/>
      <w:marRight w:val="0"/>
      <w:marTop w:val="200"/>
      <w:marBottom w:val="0"/>
      <w:divBdr>
        <w:top w:val="none" w:sz="0" w:space="0" w:color="auto"/>
        <w:left w:val="none" w:sz="0" w:space="0" w:color="auto"/>
        <w:bottom w:val="none" w:sz="0" w:space="0" w:color="auto"/>
        <w:right w:val="none" w:sz="0" w:space="0" w:color="auto"/>
      </w:divBdr>
    </w:div>
    <w:div w:id="224224720">
      <w:marLeft w:val="0"/>
      <w:marRight w:val="0"/>
      <w:marTop w:val="0"/>
      <w:marBottom w:val="0"/>
      <w:divBdr>
        <w:top w:val="none" w:sz="0" w:space="0" w:color="auto"/>
        <w:left w:val="none" w:sz="0" w:space="0" w:color="auto"/>
        <w:bottom w:val="none" w:sz="0" w:space="0" w:color="auto"/>
        <w:right w:val="none" w:sz="0" w:space="0" w:color="auto"/>
      </w:divBdr>
      <w:divsChild>
        <w:div w:id="159856931">
          <w:marLeft w:val="0"/>
          <w:marRight w:val="0"/>
          <w:marTop w:val="0"/>
          <w:marBottom w:val="0"/>
          <w:divBdr>
            <w:top w:val="none" w:sz="0" w:space="0" w:color="auto"/>
            <w:left w:val="none" w:sz="0" w:space="0" w:color="auto"/>
            <w:bottom w:val="none" w:sz="0" w:space="0" w:color="auto"/>
            <w:right w:val="none" w:sz="0" w:space="0" w:color="auto"/>
          </w:divBdr>
        </w:div>
      </w:divsChild>
    </w:div>
    <w:div w:id="224950908">
      <w:marLeft w:val="0"/>
      <w:marRight w:val="0"/>
      <w:marTop w:val="0"/>
      <w:marBottom w:val="0"/>
      <w:divBdr>
        <w:top w:val="none" w:sz="0" w:space="0" w:color="auto"/>
        <w:left w:val="none" w:sz="0" w:space="0" w:color="auto"/>
        <w:bottom w:val="none" w:sz="0" w:space="0" w:color="auto"/>
        <w:right w:val="none" w:sz="0" w:space="0" w:color="auto"/>
      </w:divBdr>
      <w:divsChild>
        <w:div w:id="1874540011">
          <w:marLeft w:val="0"/>
          <w:marRight w:val="0"/>
          <w:marTop w:val="0"/>
          <w:marBottom w:val="0"/>
          <w:divBdr>
            <w:top w:val="none" w:sz="0" w:space="0" w:color="auto"/>
            <w:left w:val="none" w:sz="0" w:space="0" w:color="auto"/>
            <w:bottom w:val="none" w:sz="0" w:space="0" w:color="auto"/>
            <w:right w:val="none" w:sz="0" w:space="0" w:color="auto"/>
          </w:divBdr>
        </w:div>
      </w:divsChild>
    </w:div>
    <w:div w:id="225845820">
      <w:marLeft w:val="0"/>
      <w:marRight w:val="0"/>
      <w:marTop w:val="0"/>
      <w:marBottom w:val="0"/>
      <w:divBdr>
        <w:top w:val="none" w:sz="0" w:space="0" w:color="auto"/>
        <w:left w:val="none" w:sz="0" w:space="0" w:color="auto"/>
        <w:bottom w:val="none" w:sz="0" w:space="0" w:color="auto"/>
        <w:right w:val="none" w:sz="0" w:space="0" w:color="auto"/>
      </w:divBdr>
    </w:div>
    <w:div w:id="226304285">
      <w:marLeft w:val="0"/>
      <w:marRight w:val="0"/>
      <w:marTop w:val="200"/>
      <w:marBottom w:val="0"/>
      <w:divBdr>
        <w:top w:val="none" w:sz="0" w:space="0" w:color="auto"/>
        <w:left w:val="none" w:sz="0" w:space="0" w:color="auto"/>
        <w:bottom w:val="none" w:sz="0" w:space="0" w:color="auto"/>
        <w:right w:val="none" w:sz="0" w:space="0" w:color="auto"/>
      </w:divBdr>
    </w:div>
    <w:div w:id="226573598">
      <w:marLeft w:val="0"/>
      <w:marRight w:val="0"/>
      <w:marTop w:val="100"/>
      <w:marBottom w:val="0"/>
      <w:divBdr>
        <w:top w:val="none" w:sz="0" w:space="0" w:color="auto"/>
        <w:left w:val="none" w:sz="0" w:space="0" w:color="auto"/>
        <w:bottom w:val="none" w:sz="0" w:space="0" w:color="auto"/>
        <w:right w:val="none" w:sz="0" w:space="0" w:color="auto"/>
      </w:divBdr>
    </w:div>
    <w:div w:id="227569923">
      <w:marLeft w:val="0"/>
      <w:marRight w:val="0"/>
      <w:marTop w:val="0"/>
      <w:marBottom w:val="0"/>
      <w:divBdr>
        <w:top w:val="none" w:sz="0" w:space="0" w:color="auto"/>
        <w:left w:val="none" w:sz="0" w:space="0" w:color="auto"/>
        <w:bottom w:val="none" w:sz="0" w:space="0" w:color="auto"/>
        <w:right w:val="none" w:sz="0" w:space="0" w:color="auto"/>
      </w:divBdr>
      <w:divsChild>
        <w:div w:id="1042245346">
          <w:marLeft w:val="0"/>
          <w:marRight w:val="0"/>
          <w:marTop w:val="0"/>
          <w:marBottom w:val="0"/>
          <w:divBdr>
            <w:top w:val="none" w:sz="0" w:space="0" w:color="auto"/>
            <w:left w:val="none" w:sz="0" w:space="0" w:color="auto"/>
            <w:bottom w:val="none" w:sz="0" w:space="0" w:color="auto"/>
            <w:right w:val="none" w:sz="0" w:space="0" w:color="auto"/>
          </w:divBdr>
        </w:div>
      </w:divsChild>
    </w:div>
    <w:div w:id="233979361">
      <w:marLeft w:val="0"/>
      <w:marRight w:val="0"/>
      <w:marTop w:val="0"/>
      <w:marBottom w:val="0"/>
      <w:divBdr>
        <w:top w:val="none" w:sz="0" w:space="0" w:color="auto"/>
        <w:left w:val="none" w:sz="0" w:space="0" w:color="auto"/>
        <w:bottom w:val="none" w:sz="0" w:space="0" w:color="auto"/>
        <w:right w:val="none" w:sz="0" w:space="0" w:color="auto"/>
      </w:divBdr>
    </w:div>
    <w:div w:id="234826666">
      <w:marLeft w:val="0"/>
      <w:marRight w:val="0"/>
      <w:marTop w:val="0"/>
      <w:marBottom w:val="0"/>
      <w:divBdr>
        <w:top w:val="none" w:sz="0" w:space="0" w:color="auto"/>
        <w:left w:val="none" w:sz="0" w:space="0" w:color="auto"/>
        <w:bottom w:val="none" w:sz="0" w:space="0" w:color="auto"/>
        <w:right w:val="none" w:sz="0" w:space="0" w:color="auto"/>
      </w:divBdr>
      <w:divsChild>
        <w:div w:id="1347439672">
          <w:marLeft w:val="0"/>
          <w:marRight w:val="0"/>
          <w:marTop w:val="0"/>
          <w:marBottom w:val="0"/>
          <w:divBdr>
            <w:top w:val="none" w:sz="0" w:space="0" w:color="auto"/>
            <w:left w:val="none" w:sz="0" w:space="0" w:color="auto"/>
            <w:bottom w:val="none" w:sz="0" w:space="0" w:color="auto"/>
            <w:right w:val="none" w:sz="0" w:space="0" w:color="auto"/>
          </w:divBdr>
        </w:div>
        <w:div w:id="647899389">
          <w:marLeft w:val="0"/>
          <w:marRight w:val="0"/>
          <w:marTop w:val="0"/>
          <w:marBottom w:val="0"/>
          <w:divBdr>
            <w:top w:val="none" w:sz="0" w:space="0" w:color="auto"/>
            <w:left w:val="none" w:sz="0" w:space="0" w:color="auto"/>
            <w:bottom w:val="none" w:sz="0" w:space="0" w:color="auto"/>
            <w:right w:val="none" w:sz="0" w:space="0" w:color="auto"/>
          </w:divBdr>
        </w:div>
        <w:div w:id="1958950485">
          <w:marLeft w:val="0"/>
          <w:marRight w:val="0"/>
          <w:marTop w:val="0"/>
          <w:marBottom w:val="0"/>
          <w:divBdr>
            <w:top w:val="none" w:sz="0" w:space="0" w:color="auto"/>
            <w:left w:val="none" w:sz="0" w:space="0" w:color="auto"/>
            <w:bottom w:val="none" w:sz="0" w:space="0" w:color="auto"/>
            <w:right w:val="none" w:sz="0" w:space="0" w:color="auto"/>
          </w:divBdr>
        </w:div>
        <w:div w:id="1637107891">
          <w:marLeft w:val="0"/>
          <w:marRight w:val="0"/>
          <w:marTop w:val="0"/>
          <w:marBottom w:val="0"/>
          <w:divBdr>
            <w:top w:val="none" w:sz="0" w:space="0" w:color="auto"/>
            <w:left w:val="none" w:sz="0" w:space="0" w:color="auto"/>
            <w:bottom w:val="none" w:sz="0" w:space="0" w:color="auto"/>
            <w:right w:val="none" w:sz="0" w:space="0" w:color="auto"/>
          </w:divBdr>
        </w:div>
      </w:divsChild>
    </w:div>
    <w:div w:id="237400084">
      <w:marLeft w:val="0"/>
      <w:marRight w:val="0"/>
      <w:marTop w:val="0"/>
      <w:marBottom w:val="0"/>
      <w:divBdr>
        <w:top w:val="none" w:sz="0" w:space="0" w:color="auto"/>
        <w:left w:val="none" w:sz="0" w:space="0" w:color="auto"/>
        <w:bottom w:val="none" w:sz="0" w:space="0" w:color="auto"/>
        <w:right w:val="none" w:sz="0" w:space="0" w:color="auto"/>
      </w:divBdr>
    </w:div>
    <w:div w:id="237520583">
      <w:marLeft w:val="0"/>
      <w:marRight w:val="0"/>
      <w:marTop w:val="0"/>
      <w:marBottom w:val="0"/>
      <w:divBdr>
        <w:top w:val="none" w:sz="0" w:space="0" w:color="auto"/>
        <w:left w:val="none" w:sz="0" w:space="0" w:color="auto"/>
        <w:bottom w:val="none" w:sz="0" w:space="0" w:color="auto"/>
        <w:right w:val="none" w:sz="0" w:space="0" w:color="auto"/>
      </w:divBdr>
      <w:divsChild>
        <w:div w:id="1342195394">
          <w:marLeft w:val="0"/>
          <w:marRight w:val="0"/>
          <w:marTop w:val="0"/>
          <w:marBottom w:val="0"/>
          <w:divBdr>
            <w:top w:val="none" w:sz="0" w:space="0" w:color="auto"/>
            <w:left w:val="none" w:sz="0" w:space="0" w:color="auto"/>
            <w:bottom w:val="none" w:sz="0" w:space="0" w:color="auto"/>
            <w:right w:val="none" w:sz="0" w:space="0" w:color="auto"/>
          </w:divBdr>
        </w:div>
      </w:divsChild>
    </w:div>
    <w:div w:id="237906927">
      <w:marLeft w:val="0"/>
      <w:marRight w:val="0"/>
      <w:marTop w:val="40"/>
      <w:marBottom w:val="0"/>
      <w:divBdr>
        <w:top w:val="none" w:sz="0" w:space="0" w:color="auto"/>
        <w:left w:val="none" w:sz="0" w:space="0" w:color="auto"/>
        <w:bottom w:val="none" w:sz="0" w:space="0" w:color="auto"/>
        <w:right w:val="none" w:sz="0" w:space="0" w:color="auto"/>
      </w:divBdr>
    </w:div>
    <w:div w:id="239288276">
      <w:marLeft w:val="0"/>
      <w:marRight w:val="0"/>
      <w:marTop w:val="0"/>
      <w:marBottom w:val="0"/>
      <w:divBdr>
        <w:top w:val="none" w:sz="0" w:space="0" w:color="auto"/>
        <w:left w:val="none" w:sz="0" w:space="0" w:color="auto"/>
        <w:bottom w:val="none" w:sz="0" w:space="0" w:color="auto"/>
        <w:right w:val="none" w:sz="0" w:space="0" w:color="auto"/>
      </w:divBdr>
    </w:div>
    <w:div w:id="240915558">
      <w:marLeft w:val="0"/>
      <w:marRight w:val="0"/>
      <w:marTop w:val="100"/>
      <w:marBottom w:val="60"/>
      <w:divBdr>
        <w:top w:val="none" w:sz="0" w:space="0" w:color="auto"/>
        <w:left w:val="none" w:sz="0" w:space="0" w:color="auto"/>
        <w:bottom w:val="none" w:sz="0" w:space="0" w:color="auto"/>
        <w:right w:val="none" w:sz="0" w:space="0" w:color="auto"/>
      </w:divBdr>
    </w:div>
    <w:div w:id="241570116">
      <w:marLeft w:val="0"/>
      <w:marRight w:val="0"/>
      <w:marTop w:val="0"/>
      <w:marBottom w:val="0"/>
      <w:divBdr>
        <w:top w:val="none" w:sz="0" w:space="0" w:color="auto"/>
        <w:left w:val="none" w:sz="0" w:space="0" w:color="auto"/>
        <w:bottom w:val="none" w:sz="0" w:space="0" w:color="auto"/>
        <w:right w:val="none" w:sz="0" w:space="0" w:color="auto"/>
      </w:divBdr>
      <w:divsChild>
        <w:div w:id="205142309">
          <w:marLeft w:val="0"/>
          <w:marRight w:val="0"/>
          <w:marTop w:val="0"/>
          <w:marBottom w:val="0"/>
          <w:divBdr>
            <w:top w:val="none" w:sz="0" w:space="0" w:color="auto"/>
            <w:left w:val="none" w:sz="0" w:space="0" w:color="auto"/>
            <w:bottom w:val="none" w:sz="0" w:space="0" w:color="auto"/>
            <w:right w:val="none" w:sz="0" w:space="0" w:color="auto"/>
          </w:divBdr>
        </w:div>
        <w:div w:id="1218928561">
          <w:marLeft w:val="0"/>
          <w:marRight w:val="0"/>
          <w:marTop w:val="0"/>
          <w:marBottom w:val="0"/>
          <w:divBdr>
            <w:top w:val="none" w:sz="0" w:space="0" w:color="auto"/>
            <w:left w:val="none" w:sz="0" w:space="0" w:color="auto"/>
            <w:bottom w:val="none" w:sz="0" w:space="0" w:color="auto"/>
            <w:right w:val="none" w:sz="0" w:space="0" w:color="auto"/>
          </w:divBdr>
        </w:div>
        <w:div w:id="1076173763">
          <w:marLeft w:val="0"/>
          <w:marRight w:val="0"/>
          <w:marTop w:val="0"/>
          <w:marBottom w:val="0"/>
          <w:divBdr>
            <w:top w:val="none" w:sz="0" w:space="0" w:color="auto"/>
            <w:left w:val="none" w:sz="0" w:space="0" w:color="auto"/>
            <w:bottom w:val="none" w:sz="0" w:space="0" w:color="auto"/>
            <w:right w:val="none" w:sz="0" w:space="0" w:color="auto"/>
          </w:divBdr>
        </w:div>
        <w:div w:id="671950921">
          <w:marLeft w:val="0"/>
          <w:marRight w:val="0"/>
          <w:marTop w:val="0"/>
          <w:marBottom w:val="0"/>
          <w:divBdr>
            <w:top w:val="none" w:sz="0" w:space="0" w:color="auto"/>
            <w:left w:val="none" w:sz="0" w:space="0" w:color="auto"/>
            <w:bottom w:val="none" w:sz="0" w:space="0" w:color="auto"/>
            <w:right w:val="none" w:sz="0" w:space="0" w:color="auto"/>
          </w:divBdr>
        </w:div>
      </w:divsChild>
    </w:div>
    <w:div w:id="244535399">
      <w:marLeft w:val="0"/>
      <w:marRight w:val="0"/>
      <w:marTop w:val="200"/>
      <w:marBottom w:val="0"/>
      <w:divBdr>
        <w:top w:val="none" w:sz="0" w:space="0" w:color="auto"/>
        <w:left w:val="none" w:sz="0" w:space="0" w:color="auto"/>
        <w:bottom w:val="none" w:sz="0" w:space="0" w:color="auto"/>
        <w:right w:val="none" w:sz="0" w:space="0" w:color="auto"/>
      </w:divBdr>
    </w:div>
    <w:div w:id="247227505">
      <w:marLeft w:val="0"/>
      <w:marRight w:val="0"/>
      <w:marTop w:val="0"/>
      <w:marBottom w:val="160"/>
      <w:divBdr>
        <w:top w:val="none" w:sz="0" w:space="0" w:color="auto"/>
        <w:left w:val="none" w:sz="0" w:space="0" w:color="auto"/>
        <w:bottom w:val="none" w:sz="0" w:space="0" w:color="auto"/>
        <w:right w:val="none" w:sz="0" w:space="0" w:color="auto"/>
      </w:divBdr>
    </w:div>
    <w:div w:id="248928994">
      <w:marLeft w:val="0"/>
      <w:marRight w:val="0"/>
      <w:marTop w:val="40"/>
      <w:marBottom w:val="0"/>
      <w:divBdr>
        <w:top w:val="none" w:sz="0" w:space="0" w:color="auto"/>
        <w:left w:val="none" w:sz="0" w:space="0" w:color="auto"/>
        <w:bottom w:val="none" w:sz="0" w:space="0" w:color="auto"/>
        <w:right w:val="none" w:sz="0" w:space="0" w:color="auto"/>
      </w:divBdr>
    </w:div>
    <w:div w:id="252132877">
      <w:marLeft w:val="0"/>
      <w:marRight w:val="0"/>
      <w:marTop w:val="0"/>
      <w:marBottom w:val="160"/>
      <w:divBdr>
        <w:top w:val="none" w:sz="0" w:space="0" w:color="auto"/>
        <w:left w:val="none" w:sz="0" w:space="0" w:color="auto"/>
        <w:bottom w:val="none" w:sz="0" w:space="0" w:color="auto"/>
        <w:right w:val="none" w:sz="0" w:space="0" w:color="auto"/>
      </w:divBdr>
    </w:div>
    <w:div w:id="255288422">
      <w:marLeft w:val="0"/>
      <w:marRight w:val="0"/>
      <w:marTop w:val="0"/>
      <w:marBottom w:val="0"/>
      <w:divBdr>
        <w:top w:val="none" w:sz="0" w:space="0" w:color="auto"/>
        <w:left w:val="none" w:sz="0" w:space="0" w:color="auto"/>
        <w:bottom w:val="none" w:sz="0" w:space="0" w:color="auto"/>
        <w:right w:val="none" w:sz="0" w:space="0" w:color="auto"/>
      </w:divBdr>
      <w:divsChild>
        <w:div w:id="1919319589">
          <w:marLeft w:val="0"/>
          <w:marRight w:val="0"/>
          <w:marTop w:val="0"/>
          <w:marBottom w:val="0"/>
          <w:divBdr>
            <w:top w:val="none" w:sz="0" w:space="0" w:color="auto"/>
            <w:left w:val="none" w:sz="0" w:space="0" w:color="auto"/>
            <w:bottom w:val="none" w:sz="0" w:space="0" w:color="auto"/>
            <w:right w:val="none" w:sz="0" w:space="0" w:color="auto"/>
          </w:divBdr>
        </w:div>
      </w:divsChild>
    </w:div>
    <w:div w:id="258949907">
      <w:marLeft w:val="0"/>
      <w:marRight w:val="0"/>
      <w:marTop w:val="0"/>
      <w:marBottom w:val="0"/>
      <w:divBdr>
        <w:top w:val="none" w:sz="0" w:space="0" w:color="auto"/>
        <w:left w:val="none" w:sz="0" w:space="0" w:color="auto"/>
        <w:bottom w:val="none" w:sz="0" w:space="0" w:color="auto"/>
        <w:right w:val="none" w:sz="0" w:space="0" w:color="auto"/>
      </w:divBdr>
    </w:div>
    <w:div w:id="261647545">
      <w:marLeft w:val="0"/>
      <w:marRight w:val="0"/>
      <w:marTop w:val="0"/>
      <w:marBottom w:val="0"/>
      <w:divBdr>
        <w:top w:val="none" w:sz="0" w:space="0" w:color="auto"/>
        <w:left w:val="none" w:sz="0" w:space="0" w:color="auto"/>
        <w:bottom w:val="none" w:sz="0" w:space="0" w:color="auto"/>
        <w:right w:val="none" w:sz="0" w:space="0" w:color="auto"/>
      </w:divBdr>
    </w:div>
    <w:div w:id="262301801">
      <w:marLeft w:val="0"/>
      <w:marRight w:val="0"/>
      <w:marTop w:val="0"/>
      <w:marBottom w:val="0"/>
      <w:divBdr>
        <w:top w:val="none" w:sz="0" w:space="0" w:color="auto"/>
        <w:left w:val="none" w:sz="0" w:space="0" w:color="auto"/>
        <w:bottom w:val="none" w:sz="0" w:space="0" w:color="auto"/>
        <w:right w:val="none" w:sz="0" w:space="0" w:color="auto"/>
      </w:divBdr>
    </w:div>
    <w:div w:id="263272337">
      <w:marLeft w:val="0"/>
      <w:marRight w:val="0"/>
      <w:marTop w:val="0"/>
      <w:marBottom w:val="0"/>
      <w:divBdr>
        <w:top w:val="none" w:sz="0" w:space="0" w:color="auto"/>
        <w:left w:val="none" w:sz="0" w:space="0" w:color="auto"/>
        <w:bottom w:val="none" w:sz="0" w:space="0" w:color="auto"/>
        <w:right w:val="none" w:sz="0" w:space="0" w:color="auto"/>
      </w:divBdr>
    </w:div>
    <w:div w:id="266280010">
      <w:marLeft w:val="0"/>
      <w:marRight w:val="0"/>
      <w:marTop w:val="0"/>
      <w:marBottom w:val="200"/>
      <w:divBdr>
        <w:top w:val="none" w:sz="0" w:space="0" w:color="auto"/>
        <w:left w:val="none" w:sz="0" w:space="0" w:color="auto"/>
        <w:bottom w:val="none" w:sz="0" w:space="0" w:color="auto"/>
        <w:right w:val="none" w:sz="0" w:space="0" w:color="auto"/>
      </w:divBdr>
    </w:div>
    <w:div w:id="266471701">
      <w:marLeft w:val="0"/>
      <w:marRight w:val="0"/>
      <w:marTop w:val="0"/>
      <w:marBottom w:val="0"/>
      <w:divBdr>
        <w:top w:val="none" w:sz="0" w:space="0" w:color="auto"/>
        <w:left w:val="none" w:sz="0" w:space="0" w:color="auto"/>
        <w:bottom w:val="none" w:sz="0" w:space="0" w:color="auto"/>
        <w:right w:val="none" w:sz="0" w:space="0" w:color="auto"/>
      </w:divBdr>
    </w:div>
    <w:div w:id="266617973">
      <w:marLeft w:val="0"/>
      <w:marRight w:val="0"/>
      <w:marTop w:val="0"/>
      <w:marBottom w:val="0"/>
      <w:divBdr>
        <w:top w:val="none" w:sz="0" w:space="0" w:color="auto"/>
        <w:left w:val="none" w:sz="0" w:space="0" w:color="auto"/>
        <w:bottom w:val="none" w:sz="0" w:space="0" w:color="auto"/>
        <w:right w:val="none" w:sz="0" w:space="0" w:color="auto"/>
      </w:divBdr>
      <w:divsChild>
        <w:div w:id="2061705275">
          <w:marLeft w:val="0"/>
          <w:marRight w:val="0"/>
          <w:marTop w:val="0"/>
          <w:marBottom w:val="0"/>
          <w:divBdr>
            <w:top w:val="none" w:sz="0" w:space="0" w:color="auto"/>
            <w:left w:val="none" w:sz="0" w:space="0" w:color="auto"/>
            <w:bottom w:val="none" w:sz="0" w:space="0" w:color="auto"/>
            <w:right w:val="none" w:sz="0" w:space="0" w:color="auto"/>
          </w:divBdr>
        </w:div>
      </w:divsChild>
    </w:div>
    <w:div w:id="271593548">
      <w:marLeft w:val="0"/>
      <w:marRight w:val="0"/>
      <w:marTop w:val="0"/>
      <w:marBottom w:val="0"/>
      <w:divBdr>
        <w:top w:val="none" w:sz="0" w:space="0" w:color="auto"/>
        <w:left w:val="none" w:sz="0" w:space="0" w:color="auto"/>
        <w:bottom w:val="none" w:sz="0" w:space="0" w:color="auto"/>
        <w:right w:val="none" w:sz="0" w:space="0" w:color="auto"/>
      </w:divBdr>
      <w:divsChild>
        <w:div w:id="1100641812">
          <w:marLeft w:val="0"/>
          <w:marRight w:val="0"/>
          <w:marTop w:val="0"/>
          <w:marBottom w:val="0"/>
          <w:divBdr>
            <w:top w:val="none" w:sz="0" w:space="0" w:color="auto"/>
            <w:left w:val="none" w:sz="0" w:space="0" w:color="auto"/>
            <w:bottom w:val="none" w:sz="0" w:space="0" w:color="auto"/>
            <w:right w:val="none" w:sz="0" w:space="0" w:color="auto"/>
          </w:divBdr>
        </w:div>
      </w:divsChild>
    </w:div>
    <w:div w:id="271938422">
      <w:marLeft w:val="0"/>
      <w:marRight w:val="0"/>
      <w:marTop w:val="0"/>
      <w:marBottom w:val="0"/>
      <w:divBdr>
        <w:top w:val="none" w:sz="0" w:space="0" w:color="auto"/>
        <w:left w:val="none" w:sz="0" w:space="0" w:color="auto"/>
        <w:bottom w:val="none" w:sz="0" w:space="0" w:color="auto"/>
        <w:right w:val="none" w:sz="0" w:space="0" w:color="auto"/>
      </w:divBdr>
    </w:div>
    <w:div w:id="277414127">
      <w:marLeft w:val="0"/>
      <w:marRight w:val="0"/>
      <w:marTop w:val="0"/>
      <w:marBottom w:val="0"/>
      <w:divBdr>
        <w:top w:val="none" w:sz="0" w:space="0" w:color="auto"/>
        <w:left w:val="none" w:sz="0" w:space="0" w:color="auto"/>
        <w:bottom w:val="none" w:sz="0" w:space="0" w:color="auto"/>
        <w:right w:val="none" w:sz="0" w:space="0" w:color="auto"/>
      </w:divBdr>
    </w:div>
    <w:div w:id="283002098">
      <w:marLeft w:val="0"/>
      <w:marRight w:val="0"/>
      <w:marTop w:val="200"/>
      <w:marBottom w:val="0"/>
      <w:divBdr>
        <w:top w:val="none" w:sz="0" w:space="0" w:color="auto"/>
        <w:left w:val="none" w:sz="0" w:space="0" w:color="auto"/>
        <w:bottom w:val="none" w:sz="0" w:space="0" w:color="auto"/>
        <w:right w:val="none" w:sz="0" w:space="0" w:color="auto"/>
      </w:divBdr>
    </w:div>
    <w:div w:id="283468342">
      <w:marLeft w:val="0"/>
      <w:marRight w:val="0"/>
      <w:marTop w:val="0"/>
      <w:marBottom w:val="0"/>
      <w:divBdr>
        <w:top w:val="none" w:sz="0" w:space="0" w:color="auto"/>
        <w:left w:val="none" w:sz="0" w:space="0" w:color="auto"/>
        <w:bottom w:val="none" w:sz="0" w:space="0" w:color="auto"/>
        <w:right w:val="none" w:sz="0" w:space="0" w:color="auto"/>
      </w:divBdr>
    </w:div>
    <w:div w:id="284582019">
      <w:marLeft w:val="0"/>
      <w:marRight w:val="0"/>
      <w:marTop w:val="0"/>
      <w:marBottom w:val="0"/>
      <w:divBdr>
        <w:top w:val="none" w:sz="0" w:space="0" w:color="auto"/>
        <w:left w:val="none" w:sz="0" w:space="0" w:color="auto"/>
        <w:bottom w:val="none" w:sz="0" w:space="0" w:color="auto"/>
        <w:right w:val="none" w:sz="0" w:space="0" w:color="auto"/>
      </w:divBdr>
      <w:divsChild>
        <w:div w:id="1870098630">
          <w:marLeft w:val="0"/>
          <w:marRight w:val="0"/>
          <w:marTop w:val="0"/>
          <w:marBottom w:val="0"/>
          <w:divBdr>
            <w:top w:val="none" w:sz="0" w:space="0" w:color="auto"/>
            <w:left w:val="none" w:sz="0" w:space="0" w:color="auto"/>
            <w:bottom w:val="none" w:sz="0" w:space="0" w:color="auto"/>
            <w:right w:val="none" w:sz="0" w:space="0" w:color="auto"/>
          </w:divBdr>
        </w:div>
      </w:divsChild>
    </w:div>
    <w:div w:id="285354587">
      <w:marLeft w:val="0"/>
      <w:marRight w:val="0"/>
      <w:marTop w:val="200"/>
      <w:marBottom w:val="0"/>
      <w:divBdr>
        <w:top w:val="none" w:sz="0" w:space="0" w:color="auto"/>
        <w:left w:val="none" w:sz="0" w:space="0" w:color="auto"/>
        <w:bottom w:val="none" w:sz="0" w:space="0" w:color="auto"/>
        <w:right w:val="none" w:sz="0" w:space="0" w:color="auto"/>
      </w:divBdr>
    </w:div>
    <w:div w:id="286276485">
      <w:marLeft w:val="0"/>
      <w:marRight w:val="0"/>
      <w:marTop w:val="0"/>
      <w:marBottom w:val="0"/>
      <w:divBdr>
        <w:top w:val="none" w:sz="0" w:space="0" w:color="auto"/>
        <w:left w:val="none" w:sz="0" w:space="0" w:color="auto"/>
        <w:bottom w:val="none" w:sz="0" w:space="0" w:color="auto"/>
        <w:right w:val="none" w:sz="0" w:space="0" w:color="auto"/>
      </w:divBdr>
    </w:div>
    <w:div w:id="287855260">
      <w:marLeft w:val="0"/>
      <w:marRight w:val="0"/>
      <w:marTop w:val="0"/>
      <w:marBottom w:val="0"/>
      <w:divBdr>
        <w:top w:val="none" w:sz="0" w:space="0" w:color="auto"/>
        <w:left w:val="none" w:sz="0" w:space="0" w:color="auto"/>
        <w:bottom w:val="none" w:sz="0" w:space="0" w:color="auto"/>
        <w:right w:val="none" w:sz="0" w:space="0" w:color="auto"/>
      </w:divBdr>
    </w:div>
    <w:div w:id="290012829">
      <w:marLeft w:val="0"/>
      <w:marRight w:val="0"/>
      <w:marTop w:val="200"/>
      <w:marBottom w:val="0"/>
      <w:divBdr>
        <w:top w:val="none" w:sz="0" w:space="0" w:color="auto"/>
        <w:left w:val="none" w:sz="0" w:space="0" w:color="auto"/>
        <w:bottom w:val="none" w:sz="0" w:space="0" w:color="auto"/>
        <w:right w:val="none" w:sz="0" w:space="0" w:color="auto"/>
      </w:divBdr>
    </w:div>
    <w:div w:id="290356631">
      <w:marLeft w:val="0"/>
      <w:marRight w:val="0"/>
      <w:marTop w:val="200"/>
      <w:marBottom w:val="0"/>
      <w:divBdr>
        <w:top w:val="none" w:sz="0" w:space="0" w:color="auto"/>
        <w:left w:val="none" w:sz="0" w:space="0" w:color="auto"/>
        <w:bottom w:val="none" w:sz="0" w:space="0" w:color="auto"/>
        <w:right w:val="none" w:sz="0" w:space="0" w:color="auto"/>
      </w:divBdr>
    </w:div>
    <w:div w:id="292444056">
      <w:marLeft w:val="0"/>
      <w:marRight w:val="0"/>
      <w:marTop w:val="0"/>
      <w:marBottom w:val="0"/>
      <w:divBdr>
        <w:top w:val="none" w:sz="0" w:space="0" w:color="auto"/>
        <w:left w:val="none" w:sz="0" w:space="0" w:color="auto"/>
        <w:bottom w:val="none" w:sz="0" w:space="0" w:color="auto"/>
        <w:right w:val="none" w:sz="0" w:space="0" w:color="auto"/>
      </w:divBdr>
      <w:divsChild>
        <w:div w:id="136461697">
          <w:marLeft w:val="0"/>
          <w:marRight w:val="0"/>
          <w:marTop w:val="0"/>
          <w:marBottom w:val="0"/>
          <w:divBdr>
            <w:top w:val="none" w:sz="0" w:space="0" w:color="auto"/>
            <w:left w:val="none" w:sz="0" w:space="0" w:color="auto"/>
            <w:bottom w:val="none" w:sz="0" w:space="0" w:color="auto"/>
            <w:right w:val="none" w:sz="0" w:space="0" w:color="auto"/>
          </w:divBdr>
        </w:div>
      </w:divsChild>
    </w:div>
    <w:div w:id="292710302">
      <w:marLeft w:val="0"/>
      <w:marRight w:val="0"/>
      <w:marTop w:val="200"/>
      <w:marBottom w:val="0"/>
      <w:divBdr>
        <w:top w:val="none" w:sz="0" w:space="0" w:color="auto"/>
        <w:left w:val="none" w:sz="0" w:space="0" w:color="auto"/>
        <w:bottom w:val="none" w:sz="0" w:space="0" w:color="auto"/>
        <w:right w:val="none" w:sz="0" w:space="0" w:color="auto"/>
      </w:divBdr>
    </w:div>
    <w:div w:id="293602530">
      <w:marLeft w:val="0"/>
      <w:marRight w:val="0"/>
      <w:marTop w:val="200"/>
      <w:marBottom w:val="0"/>
      <w:divBdr>
        <w:top w:val="none" w:sz="0" w:space="0" w:color="auto"/>
        <w:left w:val="none" w:sz="0" w:space="0" w:color="auto"/>
        <w:bottom w:val="none" w:sz="0" w:space="0" w:color="auto"/>
        <w:right w:val="none" w:sz="0" w:space="0" w:color="auto"/>
      </w:divBdr>
    </w:div>
    <w:div w:id="300505993">
      <w:marLeft w:val="0"/>
      <w:marRight w:val="0"/>
      <w:marTop w:val="200"/>
      <w:marBottom w:val="0"/>
      <w:divBdr>
        <w:top w:val="none" w:sz="0" w:space="0" w:color="auto"/>
        <w:left w:val="none" w:sz="0" w:space="0" w:color="auto"/>
        <w:bottom w:val="none" w:sz="0" w:space="0" w:color="auto"/>
        <w:right w:val="none" w:sz="0" w:space="0" w:color="auto"/>
      </w:divBdr>
    </w:div>
    <w:div w:id="302394219">
      <w:marLeft w:val="0"/>
      <w:marRight w:val="0"/>
      <w:marTop w:val="200"/>
      <w:marBottom w:val="0"/>
      <w:divBdr>
        <w:top w:val="none" w:sz="0" w:space="0" w:color="auto"/>
        <w:left w:val="none" w:sz="0" w:space="0" w:color="auto"/>
        <w:bottom w:val="none" w:sz="0" w:space="0" w:color="auto"/>
        <w:right w:val="none" w:sz="0" w:space="0" w:color="auto"/>
      </w:divBdr>
    </w:div>
    <w:div w:id="303045806">
      <w:marLeft w:val="0"/>
      <w:marRight w:val="0"/>
      <w:marTop w:val="0"/>
      <w:marBottom w:val="0"/>
      <w:divBdr>
        <w:top w:val="none" w:sz="0" w:space="0" w:color="auto"/>
        <w:left w:val="none" w:sz="0" w:space="0" w:color="auto"/>
        <w:bottom w:val="none" w:sz="0" w:space="0" w:color="auto"/>
        <w:right w:val="none" w:sz="0" w:space="0" w:color="auto"/>
      </w:divBdr>
      <w:divsChild>
        <w:div w:id="1144158417">
          <w:marLeft w:val="0"/>
          <w:marRight w:val="0"/>
          <w:marTop w:val="0"/>
          <w:marBottom w:val="0"/>
          <w:divBdr>
            <w:top w:val="none" w:sz="0" w:space="0" w:color="auto"/>
            <w:left w:val="none" w:sz="0" w:space="0" w:color="auto"/>
            <w:bottom w:val="none" w:sz="0" w:space="0" w:color="auto"/>
            <w:right w:val="none" w:sz="0" w:space="0" w:color="auto"/>
          </w:divBdr>
        </w:div>
      </w:divsChild>
    </w:div>
    <w:div w:id="304359754">
      <w:marLeft w:val="0"/>
      <w:marRight w:val="0"/>
      <w:marTop w:val="0"/>
      <w:marBottom w:val="0"/>
      <w:divBdr>
        <w:top w:val="none" w:sz="0" w:space="0" w:color="auto"/>
        <w:left w:val="none" w:sz="0" w:space="0" w:color="auto"/>
        <w:bottom w:val="none" w:sz="0" w:space="0" w:color="auto"/>
        <w:right w:val="none" w:sz="0" w:space="0" w:color="auto"/>
      </w:divBdr>
    </w:div>
    <w:div w:id="304511656">
      <w:marLeft w:val="0"/>
      <w:marRight w:val="0"/>
      <w:marTop w:val="200"/>
      <w:marBottom w:val="0"/>
      <w:divBdr>
        <w:top w:val="none" w:sz="0" w:space="0" w:color="auto"/>
        <w:left w:val="none" w:sz="0" w:space="0" w:color="auto"/>
        <w:bottom w:val="none" w:sz="0" w:space="0" w:color="auto"/>
        <w:right w:val="none" w:sz="0" w:space="0" w:color="auto"/>
      </w:divBdr>
    </w:div>
    <w:div w:id="308443275">
      <w:marLeft w:val="0"/>
      <w:marRight w:val="0"/>
      <w:marTop w:val="0"/>
      <w:marBottom w:val="0"/>
      <w:divBdr>
        <w:top w:val="none" w:sz="0" w:space="0" w:color="auto"/>
        <w:left w:val="none" w:sz="0" w:space="0" w:color="auto"/>
        <w:bottom w:val="none" w:sz="0" w:space="0" w:color="auto"/>
        <w:right w:val="none" w:sz="0" w:space="0" w:color="auto"/>
      </w:divBdr>
      <w:divsChild>
        <w:div w:id="1378428559">
          <w:marLeft w:val="0"/>
          <w:marRight w:val="0"/>
          <w:marTop w:val="0"/>
          <w:marBottom w:val="0"/>
          <w:divBdr>
            <w:top w:val="none" w:sz="0" w:space="0" w:color="auto"/>
            <w:left w:val="none" w:sz="0" w:space="0" w:color="auto"/>
            <w:bottom w:val="none" w:sz="0" w:space="0" w:color="auto"/>
            <w:right w:val="none" w:sz="0" w:space="0" w:color="auto"/>
          </w:divBdr>
        </w:div>
        <w:div w:id="1291519248">
          <w:marLeft w:val="0"/>
          <w:marRight w:val="0"/>
          <w:marTop w:val="0"/>
          <w:marBottom w:val="0"/>
          <w:divBdr>
            <w:top w:val="none" w:sz="0" w:space="0" w:color="auto"/>
            <w:left w:val="none" w:sz="0" w:space="0" w:color="auto"/>
            <w:bottom w:val="none" w:sz="0" w:space="0" w:color="auto"/>
            <w:right w:val="none" w:sz="0" w:space="0" w:color="auto"/>
          </w:divBdr>
        </w:div>
        <w:div w:id="1273049364">
          <w:marLeft w:val="0"/>
          <w:marRight w:val="0"/>
          <w:marTop w:val="0"/>
          <w:marBottom w:val="0"/>
          <w:divBdr>
            <w:top w:val="none" w:sz="0" w:space="0" w:color="auto"/>
            <w:left w:val="none" w:sz="0" w:space="0" w:color="auto"/>
            <w:bottom w:val="none" w:sz="0" w:space="0" w:color="auto"/>
            <w:right w:val="none" w:sz="0" w:space="0" w:color="auto"/>
          </w:divBdr>
        </w:div>
        <w:div w:id="1366518311">
          <w:marLeft w:val="0"/>
          <w:marRight w:val="0"/>
          <w:marTop w:val="0"/>
          <w:marBottom w:val="0"/>
          <w:divBdr>
            <w:top w:val="none" w:sz="0" w:space="0" w:color="auto"/>
            <w:left w:val="none" w:sz="0" w:space="0" w:color="auto"/>
            <w:bottom w:val="none" w:sz="0" w:space="0" w:color="auto"/>
            <w:right w:val="none" w:sz="0" w:space="0" w:color="auto"/>
          </w:divBdr>
        </w:div>
      </w:divsChild>
    </w:div>
    <w:div w:id="308679954">
      <w:marLeft w:val="0"/>
      <w:marRight w:val="0"/>
      <w:marTop w:val="0"/>
      <w:marBottom w:val="0"/>
      <w:divBdr>
        <w:top w:val="none" w:sz="0" w:space="0" w:color="auto"/>
        <w:left w:val="none" w:sz="0" w:space="0" w:color="auto"/>
        <w:bottom w:val="none" w:sz="0" w:space="0" w:color="auto"/>
        <w:right w:val="none" w:sz="0" w:space="0" w:color="auto"/>
      </w:divBdr>
      <w:divsChild>
        <w:div w:id="1994941584">
          <w:marLeft w:val="0"/>
          <w:marRight w:val="0"/>
          <w:marTop w:val="0"/>
          <w:marBottom w:val="0"/>
          <w:divBdr>
            <w:top w:val="none" w:sz="0" w:space="0" w:color="auto"/>
            <w:left w:val="none" w:sz="0" w:space="0" w:color="auto"/>
            <w:bottom w:val="none" w:sz="0" w:space="0" w:color="auto"/>
            <w:right w:val="none" w:sz="0" w:space="0" w:color="auto"/>
          </w:divBdr>
        </w:div>
      </w:divsChild>
    </w:div>
    <w:div w:id="309788811">
      <w:marLeft w:val="0"/>
      <w:marRight w:val="0"/>
      <w:marTop w:val="0"/>
      <w:marBottom w:val="0"/>
      <w:divBdr>
        <w:top w:val="none" w:sz="0" w:space="0" w:color="auto"/>
        <w:left w:val="none" w:sz="0" w:space="0" w:color="auto"/>
        <w:bottom w:val="none" w:sz="0" w:space="0" w:color="auto"/>
        <w:right w:val="none" w:sz="0" w:space="0" w:color="auto"/>
      </w:divBdr>
    </w:div>
    <w:div w:id="313219649">
      <w:marLeft w:val="0"/>
      <w:marRight w:val="0"/>
      <w:marTop w:val="0"/>
      <w:marBottom w:val="0"/>
      <w:divBdr>
        <w:top w:val="none" w:sz="0" w:space="0" w:color="auto"/>
        <w:left w:val="none" w:sz="0" w:space="0" w:color="auto"/>
        <w:bottom w:val="none" w:sz="0" w:space="0" w:color="auto"/>
        <w:right w:val="none" w:sz="0" w:space="0" w:color="auto"/>
      </w:divBdr>
    </w:div>
    <w:div w:id="316692161">
      <w:marLeft w:val="0"/>
      <w:marRight w:val="0"/>
      <w:marTop w:val="200"/>
      <w:marBottom w:val="0"/>
      <w:divBdr>
        <w:top w:val="none" w:sz="0" w:space="0" w:color="auto"/>
        <w:left w:val="none" w:sz="0" w:space="0" w:color="auto"/>
        <w:bottom w:val="none" w:sz="0" w:space="0" w:color="auto"/>
        <w:right w:val="none" w:sz="0" w:space="0" w:color="auto"/>
      </w:divBdr>
    </w:div>
    <w:div w:id="318927006">
      <w:marLeft w:val="0"/>
      <w:marRight w:val="0"/>
      <w:marTop w:val="0"/>
      <w:marBottom w:val="0"/>
      <w:divBdr>
        <w:top w:val="none" w:sz="0" w:space="0" w:color="auto"/>
        <w:left w:val="none" w:sz="0" w:space="0" w:color="auto"/>
        <w:bottom w:val="none" w:sz="0" w:space="0" w:color="auto"/>
        <w:right w:val="none" w:sz="0" w:space="0" w:color="auto"/>
      </w:divBdr>
    </w:div>
    <w:div w:id="321087301">
      <w:marLeft w:val="0"/>
      <w:marRight w:val="0"/>
      <w:marTop w:val="0"/>
      <w:marBottom w:val="160"/>
      <w:divBdr>
        <w:top w:val="none" w:sz="0" w:space="0" w:color="auto"/>
        <w:left w:val="none" w:sz="0" w:space="0" w:color="auto"/>
        <w:bottom w:val="none" w:sz="0" w:space="0" w:color="auto"/>
        <w:right w:val="none" w:sz="0" w:space="0" w:color="auto"/>
      </w:divBdr>
    </w:div>
    <w:div w:id="324938658">
      <w:marLeft w:val="0"/>
      <w:marRight w:val="0"/>
      <w:marTop w:val="0"/>
      <w:marBottom w:val="0"/>
      <w:divBdr>
        <w:top w:val="none" w:sz="0" w:space="0" w:color="auto"/>
        <w:left w:val="none" w:sz="0" w:space="0" w:color="auto"/>
        <w:bottom w:val="none" w:sz="0" w:space="0" w:color="auto"/>
        <w:right w:val="none" w:sz="0" w:space="0" w:color="auto"/>
      </w:divBdr>
      <w:divsChild>
        <w:div w:id="608968653">
          <w:marLeft w:val="0"/>
          <w:marRight w:val="0"/>
          <w:marTop w:val="0"/>
          <w:marBottom w:val="0"/>
          <w:divBdr>
            <w:top w:val="none" w:sz="0" w:space="0" w:color="auto"/>
            <w:left w:val="none" w:sz="0" w:space="0" w:color="auto"/>
            <w:bottom w:val="none" w:sz="0" w:space="0" w:color="auto"/>
            <w:right w:val="none" w:sz="0" w:space="0" w:color="auto"/>
          </w:divBdr>
        </w:div>
      </w:divsChild>
    </w:div>
    <w:div w:id="327365430">
      <w:marLeft w:val="0"/>
      <w:marRight w:val="0"/>
      <w:marTop w:val="200"/>
      <w:marBottom w:val="0"/>
      <w:divBdr>
        <w:top w:val="none" w:sz="0" w:space="0" w:color="auto"/>
        <w:left w:val="none" w:sz="0" w:space="0" w:color="auto"/>
        <w:bottom w:val="none" w:sz="0" w:space="0" w:color="auto"/>
        <w:right w:val="none" w:sz="0" w:space="0" w:color="auto"/>
      </w:divBdr>
    </w:div>
    <w:div w:id="329218016">
      <w:marLeft w:val="0"/>
      <w:marRight w:val="0"/>
      <w:marTop w:val="0"/>
      <w:marBottom w:val="0"/>
      <w:divBdr>
        <w:top w:val="none" w:sz="0" w:space="0" w:color="auto"/>
        <w:left w:val="none" w:sz="0" w:space="0" w:color="auto"/>
        <w:bottom w:val="none" w:sz="0" w:space="0" w:color="auto"/>
        <w:right w:val="none" w:sz="0" w:space="0" w:color="auto"/>
      </w:divBdr>
      <w:divsChild>
        <w:div w:id="556546670">
          <w:marLeft w:val="0"/>
          <w:marRight w:val="0"/>
          <w:marTop w:val="0"/>
          <w:marBottom w:val="0"/>
          <w:divBdr>
            <w:top w:val="none" w:sz="0" w:space="0" w:color="auto"/>
            <w:left w:val="none" w:sz="0" w:space="0" w:color="auto"/>
            <w:bottom w:val="none" w:sz="0" w:space="0" w:color="auto"/>
            <w:right w:val="none" w:sz="0" w:space="0" w:color="auto"/>
          </w:divBdr>
        </w:div>
        <w:div w:id="702365189">
          <w:marLeft w:val="0"/>
          <w:marRight w:val="0"/>
          <w:marTop w:val="0"/>
          <w:marBottom w:val="0"/>
          <w:divBdr>
            <w:top w:val="none" w:sz="0" w:space="0" w:color="auto"/>
            <w:left w:val="none" w:sz="0" w:space="0" w:color="auto"/>
            <w:bottom w:val="none" w:sz="0" w:space="0" w:color="auto"/>
            <w:right w:val="none" w:sz="0" w:space="0" w:color="auto"/>
          </w:divBdr>
        </w:div>
        <w:div w:id="1734741566">
          <w:marLeft w:val="0"/>
          <w:marRight w:val="0"/>
          <w:marTop w:val="0"/>
          <w:marBottom w:val="0"/>
          <w:divBdr>
            <w:top w:val="none" w:sz="0" w:space="0" w:color="auto"/>
            <w:left w:val="none" w:sz="0" w:space="0" w:color="auto"/>
            <w:bottom w:val="none" w:sz="0" w:space="0" w:color="auto"/>
            <w:right w:val="none" w:sz="0" w:space="0" w:color="auto"/>
          </w:divBdr>
        </w:div>
        <w:div w:id="2014063339">
          <w:marLeft w:val="0"/>
          <w:marRight w:val="0"/>
          <w:marTop w:val="0"/>
          <w:marBottom w:val="0"/>
          <w:divBdr>
            <w:top w:val="none" w:sz="0" w:space="0" w:color="auto"/>
            <w:left w:val="none" w:sz="0" w:space="0" w:color="auto"/>
            <w:bottom w:val="none" w:sz="0" w:space="0" w:color="auto"/>
            <w:right w:val="none" w:sz="0" w:space="0" w:color="auto"/>
          </w:divBdr>
        </w:div>
      </w:divsChild>
    </w:div>
    <w:div w:id="332071884">
      <w:marLeft w:val="0"/>
      <w:marRight w:val="0"/>
      <w:marTop w:val="0"/>
      <w:marBottom w:val="0"/>
      <w:divBdr>
        <w:top w:val="none" w:sz="0" w:space="0" w:color="auto"/>
        <w:left w:val="none" w:sz="0" w:space="0" w:color="auto"/>
        <w:bottom w:val="none" w:sz="0" w:space="0" w:color="auto"/>
        <w:right w:val="none" w:sz="0" w:space="0" w:color="auto"/>
      </w:divBdr>
    </w:div>
    <w:div w:id="335964559">
      <w:marLeft w:val="0"/>
      <w:marRight w:val="0"/>
      <w:marTop w:val="0"/>
      <w:marBottom w:val="0"/>
      <w:divBdr>
        <w:top w:val="none" w:sz="0" w:space="0" w:color="auto"/>
        <w:left w:val="none" w:sz="0" w:space="0" w:color="auto"/>
        <w:bottom w:val="none" w:sz="0" w:space="0" w:color="auto"/>
        <w:right w:val="none" w:sz="0" w:space="0" w:color="auto"/>
      </w:divBdr>
      <w:divsChild>
        <w:div w:id="1583954932">
          <w:marLeft w:val="0"/>
          <w:marRight w:val="0"/>
          <w:marTop w:val="0"/>
          <w:marBottom w:val="0"/>
          <w:divBdr>
            <w:top w:val="none" w:sz="0" w:space="0" w:color="auto"/>
            <w:left w:val="none" w:sz="0" w:space="0" w:color="auto"/>
            <w:bottom w:val="none" w:sz="0" w:space="0" w:color="auto"/>
            <w:right w:val="none" w:sz="0" w:space="0" w:color="auto"/>
          </w:divBdr>
        </w:div>
      </w:divsChild>
    </w:div>
    <w:div w:id="338431715">
      <w:marLeft w:val="0"/>
      <w:marRight w:val="0"/>
      <w:marTop w:val="0"/>
      <w:marBottom w:val="0"/>
      <w:divBdr>
        <w:top w:val="none" w:sz="0" w:space="0" w:color="auto"/>
        <w:left w:val="none" w:sz="0" w:space="0" w:color="auto"/>
        <w:bottom w:val="none" w:sz="0" w:space="0" w:color="auto"/>
        <w:right w:val="none" w:sz="0" w:space="0" w:color="auto"/>
      </w:divBdr>
      <w:divsChild>
        <w:div w:id="1646624214">
          <w:marLeft w:val="0"/>
          <w:marRight w:val="0"/>
          <w:marTop w:val="0"/>
          <w:marBottom w:val="0"/>
          <w:divBdr>
            <w:top w:val="none" w:sz="0" w:space="0" w:color="auto"/>
            <w:left w:val="none" w:sz="0" w:space="0" w:color="auto"/>
            <w:bottom w:val="none" w:sz="0" w:space="0" w:color="auto"/>
            <w:right w:val="none" w:sz="0" w:space="0" w:color="auto"/>
          </w:divBdr>
        </w:div>
        <w:div w:id="846675321">
          <w:marLeft w:val="0"/>
          <w:marRight w:val="0"/>
          <w:marTop w:val="0"/>
          <w:marBottom w:val="0"/>
          <w:divBdr>
            <w:top w:val="none" w:sz="0" w:space="0" w:color="auto"/>
            <w:left w:val="none" w:sz="0" w:space="0" w:color="auto"/>
            <w:bottom w:val="none" w:sz="0" w:space="0" w:color="auto"/>
            <w:right w:val="none" w:sz="0" w:space="0" w:color="auto"/>
          </w:divBdr>
        </w:div>
        <w:div w:id="1694768079">
          <w:marLeft w:val="0"/>
          <w:marRight w:val="0"/>
          <w:marTop w:val="0"/>
          <w:marBottom w:val="0"/>
          <w:divBdr>
            <w:top w:val="none" w:sz="0" w:space="0" w:color="auto"/>
            <w:left w:val="none" w:sz="0" w:space="0" w:color="auto"/>
            <w:bottom w:val="none" w:sz="0" w:space="0" w:color="auto"/>
            <w:right w:val="none" w:sz="0" w:space="0" w:color="auto"/>
          </w:divBdr>
        </w:div>
        <w:div w:id="1510867979">
          <w:marLeft w:val="0"/>
          <w:marRight w:val="0"/>
          <w:marTop w:val="0"/>
          <w:marBottom w:val="0"/>
          <w:divBdr>
            <w:top w:val="none" w:sz="0" w:space="0" w:color="auto"/>
            <w:left w:val="none" w:sz="0" w:space="0" w:color="auto"/>
            <w:bottom w:val="none" w:sz="0" w:space="0" w:color="auto"/>
            <w:right w:val="none" w:sz="0" w:space="0" w:color="auto"/>
          </w:divBdr>
        </w:div>
      </w:divsChild>
    </w:div>
    <w:div w:id="339476883">
      <w:marLeft w:val="0"/>
      <w:marRight w:val="0"/>
      <w:marTop w:val="200"/>
      <w:marBottom w:val="0"/>
      <w:divBdr>
        <w:top w:val="none" w:sz="0" w:space="0" w:color="auto"/>
        <w:left w:val="none" w:sz="0" w:space="0" w:color="auto"/>
        <w:bottom w:val="none" w:sz="0" w:space="0" w:color="auto"/>
        <w:right w:val="none" w:sz="0" w:space="0" w:color="auto"/>
      </w:divBdr>
    </w:div>
    <w:div w:id="341780132">
      <w:marLeft w:val="0"/>
      <w:marRight w:val="0"/>
      <w:marTop w:val="0"/>
      <w:marBottom w:val="0"/>
      <w:divBdr>
        <w:top w:val="none" w:sz="0" w:space="0" w:color="auto"/>
        <w:left w:val="none" w:sz="0" w:space="0" w:color="auto"/>
        <w:bottom w:val="none" w:sz="0" w:space="0" w:color="auto"/>
        <w:right w:val="none" w:sz="0" w:space="0" w:color="auto"/>
      </w:divBdr>
      <w:divsChild>
        <w:div w:id="471680170">
          <w:marLeft w:val="0"/>
          <w:marRight w:val="0"/>
          <w:marTop w:val="0"/>
          <w:marBottom w:val="0"/>
          <w:divBdr>
            <w:top w:val="none" w:sz="0" w:space="0" w:color="auto"/>
            <w:left w:val="none" w:sz="0" w:space="0" w:color="auto"/>
            <w:bottom w:val="none" w:sz="0" w:space="0" w:color="auto"/>
            <w:right w:val="none" w:sz="0" w:space="0" w:color="auto"/>
          </w:divBdr>
        </w:div>
        <w:div w:id="1330786721">
          <w:marLeft w:val="0"/>
          <w:marRight w:val="0"/>
          <w:marTop w:val="0"/>
          <w:marBottom w:val="0"/>
          <w:divBdr>
            <w:top w:val="none" w:sz="0" w:space="0" w:color="auto"/>
            <w:left w:val="none" w:sz="0" w:space="0" w:color="auto"/>
            <w:bottom w:val="none" w:sz="0" w:space="0" w:color="auto"/>
            <w:right w:val="none" w:sz="0" w:space="0" w:color="auto"/>
          </w:divBdr>
        </w:div>
        <w:div w:id="364252090">
          <w:marLeft w:val="0"/>
          <w:marRight w:val="0"/>
          <w:marTop w:val="0"/>
          <w:marBottom w:val="0"/>
          <w:divBdr>
            <w:top w:val="none" w:sz="0" w:space="0" w:color="auto"/>
            <w:left w:val="none" w:sz="0" w:space="0" w:color="auto"/>
            <w:bottom w:val="none" w:sz="0" w:space="0" w:color="auto"/>
            <w:right w:val="none" w:sz="0" w:space="0" w:color="auto"/>
          </w:divBdr>
        </w:div>
        <w:div w:id="2041466225">
          <w:marLeft w:val="0"/>
          <w:marRight w:val="0"/>
          <w:marTop w:val="0"/>
          <w:marBottom w:val="0"/>
          <w:divBdr>
            <w:top w:val="none" w:sz="0" w:space="0" w:color="auto"/>
            <w:left w:val="none" w:sz="0" w:space="0" w:color="auto"/>
            <w:bottom w:val="none" w:sz="0" w:space="0" w:color="auto"/>
            <w:right w:val="none" w:sz="0" w:space="0" w:color="auto"/>
          </w:divBdr>
        </w:div>
      </w:divsChild>
    </w:div>
    <w:div w:id="343898537">
      <w:marLeft w:val="0"/>
      <w:marRight w:val="0"/>
      <w:marTop w:val="200"/>
      <w:marBottom w:val="0"/>
      <w:divBdr>
        <w:top w:val="none" w:sz="0" w:space="0" w:color="auto"/>
        <w:left w:val="none" w:sz="0" w:space="0" w:color="auto"/>
        <w:bottom w:val="none" w:sz="0" w:space="0" w:color="auto"/>
        <w:right w:val="none" w:sz="0" w:space="0" w:color="auto"/>
      </w:divBdr>
    </w:div>
    <w:div w:id="344862742">
      <w:marLeft w:val="0"/>
      <w:marRight w:val="0"/>
      <w:marTop w:val="100"/>
      <w:marBottom w:val="0"/>
      <w:divBdr>
        <w:top w:val="none" w:sz="0" w:space="0" w:color="auto"/>
        <w:left w:val="none" w:sz="0" w:space="0" w:color="auto"/>
        <w:bottom w:val="none" w:sz="0" w:space="0" w:color="auto"/>
        <w:right w:val="none" w:sz="0" w:space="0" w:color="auto"/>
      </w:divBdr>
    </w:div>
    <w:div w:id="345445498">
      <w:marLeft w:val="0"/>
      <w:marRight w:val="0"/>
      <w:marTop w:val="200"/>
      <w:marBottom w:val="0"/>
      <w:divBdr>
        <w:top w:val="none" w:sz="0" w:space="0" w:color="auto"/>
        <w:left w:val="none" w:sz="0" w:space="0" w:color="auto"/>
        <w:bottom w:val="none" w:sz="0" w:space="0" w:color="auto"/>
        <w:right w:val="none" w:sz="0" w:space="0" w:color="auto"/>
      </w:divBdr>
    </w:div>
    <w:div w:id="345788294">
      <w:marLeft w:val="0"/>
      <w:marRight w:val="0"/>
      <w:marTop w:val="0"/>
      <w:marBottom w:val="0"/>
      <w:divBdr>
        <w:top w:val="none" w:sz="0" w:space="0" w:color="auto"/>
        <w:left w:val="none" w:sz="0" w:space="0" w:color="auto"/>
        <w:bottom w:val="none" w:sz="0" w:space="0" w:color="auto"/>
        <w:right w:val="none" w:sz="0" w:space="0" w:color="auto"/>
      </w:divBdr>
      <w:divsChild>
        <w:div w:id="1558975181">
          <w:marLeft w:val="0"/>
          <w:marRight w:val="0"/>
          <w:marTop w:val="0"/>
          <w:marBottom w:val="0"/>
          <w:divBdr>
            <w:top w:val="none" w:sz="0" w:space="0" w:color="auto"/>
            <w:left w:val="none" w:sz="0" w:space="0" w:color="auto"/>
            <w:bottom w:val="none" w:sz="0" w:space="0" w:color="auto"/>
            <w:right w:val="none" w:sz="0" w:space="0" w:color="auto"/>
          </w:divBdr>
        </w:div>
        <w:div w:id="1191189454">
          <w:marLeft w:val="0"/>
          <w:marRight w:val="0"/>
          <w:marTop w:val="0"/>
          <w:marBottom w:val="0"/>
          <w:divBdr>
            <w:top w:val="none" w:sz="0" w:space="0" w:color="auto"/>
            <w:left w:val="none" w:sz="0" w:space="0" w:color="auto"/>
            <w:bottom w:val="none" w:sz="0" w:space="0" w:color="auto"/>
            <w:right w:val="none" w:sz="0" w:space="0" w:color="auto"/>
          </w:divBdr>
        </w:div>
        <w:div w:id="1163858621">
          <w:marLeft w:val="0"/>
          <w:marRight w:val="0"/>
          <w:marTop w:val="0"/>
          <w:marBottom w:val="0"/>
          <w:divBdr>
            <w:top w:val="none" w:sz="0" w:space="0" w:color="auto"/>
            <w:left w:val="none" w:sz="0" w:space="0" w:color="auto"/>
            <w:bottom w:val="none" w:sz="0" w:space="0" w:color="auto"/>
            <w:right w:val="none" w:sz="0" w:space="0" w:color="auto"/>
          </w:divBdr>
        </w:div>
        <w:div w:id="1677688698">
          <w:marLeft w:val="0"/>
          <w:marRight w:val="0"/>
          <w:marTop w:val="0"/>
          <w:marBottom w:val="0"/>
          <w:divBdr>
            <w:top w:val="none" w:sz="0" w:space="0" w:color="auto"/>
            <w:left w:val="none" w:sz="0" w:space="0" w:color="auto"/>
            <w:bottom w:val="none" w:sz="0" w:space="0" w:color="auto"/>
            <w:right w:val="none" w:sz="0" w:space="0" w:color="auto"/>
          </w:divBdr>
        </w:div>
      </w:divsChild>
    </w:div>
    <w:div w:id="348264767">
      <w:marLeft w:val="0"/>
      <w:marRight w:val="0"/>
      <w:marTop w:val="0"/>
      <w:marBottom w:val="0"/>
      <w:divBdr>
        <w:top w:val="none" w:sz="0" w:space="0" w:color="auto"/>
        <w:left w:val="none" w:sz="0" w:space="0" w:color="auto"/>
        <w:bottom w:val="none" w:sz="0" w:space="0" w:color="auto"/>
        <w:right w:val="none" w:sz="0" w:space="0" w:color="auto"/>
      </w:divBdr>
      <w:divsChild>
        <w:div w:id="1136872904">
          <w:marLeft w:val="0"/>
          <w:marRight w:val="0"/>
          <w:marTop w:val="0"/>
          <w:marBottom w:val="0"/>
          <w:divBdr>
            <w:top w:val="none" w:sz="0" w:space="0" w:color="auto"/>
            <w:left w:val="none" w:sz="0" w:space="0" w:color="auto"/>
            <w:bottom w:val="none" w:sz="0" w:space="0" w:color="auto"/>
            <w:right w:val="none" w:sz="0" w:space="0" w:color="auto"/>
          </w:divBdr>
        </w:div>
      </w:divsChild>
    </w:div>
    <w:div w:id="357661479">
      <w:marLeft w:val="0"/>
      <w:marRight w:val="0"/>
      <w:marTop w:val="0"/>
      <w:marBottom w:val="160"/>
      <w:divBdr>
        <w:top w:val="none" w:sz="0" w:space="0" w:color="auto"/>
        <w:left w:val="none" w:sz="0" w:space="0" w:color="auto"/>
        <w:bottom w:val="none" w:sz="0" w:space="0" w:color="auto"/>
        <w:right w:val="none" w:sz="0" w:space="0" w:color="auto"/>
      </w:divBdr>
    </w:div>
    <w:div w:id="359164149">
      <w:marLeft w:val="0"/>
      <w:marRight w:val="0"/>
      <w:marTop w:val="200"/>
      <w:marBottom w:val="0"/>
      <w:divBdr>
        <w:top w:val="none" w:sz="0" w:space="0" w:color="auto"/>
        <w:left w:val="none" w:sz="0" w:space="0" w:color="auto"/>
        <w:bottom w:val="none" w:sz="0" w:space="0" w:color="auto"/>
        <w:right w:val="none" w:sz="0" w:space="0" w:color="auto"/>
      </w:divBdr>
    </w:div>
    <w:div w:id="361789844">
      <w:marLeft w:val="0"/>
      <w:marRight w:val="0"/>
      <w:marTop w:val="0"/>
      <w:marBottom w:val="0"/>
      <w:divBdr>
        <w:top w:val="none" w:sz="0" w:space="0" w:color="auto"/>
        <w:left w:val="none" w:sz="0" w:space="0" w:color="auto"/>
        <w:bottom w:val="none" w:sz="0" w:space="0" w:color="auto"/>
        <w:right w:val="none" w:sz="0" w:space="0" w:color="auto"/>
      </w:divBdr>
    </w:div>
    <w:div w:id="361825539">
      <w:marLeft w:val="0"/>
      <w:marRight w:val="0"/>
      <w:marTop w:val="0"/>
      <w:marBottom w:val="0"/>
      <w:divBdr>
        <w:top w:val="none" w:sz="0" w:space="0" w:color="auto"/>
        <w:left w:val="none" w:sz="0" w:space="0" w:color="auto"/>
        <w:bottom w:val="none" w:sz="0" w:space="0" w:color="auto"/>
        <w:right w:val="none" w:sz="0" w:space="0" w:color="auto"/>
      </w:divBdr>
    </w:div>
    <w:div w:id="367528219">
      <w:marLeft w:val="0"/>
      <w:marRight w:val="0"/>
      <w:marTop w:val="0"/>
      <w:marBottom w:val="0"/>
      <w:divBdr>
        <w:top w:val="none" w:sz="0" w:space="0" w:color="auto"/>
        <w:left w:val="none" w:sz="0" w:space="0" w:color="auto"/>
        <w:bottom w:val="none" w:sz="0" w:space="0" w:color="auto"/>
        <w:right w:val="none" w:sz="0" w:space="0" w:color="auto"/>
      </w:divBdr>
    </w:div>
    <w:div w:id="367686819">
      <w:marLeft w:val="0"/>
      <w:marRight w:val="0"/>
      <w:marTop w:val="200"/>
      <w:marBottom w:val="0"/>
      <w:divBdr>
        <w:top w:val="none" w:sz="0" w:space="0" w:color="auto"/>
        <w:left w:val="none" w:sz="0" w:space="0" w:color="auto"/>
        <w:bottom w:val="none" w:sz="0" w:space="0" w:color="auto"/>
        <w:right w:val="none" w:sz="0" w:space="0" w:color="auto"/>
      </w:divBdr>
    </w:div>
    <w:div w:id="369305307">
      <w:marLeft w:val="0"/>
      <w:marRight w:val="0"/>
      <w:marTop w:val="0"/>
      <w:marBottom w:val="0"/>
      <w:divBdr>
        <w:top w:val="none" w:sz="0" w:space="0" w:color="auto"/>
        <w:left w:val="none" w:sz="0" w:space="0" w:color="auto"/>
        <w:bottom w:val="none" w:sz="0" w:space="0" w:color="auto"/>
        <w:right w:val="none" w:sz="0" w:space="0" w:color="auto"/>
      </w:divBdr>
      <w:divsChild>
        <w:div w:id="1346322434">
          <w:marLeft w:val="0"/>
          <w:marRight w:val="0"/>
          <w:marTop w:val="0"/>
          <w:marBottom w:val="0"/>
          <w:divBdr>
            <w:top w:val="none" w:sz="0" w:space="0" w:color="auto"/>
            <w:left w:val="none" w:sz="0" w:space="0" w:color="auto"/>
            <w:bottom w:val="none" w:sz="0" w:space="0" w:color="auto"/>
            <w:right w:val="none" w:sz="0" w:space="0" w:color="auto"/>
          </w:divBdr>
        </w:div>
      </w:divsChild>
    </w:div>
    <w:div w:id="371460471">
      <w:marLeft w:val="0"/>
      <w:marRight w:val="0"/>
      <w:marTop w:val="0"/>
      <w:marBottom w:val="0"/>
      <w:divBdr>
        <w:top w:val="none" w:sz="0" w:space="0" w:color="auto"/>
        <w:left w:val="none" w:sz="0" w:space="0" w:color="auto"/>
        <w:bottom w:val="none" w:sz="0" w:space="0" w:color="auto"/>
        <w:right w:val="none" w:sz="0" w:space="0" w:color="auto"/>
      </w:divBdr>
    </w:div>
    <w:div w:id="372193059">
      <w:marLeft w:val="0"/>
      <w:marRight w:val="0"/>
      <w:marTop w:val="0"/>
      <w:marBottom w:val="0"/>
      <w:divBdr>
        <w:top w:val="none" w:sz="0" w:space="0" w:color="auto"/>
        <w:left w:val="none" w:sz="0" w:space="0" w:color="auto"/>
        <w:bottom w:val="none" w:sz="0" w:space="0" w:color="auto"/>
        <w:right w:val="none" w:sz="0" w:space="0" w:color="auto"/>
      </w:divBdr>
      <w:divsChild>
        <w:div w:id="851794711">
          <w:marLeft w:val="0"/>
          <w:marRight w:val="0"/>
          <w:marTop w:val="0"/>
          <w:marBottom w:val="0"/>
          <w:divBdr>
            <w:top w:val="none" w:sz="0" w:space="0" w:color="auto"/>
            <w:left w:val="none" w:sz="0" w:space="0" w:color="auto"/>
            <w:bottom w:val="none" w:sz="0" w:space="0" w:color="auto"/>
            <w:right w:val="none" w:sz="0" w:space="0" w:color="auto"/>
          </w:divBdr>
        </w:div>
      </w:divsChild>
    </w:div>
    <w:div w:id="372657758">
      <w:marLeft w:val="0"/>
      <w:marRight w:val="0"/>
      <w:marTop w:val="0"/>
      <w:marBottom w:val="160"/>
      <w:divBdr>
        <w:top w:val="none" w:sz="0" w:space="0" w:color="auto"/>
        <w:left w:val="none" w:sz="0" w:space="0" w:color="auto"/>
        <w:bottom w:val="none" w:sz="0" w:space="0" w:color="auto"/>
        <w:right w:val="none" w:sz="0" w:space="0" w:color="auto"/>
      </w:divBdr>
    </w:div>
    <w:div w:id="372847440">
      <w:marLeft w:val="0"/>
      <w:marRight w:val="0"/>
      <w:marTop w:val="100"/>
      <w:marBottom w:val="0"/>
      <w:divBdr>
        <w:top w:val="none" w:sz="0" w:space="0" w:color="auto"/>
        <w:left w:val="none" w:sz="0" w:space="0" w:color="auto"/>
        <w:bottom w:val="none" w:sz="0" w:space="0" w:color="auto"/>
        <w:right w:val="none" w:sz="0" w:space="0" w:color="auto"/>
      </w:divBdr>
    </w:div>
    <w:div w:id="375010313">
      <w:marLeft w:val="0"/>
      <w:marRight w:val="0"/>
      <w:marTop w:val="0"/>
      <w:marBottom w:val="0"/>
      <w:divBdr>
        <w:top w:val="none" w:sz="0" w:space="0" w:color="auto"/>
        <w:left w:val="none" w:sz="0" w:space="0" w:color="auto"/>
        <w:bottom w:val="none" w:sz="0" w:space="0" w:color="auto"/>
        <w:right w:val="none" w:sz="0" w:space="0" w:color="auto"/>
      </w:divBdr>
    </w:div>
    <w:div w:id="375351093">
      <w:marLeft w:val="0"/>
      <w:marRight w:val="0"/>
      <w:marTop w:val="200"/>
      <w:marBottom w:val="0"/>
      <w:divBdr>
        <w:top w:val="none" w:sz="0" w:space="0" w:color="auto"/>
        <w:left w:val="none" w:sz="0" w:space="0" w:color="auto"/>
        <w:bottom w:val="none" w:sz="0" w:space="0" w:color="auto"/>
        <w:right w:val="none" w:sz="0" w:space="0" w:color="auto"/>
      </w:divBdr>
    </w:div>
    <w:div w:id="376668004">
      <w:marLeft w:val="0"/>
      <w:marRight w:val="0"/>
      <w:marTop w:val="200"/>
      <w:marBottom w:val="0"/>
      <w:divBdr>
        <w:top w:val="none" w:sz="0" w:space="0" w:color="auto"/>
        <w:left w:val="none" w:sz="0" w:space="0" w:color="auto"/>
        <w:bottom w:val="none" w:sz="0" w:space="0" w:color="auto"/>
        <w:right w:val="none" w:sz="0" w:space="0" w:color="auto"/>
      </w:divBdr>
    </w:div>
    <w:div w:id="377974407">
      <w:marLeft w:val="0"/>
      <w:marRight w:val="0"/>
      <w:marTop w:val="200"/>
      <w:marBottom w:val="0"/>
      <w:divBdr>
        <w:top w:val="none" w:sz="0" w:space="0" w:color="auto"/>
        <w:left w:val="none" w:sz="0" w:space="0" w:color="auto"/>
        <w:bottom w:val="none" w:sz="0" w:space="0" w:color="auto"/>
        <w:right w:val="none" w:sz="0" w:space="0" w:color="auto"/>
      </w:divBdr>
    </w:div>
    <w:div w:id="381559578">
      <w:marLeft w:val="0"/>
      <w:marRight w:val="0"/>
      <w:marTop w:val="0"/>
      <w:marBottom w:val="0"/>
      <w:divBdr>
        <w:top w:val="none" w:sz="0" w:space="0" w:color="auto"/>
        <w:left w:val="none" w:sz="0" w:space="0" w:color="auto"/>
        <w:bottom w:val="none" w:sz="0" w:space="0" w:color="auto"/>
        <w:right w:val="none" w:sz="0" w:space="0" w:color="auto"/>
      </w:divBdr>
      <w:divsChild>
        <w:div w:id="2141802115">
          <w:marLeft w:val="0"/>
          <w:marRight w:val="0"/>
          <w:marTop w:val="0"/>
          <w:marBottom w:val="0"/>
          <w:divBdr>
            <w:top w:val="none" w:sz="0" w:space="0" w:color="auto"/>
            <w:left w:val="none" w:sz="0" w:space="0" w:color="auto"/>
            <w:bottom w:val="none" w:sz="0" w:space="0" w:color="auto"/>
            <w:right w:val="none" w:sz="0" w:space="0" w:color="auto"/>
          </w:divBdr>
        </w:div>
      </w:divsChild>
    </w:div>
    <w:div w:id="385102161">
      <w:marLeft w:val="0"/>
      <w:marRight w:val="0"/>
      <w:marTop w:val="0"/>
      <w:marBottom w:val="0"/>
      <w:divBdr>
        <w:top w:val="none" w:sz="0" w:space="0" w:color="auto"/>
        <w:left w:val="none" w:sz="0" w:space="0" w:color="auto"/>
        <w:bottom w:val="none" w:sz="0" w:space="0" w:color="auto"/>
        <w:right w:val="none" w:sz="0" w:space="0" w:color="auto"/>
      </w:divBdr>
    </w:div>
    <w:div w:id="390269537">
      <w:marLeft w:val="0"/>
      <w:marRight w:val="0"/>
      <w:marTop w:val="0"/>
      <w:marBottom w:val="0"/>
      <w:divBdr>
        <w:top w:val="none" w:sz="0" w:space="0" w:color="auto"/>
        <w:left w:val="none" w:sz="0" w:space="0" w:color="auto"/>
        <w:bottom w:val="none" w:sz="0" w:space="0" w:color="auto"/>
        <w:right w:val="none" w:sz="0" w:space="0" w:color="auto"/>
      </w:divBdr>
    </w:div>
    <w:div w:id="395708201">
      <w:marLeft w:val="0"/>
      <w:marRight w:val="0"/>
      <w:marTop w:val="200"/>
      <w:marBottom w:val="0"/>
      <w:divBdr>
        <w:top w:val="none" w:sz="0" w:space="0" w:color="auto"/>
        <w:left w:val="none" w:sz="0" w:space="0" w:color="auto"/>
        <w:bottom w:val="none" w:sz="0" w:space="0" w:color="auto"/>
        <w:right w:val="none" w:sz="0" w:space="0" w:color="auto"/>
      </w:divBdr>
    </w:div>
    <w:div w:id="395786703">
      <w:marLeft w:val="0"/>
      <w:marRight w:val="0"/>
      <w:marTop w:val="200"/>
      <w:marBottom w:val="0"/>
      <w:divBdr>
        <w:top w:val="none" w:sz="0" w:space="0" w:color="auto"/>
        <w:left w:val="none" w:sz="0" w:space="0" w:color="auto"/>
        <w:bottom w:val="none" w:sz="0" w:space="0" w:color="auto"/>
        <w:right w:val="none" w:sz="0" w:space="0" w:color="auto"/>
      </w:divBdr>
    </w:div>
    <w:div w:id="400568704">
      <w:marLeft w:val="0"/>
      <w:marRight w:val="0"/>
      <w:marTop w:val="200"/>
      <w:marBottom w:val="0"/>
      <w:divBdr>
        <w:top w:val="none" w:sz="0" w:space="0" w:color="auto"/>
        <w:left w:val="none" w:sz="0" w:space="0" w:color="auto"/>
        <w:bottom w:val="none" w:sz="0" w:space="0" w:color="auto"/>
        <w:right w:val="none" w:sz="0" w:space="0" w:color="auto"/>
      </w:divBdr>
    </w:div>
    <w:div w:id="404493237">
      <w:marLeft w:val="0"/>
      <w:marRight w:val="0"/>
      <w:marTop w:val="0"/>
      <w:marBottom w:val="200"/>
      <w:divBdr>
        <w:top w:val="none" w:sz="0" w:space="0" w:color="auto"/>
        <w:left w:val="none" w:sz="0" w:space="0" w:color="auto"/>
        <w:bottom w:val="none" w:sz="0" w:space="0" w:color="auto"/>
        <w:right w:val="none" w:sz="0" w:space="0" w:color="auto"/>
      </w:divBdr>
    </w:div>
    <w:div w:id="405229112">
      <w:marLeft w:val="0"/>
      <w:marRight w:val="0"/>
      <w:marTop w:val="0"/>
      <w:marBottom w:val="0"/>
      <w:divBdr>
        <w:top w:val="none" w:sz="0" w:space="0" w:color="auto"/>
        <w:left w:val="none" w:sz="0" w:space="0" w:color="auto"/>
        <w:bottom w:val="none" w:sz="0" w:space="0" w:color="auto"/>
        <w:right w:val="none" w:sz="0" w:space="0" w:color="auto"/>
      </w:divBdr>
      <w:divsChild>
        <w:div w:id="1985117540">
          <w:marLeft w:val="0"/>
          <w:marRight w:val="0"/>
          <w:marTop w:val="0"/>
          <w:marBottom w:val="0"/>
          <w:divBdr>
            <w:top w:val="none" w:sz="0" w:space="0" w:color="auto"/>
            <w:left w:val="none" w:sz="0" w:space="0" w:color="auto"/>
            <w:bottom w:val="none" w:sz="0" w:space="0" w:color="auto"/>
            <w:right w:val="none" w:sz="0" w:space="0" w:color="auto"/>
          </w:divBdr>
        </w:div>
      </w:divsChild>
    </w:div>
    <w:div w:id="405954276">
      <w:marLeft w:val="0"/>
      <w:marRight w:val="0"/>
      <w:marTop w:val="0"/>
      <w:marBottom w:val="0"/>
      <w:divBdr>
        <w:top w:val="none" w:sz="0" w:space="0" w:color="auto"/>
        <w:left w:val="none" w:sz="0" w:space="0" w:color="auto"/>
        <w:bottom w:val="none" w:sz="0" w:space="0" w:color="auto"/>
        <w:right w:val="none" w:sz="0" w:space="0" w:color="auto"/>
      </w:divBdr>
    </w:div>
    <w:div w:id="406458785">
      <w:marLeft w:val="0"/>
      <w:marRight w:val="0"/>
      <w:marTop w:val="0"/>
      <w:marBottom w:val="0"/>
      <w:divBdr>
        <w:top w:val="none" w:sz="0" w:space="0" w:color="auto"/>
        <w:left w:val="none" w:sz="0" w:space="0" w:color="auto"/>
        <w:bottom w:val="none" w:sz="0" w:space="0" w:color="auto"/>
        <w:right w:val="none" w:sz="0" w:space="0" w:color="auto"/>
      </w:divBdr>
    </w:div>
    <w:div w:id="407004309">
      <w:marLeft w:val="0"/>
      <w:marRight w:val="0"/>
      <w:marTop w:val="0"/>
      <w:marBottom w:val="0"/>
      <w:divBdr>
        <w:top w:val="none" w:sz="0" w:space="0" w:color="auto"/>
        <w:left w:val="none" w:sz="0" w:space="0" w:color="auto"/>
        <w:bottom w:val="none" w:sz="0" w:space="0" w:color="auto"/>
        <w:right w:val="none" w:sz="0" w:space="0" w:color="auto"/>
      </w:divBdr>
      <w:divsChild>
        <w:div w:id="1606230239">
          <w:marLeft w:val="0"/>
          <w:marRight w:val="0"/>
          <w:marTop w:val="0"/>
          <w:marBottom w:val="0"/>
          <w:divBdr>
            <w:top w:val="none" w:sz="0" w:space="0" w:color="auto"/>
            <w:left w:val="none" w:sz="0" w:space="0" w:color="auto"/>
            <w:bottom w:val="none" w:sz="0" w:space="0" w:color="auto"/>
            <w:right w:val="none" w:sz="0" w:space="0" w:color="auto"/>
          </w:divBdr>
        </w:div>
      </w:divsChild>
    </w:div>
    <w:div w:id="411247083">
      <w:marLeft w:val="0"/>
      <w:marRight w:val="0"/>
      <w:marTop w:val="0"/>
      <w:marBottom w:val="0"/>
      <w:divBdr>
        <w:top w:val="none" w:sz="0" w:space="0" w:color="auto"/>
        <w:left w:val="none" w:sz="0" w:space="0" w:color="auto"/>
        <w:bottom w:val="none" w:sz="0" w:space="0" w:color="auto"/>
        <w:right w:val="none" w:sz="0" w:space="0" w:color="auto"/>
      </w:divBdr>
      <w:divsChild>
        <w:div w:id="372734236">
          <w:marLeft w:val="0"/>
          <w:marRight w:val="0"/>
          <w:marTop w:val="0"/>
          <w:marBottom w:val="0"/>
          <w:divBdr>
            <w:top w:val="none" w:sz="0" w:space="0" w:color="auto"/>
            <w:left w:val="none" w:sz="0" w:space="0" w:color="auto"/>
            <w:bottom w:val="none" w:sz="0" w:space="0" w:color="auto"/>
            <w:right w:val="none" w:sz="0" w:space="0" w:color="auto"/>
          </w:divBdr>
        </w:div>
        <w:div w:id="1511524630">
          <w:marLeft w:val="0"/>
          <w:marRight w:val="0"/>
          <w:marTop w:val="0"/>
          <w:marBottom w:val="0"/>
          <w:divBdr>
            <w:top w:val="none" w:sz="0" w:space="0" w:color="auto"/>
            <w:left w:val="none" w:sz="0" w:space="0" w:color="auto"/>
            <w:bottom w:val="none" w:sz="0" w:space="0" w:color="auto"/>
            <w:right w:val="none" w:sz="0" w:space="0" w:color="auto"/>
          </w:divBdr>
        </w:div>
        <w:div w:id="154691856">
          <w:marLeft w:val="0"/>
          <w:marRight w:val="0"/>
          <w:marTop w:val="0"/>
          <w:marBottom w:val="0"/>
          <w:divBdr>
            <w:top w:val="none" w:sz="0" w:space="0" w:color="auto"/>
            <w:left w:val="none" w:sz="0" w:space="0" w:color="auto"/>
            <w:bottom w:val="none" w:sz="0" w:space="0" w:color="auto"/>
            <w:right w:val="none" w:sz="0" w:space="0" w:color="auto"/>
          </w:divBdr>
        </w:div>
        <w:div w:id="851653179">
          <w:marLeft w:val="0"/>
          <w:marRight w:val="0"/>
          <w:marTop w:val="0"/>
          <w:marBottom w:val="0"/>
          <w:divBdr>
            <w:top w:val="none" w:sz="0" w:space="0" w:color="auto"/>
            <w:left w:val="none" w:sz="0" w:space="0" w:color="auto"/>
            <w:bottom w:val="none" w:sz="0" w:space="0" w:color="auto"/>
            <w:right w:val="none" w:sz="0" w:space="0" w:color="auto"/>
          </w:divBdr>
        </w:div>
      </w:divsChild>
    </w:div>
    <w:div w:id="413091291">
      <w:marLeft w:val="0"/>
      <w:marRight w:val="0"/>
      <w:marTop w:val="0"/>
      <w:marBottom w:val="0"/>
      <w:divBdr>
        <w:top w:val="none" w:sz="0" w:space="0" w:color="auto"/>
        <w:left w:val="none" w:sz="0" w:space="0" w:color="auto"/>
        <w:bottom w:val="none" w:sz="0" w:space="0" w:color="auto"/>
        <w:right w:val="none" w:sz="0" w:space="0" w:color="auto"/>
      </w:divBdr>
      <w:divsChild>
        <w:div w:id="1404261332">
          <w:marLeft w:val="0"/>
          <w:marRight w:val="0"/>
          <w:marTop w:val="0"/>
          <w:marBottom w:val="0"/>
          <w:divBdr>
            <w:top w:val="none" w:sz="0" w:space="0" w:color="auto"/>
            <w:left w:val="none" w:sz="0" w:space="0" w:color="auto"/>
            <w:bottom w:val="none" w:sz="0" w:space="0" w:color="auto"/>
            <w:right w:val="none" w:sz="0" w:space="0" w:color="auto"/>
          </w:divBdr>
        </w:div>
      </w:divsChild>
    </w:div>
    <w:div w:id="413934362">
      <w:marLeft w:val="0"/>
      <w:marRight w:val="0"/>
      <w:marTop w:val="0"/>
      <w:marBottom w:val="0"/>
      <w:divBdr>
        <w:top w:val="none" w:sz="0" w:space="0" w:color="auto"/>
        <w:left w:val="none" w:sz="0" w:space="0" w:color="auto"/>
        <w:bottom w:val="none" w:sz="0" w:space="0" w:color="auto"/>
        <w:right w:val="none" w:sz="0" w:space="0" w:color="auto"/>
      </w:divBdr>
    </w:div>
    <w:div w:id="415053146">
      <w:marLeft w:val="0"/>
      <w:marRight w:val="0"/>
      <w:marTop w:val="0"/>
      <w:marBottom w:val="0"/>
      <w:divBdr>
        <w:top w:val="none" w:sz="0" w:space="0" w:color="auto"/>
        <w:left w:val="none" w:sz="0" w:space="0" w:color="auto"/>
        <w:bottom w:val="none" w:sz="0" w:space="0" w:color="auto"/>
        <w:right w:val="none" w:sz="0" w:space="0" w:color="auto"/>
      </w:divBdr>
      <w:divsChild>
        <w:div w:id="858197167">
          <w:marLeft w:val="0"/>
          <w:marRight w:val="0"/>
          <w:marTop w:val="0"/>
          <w:marBottom w:val="0"/>
          <w:divBdr>
            <w:top w:val="none" w:sz="0" w:space="0" w:color="auto"/>
            <w:left w:val="none" w:sz="0" w:space="0" w:color="auto"/>
            <w:bottom w:val="none" w:sz="0" w:space="0" w:color="auto"/>
            <w:right w:val="none" w:sz="0" w:space="0" w:color="auto"/>
          </w:divBdr>
        </w:div>
      </w:divsChild>
    </w:div>
    <w:div w:id="417673704">
      <w:marLeft w:val="0"/>
      <w:marRight w:val="0"/>
      <w:marTop w:val="200"/>
      <w:marBottom w:val="0"/>
      <w:divBdr>
        <w:top w:val="none" w:sz="0" w:space="0" w:color="auto"/>
        <w:left w:val="none" w:sz="0" w:space="0" w:color="auto"/>
        <w:bottom w:val="none" w:sz="0" w:space="0" w:color="auto"/>
        <w:right w:val="none" w:sz="0" w:space="0" w:color="auto"/>
      </w:divBdr>
    </w:div>
    <w:div w:id="421608063">
      <w:marLeft w:val="0"/>
      <w:marRight w:val="0"/>
      <w:marTop w:val="0"/>
      <w:marBottom w:val="200"/>
      <w:divBdr>
        <w:top w:val="none" w:sz="0" w:space="0" w:color="auto"/>
        <w:left w:val="none" w:sz="0" w:space="0" w:color="auto"/>
        <w:bottom w:val="none" w:sz="0" w:space="0" w:color="auto"/>
        <w:right w:val="none" w:sz="0" w:space="0" w:color="auto"/>
      </w:divBdr>
    </w:div>
    <w:div w:id="421999374">
      <w:marLeft w:val="0"/>
      <w:marRight w:val="0"/>
      <w:marTop w:val="200"/>
      <w:marBottom w:val="0"/>
      <w:divBdr>
        <w:top w:val="none" w:sz="0" w:space="0" w:color="auto"/>
        <w:left w:val="none" w:sz="0" w:space="0" w:color="auto"/>
        <w:bottom w:val="none" w:sz="0" w:space="0" w:color="auto"/>
        <w:right w:val="none" w:sz="0" w:space="0" w:color="auto"/>
      </w:divBdr>
    </w:div>
    <w:div w:id="422386383">
      <w:marLeft w:val="0"/>
      <w:marRight w:val="0"/>
      <w:marTop w:val="100"/>
      <w:marBottom w:val="0"/>
      <w:divBdr>
        <w:top w:val="none" w:sz="0" w:space="0" w:color="auto"/>
        <w:left w:val="none" w:sz="0" w:space="0" w:color="auto"/>
        <w:bottom w:val="none" w:sz="0" w:space="0" w:color="auto"/>
        <w:right w:val="none" w:sz="0" w:space="0" w:color="auto"/>
      </w:divBdr>
    </w:div>
    <w:div w:id="422847025">
      <w:marLeft w:val="0"/>
      <w:marRight w:val="0"/>
      <w:marTop w:val="0"/>
      <w:marBottom w:val="0"/>
      <w:divBdr>
        <w:top w:val="none" w:sz="0" w:space="0" w:color="auto"/>
        <w:left w:val="none" w:sz="0" w:space="0" w:color="auto"/>
        <w:bottom w:val="none" w:sz="0" w:space="0" w:color="auto"/>
        <w:right w:val="none" w:sz="0" w:space="0" w:color="auto"/>
      </w:divBdr>
    </w:div>
    <w:div w:id="424420784">
      <w:marLeft w:val="0"/>
      <w:marRight w:val="0"/>
      <w:marTop w:val="0"/>
      <w:marBottom w:val="0"/>
      <w:divBdr>
        <w:top w:val="none" w:sz="0" w:space="0" w:color="auto"/>
        <w:left w:val="none" w:sz="0" w:space="0" w:color="auto"/>
        <w:bottom w:val="none" w:sz="0" w:space="0" w:color="auto"/>
        <w:right w:val="none" w:sz="0" w:space="0" w:color="auto"/>
      </w:divBdr>
    </w:div>
    <w:div w:id="425423005">
      <w:marLeft w:val="0"/>
      <w:marRight w:val="0"/>
      <w:marTop w:val="200"/>
      <w:marBottom w:val="0"/>
      <w:divBdr>
        <w:top w:val="none" w:sz="0" w:space="0" w:color="auto"/>
        <w:left w:val="none" w:sz="0" w:space="0" w:color="auto"/>
        <w:bottom w:val="none" w:sz="0" w:space="0" w:color="auto"/>
        <w:right w:val="none" w:sz="0" w:space="0" w:color="auto"/>
      </w:divBdr>
    </w:div>
    <w:div w:id="426343656">
      <w:marLeft w:val="0"/>
      <w:marRight w:val="0"/>
      <w:marTop w:val="0"/>
      <w:marBottom w:val="0"/>
      <w:divBdr>
        <w:top w:val="none" w:sz="0" w:space="0" w:color="auto"/>
        <w:left w:val="none" w:sz="0" w:space="0" w:color="auto"/>
        <w:bottom w:val="none" w:sz="0" w:space="0" w:color="auto"/>
        <w:right w:val="none" w:sz="0" w:space="0" w:color="auto"/>
      </w:divBdr>
    </w:div>
    <w:div w:id="429862843">
      <w:marLeft w:val="0"/>
      <w:marRight w:val="0"/>
      <w:marTop w:val="0"/>
      <w:marBottom w:val="0"/>
      <w:divBdr>
        <w:top w:val="none" w:sz="0" w:space="0" w:color="auto"/>
        <w:left w:val="none" w:sz="0" w:space="0" w:color="auto"/>
        <w:bottom w:val="none" w:sz="0" w:space="0" w:color="auto"/>
        <w:right w:val="none" w:sz="0" w:space="0" w:color="auto"/>
      </w:divBdr>
      <w:divsChild>
        <w:div w:id="178159272">
          <w:marLeft w:val="0"/>
          <w:marRight w:val="0"/>
          <w:marTop w:val="0"/>
          <w:marBottom w:val="0"/>
          <w:divBdr>
            <w:top w:val="none" w:sz="0" w:space="0" w:color="auto"/>
            <w:left w:val="none" w:sz="0" w:space="0" w:color="auto"/>
            <w:bottom w:val="none" w:sz="0" w:space="0" w:color="auto"/>
            <w:right w:val="none" w:sz="0" w:space="0" w:color="auto"/>
          </w:divBdr>
        </w:div>
      </w:divsChild>
    </w:div>
    <w:div w:id="432481363">
      <w:marLeft w:val="0"/>
      <w:marRight w:val="0"/>
      <w:marTop w:val="200"/>
      <w:marBottom w:val="0"/>
      <w:divBdr>
        <w:top w:val="none" w:sz="0" w:space="0" w:color="auto"/>
        <w:left w:val="none" w:sz="0" w:space="0" w:color="auto"/>
        <w:bottom w:val="none" w:sz="0" w:space="0" w:color="auto"/>
        <w:right w:val="none" w:sz="0" w:space="0" w:color="auto"/>
      </w:divBdr>
    </w:div>
    <w:div w:id="433406442">
      <w:marLeft w:val="0"/>
      <w:marRight w:val="0"/>
      <w:marTop w:val="0"/>
      <w:marBottom w:val="0"/>
      <w:divBdr>
        <w:top w:val="none" w:sz="0" w:space="0" w:color="auto"/>
        <w:left w:val="none" w:sz="0" w:space="0" w:color="auto"/>
        <w:bottom w:val="none" w:sz="0" w:space="0" w:color="auto"/>
        <w:right w:val="none" w:sz="0" w:space="0" w:color="auto"/>
      </w:divBdr>
      <w:divsChild>
        <w:div w:id="1034233952">
          <w:marLeft w:val="0"/>
          <w:marRight w:val="0"/>
          <w:marTop w:val="0"/>
          <w:marBottom w:val="0"/>
          <w:divBdr>
            <w:top w:val="none" w:sz="0" w:space="0" w:color="auto"/>
            <w:left w:val="none" w:sz="0" w:space="0" w:color="auto"/>
            <w:bottom w:val="none" w:sz="0" w:space="0" w:color="auto"/>
            <w:right w:val="none" w:sz="0" w:space="0" w:color="auto"/>
          </w:divBdr>
        </w:div>
        <w:div w:id="1841264132">
          <w:marLeft w:val="0"/>
          <w:marRight w:val="0"/>
          <w:marTop w:val="0"/>
          <w:marBottom w:val="0"/>
          <w:divBdr>
            <w:top w:val="none" w:sz="0" w:space="0" w:color="auto"/>
            <w:left w:val="none" w:sz="0" w:space="0" w:color="auto"/>
            <w:bottom w:val="none" w:sz="0" w:space="0" w:color="auto"/>
            <w:right w:val="none" w:sz="0" w:space="0" w:color="auto"/>
          </w:divBdr>
        </w:div>
        <w:div w:id="853032029">
          <w:marLeft w:val="0"/>
          <w:marRight w:val="0"/>
          <w:marTop w:val="0"/>
          <w:marBottom w:val="0"/>
          <w:divBdr>
            <w:top w:val="none" w:sz="0" w:space="0" w:color="auto"/>
            <w:left w:val="none" w:sz="0" w:space="0" w:color="auto"/>
            <w:bottom w:val="none" w:sz="0" w:space="0" w:color="auto"/>
            <w:right w:val="none" w:sz="0" w:space="0" w:color="auto"/>
          </w:divBdr>
        </w:div>
        <w:div w:id="1122308992">
          <w:marLeft w:val="0"/>
          <w:marRight w:val="0"/>
          <w:marTop w:val="0"/>
          <w:marBottom w:val="0"/>
          <w:divBdr>
            <w:top w:val="none" w:sz="0" w:space="0" w:color="auto"/>
            <w:left w:val="none" w:sz="0" w:space="0" w:color="auto"/>
            <w:bottom w:val="none" w:sz="0" w:space="0" w:color="auto"/>
            <w:right w:val="none" w:sz="0" w:space="0" w:color="auto"/>
          </w:divBdr>
        </w:div>
      </w:divsChild>
    </w:div>
    <w:div w:id="434058386">
      <w:marLeft w:val="0"/>
      <w:marRight w:val="0"/>
      <w:marTop w:val="0"/>
      <w:marBottom w:val="0"/>
      <w:divBdr>
        <w:top w:val="none" w:sz="0" w:space="0" w:color="auto"/>
        <w:left w:val="none" w:sz="0" w:space="0" w:color="auto"/>
        <w:bottom w:val="none" w:sz="0" w:space="0" w:color="auto"/>
        <w:right w:val="none" w:sz="0" w:space="0" w:color="auto"/>
      </w:divBdr>
      <w:divsChild>
        <w:div w:id="498083003">
          <w:marLeft w:val="0"/>
          <w:marRight w:val="0"/>
          <w:marTop w:val="0"/>
          <w:marBottom w:val="0"/>
          <w:divBdr>
            <w:top w:val="none" w:sz="0" w:space="0" w:color="auto"/>
            <w:left w:val="none" w:sz="0" w:space="0" w:color="auto"/>
            <w:bottom w:val="none" w:sz="0" w:space="0" w:color="auto"/>
            <w:right w:val="none" w:sz="0" w:space="0" w:color="auto"/>
          </w:divBdr>
        </w:div>
      </w:divsChild>
    </w:div>
    <w:div w:id="437406446">
      <w:marLeft w:val="0"/>
      <w:marRight w:val="0"/>
      <w:marTop w:val="0"/>
      <w:marBottom w:val="0"/>
      <w:divBdr>
        <w:top w:val="none" w:sz="0" w:space="0" w:color="auto"/>
        <w:left w:val="none" w:sz="0" w:space="0" w:color="auto"/>
        <w:bottom w:val="none" w:sz="0" w:space="0" w:color="auto"/>
        <w:right w:val="none" w:sz="0" w:space="0" w:color="auto"/>
      </w:divBdr>
      <w:divsChild>
        <w:div w:id="1316690446">
          <w:marLeft w:val="0"/>
          <w:marRight w:val="0"/>
          <w:marTop w:val="0"/>
          <w:marBottom w:val="0"/>
          <w:divBdr>
            <w:top w:val="none" w:sz="0" w:space="0" w:color="auto"/>
            <w:left w:val="none" w:sz="0" w:space="0" w:color="auto"/>
            <w:bottom w:val="none" w:sz="0" w:space="0" w:color="auto"/>
            <w:right w:val="none" w:sz="0" w:space="0" w:color="auto"/>
          </w:divBdr>
        </w:div>
      </w:divsChild>
    </w:div>
    <w:div w:id="439031016">
      <w:marLeft w:val="0"/>
      <w:marRight w:val="0"/>
      <w:marTop w:val="0"/>
      <w:marBottom w:val="0"/>
      <w:divBdr>
        <w:top w:val="none" w:sz="0" w:space="0" w:color="auto"/>
        <w:left w:val="none" w:sz="0" w:space="0" w:color="auto"/>
        <w:bottom w:val="none" w:sz="0" w:space="0" w:color="auto"/>
        <w:right w:val="none" w:sz="0" w:space="0" w:color="auto"/>
      </w:divBdr>
      <w:divsChild>
        <w:div w:id="124127460">
          <w:marLeft w:val="0"/>
          <w:marRight w:val="0"/>
          <w:marTop w:val="0"/>
          <w:marBottom w:val="0"/>
          <w:divBdr>
            <w:top w:val="none" w:sz="0" w:space="0" w:color="auto"/>
            <w:left w:val="none" w:sz="0" w:space="0" w:color="auto"/>
            <w:bottom w:val="none" w:sz="0" w:space="0" w:color="auto"/>
            <w:right w:val="none" w:sz="0" w:space="0" w:color="auto"/>
          </w:divBdr>
        </w:div>
      </w:divsChild>
    </w:div>
    <w:div w:id="440951439">
      <w:marLeft w:val="0"/>
      <w:marRight w:val="0"/>
      <w:marTop w:val="0"/>
      <w:marBottom w:val="200"/>
      <w:divBdr>
        <w:top w:val="none" w:sz="0" w:space="0" w:color="auto"/>
        <w:left w:val="none" w:sz="0" w:space="0" w:color="auto"/>
        <w:bottom w:val="none" w:sz="0" w:space="0" w:color="auto"/>
        <w:right w:val="none" w:sz="0" w:space="0" w:color="auto"/>
      </w:divBdr>
    </w:div>
    <w:div w:id="442069309">
      <w:marLeft w:val="0"/>
      <w:marRight w:val="0"/>
      <w:marTop w:val="200"/>
      <w:marBottom w:val="0"/>
      <w:divBdr>
        <w:top w:val="none" w:sz="0" w:space="0" w:color="auto"/>
        <w:left w:val="none" w:sz="0" w:space="0" w:color="auto"/>
        <w:bottom w:val="none" w:sz="0" w:space="0" w:color="auto"/>
        <w:right w:val="none" w:sz="0" w:space="0" w:color="auto"/>
      </w:divBdr>
    </w:div>
    <w:div w:id="444426488">
      <w:marLeft w:val="0"/>
      <w:marRight w:val="0"/>
      <w:marTop w:val="200"/>
      <w:marBottom w:val="0"/>
      <w:divBdr>
        <w:top w:val="none" w:sz="0" w:space="0" w:color="auto"/>
        <w:left w:val="none" w:sz="0" w:space="0" w:color="auto"/>
        <w:bottom w:val="none" w:sz="0" w:space="0" w:color="auto"/>
        <w:right w:val="none" w:sz="0" w:space="0" w:color="auto"/>
      </w:divBdr>
    </w:div>
    <w:div w:id="445854831">
      <w:marLeft w:val="0"/>
      <w:marRight w:val="0"/>
      <w:marTop w:val="100"/>
      <w:marBottom w:val="0"/>
      <w:divBdr>
        <w:top w:val="none" w:sz="0" w:space="0" w:color="auto"/>
        <w:left w:val="none" w:sz="0" w:space="0" w:color="auto"/>
        <w:bottom w:val="none" w:sz="0" w:space="0" w:color="auto"/>
        <w:right w:val="none" w:sz="0" w:space="0" w:color="auto"/>
      </w:divBdr>
    </w:div>
    <w:div w:id="447700506">
      <w:marLeft w:val="0"/>
      <w:marRight w:val="0"/>
      <w:marTop w:val="200"/>
      <w:marBottom w:val="0"/>
      <w:divBdr>
        <w:top w:val="none" w:sz="0" w:space="0" w:color="auto"/>
        <w:left w:val="none" w:sz="0" w:space="0" w:color="auto"/>
        <w:bottom w:val="none" w:sz="0" w:space="0" w:color="auto"/>
        <w:right w:val="none" w:sz="0" w:space="0" w:color="auto"/>
      </w:divBdr>
    </w:div>
    <w:div w:id="450127607">
      <w:marLeft w:val="0"/>
      <w:marRight w:val="0"/>
      <w:marTop w:val="0"/>
      <w:marBottom w:val="0"/>
      <w:divBdr>
        <w:top w:val="none" w:sz="0" w:space="0" w:color="auto"/>
        <w:left w:val="none" w:sz="0" w:space="0" w:color="auto"/>
        <w:bottom w:val="none" w:sz="0" w:space="0" w:color="auto"/>
        <w:right w:val="none" w:sz="0" w:space="0" w:color="auto"/>
      </w:divBdr>
      <w:divsChild>
        <w:div w:id="1161116121">
          <w:marLeft w:val="0"/>
          <w:marRight w:val="0"/>
          <w:marTop w:val="0"/>
          <w:marBottom w:val="0"/>
          <w:divBdr>
            <w:top w:val="none" w:sz="0" w:space="0" w:color="auto"/>
            <w:left w:val="none" w:sz="0" w:space="0" w:color="auto"/>
            <w:bottom w:val="none" w:sz="0" w:space="0" w:color="auto"/>
            <w:right w:val="none" w:sz="0" w:space="0" w:color="auto"/>
          </w:divBdr>
        </w:div>
        <w:div w:id="1562447951">
          <w:marLeft w:val="0"/>
          <w:marRight w:val="0"/>
          <w:marTop w:val="0"/>
          <w:marBottom w:val="0"/>
          <w:divBdr>
            <w:top w:val="none" w:sz="0" w:space="0" w:color="auto"/>
            <w:left w:val="none" w:sz="0" w:space="0" w:color="auto"/>
            <w:bottom w:val="none" w:sz="0" w:space="0" w:color="auto"/>
            <w:right w:val="none" w:sz="0" w:space="0" w:color="auto"/>
          </w:divBdr>
        </w:div>
        <w:div w:id="887575150">
          <w:marLeft w:val="0"/>
          <w:marRight w:val="0"/>
          <w:marTop w:val="0"/>
          <w:marBottom w:val="0"/>
          <w:divBdr>
            <w:top w:val="none" w:sz="0" w:space="0" w:color="auto"/>
            <w:left w:val="none" w:sz="0" w:space="0" w:color="auto"/>
            <w:bottom w:val="none" w:sz="0" w:space="0" w:color="auto"/>
            <w:right w:val="none" w:sz="0" w:space="0" w:color="auto"/>
          </w:divBdr>
        </w:div>
        <w:div w:id="1631549719">
          <w:marLeft w:val="0"/>
          <w:marRight w:val="0"/>
          <w:marTop w:val="0"/>
          <w:marBottom w:val="0"/>
          <w:divBdr>
            <w:top w:val="none" w:sz="0" w:space="0" w:color="auto"/>
            <w:left w:val="none" w:sz="0" w:space="0" w:color="auto"/>
            <w:bottom w:val="none" w:sz="0" w:space="0" w:color="auto"/>
            <w:right w:val="none" w:sz="0" w:space="0" w:color="auto"/>
          </w:divBdr>
        </w:div>
      </w:divsChild>
    </w:div>
    <w:div w:id="451945285">
      <w:marLeft w:val="0"/>
      <w:marRight w:val="0"/>
      <w:marTop w:val="0"/>
      <w:marBottom w:val="0"/>
      <w:divBdr>
        <w:top w:val="none" w:sz="0" w:space="0" w:color="auto"/>
        <w:left w:val="none" w:sz="0" w:space="0" w:color="auto"/>
        <w:bottom w:val="none" w:sz="0" w:space="0" w:color="auto"/>
        <w:right w:val="none" w:sz="0" w:space="0" w:color="auto"/>
      </w:divBdr>
    </w:div>
    <w:div w:id="452792000">
      <w:marLeft w:val="0"/>
      <w:marRight w:val="0"/>
      <w:marTop w:val="0"/>
      <w:marBottom w:val="0"/>
      <w:divBdr>
        <w:top w:val="none" w:sz="0" w:space="0" w:color="auto"/>
        <w:left w:val="none" w:sz="0" w:space="0" w:color="auto"/>
        <w:bottom w:val="none" w:sz="0" w:space="0" w:color="auto"/>
        <w:right w:val="none" w:sz="0" w:space="0" w:color="auto"/>
      </w:divBdr>
      <w:divsChild>
        <w:div w:id="293101212">
          <w:marLeft w:val="0"/>
          <w:marRight w:val="0"/>
          <w:marTop w:val="0"/>
          <w:marBottom w:val="0"/>
          <w:divBdr>
            <w:top w:val="none" w:sz="0" w:space="0" w:color="auto"/>
            <w:left w:val="none" w:sz="0" w:space="0" w:color="auto"/>
            <w:bottom w:val="none" w:sz="0" w:space="0" w:color="auto"/>
            <w:right w:val="none" w:sz="0" w:space="0" w:color="auto"/>
          </w:divBdr>
        </w:div>
      </w:divsChild>
    </w:div>
    <w:div w:id="453064185">
      <w:marLeft w:val="0"/>
      <w:marRight w:val="0"/>
      <w:marTop w:val="0"/>
      <w:marBottom w:val="0"/>
      <w:divBdr>
        <w:top w:val="none" w:sz="0" w:space="0" w:color="auto"/>
        <w:left w:val="none" w:sz="0" w:space="0" w:color="auto"/>
        <w:bottom w:val="none" w:sz="0" w:space="0" w:color="auto"/>
        <w:right w:val="none" w:sz="0" w:space="0" w:color="auto"/>
      </w:divBdr>
    </w:div>
    <w:div w:id="453404818">
      <w:marLeft w:val="0"/>
      <w:marRight w:val="0"/>
      <w:marTop w:val="200"/>
      <w:marBottom w:val="0"/>
      <w:divBdr>
        <w:top w:val="none" w:sz="0" w:space="0" w:color="auto"/>
        <w:left w:val="none" w:sz="0" w:space="0" w:color="auto"/>
        <w:bottom w:val="none" w:sz="0" w:space="0" w:color="auto"/>
        <w:right w:val="none" w:sz="0" w:space="0" w:color="auto"/>
      </w:divBdr>
    </w:div>
    <w:div w:id="453641473">
      <w:marLeft w:val="0"/>
      <w:marRight w:val="0"/>
      <w:marTop w:val="0"/>
      <w:marBottom w:val="0"/>
      <w:divBdr>
        <w:top w:val="none" w:sz="0" w:space="0" w:color="auto"/>
        <w:left w:val="none" w:sz="0" w:space="0" w:color="auto"/>
        <w:bottom w:val="none" w:sz="0" w:space="0" w:color="auto"/>
        <w:right w:val="none" w:sz="0" w:space="0" w:color="auto"/>
      </w:divBdr>
    </w:div>
    <w:div w:id="455680292">
      <w:marLeft w:val="0"/>
      <w:marRight w:val="0"/>
      <w:marTop w:val="0"/>
      <w:marBottom w:val="0"/>
      <w:divBdr>
        <w:top w:val="none" w:sz="0" w:space="0" w:color="auto"/>
        <w:left w:val="none" w:sz="0" w:space="0" w:color="auto"/>
        <w:bottom w:val="none" w:sz="0" w:space="0" w:color="auto"/>
        <w:right w:val="none" w:sz="0" w:space="0" w:color="auto"/>
      </w:divBdr>
    </w:div>
    <w:div w:id="458646285">
      <w:marLeft w:val="0"/>
      <w:marRight w:val="0"/>
      <w:marTop w:val="200"/>
      <w:marBottom w:val="0"/>
      <w:divBdr>
        <w:top w:val="none" w:sz="0" w:space="0" w:color="auto"/>
        <w:left w:val="none" w:sz="0" w:space="0" w:color="auto"/>
        <w:bottom w:val="none" w:sz="0" w:space="0" w:color="auto"/>
        <w:right w:val="none" w:sz="0" w:space="0" w:color="auto"/>
      </w:divBdr>
    </w:div>
    <w:div w:id="460417961">
      <w:marLeft w:val="0"/>
      <w:marRight w:val="0"/>
      <w:marTop w:val="0"/>
      <w:marBottom w:val="0"/>
      <w:divBdr>
        <w:top w:val="none" w:sz="0" w:space="0" w:color="auto"/>
        <w:left w:val="none" w:sz="0" w:space="0" w:color="auto"/>
        <w:bottom w:val="none" w:sz="0" w:space="0" w:color="auto"/>
        <w:right w:val="none" w:sz="0" w:space="0" w:color="auto"/>
      </w:divBdr>
    </w:div>
    <w:div w:id="460922462">
      <w:marLeft w:val="0"/>
      <w:marRight w:val="0"/>
      <w:marTop w:val="0"/>
      <w:marBottom w:val="200"/>
      <w:divBdr>
        <w:top w:val="none" w:sz="0" w:space="0" w:color="auto"/>
        <w:left w:val="none" w:sz="0" w:space="0" w:color="auto"/>
        <w:bottom w:val="none" w:sz="0" w:space="0" w:color="auto"/>
        <w:right w:val="none" w:sz="0" w:space="0" w:color="auto"/>
      </w:divBdr>
    </w:div>
    <w:div w:id="464201569">
      <w:marLeft w:val="0"/>
      <w:marRight w:val="0"/>
      <w:marTop w:val="0"/>
      <w:marBottom w:val="0"/>
      <w:divBdr>
        <w:top w:val="none" w:sz="0" w:space="0" w:color="auto"/>
        <w:left w:val="none" w:sz="0" w:space="0" w:color="auto"/>
        <w:bottom w:val="none" w:sz="0" w:space="0" w:color="auto"/>
        <w:right w:val="none" w:sz="0" w:space="0" w:color="auto"/>
      </w:divBdr>
    </w:div>
    <w:div w:id="470683072">
      <w:marLeft w:val="0"/>
      <w:marRight w:val="0"/>
      <w:marTop w:val="200"/>
      <w:marBottom w:val="0"/>
      <w:divBdr>
        <w:top w:val="none" w:sz="0" w:space="0" w:color="auto"/>
        <w:left w:val="none" w:sz="0" w:space="0" w:color="auto"/>
        <w:bottom w:val="none" w:sz="0" w:space="0" w:color="auto"/>
        <w:right w:val="none" w:sz="0" w:space="0" w:color="auto"/>
      </w:divBdr>
    </w:div>
    <w:div w:id="476263916">
      <w:marLeft w:val="0"/>
      <w:marRight w:val="0"/>
      <w:marTop w:val="0"/>
      <w:marBottom w:val="0"/>
      <w:divBdr>
        <w:top w:val="none" w:sz="0" w:space="0" w:color="auto"/>
        <w:left w:val="none" w:sz="0" w:space="0" w:color="auto"/>
        <w:bottom w:val="none" w:sz="0" w:space="0" w:color="auto"/>
        <w:right w:val="none" w:sz="0" w:space="0" w:color="auto"/>
      </w:divBdr>
    </w:div>
    <w:div w:id="483205737">
      <w:marLeft w:val="0"/>
      <w:marRight w:val="0"/>
      <w:marTop w:val="200"/>
      <w:marBottom w:val="0"/>
      <w:divBdr>
        <w:top w:val="none" w:sz="0" w:space="0" w:color="auto"/>
        <w:left w:val="none" w:sz="0" w:space="0" w:color="auto"/>
        <w:bottom w:val="none" w:sz="0" w:space="0" w:color="auto"/>
        <w:right w:val="none" w:sz="0" w:space="0" w:color="auto"/>
      </w:divBdr>
    </w:div>
    <w:div w:id="489250520">
      <w:marLeft w:val="0"/>
      <w:marRight w:val="0"/>
      <w:marTop w:val="200"/>
      <w:marBottom w:val="0"/>
      <w:divBdr>
        <w:top w:val="none" w:sz="0" w:space="0" w:color="auto"/>
        <w:left w:val="none" w:sz="0" w:space="0" w:color="auto"/>
        <w:bottom w:val="none" w:sz="0" w:space="0" w:color="auto"/>
        <w:right w:val="none" w:sz="0" w:space="0" w:color="auto"/>
      </w:divBdr>
    </w:div>
    <w:div w:id="489758632">
      <w:marLeft w:val="0"/>
      <w:marRight w:val="0"/>
      <w:marTop w:val="0"/>
      <w:marBottom w:val="0"/>
      <w:divBdr>
        <w:top w:val="none" w:sz="0" w:space="0" w:color="auto"/>
        <w:left w:val="none" w:sz="0" w:space="0" w:color="auto"/>
        <w:bottom w:val="none" w:sz="0" w:space="0" w:color="auto"/>
        <w:right w:val="none" w:sz="0" w:space="0" w:color="auto"/>
      </w:divBdr>
    </w:div>
    <w:div w:id="490415595">
      <w:marLeft w:val="0"/>
      <w:marRight w:val="0"/>
      <w:marTop w:val="0"/>
      <w:marBottom w:val="0"/>
      <w:divBdr>
        <w:top w:val="none" w:sz="0" w:space="0" w:color="auto"/>
        <w:left w:val="none" w:sz="0" w:space="0" w:color="auto"/>
        <w:bottom w:val="none" w:sz="0" w:space="0" w:color="auto"/>
        <w:right w:val="none" w:sz="0" w:space="0" w:color="auto"/>
      </w:divBdr>
      <w:divsChild>
        <w:div w:id="1162549551">
          <w:marLeft w:val="0"/>
          <w:marRight w:val="0"/>
          <w:marTop w:val="0"/>
          <w:marBottom w:val="0"/>
          <w:divBdr>
            <w:top w:val="none" w:sz="0" w:space="0" w:color="auto"/>
            <w:left w:val="none" w:sz="0" w:space="0" w:color="auto"/>
            <w:bottom w:val="none" w:sz="0" w:space="0" w:color="auto"/>
            <w:right w:val="none" w:sz="0" w:space="0" w:color="auto"/>
          </w:divBdr>
        </w:div>
      </w:divsChild>
    </w:div>
    <w:div w:id="491917218">
      <w:marLeft w:val="0"/>
      <w:marRight w:val="0"/>
      <w:marTop w:val="0"/>
      <w:marBottom w:val="160"/>
      <w:divBdr>
        <w:top w:val="none" w:sz="0" w:space="0" w:color="auto"/>
        <w:left w:val="none" w:sz="0" w:space="0" w:color="auto"/>
        <w:bottom w:val="none" w:sz="0" w:space="0" w:color="auto"/>
        <w:right w:val="none" w:sz="0" w:space="0" w:color="auto"/>
      </w:divBdr>
    </w:div>
    <w:div w:id="505705610">
      <w:marLeft w:val="0"/>
      <w:marRight w:val="0"/>
      <w:marTop w:val="0"/>
      <w:marBottom w:val="0"/>
      <w:divBdr>
        <w:top w:val="none" w:sz="0" w:space="0" w:color="auto"/>
        <w:left w:val="none" w:sz="0" w:space="0" w:color="auto"/>
        <w:bottom w:val="none" w:sz="0" w:space="0" w:color="auto"/>
        <w:right w:val="none" w:sz="0" w:space="0" w:color="auto"/>
      </w:divBdr>
    </w:div>
    <w:div w:id="506478293">
      <w:marLeft w:val="0"/>
      <w:marRight w:val="0"/>
      <w:marTop w:val="200"/>
      <w:marBottom w:val="0"/>
      <w:divBdr>
        <w:top w:val="none" w:sz="0" w:space="0" w:color="auto"/>
        <w:left w:val="none" w:sz="0" w:space="0" w:color="auto"/>
        <w:bottom w:val="none" w:sz="0" w:space="0" w:color="auto"/>
        <w:right w:val="none" w:sz="0" w:space="0" w:color="auto"/>
      </w:divBdr>
    </w:div>
    <w:div w:id="506485045">
      <w:marLeft w:val="0"/>
      <w:marRight w:val="0"/>
      <w:marTop w:val="0"/>
      <w:marBottom w:val="0"/>
      <w:divBdr>
        <w:top w:val="none" w:sz="0" w:space="0" w:color="auto"/>
        <w:left w:val="none" w:sz="0" w:space="0" w:color="auto"/>
        <w:bottom w:val="none" w:sz="0" w:space="0" w:color="auto"/>
        <w:right w:val="none" w:sz="0" w:space="0" w:color="auto"/>
      </w:divBdr>
    </w:div>
    <w:div w:id="512112172">
      <w:marLeft w:val="0"/>
      <w:marRight w:val="0"/>
      <w:marTop w:val="0"/>
      <w:marBottom w:val="0"/>
      <w:divBdr>
        <w:top w:val="none" w:sz="0" w:space="0" w:color="auto"/>
        <w:left w:val="none" w:sz="0" w:space="0" w:color="auto"/>
        <w:bottom w:val="none" w:sz="0" w:space="0" w:color="auto"/>
        <w:right w:val="none" w:sz="0" w:space="0" w:color="auto"/>
      </w:divBdr>
      <w:divsChild>
        <w:div w:id="1034308794">
          <w:marLeft w:val="0"/>
          <w:marRight w:val="0"/>
          <w:marTop w:val="0"/>
          <w:marBottom w:val="0"/>
          <w:divBdr>
            <w:top w:val="none" w:sz="0" w:space="0" w:color="auto"/>
            <w:left w:val="none" w:sz="0" w:space="0" w:color="auto"/>
            <w:bottom w:val="none" w:sz="0" w:space="0" w:color="auto"/>
            <w:right w:val="none" w:sz="0" w:space="0" w:color="auto"/>
          </w:divBdr>
        </w:div>
      </w:divsChild>
    </w:div>
    <w:div w:id="515193142">
      <w:marLeft w:val="0"/>
      <w:marRight w:val="0"/>
      <w:marTop w:val="0"/>
      <w:marBottom w:val="0"/>
      <w:divBdr>
        <w:top w:val="none" w:sz="0" w:space="0" w:color="auto"/>
        <w:left w:val="none" w:sz="0" w:space="0" w:color="auto"/>
        <w:bottom w:val="none" w:sz="0" w:space="0" w:color="auto"/>
        <w:right w:val="none" w:sz="0" w:space="0" w:color="auto"/>
      </w:divBdr>
      <w:divsChild>
        <w:div w:id="1235050637">
          <w:marLeft w:val="0"/>
          <w:marRight w:val="0"/>
          <w:marTop w:val="0"/>
          <w:marBottom w:val="0"/>
          <w:divBdr>
            <w:top w:val="none" w:sz="0" w:space="0" w:color="auto"/>
            <w:left w:val="none" w:sz="0" w:space="0" w:color="auto"/>
            <w:bottom w:val="none" w:sz="0" w:space="0" w:color="auto"/>
            <w:right w:val="none" w:sz="0" w:space="0" w:color="auto"/>
          </w:divBdr>
        </w:div>
      </w:divsChild>
    </w:div>
    <w:div w:id="515846032">
      <w:marLeft w:val="0"/>
      <w:marRight w:val="0"/>
      <w:marTop w:val="200"/>
      <w:marBottom w:val="0"/>
      <w:divBdr>
        <w:top w:val="none" w:sz="0" w:space="0" w:color="auto"/>
        <w:left w:val="none" w:sz="0" w:space="0" w:color="auto"/>
        <w:bottom w:val="none" w:sz="0" w:space="0" w:color="auto"/>
        <w:right w:val="none" w:sz="0" w:space="0" w:color="auto"/>
      </w:divBdr>
    </w:div>
    <w:div w:id="519128582">
      <w:marLeft w:val="0"/>
      <w:marRight w:val="0"/>
      <w:marTop w:val="0"/>
      <w:marBottom w:val="0"/>
      <w:divBdr>
        <w:top w:val="none" w:sz="0" w:space="0" w:color="auto"/>
        <w:left w:val="none" w:sz="0" w:space="0" w:color="auto"/>
        <w:bottom w:val="none" w:sz="0" w:space="0" w:color="auto"/>
        <w:right w:val="none" w:sz="0" w:space="0" w:color="auto"/>
      </w:divBdr>
      <w:divsChild>
        <w:div w:id="932709897">
          <w:marLeft w:val="0"/>
          <w:marRight w:val="0"/>
          <w:marTop w:val="0"/>
          <w:marBottom w:val="0"/>
          <w:divBdr>
            <w:top w:val="none" w:sz="0" w:space="0" w:color="auto"/>
            <w:left w:val="none" w:sz="0" w:space="0" w:color="auto"/>
            <w:bottom w:val="none" w:sz="0" w:space="0" w:color="auto"/>
            <w:right w:val="none" w:sz="0" w:space="0" w:color="auto"/>
          </w:divBdr>
        </w:div>
      </w:divsChild>
    </w:div>
    <w:div w:id="520777741">
      <w:marLeft w:val="0"/>
      <w:marRight w:val="0"/>
      <w:marTop w:val="0"/>
      <w:marBottom w:val="0"/>
      <w:divBdr>
        <w:top w:val="none" w:sz="0" w:space="0" w:color="auto"/>
        <w:left w:val="none" w:sz="0" w:space="0" w:color="auto"/>
        <w:bottom w:val="none" w:sz="0" w:space="0" w:color="auto"/>
        <w:right w:val="none" w:sz="0" w:space="0" w:color="auto"/>
      </w:divBdr>
    </w:div>
    <w:div w:id="521479606">
      <w:marLeft w:val="0"/>
      <w:marRight w:val="0"/>
      <w:marTop w:val="100"/>
      <w:marBottom w:val="0"/>
      <w:divBdr>
        <w:top w:val="none" w:sz="0" w:space="0" w:color="auto"/>
        <w:left w:val="none" w:sz="0" w:space="0" w:color="auto"/>
        <w:bottom w:val="none" w:sz="0" w:space="0" w:color="auto"/>
        <w:right w:val="none" w:sz="0" w:space="0" w:color="auto"/>
      </w:divBdr>
    </w:div>
    <w:div w:id="522213192">
      <w:marLeft w:val="0"/>
      <w:marRight w:val="0"/>
      <w:marTop w:val="0"/>
      <w:marBottom w:val="0"/>
      <w:divBdr>
        <w:top w:val="none" w:sz="0" w:space="0" w:color="auto"/>
        <w:left w:val="none" w:sz="0" w:space="0" w:color="auto"/>
        <w:bottom w:val="none" w:sz="0" w:space="0" w:color="auto"/>
        <w:right w:val="none" w:sz="0" w:space="0" w:color="auto"/>
      </w:divBdr>
      <w:divsChild>
        <w:div w:id="267322626">
          <w:marLeft w:val="0"/>
          <w:marRight w:val="0"/>
          <w:marTop w:val="0"/>
          <w:marBottom w:val="0"/>
          <w:divBdr>
            <w:top w:val="none" w:sz="0" w:space="0" w:color="auto"/>
            <w:left w:val="none" w:sz="0" w:space="0" w:color="auto"/>
            <w:bottom w:val="none" w:sz="0" w:space="0" w:color="auto"/>
            <w:right w:val="none" w:sz="0" w:space="0" w:color="auto"/>
          </w:divBdr>
        </w:div>
        <w:div w:id="818612051">
          <w:marLeft w:val="0"/>
          <w:marRight w:val="0"/>
          <w:marTop w:val="0"/>
          <w:marBottom w:val="0"/>
          <w:divBdr>
            <w:top w:val="none" w:sz="0" w:space="0" w:color="auto"/>
            <w:left w:val="none" w:sz="0" w:space="0" w:color="auto"/>
            <w:bottom w:val="none" w:sz="0" w:space="0" w:color="auto"/>
            <w:right w:val="none" w:sz="0" w:space="0" w:color="auto"/>
          </w:divBdr>
        </w:div>
        <w:div w:id="85342924">
          <w:marLeft w:val="0"/>
          <w:marRight w:val="0"/>
          <w:marTop w:val="0"/>
          <w:marBottom w:val="0"/>
          <w:divBdr>
            <w:top w:val="none" w:sz="0" w:space="0" w:color="auto"/>
            <w:left w:val="none" w:sz="0" w:space="0" w:color="auto"/>
            <w:bottom w:val="none" w:sz="0" w:space="0" w:color="auto"/>
            <w:right w:val="none" w:sz="0" w:space="0" w:color="auto"/>
          </w:divBdr>
        </w:div>
        <w:div w:id="1252935088">
          <w:marLeft w:val="0"/>
          <w:marRight w:val="0"/>
          <w:marTop w:val="0"/>
          <w:marBottom w:val="0"/>
          <w:divBdr>
            <w:top w:val="none" w:sz="0" w:space="0" w:color="auto"/>
            <w:left w:val="none" w:sz="0" w:space="0" w:color="auto"/>
            <w:bottom w:val="none" w:sz="0" w:space="0" w:color="auto"/>
            <w:right w:val="none" w:sz="0" w:space="0" w:color="auto"/>
          </w:divBdr>
        </w:div>
      </w:divsChild>
    </w:div>
    <w:div w:id="522942604">
      <w:marLeft w:val="0"/>
      <w:marRight w:val="0"/>
      <w:marTop w:val="0"/>
      <w:marBottom w:val="0"/>
      <w:divBdr>
        <w:top w:val="none" w:sz="0" w:space="0" w:color="auto"/>
        <w:left w:val="none" w:sz="0" w:space="0" w:color="auto"/>
        <w:bottom w:val="none" w:sz="0" w:space="0" w:color="auto"/>
        <w:right w:val="none" w:sz="0" w:space="0" w:color="auto"/>
      </w:divBdr>
      <w:divsChild>
        <w:div w:id="444926157">
          <w:marLeft w:val="0"/>
          <w:marRight w:val="0"/>
          <w:marTop w:val="0"/>
          <w:marBottom w:val="0"/>
          <w:divBdr>
            <w:top w:val="none" w:sz="0" w:space="0" w:color="auto"/>
            <w:left w:val="none" w:sz="0" w:space="0" w:color="auto"/>
            <w:bottom w:val="none" w:sz="0" w:space="0" w:color="auto"/>
            <w:right w:val="none" w:sz="0" w:space="0" w:color="auto"/>
          </w:divBdr>
        </w:div>
      </w:divsChild>
    </w:div>
    <w:div w:id="523978890">
      <w:marLeft w:val="0"/>
      <w:marRight w:val="0"/>
      <w:marTop w:val="0"/>
      <w:marBottom w:val="0"/>
      <w:divBdr>
        <w:top w:val="none" w:sz="0" w:space="0" w:color="auto"/>
        <w:left w:val="none" w:sz="0" w:space="0" w:color="auto"/>
        <w:bottom w:val="none" w:sz="0" w:space="0" w:color="auto"/>
        <w:right w:val="none" w:sz="0" w:space="0" w:color="auto"/>
      </w:divBdr>
    </w:div>
    <w:div w:id="526647960">
      <w:marLeft w:val="0"/>
      <w:marRight w:val="0"/>
      <w:marTop w:val="0"/>
      <w:marBottom w:val="0"/>
      <w:divBdr>
        <w:top w:val="none" w:sz="0" w:space="0" w:color="auto"/>
        <w:left w:val="none" w:sz="0" w:space="0" w:color="auto"/>
        <w:bottom w:val="none" w:sz="0" w:space="0" w:color="auto"/>
        <w:right w:val="none" w:sz="0" w:space="0" w:color="auto"/>
      </w:divBdr>
      <w:divsChild>
        <w:div w:id="804856091">
          <w:marLeft w:val="0"/>
          <w:marRight w:val="0"/>
          <w:marTop w:val="0"/>
          <w:marBottom w:val="0"/>
          <w:divBdr>
            <w:top w:val="none" w:sz="0" w:space="0" w:color="auto"/>
            <w:left w:val="none" w:sz="0" w:space="0" w:color="auto"/>
            <w:bottom w:val="none" w:sz="0" w:space="0" w:color="auto"/>
            <w:right w:val="none" w:sz="0" w:space="0" w:color="auto"/>
          </w:divBdr>
        </w:div>
      </w:divsChild>
    </w:div>
    <w:div w:id="528420118">
      <w:marLeft w:val="0"/>
      <w:marRight w:val="0"/>
      <w:marTop w:val="0"/>
      <w:marBottom w:val="0"/>
      <w:divBdr>
        <w:top w:val="none" w:sz="0" w:space="0" w:color="auto"/>
        <w:left w:val="none" w:sz="0" w:space="0" w:color="auto"/>
        <w:bottom w:val="none" w:sz="0" w:space="0" w:color="auto"/>
        <w:right w:val="none" w:sz="0" w:space="0" w:color="auto"/>
      </w:divBdr>
      <w:divsChild>
        <w:div w:id="1375303255">
          <w:marLeft w:val="0"/>
          <w:marRight w:val="0"/>
          <w:marTop w:val="0"/>
          <w:marBottom w:val="0"/>
          <w:divBdr>
            <w:top w:val="none" w:sz="0" w:space="0" w:color="auto"/>
            <w:left w:val="none" w:sz="0" w:space="0" w:color="auto"/>
            <w:bottom w:val="none" w:sz="0" w:space="0" w:color="auto"/>
            <w:right w:val="none" w:sz="0" w:space="0" w:color="auto"/>
          </w:divBdr>
        </w:div>
      </w:divsChild>
    </w:div>
    <w:div w:id="528762795">
      <w:marLeft w:val="0"/>
      <w:marRight w:val="0"/>
      <w:marTop w:val="0"/>
      <w:marBottom w:val="0"/>
      <w:divBdr>
        <w:top w:val="none" w:sz="0" w:space="0" w:color="auto"/>
        <w:left w:val="none" w:sz="0" w:space="0" w:color="auto"/>
        <w:bottom w:val="none" w:sz="0" w:space="0" w:color="auto"/>
        <w:right w:val="none" w:sz="0" w:space="0" w:color="auto"/>
      </w:divBdr>
    </w:div>
    <w:div w:id="529875493">
      <w:marLeft w:val="0"/>
      <w:marRight w:val="0"/>
      <w:marTop w:val="0"/>
      <w:marBottom w:val="0"/>
      <w:divBdr>
        <w:top w:val="none" w:sz="0" w:space="0" w:color="auto"/>
        <w:left w:val="none" w:sz="0" w:space="0" w:color="auto"/>
        <w:bottom w:val="none" w:sz="0" w:space="0" w:color="auto"/>
        <w:right w:val="none" w:sz="0" w:space="0" w:color="auto"/>
      </w:divBdr>
      <w:divsChild>
        <w:div w:id="2004893014">
          <w:marLeft w:val="0"/>
          <w:marRight w:val="0"/>
          <w:marTop w:val="0"/>
          <w:marBottom w:val="0"/>
          <w:divBdr>
            <w:top w:val="none" w:sz="0" w:space="0" w:color="auto"/>
            <w:left w:val="none" w:sz="0" w:space="0" w:color="auto"/>
            <w:bottom w:val="none" w:sz="0" w:space="0" w:color="auto"/>
            <w:right w:val="none" w:sz="0" w:space="0" w:color="auto"/>
          </w:divBdr>
        </w:div>
      </w:divsChild>
    </w:div>
    <w:div w:id="532882218">
      <w:marLeft w:val="0"/>
      <w:marRight w:val="0"/>
      <w:marTop w:val="100"/>
      <w:marBottom w:val="60"/>
      <w:divBdr>
        <w:top w:val="none" w:sz="0" w:space="0" w:color="auto"/>
        <w:left w:val="none" w:sz="0" w:space="0" w:color="auto"/>
        <w:bottom w:val="none" w:sz="0" w:space="0" w:color="auto"/>
        <w:right w:val="none" w:sz="0" w:space="0" w:color="auto"/>
      </w:divBdr>
      <w:divsChild>
        <w:div w:id="54941129">
          <w:marLeft w:val="0"/>
          <w:marRight w:val="0"/>
          <w:marTop w:val="0"/>
          <w:marBottom w:val="0"/>
          <w:divBdr>
            <w:top w:val="none" w:sz="0" w:space="0" w:color="auto"/>
            <w:left w:val="none" w:sz="0" w:space="0" w:color="auto"/>
            <w:bottom w:val="none" w:sz="0" w:space="0" w:color="auto"/>
            <w:right w:val="none" w:sz="0" w:space="0" w:color="auto"/>
          </w:divBdr>
        </w:div>
        <w:div w:id="721560811">
          <w:marLeft w:val="0"/>
          <w:marRight w:val="0"/>
          <w:marTop w:val="0"/>
          <w:marBottom w:val="0"/>
          <w:divBdr>
            <w:top w:val="none" w:sz="0" w:space="0" w:color="auto"/>
            <w:left w:val="none" w:sz="0" w:space="0" w:color="auto"/>
            <w:bottom w:val="none" w:sz="0" w:space="0" w:color="auto"/>
            <w:right w:val="none" w:sz="0" w:space="0" w:color="auto"/>
          </w:divBdr>
        </w:div>
        <w:div w:id="1660887024">
          <w:marLeft w:val="0"/>
          <w:marRight w:val="0"/>
          <w:marTop w:val="0"/>
          <w:marBottom w:val="0"/>
          <w:divBdr>
            <w:top w:val="none" w:sz="0" w:space="0" w:color="auto"/>
            <w:left w:val="none" w:sz="0" w:space="0" w:color="auto"/>
            <w:bottom w:val="none" w:sz="0" w:space="0" w:color="auto"/>
            <w:right w:val="none" w:sz="0" w:space="0" w:color="auto"/>
          </w:divBdr>
        </w:div>
        <w:div w:id="1082526912">
          <w:marLeft w:val="0"/>
          <w:marRight w:val="0"/>
          <w:marTop w:val="0"/>
          <w:marBottom w:val="0"/>
          <w:divBdr>
            <w:top w:val="none" w:sz="0" w:space="0" w:color="auto"/>
            <w:left w:val="none" w:sz="0" w:space="0" w:color="auto"/>
            <w:bottom w:val="none" w:sz="0" w:space="0" w:color="auto"/>
            <w:right w:val="none" w:sz="0" w:space="0" w:color="auto"/>
          </w:divBdr>
        </w:div>
        <w:div w:id="704987114">
          <w:marLeft w:val="0"/>
          <w:marRight w:val="0"/>
          <w:marTop w:val="0"/>
          <w:marBottom w:val="0"/>
          <w:divBdr>
            <w:top w:val="none" w:sz="0" w:space="0" w:color="auto"/>
            <w:left w:val="none" w:sz="0" w:space="0" w:color="auto"/>
            <w:bottom w:val="none" w:sz="0" w:space="0" w:color="auto"/>
            <w:right w:val="none" w:sz="0" w:space="0" w:color="auto"/>
          </w:divBdr>
        </w:div>
        <w:div w:id="9140622">
          <w:marLeft w:val="0"/>
          <w:marRight w:val="0"/>
          <w:marTop w:val="0"/>
          <w:marBottom w:val="0"/>
          <w:divBdr>
            <w:top w:val="none" w:sz="0" w:space="0" w:color="auto"/>
            <w:left w:val="none" w:sz="0" w:space="0" w:color="auto"/>
            <w:bottom w:val="none" w:sz="0" w:space="0" w:color="auto"/>
            <w:right w:val="none" w:sz="0" w:space="0" w:color="auto"/>
          </w:divBdr>
        </w:div>
        <w:div w:id="1927885628">
          <w:marLeft w:val="0"/>
          <w:marRight w:val="0"/>
          <w:marTop w:val="0"/>
          <w:marBottom w:val="0"/>
          <w:divBdr>
            <w:top w:val="none" w:sz="0" w:space="0" w:color="auto"/>
            <w:left w:val="none" w:sz="0" w:space="0" w:color="auto"/>
            <w:bottom w:val="none" w:sz="0" w:space="0" w:color="auto"/>
            <w:right w:val="none" w:sz="0" w:space="0" w:color="auto"/>
          </w:divBdr>
        </w:div>
        <w:div w:id="676076227">
          <w:marLeft w:val="0"/>
          <w:marRight w:val="0"/>
          <w:marTop w:val="0"/>
          <w:marBottom w:val="0"/>
          <w:divBdr>
            <w:top w:val="none" w:sz="0" w:space="0" w:color="auto"/>
            <w:left w:val="none" w:sz="0" w:space="0" w:color="auto"/>
            <w:bottom w:val="none" w:sz="0" w:space="0" w:color="auto"/>
            <w:right w:val="none" w:sz="0" w:space="0" w:color="auto"/>
          </w:divBdr>
        </w:div>
        <w:div w:id="934827300">
          <w:marLeft w:val="0"/>
          <w:marRight w:val="0"/>
          <w:marTop w:val="0"/>
          <w:marBottom w:val="0"/>
          <w:divBdr>
            <w:top w:val="none" w:sz="0" w:space="0" w:color="auto"/>
            <w:left w:val="none" w:sz="0" w:space="0" w:color="auto"/>
            <w:bottom w:val="none" w:sz="0" w:space="0" w:color="auto"/>
            <w:right w:val="none" w:sz="0" w:space="0" w:color="auto"/>
          </w:divBdr>
        </w:div>
        <w:div w:id="1972662011">
          <w:marLeft w:val="0"/>
          <w:marRight w:val="0"/>
          <w:marTop w:val="0"/>
          <w:marBottom w:val="0"/>
          <w:divBdr>
            <w:top w:val="none" w:sz="0" w:space="0" w:color="auto"/>
            <w:left w:val="none" w:sz="0" w:space="0" w:color="auto"/>
            <w:bottom w:val="none" w:sz="0" w:space="0" w:color="auto"/>
            <w:right w:val="none" w:sz="0" w:space="0" w:color="auto"/>
          </w:divBdr>
        </w:div>
        <w:div w:id="843472082">
          <w:marLeft w:val="0"/>
          <w:marRight w:val="0"/>
          <w:marTop w:val="0"/>
          <w:marBottom w:val="0"/>
          <w:divBdr>
            <w:top w:val="none" w:sz="0" w:space="0" w:color="auto"/>
            <w:left w:val="none" w:sz="0" w:space="0" w:color="auto"/>
            <w:bottom w:val="none" w:sz="0" w:space="0" w:color="auto"/>
            <w:right w:val="none" w:sz="0" w:space="0" w:color="auto"/>
          </w:divBdr>
        </w:div>
        <w:div w:id="149104150">
          <w:marLeft w:val="0"/>
          <w:marRight w:val="0"/>
          <w:marTop w:val="0"/>
          <w:marBottom w:val="0"/>
          <w:divBdr>
            <w:top w:val="none" w:sz="0" w:space="0" w:color="auto"/>
            <w:left w:val="none" w:sz="0" w:space="0" w:color="auto"/>
            <w:bottom w:val="none" w:sz="0" w:space="0" w:color="auto"/>
            <w:right w:val="none" w:sz="0" w:space="0" w:color="auto"/>
          </w:divBdr>
        </w:div>
        <w:div w:id="587422119">
          <w:marLeft w:val="0"/>
          <w:marRight w:val="0"/>
          <w:marTop w:val="0"/>
          <w:marBottom w:val="0"/>
          <w:divBdr>
            <w:top w:val="none" w:sz="0" w:space="0" w:color="auto"/>
            <w:left w:val="none" w:sz="0" w:space="0" w:color="auto"/>
            <w:bottom w:val="none" w:sz="0" w:space="0" w:color="auto"/>
            <w:right w:val="none" w:sz="0" w:space="0" w:color="auto"/>
          </w:divBdr>
        </w:div>
        <w:div w:id="11226359">
          <w:marLeft w:val="0"/>
          <w:marRight w:val="0"/>
          <w:marTop w:val="0"/>
          <w:marBottom w:val="0"/>
          <w:divBdr>
            <w:top w:val="none" w:sz="0" w:space="0" w:color="auto"/>
            <w:left w:val="none" w:sz="0" w:space="0" w:color="auto"/>
            <w:bottom w:val="none" w:sz="0" w:space="0" w:color="auto"/>
            <w:right w:val="none" w:sz="0" w:space="0" w:color="auto"/>
          </w:divBdr>
        </w:div>
        <w:div w:id="874972995">
          <w:marLeft w:val="0"/>
          <w:marRight w:val="0"/>
          <w:marTop w:val="0"/>
          <w:marBottom w:val="0"/>
          <w:divBdr>
            <w:top w:val="none" w:sz="0" w:space="0" w:color="auto"/>
            <w:left w:val="none" w:sz="0" w:space="0" w:color="auto"/>
            <w:bottom w:val="none" w:sz="0" w:space="0" w:color="auto"/>
            <w:right w:val="none" w:sz="0" w:space="0" w:color="auto"/>
          </w:divBdr>
        </w:div>
        <w:div w:id="416246956">
          <w:marLeft w:val="0"/>
          <w:marRight w:val="0"/>
          <w:marTop w:val="0"/>
          <w:marBottom w:val="0"/>
          <w:divBdr>
            <w:top w:val="none" w:sz="0" w:space="0" w:color="auto"/>
            <w:left w:val="none" w:sz="0" w:space="0" w:color="auto"/>
            <w:bottom w:val="none" w:sz="0" w:space="0" w:color="auto"/>
            <w:right w:val="none" w:sz="0" w:space="0" w:color="auto"/>
          </w:divBdr>
        </w:div>
        <w:div w:id="835148272">
          <w:marLeft w:val="0"/>
          <w:marRight w:val="0"/>
          <w:marTop w:val="0"/>
          <w:marBottom w:val="0"/>
          <w:divBdr>
            <w:top w:val="none" w:sz="0" w:space="0" w:color="auto"/>
            <w:left w:val="none" w:sz="0" w:space="0" w:color="auto"/>
            <w:bottom w:val="none" w:sz="0" w:space="0" w:color="auto"/>
            <w:right w:val="none" w:sz="0" w:space="0" w:color="auto"/>
          </w:divBdr>
        </w:div>
        <w:div w:id="1625190794">
          <w:marLeft w:val="0"/>
          <w:marRight w:val="0"/>
          <w:marTop w:val="0"/>
          <w:marBottom w:val="0"/>
          <w:divBdr>
            <w:top w:val="none" w:sz="0" w:space="0" w:color="auto"/>
            <w:left w:val="none" w:sz="0" w:space="0" w:color="auto"/>
            <w:bottom w:val="none" w:sz="0" w:space="0" w:color="auto"/>
            <w:right w:val="none" w:sz="0" w:space="0" w:color="auto"/>
          </w:divBdr>
        </w:div>
        <w:div w:id="1667200680">
          <w:marLeft w:val="0"/>
          <w:marRight w:val="0"/>
          <w:marTop w:val="0"/>
          <w:marBottom w:val="0"/>
          <w:divBdr>
            <w:top w:val="none" w:sz="0" w:space="0" w:color="auto"/>
            <w:left w:val="none" w:sz="0" w:space="0" w:color="auto"/>
            <w:bottom w:val="none" w:sz="0" w:space="0" w:color="auto"/>
            <w:right w:val="none" w:sz="0" w:space="0" w:color="auto"/>
          </w:divBdr>
        </w:div>
      </w:divsChild>
    </w:div>
    <w:div w:id="534734104">
      <w:marLeft w:val="0"/>
      <w:marRight w:val="0"/>
      <w:marTop w:val="0"/>
      <w:marBottom w:val="0"/>
      <w:divBdr>
        <w:top w:val="none" w:sz="0" w:space="0" w:color="auto"/>
        <w:left w:val="none" w:sz="0" w:space="0" w:color="auto"/>
        <w:bottom w:val="none" w:sz="0" w:space="0" w:color="auto"/>
        <w:right w:val="none" w:sz="0" w:space="0" w:color="auto"/>
      </w:divBdr>
    </w:div>
    <w:div w:id="535851252">
      <w:marLeft w:val="0"/>
      <w:marRight w:val="0"/>
      <w:marTop w:val="0"/>
      <w:marBottom w:val="160"/>
      <w:divBdr>
        <w:top w:val="none" w:sz="0" w:space="0" w:color="auto"/>
        <w:left w:val="none" w:sz="0" w:space="0" w:color="auto"/>
        <w:bottom w:val="none" w:sz="0" w:space="0" w:color="auto"/>
        <w:right w:val="none" w:sz="0" w:space="0" w:color="auto"/>
      </w:divBdr>
    </w:div>
    <w:div w:id="536502377">
      <w:marLeft w:val="0"/>
      <w:marRight w:val="0"/>
      <w:marTop w:val="100"/>
      <w:marBottom w:val="0"/>
      <w:divBdr>
        <w:top w:val="none" w:sz="0" w:space="0" w:color="auto"/>
        <w:left w:val="none" w:sz="0" w:space="0" w:color="auto"/>
        <w:bottom w:val="none" w:sz="0" w:space="0" w:color="auto"/>
        <w:right w:val="none" w:sz="0" w:space="0" w:color="auto"/>
      </w:divBdr>
    </w:div>
    <w:div w:id="538781357">
      <w:marLeft w:val="0"/>
      <w:marRight w:val="0"/>
      <w:marTop w:val="0"/>
      <w:marBottom w:val="0"/>
      <w:divBdr>
        <w:top w:val="none" w:sz="0" w:space="0" w:color="auto"/>
        <w:left w:val="none" w:sz="0" w:space="0" w:color="auto"/>
        <w:bottom w:val="none" w:sz="0" w:space="0" w:color="auto"/>
        <w:right w:val="none" w:sz="0" w:space="0" w:color="auto"/>
      </w:divBdr>
      <w:divsChild>
        <w:div w:id="679819452">
          <w:marLeft w:val="0"/>
          <w:marRight w:val="0"/>
          <w:marTop w:val="0"/>
          <w:marBottom w:val="0"/>
          <w:divBdr>
            <w:top w:val="none" w:sz="0" w:space="0" w:color="auto"/>
            <w:left w:val="none" w:sz="0" w:space="0" w:color="auto"/>
            <w:bottom w:val="none" w:sz="0" w:space="0" w:color="auto"/>
            <w:right w:val="none" w:sz="0" w:space="0" w:color="auto"/>
          </w:divBdr>
        </w:div>
      </w:divsChild>
    </w:div>
    <w:div w:id="538931418">
      <w:marLeft w:val="0"/>
      <w:marRight w:val="0"/>
      <w:marTop w:val="0"/>
      <w:marBottom w:val="160"/>
      <w:divBdr>
        <w:top w:val="none" w:sz="0" w:space="0" w:color="auto"/>
        <w:left w:val="none" w:sz="0" w:space="0" w:color="auto"/>
        <w:bottom w:val="none" w:sz="0" w:space="0" w:color="auto"/>
        <w:right w:val="none" w:sz="0" w:space="0" w:color="auto"/>
      </w:divBdr>
    </w:div>
    <w:div w:id="542399575">
      <w:marLeft w:val="0"/>
      <w:marRight w:val="0"/>
      <w:marTop w:val="0"/>
      <w:marBottom w:val="0"/>
      <w:divBdr>
        <w:top w:val="none" w:sz="0" w:space="0" w:color="auto"/>
        <w:left w:val="none" w:sz="0" w:space="0" w:color="auto"/>
        <w:bottom w:val="none" w:sz="0" w:space="0" w:color="auto"/>
        <w:right w:val="none" w:sz="0" w:space="0" w:color="auto"/>
      </w:divBdr>
      <w:divsChild>
        <w:div w:id="1516847905">
          <w:marLeft w:val="0"/>
          <w:marRight w:val="0"/>
          <w:marTop w:val="0"/>
          <w:marBottom w:val="0"/>
          <w:divBdr>
            <w:top w:val="none" w:sz="0" w:space="0" w:color="auto"/>
            <w:left w:val="none" w:sz="0" w:space="0" w:color="auto"/>
            <w:bottom w:val="none" w:sz="0" w:space="0" w:color="auto"/>
            <w:right w:val="none" w:sz="0" w:space="0" w:color="auto"/>
          </w:divBdr>
        </w:div>
        <w:div w:id="1444884059">
          <w:marLeft w:val="0"/>
          <w:marRight w:val="0"/>
          <w:marTop w:val="0"/>
          <w:marBottom w:val="0"/>
          <w:divBdr>
            <w:top w:val="none" w:sz="0" w:space="0" w:color="auto"/>
            <w:left w:val="none" w:sz="0" w:space="0" w:color="auto"/>
            <w:bottom w:val="none" w:sz="0" w:space="0" w:color="auto"/>
            <w:right w:val="none" w:sz="0" w:space="0" w:color="auto"/>
          </w:divBdr>
        </w:div>
        <w:div w:id="1978607351">
          <w:marLeft w:val="0"/>
          <w:marRight w:val="0"/>
          <w:marTop w:val="0"/>
          <w:marBottom w:val="0"/>
          <w:divBdr>
            <w:top w:val="none" w:sz="0" w:space="0" w:color="auto"/>
            <w:left w:val="none" w:sz="0" w:space="0" w:color="auto"/>
            <w:bottom w:val="none" w:sz="0" w:space="0" w:color="auto"/>
            <w:right w:val="none" w:sz="0" w:space="0" w:color="auto"/>
          </w:divBdr>
        </w:div>
        <w:div w:id="1557660763">
          <w:marLeft w:val="0"/>
          <w:marRight w:val="0"/>
          <w:marTop w:val="0"/>
          <w:marBottom w:val="0"/>
          <w:divBdr>
            <w:top w:val="none" w:sz="0" w:space="0" w:color="auto"/>
            <w:left w:val="none" w:sz="0" w:space="0" w:color="auto"/>
            <w:bottom w:val="none" w:sz="0" w:space="0" w:color="auto"/>
            <w:right w:val="none" w:sz="0" w:space="0" w:color="auto"/>
          </w:divBdr>
        </w:div>
      </w:divsChild>
    </w:div>
    <w:div w:id="546143341">
      <w:marLeft w:val="0"/>
      <w:marRight w:val="0"/>
      <w:marTop w:val="0"/>
      <w:marBottom w:val="0"/>
      <w:divBdr>
        <w:top w:val="none" w:sz="0" w:space="0" w:color="auto"/>
        <w:left w:val="none" w:sz="0" w:space="0" w:color="auto"/>
        <w:bottom w:val="none" w:sz="0" w:space="0" w:color="auto"/>
        <w:right w:val="none" w:sz="0" w:space="0" w:color="auto"/>
      </w:divBdr>
    </w:div>
    <w:div w:id="548340639">
      <w:marLeft w:val="0"/>
      <w:marRight w:val="0"/>
      <w:marTop w:val="100"/>
      <w:marBottom w:val="60"/>
      <w:divBdr>
        <w:top w:val="none" w:sz="0" w:space="0" w:color="auto"/>
        <w:left w:val="none" w:sz="0" w:space="0" w:color="auto"/>
        <w:bottom w:val="none" w:sz="0" w:space="0" w:color="auto"/>
        <w:right w:val="none" w:sz="0" w:space="0" w:color="auto"/>
      </w:divBdr>
    </w:div>
    <w:div w:id="548418097">
      <w:marLeft w:val="0"/>
      <w:marRight w:val="0"/>
      <w:marTop w:val="0"/>
      <w:marBottom w:val="0"/>
      <w:divBdr>
        <w:top w:val="none" w:sz="0" w:space="0" w:color="auto"/>
        <w:left w:val="none" w:sz="0" w:space="0" w:color="auto"/>
        <w:bottom w:val="none" w:sz="0" w:space="0" w:color="auto"/>
        <w:right w:val="none" w:sz="0" w:space="0" w:color="auto"/>
      </w:divBdr>
    </w:div>
    <w:div w:id="549807708">
      <w:marLeft w:val="0"/>
      <w:marRight w:val="0"/>
      <w:marTop w:val="0"/>
      <w:marBottom w:val="0"/>
      <w:divBdr>
        <w:top w:val="none" w:sz="0" w:space="0" w:color="auto"/>
        <w:left w:val="none" w:sz="0" w:space="0" w:color="auto"/>
        <w:bottom w:val="none" w:sz="0" w:space="0" w:color="auto"/>
        <w:right w:val="none" w:sz="0" w:space="0" w:color="auto"/>
      </w:divBdr>
      <w:divsChild>
        <w:div w:id="355041170">
          <w:marLeft w:val="0"/>
          <w:marRight w:val="0"/>
          <w:marTop w:val="0"/>
          <w:marBottom w:val="0"/>
          <w:divBdr>
            <w:top w:val="none" w:sz="0" w:space="0" w:color="auto"/>
            <w:left w:val="none" w:sz="0" w:space="0" w:color="auto"/>
            <w:bottom w:val="none" w:sz="0" w:space="0" w:color="auto"/>
            <w:right w:val="none" w:sz="0" w:space="0" w:color="auto"/>
          </w:divBdr>
        </w:div>
      </w:divsChild>
    </w:div>
    <w:div w:id="549850089">
      <w:marLeft w:val="0"/>
      <w:marRight w:val="0"/>
      <w:marTop w:val="0"/>
      <w:marBottom w:val="0"/>
      <w:divBdr>
        <w:top w:val="none" w:sz="0" w:space="0" w:color="auto"/>
        <w:left w:val="none" w:sz="0" w:space="0" w:color="auto"/>
        <w:bottom w:val="none" w:sz="0" w:space="0" w:color="auto"/>
        <w:right w:val="none" w:sz="0" w:space="0" w:color="auto"/>
      </w:divBdr>
      <w:divsChild>
        <w:div w:id="1544712961">
          <w:marLeft w:val="0"/>
          <w:marRight w:val="0"/>
          <w:marTop w:val="0"/>
          <w:marBottom w:val="0"/>
          <w:divBdr>
            <w:top w:val="none" w:sz="0" w:space="0" w:color="auto"/>
            <w:left w:val="none" w:sz="0" w:space="0" w:color="auto"/>
            <w:bottom w:val="none" w:sz="0" w:space="0" w:color="auto"/>
            <w:right w:val="none" w:sz="0" w:space="0" w:color="auto"/>
          </w:divBdr>
        </w:div>
      </w:divsChild>
    </w:div>
    <w:div w:id="551427102">
      <w:marLeft w:val="0"/>
      <w:marRight w:val="0"/>
      <w:marTop w:val="0"/>
      <w:marBottom w:val="0"/>
      <w:divBdr>
        <w:top w:val="none" w:sz="0" w:space="0" w:color="auto"/>
        <w:left w:val="none" w:sz="0" w:space="0" w:color="auto"/>
        <w:bottom w:val="none" w:sz="0" w:space="0" w:color="auto"/>
        <w:right w:val="none" w:sz="0" w:space="0" w:color="auto"/>
      </w:divBdr>
      <w:divsChild>
        <w:div w:id="228662114">
          <w:marLeft w:val="0"/>
          <w:marRight w:val="0"/>
          <w:marTop w:val="0"/>
          <w:marBottom w:val="0"/>
          <w:divBdr>
            <w:top w:val="none" w:sz="0" w:space="0" w:color="auto"/>
            <w:left w:val="none" w:sz="0" w:space="0" w:color="auto"/>
            <w:bottom w:val="none" w:sz="0" w:space="0" w:color="auto"/>
            <w:right w:val="none" w:sz="0" w:space="0" w:color="auto"/>
          </w:divBdr>
        </w:div>
      </w:divsChild>
    </w:div>
    <w:div w:id="554514235">
      <w:marLeft w:val="0"/>
      <w:marRight w:val="0"/>
      <w:marTop w:val="0"/>
      <w:marBottom w:val="200"/>
      <w:divBdr>
        <w:top w:val="none" w:sz="0" w:space="0" w:color="auto"/>
        <w:left w:val="none" w:sz="0" w:space="0" w:color="auto"/>
        <w:bottom w:val="none" w:sz="0" w:space="0" w:color="auto"/>
        <w:right w:val="none" w:sz="0" w:space="0" w:color="auto"/>
      </w:divBdr>
    </w:div>
    <w:div w:id="555166450">
      <w:marLeft w:val="0"/>
      <w:marRight w:val="0"/>
      <w:marTop w:val="0"/>
      <w:marBottom w:val="0"/>
      <w:divBdr>
        <w:top w:val="none" w:sz="0" w:space="0" w:color="auto"/>
        <w:left w:val="none" w:sz="0" w:space="0" w:color="auto"/>
        <w:bottom w:val="none" w:sz="0" w:space="0" w:color="auto"/>
        <w:right w:val="none" w:sz="0" w:space="0" w:color="auto"/>
      </w:divBdr>
    </w:div>
    <w:div w:id="558588085">
      <w:marLeft w:val="0"/>
      <w:marRight w:val="0"/>
      <w:marTop w:val="0"/>
      <w:marBottom w:val="0"/>
      <w:divBdr>
        <w:top w:val="none" w:sz="0" w:space="0" w:color="auto"/>
        <w:left w:val="none" w:sz="0" w:space="0" w:color="auto"/>
        <w:bottom w:val="none" w:sz="0" w:space="0" w:color="auto"/>
        <w:right w:val="none" w:sz="0" w:space="0" w:color="auto"/>
      </w:divBdr>
    </w:div>
    <w:div w:id="561673961">
      <w:marLeft w:val="0"/>
      <w:marRight w:val="0"/>
      <w:marTop w:val="0"/>
      <w:marBottom w:val="0"/>
      <w:divBdr>
        <w:top w:val="none" w:sz="0" w:space="0" w:color="auto"/>
        <w:left w:val="none" w:sz="0" w:space="0" w:color="auto"/>
        <w:bottom w:val="none" w:sz="0" w:space="0" w:color="auto"/>
        <w:right w:val="none" w:sz="0" w:space="0" w:color="auto"/>
      </w:divBdr>
      <w:divsChild>
        <w:div w:id="1436025423">
          <w:marLeft w:val="0"/>
          <w:marRight w:val="0"/>
          <w:marTop w:val="0"/>
          <w:marBottom w:val="0"/>
          <w:divBdr>
            <w:top w:val="none" w:sz="0" w:space="0" w:color="auto"/>
            <w:left w:val="none" w:sz="0" w:space="0" w:color="auto"/>
            <w:bottom w:val="none" w:sz="0" w:space="0" w:color="auto"/>
            <w:right w:val="none" w:sz="0" w:space="0" w:color="auto"/>
          </w:divBdr>
        </w:div>
      </w:divsChild>
    </w:div>
    <w:div w:id="562720714">
      <w:marLeft w:val="0"/>
      <w:marRight w:val="0"/>
      <w:marTop w:val="0"/>
      <w:marBottom w:val="0"/>
      <w:divBdr>
        <w:top w:val="none" w:sz="0" w:space="0" w:color="auto"/>
        <w:left w:val="none" w:sz="0" w:space="0" w:color="auto"/>
        <w:bottom w:val="none" w:sz="0" w:space="0" w:color="auto"/>
        <w:right w:val="none" w:sz="0" w:space="0" w:color="auto"/>
      </w:divBdr>
    </w:div>
    <w:div w:id="564143636">
      <w:marLeft w:val="0"/>
      <w:marRight w:val="0"/>
      <w:marTop w:val="200"/>
      <w:marBottom w:val="0"/>
      <w:divBdr>
        <w:top w:val="none" w:sz="0" w:space="0" w:color="auto"/>
        <w:left w:val="none" w:sz="0" w:space="0" w:color="auto"/>
        <w:bottom w:val="none" w:sz="0" w:space="0" w:color="auto"/>
        <w:right w:val="none" w:sz="0" w:space="0" w:color="auto"/>
      </w:divBdr>
    </w:div>
    <w:div w:id="564221700">
      <w:marLeft w:val="0"/>
      <w:marRight w:val="0"/>
      <w:marTop w:val="200"/>
      <w:marBottom w:val="0"/>
      <w:divBdr>
        <w:top w:val="none" w:sz="0" w:space="0" w:color="auto"/>
        <w:left w:val="none" w:sz="0" w:space="0" w:color="auto"/>
        <w:bottom w:val="none" w:sz="0" w:space="0" w:color="auto"/>
        <w:right w:val="none" w:sz="0" w:space="0" w:color="auto"/>
      </w:divBdr>
    </w:div>
    <w:div w:id="566845189">
      <w:marLeft w:val="0"/>
      <w:marRight w:val="0"/>
      <w:marTop w:val="0"/>
      <w:marBottom w:val="0"/>
      <w:divBdr>
        <w:top w:val="none" w:sz="0" w:space="0" w:color="auto"/>
        <w:left w:val="none" w:sz="0" w:space="0" w:color="auto"/>
        <w:bottom w:val="none" w:sz="0" w:space="0" w:color="auto"/>
        <w:right w:val="none" w:sz="0" w:space="0" w:color="auto"/>
      </w:divBdr>
    </w:div>
    <w:div w:id="568271268">
      <w:marLeft w:val="0"/>
      <w:marRight w:val="0"/>
      <w:marTop w:val="200"/>
      <w:marBottom w:val="0"/>
      <w:divBdr>
        <w:top w:val="none" w:sz="0" w:space="0" w:color="auto"/>
        <w:left w:val="none" w:sz="0" w:space="0" w:color="auto"/>
        <w:bottom w:val="none" w:sz="0" w:space="0" w:color="auto"/>
        <w:right w:val="none" w:sz="0" w:space="0" w:color="auto"/>
      </w:divBdr>
    </w:div>
    <w:div w:id="573471080">
      <w:marLeft w:val="0"/>
      <w:marRight w:val="0"/>
      <w:marTop w:val="0"/>
      <w:marBottom w:val="0"/>
      <w:divBdr>
        <w:top w:val="none" w:sz="0" w:space="0" w:color="auto"/>
        <w:left w:val="none" w:sz="0" w:space="0" w:color="auto"/>
        <w:bottom w:val="none" w:sz="0" w:space="0" w:color="auto"/>
        <w:right w:val="none" w:sz="0" w:space="0" w:color="auto"/>
      </w:divBdr>
    </w:div>
    <w:div w:id="573858715">
      <w:marLeft w:val="0"/>
      <w:marRight w:val="0"/>
      <w:marTop w:val="0"/>
      <w:marBottom w:val="0"/>
      <w:divBdr>
        <w:top w:val="none" w:sz="0" w:space="0" w:color="auto"/>
        <w:left w:val="none" w:sz="0" w:space="0" w:color="auto"/>
        <w:bottom w:val="none" w:sz="0" w:space="0" w:color="auto"/>
        <w:right w:val="none" w:sz="0" w:space="0" w:color="auto"/>
      </w:divBdr>
      <w:divsChild>
        <w:div w:id="442725660">
          <w:marLeft w:val="0"/>
          <w:marRight w:val="0"/>
          <w:marTop w:val="0"/>
          <w:marBottom w:val="0"/>
          <w:divBdr>
            <w:top w:val="none" w:sz="0" w:space="0" w:color="auto"/>
            <w:left w:val="none" w:sz="0" w:space="0" w:color="auto"/>
            <w:bottom w:val="none" w:sz="0" w:space="0" w:color="auto"/>
            <w:right w:val="none" w:sz="0" w:space="0" w:color="auto"/>
          </w:divBdr>
        </w:div>
        <w:div w:id="1277634557">
          <w:marLeft w:val="0"/>
          <w:marRight w:val="0"/>
          <w:marTop w:val="0"/>
          <w:marBottom w:val="0"/>
          <w:divBdr>
            <w:top w:val="none" w:sz="0" w:space="0" w:color="auto"/>
            <w:left w:val="none" w:sz="0" w:space="0" w:color="auto"/>
            <w:bottom w:val="none" w:sz="0" w:space="0" w:color="auto"/>
            <w:right w:val="none" w:sz="0" w:space="0" w:color="auto"/>
          </w:divBdr>
        </w:div>
        <w:div w:id="579994449">
          <w:marLeft w:val="0"/>
          <w:marRight w:val="0"/>
          <w:marTop w:val="0"/>
          <w:marBottom w:val="0"/>
          <w:divBdr>
            <w:top w:val="none" w:sz="0" w:space="0" w:color="auto"/>
            <w:left w:val="none" w:sz="0" w:space="0" w:color="auto"/>
            <w:bottom w:val="none" w:sz="0" w:space="0" w:color="auto"/>
            <w:right w:val="none" w:sz="0" w:space="0" w:color="auto"/>
          </w:divBdr>
        </w:div>
        <w:div w:id="1057556772">
          <w:marLeft w:val="0"/>
          <w:marRight w:val="0"/>
          <w:marTop w:val="0"/>
          <w:marBottom w:val="0"/>
          <w:divBdr>
            <w:top w:val="none" w:sz="0" w:space="0" w:color="auto"/>
            <w:left w:val="none" w:sz="0" w:space="0" w:color="auto"/>
            <w:bottom w:val="none" w:sz="0" w:space="0" w:color="auto"/>
            <w:right w:val="none" w:sz="0" w:space="0" w:color="auto"/>
          </w:divBdr>
        </w:div>
      </w:divsChild>
    </w:div>
    <w:div w:id="574512347">
      <w:marLeft w:val="0"/>
      <w:marRight w:val="0"/>
      <w:marTop w:val="0"/>
      <w:marBottom w:val="0"/>
      <w:divBdr>
        <w:top w:val="none" w:sz="0" w:space="0" w:color="auto"/>
        <w:left w:val="none" w:sz="0" w:space="0" w:color="auto"/>
        <w:bottom w:val="none" w:sz="0" w:space="0" w:color="auto"/>
        <w:right w:val="none" w:sz="0" w:space="0" w:color="auto"/>
      </w:divBdr>
      <w:divsChild>
        <w:div w:id="1334988700">
          <w:marLeft w:val="0"/>
          <w:marRight w:val="0"/>
          <w:marTop w:val="0"/>
          <w:marBottom w:val="0"/>
          <w:divBdr>
            <w:top w:val="none" w:sz="0" w:space="0" w:color="auto"/>
            <w:left w:val="none" w:sz="0" w:space="0" w:color="auto"/>
            <w:bottom w:val="none" w:sz="0" w:space="0" w:color="auto"/>
            <w:right w:val="none" w:sz="0" w:space="0" w:color="auto"/>
          </w:divBdr>
        </w:div>
      </w:divsChild>
    </w:div>
    <w:div w:id="575553393">
      <w:marLeft w:val="0"/>
      <w:marRight w:val="0"/>
      <w:marTop w:val="0"/>
      <w:marBottom w:val="0"/>
      <w:divBdr>
        <w:top w:val="none" w:sz="0" w:space="0" w:color="auto"/>
        <w:left w:val="none" w:sz="0" w:space="0" w:color="auto"/>
        <w:bottom w:val="none" w:sz="0" w:space="0" w:color="auto"/>
        <w:right w:val="none" w:sz="0" w:space="0" w:color="auto"/>
      </w:divBdr>
      <w:divsChild>
        <w:div w:id="1163010475">
          <w:marLeft w:val="0"/>
          <w:marRight w:val="0"/>
          <w:marTop w:val="0"/>
          <w:marBottom w:val="0"/>
          <w:divBdr>
            <w:top w:val="none" w:sz="0" w:space="0" w:color="auto"/>
            <w:left w:val="none" w:sz="0" w:space="0" w:color="auto"/>
            <w:bottom w:val="none" w:sz="0" w:space="0" w:color="auto"/>
            <w:right w:val="none" w:sz="0" w:space="0" w:color="auto"/>
          </w:divBdr>
        </w:div>
      </w:divsChild>
    </w:div>
    <w:div w:id="577247820">
      <w:marLeft w:val="0"/>
      <w:marRight w:val="0"/>
      <w:marTop w:val="0"/>
      <w:marBottom w:val="0"/>
      <w:divBdr>
        <w:top w:val="none" w:sz="0" w:space="0" w:color="auto"/>
        <w:left w:val="none" w:sz="0" w:space="0" w:color="auto"/>
        <w:bottom w:val="none" w:sz="0" w:space="0" w:color="auto"/>
        <w:right w:val="none" w:sz="0" w:space="0" w:color="auto"/>
      </w:divBdr>
    </w:div>
    <w:div w:id="584149158">
      <w:marLeft w:val="0"/>
      <w:marRight w:val="0"/>
      <w:marTop w:val="0"/>
      <w:marBottom w:val="0"/>
      <w:divBdr>
        <w:top w:val="none" w:sz="0" w:space="0" w:color="auto"/>
        <w:left w:val="none" w:sz="0" w:space="0" w:color="auto"/>
        <w:bottom w:val="none" w:sz="0" w:space="0" w:color="auto"/>
        <w:right w:val="none" w:sz="0" w:space="0" w:color="auto"/>
      </w:divBdr>
    </w:div>
    <w:div w:id="584195009">
      <w:marLeft w:val="0"/>
      <w:marRight w:val="0"/>
      <w:marTop w:val="20"/>
      <w:marBottom w:val="0"/>
      <w:divBdr>
        <w:top w:val="none" w:sz="0" w:space="0" w:color="auto"/>
        <w:left w:val="none" w:sz="0" w:space="0" w:color="auto"/>
        <w:bottom w:val="none" w:sz="0" w:space="0" w:color="auto"/>
        <w:right w:val="none" w:sz="0" w:space="0" w:color="auto"/>
      </w:divBdr>
    </w:div>
    <w:div w:id="584458976">
      <w:marLeft w:val="0"/>
      <w:marRight w:val="0"/>
      <w:marTop w:val="200"/>
      <w:marBottom w:val="0"/>
      <w:divBdr>
        <w:top w:val="none" w:sz="0" w:space="0" w:color="auto"/>
        <w:left w:val="none" w:sz="0" w:space="0" w:color="auto"/>
        <w:bottom w:val="none" w:sz="0" w:space="0" w:color="auto"/>
        <w:right w:val="none" w:sz="0" w:space="0" w:color="auto"/>
      </w:divBdr>
    </w:div>
    <w:div w:id="585924164">
      <w:marLeft w:val="0"/>
      <w:marRight w:val="0"/>
      <w:marTop w:val="0"/>
      <w:marBottom w:val="0"/>
      <w:divBdr>
        <w:top w:val="none" w:sz="0" w:space="0" w:color="auto"/>
        <w:left w:val="none" w:sz="0" w:space="0" w:color="auto"/>
        <w:bottom w:val="none" w:sz="0" w:space="0" w:color="auto"/>
        <w:right w:val="none" w:sz="0" w:space="0" w:color="auto"/>
      </w:divBdr>
      <w:divsChild>
        <w:div w:id="348874400">
          <w:marLeft w:val="0"/>
          <w:marRight w:val="0"/>
          <w:marTop w:val="0"/>
          <w:marBottom w:val="0"/>
          <w:divBdr>
            <w:top w:val="none" w:sz="0" w:space="0" w:color="auto"/>
            <w:left w:val="none" w:sz="0" w:space="0" w:color="auto"/>
            <w:bottom w:val="none" w:sz="0" w:space="0" w:color="auto"/>
            <w:right w:val="none" w:sz="0" w:space="0" w:color="auto"/>
          </w:divBdr>
        </w:div>
      </w:divsChild>
    </w:div>
    <w:div w:id="588125154">
      <w:marLeft w:val="0"/>
      <w:marRight w:val="0"/>
      <w:marTop w:val="0"/>
      <w:marBottom w:val="0"/>
      <w:divBdr>
        <w:top w:val="none" w:sz="0" w:space="0" w:color="auto"/>
        <w:left w:val="none" w:sz="0" w:space="0" w:color="auto"/>
        <w:bottom w:val="none" w:sz="0" w:space="0" w:color="auto"/>
        <w:right w:val="none" w:sz="0" w:space="0" w:color="auto"/>
      </w:divBdr>
      <w:divsChild>
        <w:div w:id="1097675440">
          <w:marLeft w:val="0"/>
          <w:marRight w:val="0"/>
          <w:marTop w:val="0"/>
          <w:marBottom w:val="0"/>
          <w:divBdr>
            <w:top w:val="none" w:sz="0" w:space="0" w:color="auto"/>
            <w:left w:val="none" w:sz="0" w:space="0" w:color="auto"/>
            <w:bottom w:val="none" w:sz="0" w:space="0" w:color="auto"/>
            <w:right w:val="none" w:sz="0" w:space="0" w:color="auto"/>
          </w:divBdr>
        </w:div>
      </w:divsChild>
    </w:div>
    <w:div w:id="588126659">
      <w:marLeft w:val="0"/>
      <w:marRight w:val="0"/>
      <w:marTop w:val="0"/>
      <w:marBottom w:val="0"/>
      <w:divBdr>
        <w:top w:val="none" w:sz="0" w:space="0" w:color="auto"/>
        <w:left w:val="none" w:sz="0" w:space="0" w:color="auto"/>
        <w:bottom w:val="none" w:sz="0" w:space="0" w:color="auto"/>
        <w:right w:val="none" w:sz="0" w:space="0" w:color="auto"/>
      </w:divBdr>
      <w:divsChild>
        <w:div w:id="1531259150">
          <w:marLeft w:val="0"/>
          <w:marRight w:val="0"/>
          <w:marTop w:val="0"/>
          <w:marBottom w:val="0"/>
          <w:divBdr>
            <w:top w:val="none" w:sz="0" w:space="0" w:color="auto"/>
            <w:left w:val="none" w:sz="0" w:space="0" w:color="auto"/>
            <w:bottom w:val="none" w:sz="0" w:space="0" w:color="auto"/>
            <w:right w:val="none" w:sz="0" w:space="0" w:color="auto"/>
          </w:divBdr>
        </w:div>
      </w:divsChild>
    </w:div>
    <w:div w:id="588738978">
      <w:marLeft w:val="0"/>
      <w:marRight w:val="0"/>
      <w:marTop w:val="0"/>
      <w:marBottom w:val="0"/>
      <w:divBdr>
        <w:top w:val="none" w:sz="0" w:space="0" w:color="auto"/>
        <w:left w:val="none" w:sz="0" w:space="0" w:color="auto"/>
        <w:bottom w:val="none" w:sz="0" w:space="0" w:color="auto"/>
        <w:right w:val="none" w:sz="0" w:space="0" w:color="auto"/>
      </w:divBdr>
      <w:divsChild>
        <w:div w:id="149566739">
          <w:marLeft w:val="0"/>
          <w:marRight w:val="0"/>
          <w:marTop w:val="0"/>
          <w:marBottom w:val="0"/>
          <w:divBdr>
            <w:top w:val="none" w:sz="0" w:space="0" w:color="auto"/>
            <w:left w:val="none" w:sz="0" w:space="0" w:color="auto"/>
            <w:bottom w:val="none" w:sz="0" w:space="0" w:color="auto"/>
            <w:right w:val="none" w:sz="0" w:space="0" w:color="auto"/>
          </w:divBdr>
        </w:div>
      </w:divsChild>
    </w:div>
    <w:div w:id="590941344">
      <w:marLeft w:val="0"/>
      <w:marRight w:val="0"/>
      <w:marTop w:val="200"/>
      <w:marBottom w:val="0"/>
      <w:divBdr>
        <w:top w:val="none" w:sz="0" w:space="0" w:color="auto"/>
        <w:left w:val="none" w:sz="0" w:space="0" w:color="auto"/>
        <w:bottom w:val="none" w:sz="0" w:space="0" w:color="auto"/>
        <w:right w:val="none" w:sz="0" w:space="0" w:color="auto"/>
      </w:divBdr>
    </w:div>
    <w:div w:id="592977169">
      <w:marLeft w:val="0"/>
      <w:marRight w:val="0"/>
      <w:marTop w:val="0"/>
      <w:marBottom w:val="0"/>
      <w:divBdr>
        <w:top w:val="none" w:sz="0" w:space="0" w:color="auto"/>
        <w:left w:val="none" w:sz="0" w:space="0" w:color="auto"/>
        <w:bottom w:val="none" w:sz="0" w:space="0" w:color="auto"/>
        <w:right w:val="none" w:sz="0" w:space="0" w:color="auto"/>
      </w:divBdr>
      <w:divsChild>
        <w:div w:id="1470442256">
          <w:marLeft w:val="0"/>
          <w:marRight w:val="0"/>
          <w:marTop w:val="0"/>
          <w:marBottom w:val="0"/>
          <w:divBdr>
            <w:top w:val="none" w:sz="0" w:space="0" w:color="auto"/>
            <w:left w:val="none" w:sz="0" w:space="0" w:color="auto"/>
            <w:bottom w:val="none" w:sz="0" w:space="0" w:color="auto"/>
            <w:right w:val="none" w:sz="0" w:space="0" w:color="auto"/>
          </w:divBdr>
        </w:div>
      </w:divsChild>
    </w:div>
    <w:div w:id="593974188">
      <w:marLeft w:val="0"/>
      <w:marRight w:val="0"/>
      <w:marTop w:val="0"/>
      <w:marBottom w:val="0"/>
      <w:divBdr>
        <w:top w:val="none" w:sz="0" w:space="0" w:color="auto"/>
        <w:left w:val="none" w:sz="0" w:space="0" w:color="auto"/>
        <w:bottom w:val="none" w:sz="0" w:space="0" w:color="auto"/>
        <w:right w:val="none" w:sz="0" w:space="0" w:color="auto"/>
      </w:divBdr>
    </w:div>
    <w:div w:id="600648858">
      <w:marLeft w:val="0"/>
      <w:marRight w:val="0"/>
      <w:marTop w:val="0"/>
      <w:marBottom w:val="0"/>
      <w:divBdr>
        <w:top w:val="none" w:sz="0" w:space="0" w:color="auto"/>
        <w:left w:val="none" w:sz="0" w:space="0" w:color="auto"/>
        <w:bottom w:val="none" w:sz="0" w:space="0" w:color="auto"/>
        <w:right w:val="none" w:sz="0" w:space="0" w:color="auto"/>
      </w:divBdr>
    </w:div>
    <w:div w:id="602803224">
      <w:marLeft w:val="0"/>
      <w:marRight w:val="0"/>
      <w:marTop w:val="200"/>
      <w:marBottom w:val="0"/>
      <w:divBdr>
        <w:top w:val="none" w:sz="0" w:space="0" w:color="auto"/>
        <w:left w:val="none" w:sz="0" w:space="0" w:color="auto"/>
        <w:bottom w:val="none" w:sz="0" w:space="0" w:color="auto"/>
        <w:right w:val="none" w:sz="0" w:space="0" w:color="auto"/>
      </w:divBdr>
    </w:div>
    <w:div w:id="606156572">
      <w:marLeft w:val="0"/>
      <w:marRight w:val="0"/>
      <w:marTop w:val="200"/>
      <w:marBottom w:val="0"/>
      <w:divBdr>
        <w:top w:val="none" w:sz="0" w:space="0" w:color="auto"/>
        <w:left w:val="none" w:sz="0" w:space="0" w:color="auto"/>
        <w:bottom w:val="none" w:sz="0" w:space="0" w:color="auto"/>
        <w:right w:val="none" w:sz="0" w:space="0" w:color="auto"/>
      </w:divBdr>
    </w:div>
    <w:div w:id="608318141">
      <w:marLeft w:val="0"/>
      <w:marRight w:val="0"/>
      <w:marTop w:val="0"/>
      <w:marBottom w:val="0"/>
      <w:divBdr>
        <w:top w:val="none" w:sz="0" w:space="0" w:color="auto"/>
        <w:left w:val="none" w:sz="0" w:space="0" w:color="auto"/>
        <w:bottom w:val="none" w:sz="0" w:space="0" w:color="auto"/>
        <w:right w:val="none" w:sz="0" w:space="0" w:color="auto"/>
      </w:divBdr>
    </w:div>
    <w:div w:id="609625406">
      <w:marLeft w:val="0"/>
      <w:marRight w:val="0"/>
      <w:marTop w:val="100"/>
      <w:marBottom w:val="0"/>
      <w:divBdr>
        <w:top w:val="none" w:sz="0" w:space="0" w:color="auto"/>
        <w:left w:val="none" w:sz="0" w:space="0" w:color="auto"/>
        <w:bottom w:val="none" w:sz="0" w:space="0" w:color="auto"/>
        <w:right w:val="none" w:sz="0" w:space="0" w:color="auto"/>
      </w:divBdr>
    </w:div>
    <w:div w:id="611783184">
      <w:marLeft w:val="0"/>
      <w:marRight w:val="0"/>
      <w:marTop w:val="0"/>
      <w:marBottom w:val="0"/>
      <w:divBdr>
        <w:top w:val="none" w:sz="0" w:space="0" w:color="auto"/>
        <w:left w:val="none" w:sz="0" w:space="0" w:color="auto"/>
        <w:bottom w:val="none" w:sz="0" w:space="0" w:color="auto"/>
        <w:right w:val="none" w:sz="0" w:space="0" w:color="auto"/>
      </w:divBdr>
      <w:divsChild>
        <w:div w:id="874853337">
          <w:marLeft w:val="0"/>
          <w:marRight w:val="0"/>
          <w:marTop w:val="0"/>
          <w:marBottom w:val="0"/>
          <w:divBdr>
            <w:top w:val="none" w:sz="0" w:space="0" w:color="auto"/>
            <w:left w:val="none" w:sz="0" w:space="0" w:color="auto"/>
            <w:bottom w:val="none" w:sz="0" w:space="0" w:color="auto"/>
            <w:right w:val="none" w:sz="0" w:space="0" w:color="auto"/>
          </w:divBdr>
        </w:div>
      </w:divsChild>
    </w:div>
    <w:div w:id="611865807">
      <w:marLeft w:val="0"/>
      <w:marRight w:val="0"/>
      <w:marTop w:val="0"/>
      <w:marBottom w:val="0"/>
      <w:divBdr>
        <w:top w:val="none" w:sz="0" w:space="0" w:color="auto"/>
        <w:left w:val="none" w:sz="0" w:space="0" w:color="auto"/>
        <w:bottom w:val="none" w:sz="0" w:space="0" w:color="auto"/>
        <w:right w:val="none" w:sz="0" w:space="0" w:color="auto"/>
      </w:divBdr>
      <w:divsChild>
        <w:div w:id="604002331">
          <w:marLeft w:val="0"/>
          <w:marRight w:val="0"/>
          <w:marTop w:val="0"/>
          <w:marBottom w:val="0"/>
          <w:divBdr>
            <w:top w:val="none" w:sz="0" w:space="0" w:color="auto"/>
            <w:left w:val="none" w:sz="0" w:space="0" w:color="auto"/>
            <w:bottom w:val="none" w:sz="0" w:space="0" w:color="auto"/>
            <w:right w:val="none" w:sz="0" w:space="0" w:color="auto"/>
          </w:divBdr>
        </w:div>
        <w:div w:id="387535347">
          <w:marLeft w:val="0"/>
          <w:marRight w:val="0"/>
          <w:marTop w:val="0"/>
          <w:marBottom w:val="0"/>
          <w:divBdr>
            <w:top w:val="none" w:sz="0" w:space="0" w:color="auto"/>
            <w:left w:val="none" w:sz="0" w:space="0" w:color="auto"/>
            <w:bottom w:val="none" w:sz="0" w:space="0" w:color="auto"/>
            <w:right w:val="none" w:sz="0" w:space="0" w:color="auto"/>
          </w:divBdr>
        </w:div>
        <w:div w:id="88551469">
          <w:marLeft w:val="0"/>
          <w:marRight w:val="0"/>
          <w:marTop w:val="0"/>
          <w:marBottom w:val="0"/>
          <w:divBdr>
            <w:top w:val="none" w:sz="0" w:space="0" w:color="auto"/>
            <w:left w:val="none" w:sz="0" w:space="0" w:color="auto"/>
            <w:bottom w:val="none" w:sz="0" w:space="0" w:color="auto"/>
            <w:right w:val="none" w:sz="0" w:space="0" w:color="auto"/>
          </w:divBdr>
        </w:div>
        <w:div w:id="1057624440">
          <w:marLeft w:val="0"/>
          <w:marRight w:val="0"/>
          <w:marTop w:val="0"/>
          <w:marBottom w:val="0"/>
          <w:divBdr>
            <w:top w:val="none" w:sz="0" w:space="0" w:color="auto"/>
            <w:left w:val="none" w:sz="0" w:space="0" w:color="auto"/>
            <w:bottom w:val="none" w:sz="0" w:space="0" w:color="auto"/>
            <w:right w:val="none" w:sz="0" w:space="0" w:color="auto"/>
          </w:divBdr>
        </w:div>
      </w:divsChild>
    </w:div>
    <w:div w:id="615255505">
      <w:marLeft w:val="0"/>
      <w:marRight w:val="0"/>
      <w:marTop w:val="200"/>
      <w:marBottom w:val="0"/>
      <w:divBdr>
        <w:top w:val="none" w:sz="0" w:space="0" w:color="auto"/>
        <w:left w:val="none" w:sz="0" w:space="0" w:color="auto"/>
        <w:bottom w:val="none" w:sz="0" w:space="0" w:color="auto"/>
        <w:right w:val="none" w:sz="0" w:space="0" w:color="auto"/>
      </w:divBdr>
    </w:div>
    <w:div w:id="620109150">
      <w:marLeft w:val="0"/>
      <w:marRight w:val="0"/>
      <w:marTop w:val="0"/>
      <w:marBottom w:val="0"/>
      <w:divBdr>
        <w:top w:val="none" w:sz="0" w:space="0" w:color="auto"/>
        <w:left w:val="none" w:sz="0" w:space="0" w:color="auto"/>
        <w:bottom w:val="none" w:sz="0" w:space="0" w:color="auto"/>
        <w:right w:val="none" w:sz="0" w:space="0" w:color="auto"/>
      </w:divBdr>
    </w:div>
    <w:div w:id="620842396">
      <w:marLeft w:val="0"/>
      <w:marRight w:val="0"/>
      <w:marTop w:val="0"/>
      <w:marBottom w:val="0"/>
      <w:divBdr>
        <w:top w:val="none" w:sz="0" w:space="0" w:color="auto"/>
        <w:left w:val="none" w:sz="0" w:space="0" w:color="auto"/>
        <w:bottom w:val="none" w:sz="0" w:space="0" w:color="auto"/>
        <w:right w:val="none" w:sz="0" w:space="0" w:color="auto"/>
      </w:divBdr>
    </w:div>
    <w:div w:id="621348217">
      <w:marLeft w:val="0"/>
      <w:marRight w:val="0"/>
      <w:marTop w:val="60"/>
      <w:marBottom w:val="0"/>
      <w:divBdr>
        <w:top w:val="none" w:sz="0" w:space="0" w:color="auto"/>
        <w:left w:val="none" w:sz="0" w:space="0" w:color="auto"/>
        <w:bottom w:val="none" w:sz="0" w:space="0" w:color="auto"/>
        <w:right w:val="none" w:sz="0" w:space="0" w:color="auto"/>
      </w:divBdr>
    </w:div>
    <w:div w:id="621424638">
      <w:marLeft w:val="0"/>
      <w:marRight w:val="0"/>
      <w:marTop w:val="200"/>
      <w:marBottom w:val="0"/>
      <w:divBdr>
        <w:top w:val="none" w:sz="0" w:space="0" w:color="auto"/>
        <w:left w:val="none" w:sz="0" w:space="0" w:color="auto"/>
        <w:bottom w:val="none" w:sz="0" w:space="0" w:color="auto"/>
        <w:right w:val="none" w:sz="0" w:space="0" w:color="auto"/>
      </w:divBdr>
    </w:div>
    <w:div w:id="622807148">
      <w:marLeft w:val="0"/>
      <w:marRight w:val="0"/>
      <w:marTop w:val="0"/>
      <w:marBottom w:val="0"/>
      <w:divBdr>
        <w:top w:val="none" w:sz="0" w:space="0" w:color="auto"/>
        <w:left w:val="none" w:sz="0" w:space="0" w:color="auto"/>
        <w:bottom w:val="none" w:sz="0" w:space="0" w:color="auto"/>
        <w:right w:val="none" w:sz="0" w:space="0" w:color="auto"/>
      </w:divBdr>
    </w:div>
    <w:div w:id="622930709">
      <w:marLeft w:val="0"/>
      <w:marRight w:val="0"/>
      <w:marTop w:val="0"/>
      <w:marBottom w:val="0"/>
      <w:divBdr>
        <w:top w:val="none" w:sz="0" w:space="0" w:color="auto"/>
        <w:left w:val="none" w:sz="0" w:space="0" w:color="auto"/>
        <w:bottom w:val="none" w:sz="0" w:space="0" w:color="auto"/>
        <w:right w:val="none" w:sz="0" w:space="0" w:color="auto"/>
      </w:divBdr>
      <w:divsChild>
        <w:div w:id="1548684557">
          <w:marLeft w:val="0"/>
          <w:marRight w:val="0"/>
          <w:marTop w:val="0"/>
          <w:marBottom w:val="0"/>
          <w:divBdr>
            <w:top w:val="none" w:sz="0" w:space="0" w:color="auto"/>
            <w:left w:val="none" w:sz="0" w:space="0" w:color="auto"/>
            <w:bottom w:val="none" w:sz="0" w:space="0" w:color="auto"/>
            <w:right w:val="none" w:sz="0" w:space="0" w:color="auto"/>
          </w:divBdr>
        </w:div>
      </w:divsChild>
    </w:div>
    <w:div w:id="627122433">
      <w:marLeft w:val="0"/>
      <w:marRight w:val="0"/>
      <w:marTop w:val="0"/>
      <w:marBottom w:val="0"/>
      <w:divBdr>
        <w:top w:val="none" w:sz="0" w:space="0" w:color="auto"/>
        <w:left w:val="none" w:sz="0" w:space="0" w:color="auto"/>
        <w:bottom w:val="none" w:sz="0" w:space="0" w:color="auto"/>
        <w:right w:val="none" w:sz="0" w:space="0" w:color="auto"/>
      </w:divBdr>
      <w:divsChild>
        <w:div w:id="1131098273">
          <w:marLeft w:val="0"/>
          <w:marRight w:val="0"/>
          <w:marTop w:val="0"/>
          <w:marBottom w:val="0"/>
          <w:divBdr>
            <w:top w:val="none" w:sz="0" w:space="0" w:color="auto"/>
            <w:left w:val="none" w:sz="0" w:space="0" w:color="auto"/>
            <w:bottom w:val="none" w:sz="0" w:space="0" w:color="auto"/>
            <w:right w:val="none" w:sz="0" w:space="0" w:color="auto"/>
          </w:divBdr>
        </w:div>
      </w:divsChild>
    </w:div>
    <w:div w:id="629019891">
      <w:marLeft w:val="0"/>
      <w:marRight w:val="0"/>
      <w:marTop w:val="0"/>
      <w:marBottom w:val="0"/>
      <w:divBdr>
        <w:top w:val="none" w:sz="0" w:space="0" w:color="auto"/>
        <w:left w:val="none" w:sz="0" w:space="0" w:color="auto"/>
        <w:bottom w:val="none" w:sz="0" w:space="0" w:color="auto"/>
        <w:right w:val="none" w:sz="0" w:space="0" w:color="auto"/>
      </w:divBdr>
    </w:div>
    <w:div w:id="629944961">
      <w:marLeft w:val="0"/>
      <w:marRight w:val="0"/>
      <w:marTop w:val="0"/>
      <w:marBottom w:val="0"/>
      <w:divBdr>
        <w:top w:val="none" w:sz="0" w:space="0" w:color="auto"/>
        <w:left w:val="none" w:sz="0" w:space="0" w:color="auto"/>
        <w:bottom w:val="none" w:sz="0" w:space="0" w:color="auto"/>
        <w:right w:val="none" w:sz="0" w:space="0" w:color="auto"/>
      </w:divBdr>
    </w:div>
    <w:div w:id="630092165">
      <w:marLeft w:val="0"/>
      <w:marRight w:val="0"/>
      <w:marTop w:val="0"/>
      <w:marBottom w:val="0"/>
      <w:divBdr>
        <w:top w:val="none" w:sz="0" w:space="0" w:color="auto"/>
        <w:left w:val="none" w:sz="0" w:space="0" w:color="auto"/>
        <w:bottom w:val="none" w:sz="0" w:space="0" w:color="auto"/>
        <w:right w:val="none" w:sz="0" w:space="0" w:color="auto"/>
      </w:divBdr>
    </w:div>
    <w:div w:id="630213175">
      <w:marLeft w:val="0"/>
      <w:marRight w:val="0"/>
      <w:marTop w:val="0"/>
      <w:marBottom w:val="0"/>
      <w:divBdr>
        <w:top w:val="none" w:sz="0" w:space="0" w:color="auto"/>
        <w:left w:val="none" w:sz="0" w:space="0" w:color="auto"/>
        <w:bottom w:val="none" w:sz="0" w:space="0" w:color="auto"/>
        <w:right w:val="none" w:sz="0" w:space="0" w:color="auto"/>
      </w:divBdr>
    </w:div>
    <w:div w:id="630939781">
      <w:marLeft w:val="0"/>
      <w:marRight w:val="0"/>
      <w:marTop w:val="200"/>
      <w:marBottom w:val="0"/>
      <w:divBdr>
        <w:top w:val="none" w:sz="0" w:space="0" w:color="auto"/>
        <w:left w:val="none" w:sz="0" w:space="0" w:color="auto"/>
        <w:bottom w:val="none" w:sz="0" w:space="0" w:color="auto"/>
        <w:right w:val="none" w:sz="0" w:space="0" w:color="auto"/>
      </w:divBdr>
    </w:div>
    <w:div w:id="631980489">
      <w:marLeft w:val="0"/>
      <w:marRight w:val="0"/>
      <w:marTop w:val="0"/>
      <w:marBottom w:val="0"/>
      <w:divBdr>
        <w:top w:val="none" w:sz="0" w:space="0" w:color="auto"/>
        <w:left w:val="none" w:sz="0" w:space="0" w:color="auto"/>
        <w:bottom w:val="none" w:sz="0" w:space="0" w:color="auto"/>
        <w:right w:val="none" w:sz="0" w:space="0" w:color="auto"/>
      </w:divBdr>
      <w:divsChild>
        <w:div w:id="2048873629">
          <w:marLeft w:val="0"/>
          <w:marRight w:val="0"/>
          <w:marTop w:val="0"/>
          <w:marBottom w:val="0"/>
          <w:divBdr>
            <w:top w:val="none" w:sz="0" w:space="0" w:color="auto"/>
            <w:left w:val="none" w:sz="0" w:space="0" w:color="auto"/>
            <w:bottom w:val="none" w:sz="0" w:space="0" w:color="auto"/>
            <w:right w:val="none" w:sz="0" w:space="0" w:color="auto"/>
          </w:divBdr>
        </w:div>
      </w:divsChild>
    </w:div>
    <w:div w:id="632297952">
      <w:marLeft w:val="0"/>
      <w:marRight w:val="0"/>
      <w:marTop w:val="0"/>
      <w:marBottom w:val="0"/>
      <w:divBdr>
        <w:top w:val="none" w:sz="0" w:space="0" w:color="auto"/>
        <w:left w:val="none" w:sz="0" w:space="0" w:color="auto"/>
        <w:bottom w:val="none" w:sz="0" w:space="0" w:color="auto"/>
        <w:right w:val="none" w:sz="0" w:space="0" w:color="auto"/>
      </w:divBdr>
      <w:divsChild>
        <w:div w:id="143665496">
          <w:marLeft w:val="0"/>
          <w:marRight w:val="0"/>
          <w:marTop w:val="0"/>
          <w:marBottom w:val="0"/>
          <w:divBdr>
            <w:top w:val="none" w:sz="0" w:space="0" w:color="auto"/>
            <w:left w:val="none" w:sz="0" w:space="0" w:color="auto"/>
            <w:bottom w:val="none" w:sz="0" w:space="0" w:color="auto"/>
            <w:right w:val="none" w:sz="0" w:space="0" w:color="auto"/>
          </w:divBdr>
        </w:div>
      </w:divsChild>
    </w:div>
    <w:div w:id="635333349">
      <w:marLeft w:val="0"/>
      <w:marRight w:val="0"/>
      <w:marTop w:val="0"/>
      <w:marBottom w:val="0"/>
      <w:divBdr>
        <w:top w:val="none" w:sz="0" w:space="0" w:color="auto"/>
        <w:left w:val="none" w:sz="0" w:space="0" w:color="auto"/>
        <w:bottom w:val="none" w:sz="0" w:space="0" w:color="auto"/>
        <w:right w:val="none" w:sz="0" w:space="0" w:color="auto"/>
      </w:divBdr>
      <w:divsChild>
        <w:div w:id="186451339">
          <w:marLeft w:val="0"/>
          <w:marRight w:val="0"/>
          <w:marTop w:val="0"/>
          <w:marBottom w:val="0"/>
          <w:divBdr>
            <w:top w:val="none" w:sz="0" w:space="0" w:color="auto"/>
            <w:left w:val="none" w:sz="0" w:space="0" w:color="auto"/>
            <w:bottom w:val="none" w:sz="0" w:space="0" w:color="auto"/>
            <w:right w:val="none" w:sz="0" w:space="0" w:color="auto"/>
          </w:divBdr>
        </w:div>
      </w:divsChild>
    </w:div>
    <w:div w:id="636960807">
      <w:marLeft w:val="0"/>
      <w:marRight w:val="0"/>
      <w:marTop w:val="0"/>
      <w:marBottom w:val="0"/>
      <w:divBdr>
        <w:top w:val="none" w:sz="0" w:space="0" w:color="auto"/>
        <w:left w:val="none" w:sz="0" w:space="0" w:color="auto"/>
        <w:bottom w:val="none" w:sz="0" w:space="0" w:color="auto"/>
        <w:right w:val="none" w:sz="0" w:space="0" w:color="auto"/>
      </w:divBdr>
    </w:div>
    <w:div w:id="638538236">
      <w:marLeft w:val="0"/>
      <w:marRight w:val="0"/>
      <w:marTop w:val="0"/>
      <w:marBottom w:val="0"/>
      <w:divBdr>
        <w:top w:val="none" w:sz="0" w:space="0" w:color="auto"/>
        <w:left w:val="none" w:sz="0" w:space="0" w:color="auto"/>
        <w:bottom w:val="none" w:sz="0" w:space="0" w:color="auto"/>
        <w:right w:val="none" w:sz="0" w:space="0" w:color="auto"/>
      </w:divBdr>
      <w:divsChild>
        <w:div w:id="934170977">
          <w:marLeft w:val="0"/>
          <w:marRight w:val="0"/>
          <w:marTop w:val="0"/>
          <w:marBottom w:val="0"/>
          <w:divBdr>
            <w:top w:val="none" w:sz="0" w:space="0" w:color="auto"/>
            <w:left w:val="none" w:sz="0" w:space="0" w:color="auto"/>
            <w:bottom w:val="none" w:sz="0" w:space="0" w:color="auto"/>
            <w:right w:val="none" w:sz="0" w:space="0" w:color="auto"/>
          </w:divBdr>
        </w:div>
      </w:divsChild>
    </w:div>
    <w:div w:id="641496598">
      <w:marLeft w:val="0"/>
      <w:marRight w:val="0"/>
      <w:marTop w:val="0"/>
      <w:marBottom w:val="0"/>
      <w:divBdr>
        <w:top w:val="none" w:sz="0" w:space="0" w:color="auto"/>
        <w:left w:val="none" w:sz="0" w:space="0" w:color="auto"/>
        <w:bottom w:val="none" w:sz="0" w:space="0" w:color="auto"/>
        <w:right w:val="none" w:sz="0" w:space="0" w:color="auto"/>
      </w:divBdr>
    </w:div>
    <w:div w:id="642581066">
      <w:marLeft w:val="0"/>
      <w:marRight w:val="0"/>
      <w:marTop w:val="0"/>
      <w:marBottom w:val="0"/>
      <w:divBdr>
        <w:top w:val="none" w:sz="0" w:space="0" w:color="auto"/>
        <w:left w:val="none" w:sz="0" w:space="0" w:color="auto"/>
        <w:bottom w:val="none" w:sz="0" w:space="0" w:color="auto"/>
        <w:right w:val="none" w:sz="0" w:space="0" w:color="auto"/>
      </w:divBdr>
    </w:div>
    <w:div w:id="642587440">
      <w:marLeft w:val="0"/>
      <w:marRight w:val="0"/>
      <w:marTop w:val="0"/>
      <w:marBottom w:val="0"/>
      <w:divBdr>
        <w:top w:val="none" w:sz="0" w:space="0" w:color="auto"/>
        <w:left w:val="none" w:sz="0" w:space="0" w:color="auto"/>
        <w:bottom w:val="none" w:sz="0" w:space="0" w:color="auto"/>
        <w:right w:val="none" w:sz="0" w:space="0" w:color="auto"/>
      </w:divBdr>
      <w:divsChild>
        <w:div w:id="11080760">
          <w:marLeft w:val="0"/>
          <w:marRight w:val="0"/>
          <w:marTop w:val="0"/>
          <w:marBottom w:val="0"/>
          <w:divBdr>
            <w:top w:val="none" w:sz="0" w:space="0" w:color="auto"/>
            <w:left w:val="none" w:sz="0" w:space="0" w:color="auto"/>
            <w:bottom w:val="none" w:sz="0" w:space="0" w:color="auto"/>
            <w:right w:val="none" w:sz="0" w:space="0" w:color="auto"/>
          </w:divBdr>
        </w:div>
      </w:divsChild>
    </w:div>
    <w:div w:id="646595979">
      <w:marLeft w:val="0"/>
      <w:marRight w:val="0"/>
      <w:marTop w:val="200"/>
      <w:marBottom w:val="0"/>
      <w:divBdr>
        <w:top w:val="none" w:sz="0" w:space="0" w:color="auto"/>
        <w:left w:val="none" w:sz="0" w:space="0" w:color="auto"/>
        <w:bottom w:val="none" w:sz="0" w:space="0" w:color="auto"/>
        <w:right w:val="none" w:sz="0" w:space="0" w:color="auto"/>
      </w:divBdr>
    </w:div>
    <w:div w:id="651980736">
      <w:marLeft w:val="0"/>
      <w:marRight w:val="0"/>
      <w:marTop w:val="0"/>
      <w:marBottom w:val="0"/>
      <w:divBdr>
        <w:top w:val="none" w:sz="0" w:space="0" w:color="auto"/>
        <w:left w:val="none" w:sz="0" w:space="0" w:color="auto"/>
        <w:bottom w:val="none" w:sz="0" w:space="0" w:color="auto"/>
        <w:right w:val="none" w:sz="0" w:space="0" w:color="auto"/>
      </w:divBdr>
    </w:div>
    <w:div w:id="653536047">
      <w:marLeft w:val="0"/>
      <w:marRight w:val="0"/>
      <w:marTop w:val="0"/>
      <w:marBottom w:val="0"/>
      <w:divBdr>
        <w:top w:val="none" w:sz="0" w:space="0" w:color="auto"/>
        <w:left w:val="none" w:sz="0" w:space="0" w:color="auto"/>
        <w:bottom w:val="none" w:sz="0" w:space="0" w:color="auto"/>
        <w:right w:val="none" w:sz="0" w:space="0" w:color="auto"/>
      </w:divBdr>
    </w:div>
    <w:div w:id="659699779">
      <w:marLeft w:val="0"/>
      <w:marRight w:val="0"/>
      <w:marTop w:val="0"/>
      <w:marBottom w:val="0"/>
      <w:divBdr>
        <w:top w:val="none" w:sz="0" w:space="0" w:color="auto"/>
        <w:left w:val="none" w:sz="0" w:space="0" w:color="auto"/>
        <w:bottom w:val="none" w:sz="0" w:space="0" w:color="auto"/>
        <w:right w:val="none" w:sz="0" w:space="0" w:color="auto"/>
      </w:divBdr>
      <w:divsChild>
        <w:div w:id="1173371868">
          <w:marLeft w:val="0"/>
          <w:marRight w:val="0"/>
          <w:marTop w:val="0"/>
          <w:marBottom w:val="0"/>
          <w:divBdr>
            <w:top w:val="none" w:sz="0" w:space="0" w:color="auto"/>
            <w:left w:val="none" w:sz="0" w:space="0" w:color="auto"/>
            <w:bottom w:val="none" w:sz="0" w:space="0" w:color="auto"/>
            <w:right w:val="none" w:sz="0" w:space="0" w:color="auto"/>
          </w:divBdr>
        </w:div>
        <w:div w:id="2049908493">
          <w:marLeft w:val="0"/>
          <w:marRight w:val="0"/>
          <w:marTop w:val="0"/>
          <w:marBottom w:val="0"/>
          <w:divBdr>
            <w:top w:val="none" w:sz="0" w:space="0" w:color="auto"/>
            <w:left w:val="none" w:sz="0" w:space="0" w:color="auto"/>
            <w:bottom w:val="none" w:sz="0" w:space="0" w:color="auto"/>
            <w:right w:val="none" w:sz="0" w:space="0" w:color="auto"/>
          </w:divBdr>
        </w:div>
        <w:div w:id="1433092790">
          <w:marLeft w:val="0"/>
          <w:marRight w:val="0"/>
          <w:marTop w:val="0"/>
          <w:marBottom w:val="0"/>
          <w:divBdr>
            <w:top w:val="none" w:sz="0" w:space="0" w:color="auto"/>
            <w:left w:val="none" w:sz="0" w:space="0" w:color="auto"/>
            <w:bottom w:val="none" w:sz="0" w:space="0" w:color="auto"/>
            <w:right w:val="none" w:sz="0" w:space="0" w:color="auto"/>
          </w:divBdr>
        </w:div>
        <w:div w:id="1448769709">
          <w:marLeft w:val="0"/>
          <w:marRight w:val="0"/>
          <w:marTop w:val="0"/>
          <w:marBottom w:val="0"/>
          <w:divBdr>
            <w:top w:val="none" w:sz="0" w:space="0" w:color="auto"/>
            <w:left w:val="none" w:sz="0" w:space="0" w:color="auto"/>
            <w:bottom w:val="none" w:sz="0" w:space="0" w:color="auto"/>
            <w:right w:val="none" w:sz="0" w:space="0" w:color="auto"/>
          </w:divBdr>
        </w:div>
      </w:divsChild>
    </w:div>
    <w:div w:id="662005429">
      <w:marLeft w:val="0"/>
      <w:marRight w:val="0"/>
      <w:marTop w:val="200"/>
      <w:marBottom w:val="0"/>
      <w:divBdr>
        <w:top w:val="none" w:sz="0" w:space="0" w:color="auto"/>
        <w:left w:val="none" w:sz="0" w:space="0" w:color="auto"/>
        <w:bottom w:val="none" w:sz="0" w:space="0" w:color="auto"/>
        <w:right w:val="none" w:sz="0" w:space="0" w:color="auto"/>
      </w:divBdr>
    </w:div>
    <w:div w:id="665059674">
      <w:marLeft w:val="0"/>
      <w:marRight w:val="0"/>
      <w:marTop w:val="40"/>
      <w:marBottom w:val="0"/>
      <w:divBdr>
        <w:top w:val="none" w:sz="0" w:space="0" w:color="auto"/>
        <w:left w:val="none" w:sz="0" w:space="0" w:color="auto"/>
        <w:bottom w:val="none" w:sz="0" w:space="0" w:color="auto"/>
        <w:right w:val="none" w:sz="0" w:space="0" w:color="auto"/>
      </w:divBdr>
    </w:div>
    <w:div w:id="668289587">
      <w:marLeft w:val="0"/>
      <w:marRight w:val="0"/>
      <w:marTop w:val="0"/>
      <w:marBottom w:val="200"/>
      <w:divBdr>
        <w:top w:val="none" w:sz="0" w:space="0" w:color="auto"/>
        <w:left w:val="none" w:sz="0" w:space="0" w:color="auto"/>
        <w:bottom w:val="none" w:sz="0" w:space="0" w:color="auto"/>
        <w:right w:val="none" w:sz="0" w:space="0" w:color="auto"/>
      </w:divBdr>
    </w:div>
    <w:div w:id="668944399">
      <w:marLeft w:val="0"/>
      <w:marRight w:val="0"/>
      <w:marTop w:val="0"/>
      <w:marBottom w:val="0"/>
      <w:divBdr>
        <w:top w:val="none" w:sz="0" w:space="0" w:color="auto"/>
        <w:left w:val="none" w:sz="0" w:space="0" w:color="auto"/>
        <w:bottom w:val="none" w:sz="0" w:space="0" w:color="auto"/>
        <w:right w:val="none" w:sz="0" w:space="0" w:color="auto"/>
      </w:divBdr>
    </w:div>
    <w:div w:id="669451367">
      <w:marLeft w:val="0"/>
      <w:marRight w:val="0"/>
      <w:marTop w:val="100"/>
      <w:marBottom w:val="0"/>
      <w:divBdr>
        <w:top w:val="none" w:sz="0" w:space="0" w:color="auto"/>
        <w:left w:val="none" w:sz="0" w:space="0" w:color="auto"/>
        <w:bottom w:val="none" w:sz="0" w:space="0" w:color="auto"/>
        <w:right w:val="none" w:sz="0" w:space="0" w:color="auto"/>
      </w:divBdr>
    </w:div>
    <w:div w:id="670332501">
      <w:marLeft w:val="0"/>
      <w:marRight w:val="0"/>
      <w:marTop w:val="0"/>
      <w:marBottom w:val="0"/>
      <w:divBdr>
        <w:top w:val="none" w:sz="0" w:space="0" w:color="auto"/>
        <w:left w:val="none" w:sz="0" w:space="0" w:color="auto"/>
        <w:bottom w:val="none" w:sz="0" w:space="0" w:color="auto"/>
        <w:right w:val="none" w:sz="0" w:space="0" w:color="auto"/>
      </w:divBdr>
    </w:div>
    <w:div w:id="671110170">
      <w:marLeft w:val="0"/>
      <w:marRight w:val="0"/>
      <w:marTop w:val="0"/>
      <w:marBottom w:val="0"/>
      <w:divBdr>
        <w:top w:val="none" w:sz="0" w:space="0" w:color="auto"/>
        <w:left w:val="none" w:sz="0" w:space="0" w:color="auto"/>
        <w:bottom w:val="none" w:sz="0" w:space="0" w:color="auto"/>
        <w:right w:val="none" w:sz="0" w:space="0" w:color="auto"/>
      </w:divBdr>
    </w:div>
    <w:div w:id="674039384">
      <w:marLeft w:val="0"/>
      <w:marRight w:val="0"/>
      <w:marTop w:val="0"/>
      <w:marBottom w:val="200"/>
      <w:divBdr>
        <w:top w:val="none" w:sz="0" w:space="0" w:color="auto"/>
        <w:left w:val="none" w:sz="0" w:space="0" w:color="auto"/>
        <w:bottom w:val="none" w:sz="0" w:space="0" w:color="auto"/>
        <w:right w:val="none" w:sz="0" w:space="0" w:color="auto"/>
      </w:divBdr>
    </w:div>
    <w:div w:id="676157982">
      <w:marLeft w:val="0"/>
      <w:marRight w:val="0"/>
      <w:marTop w:val="0"/>
      <w:marBottom w:val="0"/>
      <w:divBdr>
        <w:top w:val="none" w:sz="0" w:space="0" w:color="auto"/>
        <w:left w:val="none" w:sz="0" w:space="0" w:color="auto"/>
        <w:bottom w:val="none" w:sz="0" w:space="0" w:color="auto"/>
        <w:right w:val="none" w:sz="0" w:space="0" w:color="auto"/>
      </w:divBdr>
      <w:divsChild>
        <w:div w:id="40256624">
          <w:marLeft w:val="0"/>
          <w:marRight w:val="0"/>
          <w:marTop w:val="0"/>
          <w:marBottom w:val="0"/>
          <w:divBdr>
            <w:top w:val="none" w:sz="0" w:space="0" w:color="auto"/>
            <w:left w:val="none" w:sz="0" w:space="0" w:color="auto"/>
            <w:bottom w:val="none" w:sz="0" w:space="0" w:color="auto"/>
            <w:right w:val="none" w:sz="0" w:space="0" w:color="auto"/>
          </w:divBdr>
        </w:div>
      </w:divsChild>
    </w:div>
    <w:div w:id="677543235">
      <w:marLeft w:val="0"/>
      <w:marRight w:val="0"/>
      <w:marTop w:val="0"/>
      <w:marBottom w:val="0"/>
      <w:divBdr>
        <w:top w:val="none" w:sz="0" w:space="0" w:color="auto"/>
        <w:left w:val="none" w:sz="0" w:space="0" w:color="auto"/>
        <w:bottom w:val="none" w:sz="0" w:space="0" w:color="auto"/>
        <w:right w:val="none" w:sz="0" w:space="0" w:color="auto"/>
      </w:divBdr>
      <w:divsChild>
        <w:div w:id="1968001441">
          <w:marLeft w:val="0"/>
          <w:marRight w:val="0"/>
          <w:marTop w:val="0"/>
          <w:marBottom w:val="0"/>
          <w:divBdr>
            <w:top w:val="none" w:sz="0" w:space="0" w:color="auto"/>
            <w:left w:val="none" w:sz="0" w:space="0" w:color="auto"/>
            <w:bottom w:val="none" w:sz="0" w:space="0" w:color="auto"/>
            <w:right w:val="none" w:sz="0" w:space="0" w:color="auto"/>
          </w:divBdr>
        </w:div>
        <w:div w:id="1016538776">
          <w:marLeft w:val="0"/>
          <w:marRight w:val="0"/>
          <w:marTop w:val="0"/>
          <w:marBottom w:val="0"/>
          <w:divBdr>
            <w:top w:val="none" w:sz="0" w:space="0" w:color="auto"/>
            <w:left w:val="none" w:sz="0" w:space="0" w:color="auto"/>
            <w:bottom w:val="none" w:sz="0" w:space="0" w:color="auto"/>
            <w:right w:val="none" w:sz="0" w:space="0" w:color="auto"/>
          </w:divBdr>
        </w:div>
        <w:div w:id="937371271">
          <w:marLeft w:val="0"/>
          <w:marRight w:val="0"/>
          <w:marTop w:val="0"/>
          <w:marBottom w:val="0"/>
          <w:divBdr>
            <w:top w:val="none" w:sz="0" w:space="0" w:color="auto"/>
            <w:left w:val="none" w:sz="0" w:space="0" w:color="auto"/>
            <w:bottom w:val="none" w:sz="0" w:space="0" w:color="auto"/>
            <w:right w:val="none" w:sz="0" w:space="0" w:color="auto"/>
          </w:divBdr>
        </w:div>
        <w:div w:id="213274897">
          <w:marLeft w:val="0"/>
          <w:marRight w:val="0"/>
          <w:marTop w:val="0"/>
          <w:marBottom w:val="0"/>
          <w:divBdr>
            <w:top w:val="none" w:sz="0" w:space="0" w:color="auto"/>
            <w:left w:val="none" w:sz="0" w:space="0" w:color="auto"/>
            <w:bottom w:val="none" w:sz="0" w:space="0" w:color="auto"/>
            <w:right w:val="none" w:sz="0" w:space="0" w:color="auto"/>
          </w:divBdr>
        </w:div>
      </w:divsChild>
    </w:div>
    <w:div w:id="679163936">
      <w:marLeft w:val="0"/>
      <w:marRight w:val="0"/>
      <w:marTop w:val="200"/>
      <w:marBottom w:val="0"/>
      <w:divBdr>
        <w:top w:val="none" w:sz="0" w:space="0" w:color="auto"/>
        <w:left w:val="none" w:sz="0" w:space="0" w:color="auto"/>
        <w:bottom w:val="none" w:sz="0" w:space="0" w:color="auto"/>
        <w:right w:val="none" w:sz="0" w:space="0" w:color="auto"/>
      </w:divBdr>
    </w:div>
    <w:div w:id="682167803">
      <w:marLeft w:val="0"/>
      <w:marRight w:val="0"/>
      <w:marTop w:val="0"/>
      <w:marBottom w:val="0"/>
      <w:divBdr>
        <w:top w:val="none" w:sz="0" w:space="0" w:color="auto"/>
        <w:left w:val="none" w:sz="0" w:space="0" w:color="auto"/>
        <w:bottom w:val="none" w:sz="0" w:space="0" w:color="auto"/>
        <w:right w:val="none" w:sz="0" w:space="0" w:color="auto"/>
      </w:divBdr>
    </w:div>
    <w:div w:id="682784916">
      <w:marLeft w:val="0"/>
      <w:marRight w:val="0"/>
      <w:marTop w:val="0"/>
      <w:marBottom w:val="0"/>
      <w:divBdr>
        <w:top w:val="none" w:sz="0" w:space="0" w:color="auto"/>
        <w:left w:val="none" w:sz="0" w:space="0" w:color="auto"/>
        <w:bottom w:val="none" w:sz="0" w:space="0" w:color="auto"/>
        <w:right w:val="none" w:sz="0" w:space="0" w:color="auto"/>
      </w:divBdr>
    </w:div>
    <w:div w:id="684020071">
      <w:marLeft w:val="0"/>
      <w:marRight w:val="0"/>
      <w:marTop w:val="0"/>
      <w:marBottom w:val="0"/>
      <w:divBdr>
        <w:top w:val="none" w:sz="0" w:space="0" w:color="auto"/>
        <w:left w:val="none" w:sz="0" w:space="0" w:color="auto"/>
        <w:bottom w:val="none" w:sz="0" w:space="0" w:color="auto"/>
        <w:right w:val="none" w:sz="0" w:space="0" w:color="auto"/>
      </w:divBdr>
      <w:divsChild>
        <w:div w:id="1037046016">
          <w:marLeft w:val="0"/>
          <w:marRight w:val="0"/>
          <w:marTop w:val="0"/>
          <w:marBottom w:val="0"/>
          <w:divBdr>
            <w:top w:val="none" w:sz="0" w:space="0" w:color="auto"/>
            <w:left w:val="none" w:sz="0" w:space="0" w:color="auto"/>
            <w:bottom w:val="none" w:sz="0" w:space="0" w:color="auto"/>
            <w:right w:val="none" w:sz="0" w:space="0" w:color="auto"/>
          </w:divBdr>
        </w:div>
      </w:divsChild>
    </w:div>
    <w:div w:id="684551965">
      <w:marLeft w:val="0"/>
      <w:marRight w:val="0"/>
      <w:marTop w:val="0"/>
      <w:marBottom w:val="0"/>
      <w:divBdr>
        <w:top w:val="none" w:sz="0" w:space="0" w:color="auto"/>
        <w:left w:val="none" w:sz="0" w:space="0" w:color="auto"/>
        <w:bottom w:val="none" w:sz="0" w:space="0" w:color="auto"/>
        <w:right w:val="none" w:sz="0" w:space="0" w:color="auto"/>
      </w:divBdr>
      <w:divsChild>
        <w:div w:id="92751918">
          <w:marLeft w:val="0"/>
          <w:marRight w:val="0"/>
          <w:marTop w:val="0"/>
          <w:marBottom w:val="0"/>
          <w:divBdr>
            <w:top w:val="none" w:sz="0" w:space="0" w:color="auto"/>
            <w:left w:val="none" w:sz="0" w:space="0" w:color="auto"/>
            <w:bottom w:val="none" w:sz="0" w:space="0" w:color="auto"/>
            <w:right w:val="none" w:sz="0" w:space="0" w:color="auto"/>
          </w:divBdr>
        </w:div>
      </w:divsChild>
    </w:div>
    <w:div w:id="684598445">
      <w:marLeft w:val="0"/>
      <w:marRight w:val="0"/>
      <w:marTop w:val="0"/>
      <w:marBottom w:val="0"/>
      <w:divBdr>
        <w:top w:val="none" w:sz="0" w:space="0" w:color="auto"/>
        <w:left w:val="none" w:sz="0" w:space="0" w:color="auto"/>
        <w:bottom w:val="none" w:sz="0" w:space="0" w:color="auto"/>
        <w:right w:val="none" w:sz="0" w:space="0" w:color="auto"/>
      </w:divBdr>
      <w:divsChild>
        <w:div w:id="1891529527">
          <w:marLeft w:val="0"/>
          <w:marRight w:val="0"/>
          <w:marTop w:val="0"/>
          <w:marBottom w:val="0"/>
          <w:divBdr>
            <w:top w:val="none" w:sz="0" w:space="0" w:color="auto"/>
            <w:left w:val="none" w:sz="0" w:space="0" w:color="auto"/>
            <w:bottom w:val="none" w:sz="0" w:space="0" w:color="auto"/>
            <w:right w:val="none" w:sz="0" w:space="0" w:color="auto"/>
          </w:divBdr>
        </w:div>
      </w:divsChild>
    </w:div>
    <w:div w:id="684861929">
      <w:marLeft w:val="0"/>
      <w:marRight w:val="0"/>
      <w:marTop w:val="0"/>
      <w:marBottom w:val="0"/>
      <w:divBdr>
        <w:top w:val="none" w:sz="0" w:space="0" w:color="auto"/>
        <w:left w:val="none" w:sz="0" w:space="0" w:color="auto"/>
        <w:bottom w:val="none" w:sz="0" w:space="0" w:color="auto"/>
        <w:right w:val="none" w:sz="0" w:space="0" w:color="auto"/>
      </w:divBdr>
    </w:div>
    <w:div w:id="687416316">
      <w:marLeft w:val="0"/>
      <w:marRight w:val="0"/>
      <w:marTop w:val="200"/>
      <w:marBottom w:val="0"/>
      <w:divBdr>
        <w:top w:val="none" w:sz="0" w:space="0" w:color="auto"/>
        <w:left w:val="none" w:sz="0" w:space="0" w:color="auto"/>
        <w:bottom w:val="none" w:sz="0" w:space="0" w:color="auto"/>
        <w:right w:val="none" w:sz="0" w:space="0" w:color="auto"/>
      </w:divBdr>
    </w:div>
    <w:div w:id="688069959">
      <w:marLeft w:val="0"/>
      <w:marRight w:val="0"/>
      <w:marTop w:val="0"/>
      <w:marBottom w:val="160"/>
      <w:divBdr>
        <w:top w:val="none" w:sz="0" w:space="0" w:color="auto"/>
        <w:left w:val="none" w:sz="0" w:space="0" w:color="auto"/>
        <w:bottom w:val="none" w:sz="0" w:space="0" w:color="auto"/>
        <w:right w:val="none" w:sz="0" w:space="0" w:color="auto"/>
      </w:divBdr>
    </w:div>
    <w:div w:id="689138542">
      <w:marLeft w:val="0"/>
      <w:marRight w:val="0"/>
      <w:marTop w:val="100"/>
      <w:marBottom w:val="0"/>
      <w:divBdr>
        <w:top w:val="none" w:sz="0" w:space="0" w:color="auto"/>
        <w:left w:val="none" w:sz="0" w:space="0" w:color="auto"/>
        <w:bottom w:val="none" w:sz="0" w:space="0" w:color="auto"/>
        <w:right w:val="none" w:sz="0" w:space="0" w:color="auto"/>
      </w:divBdr>
    </w:div>
    <w:div w:id="693531976">
      <w:marLeft w:val="0"/>
      <w:marRight w:val="0"/>
      <w:marTop w:val="200"/>
      <w:marBottom w:val="0"/>
      <w:divBdr>
        <w:top w:val="none" w:sz="0" w:space="0" w:color="auto"/>
        <w:left w:val="none" w:sz="0" w:space="0" w:color="auto"/>
        <w:bottom w:val="none" w:sz="0" w:space="0" w:color="auto"/>
        <w:right w:val="none" w:sz="0" w:space="0" w:color="auto"/>
      </w:divBdr>
    </w:div>
    <w:div w:id="694621583">
      <w:marLeft w:val="0"/>
      <w:marRight w:val="0"/>
      <w:marTop w:val="40"/>
      <w:marBottom w:val="0"/>
      <w:divBdr>
        <w:top w:val="none" w:sz="0" w:space="0" w:color="auto"/>
        <w:left w:val="none" w:sz="0" w:space="0" w:color="auto"/>
        <w:bottom w:val="none" w:sz="0" w:space="0" w:color="auto"/>
        <w:right w:val="none" w:sz="0" w:space="0" w:color="auto"/>
      </w:divBdr>
    </w:div>
    <w:div w:id="696082605">
      <w:marLeft w:val="0"/>
      <w:marRight w:val="0"/>
      <w:marTop w:val="200"/>
      <w:marBottom w:val="0"/>
      <w:divBdr>
        <w:top w:val="none" w:sz="0" w:space="0" w:color="auto"/>
        <w:left w:val="none" w:sz="0" w:space="0" w:color="auto"/>
        <w:bottom w:val="none" w:sz="0" w:space="0" w:color="auto"/>
        <w:right w:val="none" w:sz="0" w:space="0" w:color="auto"/>
      </w:divBdr>
    </w:div>
    <w:div w:id="697047528">
      <w:marLeft w:val="0"/>
      <w:marRight w:val="0"/>
      <w:marTop w:val="100"/>
      <w:marBottom w:val="0"/>
      <w:divBdr>
        <w:top w:val="none" w:sz="0" w:space="0" w:color="auto"/>
        <w:left w:val="none" w:sz="0" w:space="0" w:color="auto"/>
        <w:bottom w:val="none" w:sz="0" w:space="0" w:color="auto"/>
        <w:right w:val="none" w:sz="0" w:space="0" w:color="auto"/>
      </w:divBdr>
      <w:divsChild>
        <w:div w:id="403533471">
          <w:marLeft w:val="0"/>
          <w:marRight w:val="0"/>
          <w:marTop w:val="0"/>
          <w:marBottom w:val="240"/>
          <w:divBdr>
            <w:top w:val="none" w:sz="0" w:space="0" w:color="auto"/>
            <w:left w:val="none" w:sz="0" w:space="0" w:color="auto"/>
            <w:bottom w:val="none" w:sz="0" w:space="0" w:color="auto"/>
            <w:right w:val="none" w:sz="0" w:space="0" w:color="auto"/>
          </w:divBdr>
        </w:div>
      </w:divsChild>
    </w:div>
    <w:div w:id="698049209">
      <w:marLeft w:val="0"/>
      <w:marRight w:val="0"/>
      <w:marTop w:val="0"/>
      <w:marBottom w:val="200"/>
      <w:divBdr>
        <w:top w:val="none" w:sz="0" w:space="0" w:color="auto"/>
        <w:left w:val="none" w:sz="0" w:space="0" w:color="auto"/>
        <w:bottom w:val="none" w:sz="0" w:space="0" w:color="auto"/>
        <w:right w:val="none" w:sz="0" w:space="0" w:color="auto"/>
      </w:divBdr>
    </w:div>
    <w:div w:id="698318374">
      <w:marLeft w:val="0"/>
      <w:marRight w:val="0"/>
      <w:marTop w:val="200"/>
      <w:marBottom w:val="0"/>
      <w:divBdr>
        <w:top w:val="none" w:sz="0" w:space="0" w:color="auto"/>
        <w:left w:val="none" w:sz="0" w:space="0" w:color="auto"/>
        <w:bottom w:val="none" w:sz="0" w:space="0" w:color="auto"/>
        <w:right w:val="none" w:sz="0" w:space="0" w:color="auto"/>
      </w:divBdr>
    </w:div>
    <w:div w:id="699403014">
      <w:marLeft w:val="0"/>
      <w:marRight w:val="0"/>
      <w:marTop w:val="0"/>
      <w:marBottom w:val="0"/>
      <w:divBdr>
        <w:top w:val="none" w:sz="0" w:space="0" w:color="auto"/>
        <w:left w:val="none" w:sz="0" w:space="0" w:color="auto"/>
        <w:bottom w:val="none" w:sz="0" w:space="0" w:color="auto"/>
        <w:right w:val="none" w:sz="0" w:space="0" w:color="auto"/>
      </w:divBdr>
    </w:div>
    <w:div w:id="701708223">
      <w:marLeft w:val="0"/>
      <w:marRight w:val="0"/>
      <w:marTop w:val="200"/>
      <w:marBottom w:val="0"/>
      <w:divBdr>
        <w:top w:val="none" w:sz="0" w:space="0" w:color="auto"/>
        <w:left w:val="none" w:sz="0" w:space="0" w:color="auto"/>
        <w:bottom w:val="none" w:sz="0" w:space="0" w:color="auto"/>
        <w:right w:val="none" w:sz="0" w:space="0" w:color="auto"/>
      </w:divBdr>
    </w:div>
    <w:div w:id="702751459">
      <w:marLeft w:val="0"/>
      <w:marRight w:val="0"/>
      <w:marTop w:val="200"/>
      <w:marBottom w:val="0"/>
      <w:divBdr>
        <w:top w:val="none" w:sz="0" w:space="0" w:color="auto"/>
        <w:left w:val="none" w:sz="0" w:space="0" w:color="auto"/>
        <w:bottom w:val="none" w:sz="0" w:space="0" w:color="auto"/>
        <w:right w:val="none" w:sz="0" w:space="0" w:color="auto"/>
      </w:divBdr>
    </w:div>
    <w:div w:id="705908293">
      <w:marLeft w:val="0"/>
      <w:marRight w:val="0"/>
      <w:marTop w:val="200"/>
      <w:marBottom w:val="0"/>
      <w:divBdr>
        <w:top w:val="none" w:sz="0" w:space="0" w:color="auto"/>
        <w:left w:val="none" w:sz="0" w:space="0" w:color="auto"/>
        <w:bottom w:val="none" w:sz="0" w:space="0" w:color="auto"/>
        <w:right w:val="none" w:sz="0" w:space="0" w:color="auto"/>
      </w:divBdr>
    </w:div>
    <w:div w:id="705955330">
      <w:marLeft w:val="0"/>
      <w:marRight w:val="0"/>
      <w:marTop w:val="0"/>
      <w:marBottom w:val="0"/>
      <w:divBdr>
        <w:top w:val="none" w:sz="0" w:space="0" w:color="auto"/>
        <w:left w:val="none" w:sz="0" w:space="0" w:color="auto"/>
        <w:bottom w:val="none" w:sz="0" w:space="0" w:color="auto"/>
        <w:right w:val="none" w:sz="0" w:space="0" w:color="auto"/>
      </w:divBdr>
      <w:divsChild>
        <w:div w:id="1052577252">
          <w:marLeft w:val="0"/>
          <w:marRight w:val="0"/>
          <w:marTop w:val="0"/>
          <w:marBottom w:val="0"/>
          <w:divBdr>
            <w:top w:val="none" w:sz="0" w:space="0" w:color="auto"/>
            <w:left w:val="none" w:sz="0" w:space="0" w:color="auto"/>
            <w:bottom w:val="none" w:sz="0" w:space="0" w:color="auto"/>
            <w:right w:val="none" w:sz="0" w:space="0" w:color="auto"/>
          </w:divBdr>
        </w:div>
        <w:div w:id="49227820">
          <w:marLeft w:val="0"/>
          <w:marRight w:val="0"/>
          <w:marTop w:val="0"/>
          <w:marBottom w:val="0"/>
          <w:divBdr>
            <w:top w:val="none" w:sz="0" w:space="0" w:color="auto"/>
            <w:left w:val="none" w:sz="0" w:space="0" w:color="auto"/>
            <w:bottom w:val="none" w:sz="0" w:space="0" w:color="auto"/>
            <w:right w:val="none" w:sz="0" w:space="0" w:color="auto"/>
          </w:divBdr>
        </w:div>
        <w:div w:id="862596511">
          <w:marLeft w:val="0"/>
          <w:marRight w:val="0"/>
          <w:marTop w:val="0"/>
          <w:marBottom w:val="0"/>
          <w:divBdr>
            <w:top w:val="none" w:sz="0" w:space="0" w:color="auto"/>
            <w:left w:val="none" w:sz="0" w:space="0" w:color="auto"/>
            <w:bottom w:val="none" w:sz="0" w:space="0" w:color="auto"/>
            <w:right w:val="none" w:sz="0" w:space="0" w:color="auto"/>
          </w:divBdr>
        </w:div>
        <w:div w:id="1138575866">
          <w:marLeft w:val="0"/>
          <w:marRight w:val="0"/>
          <w:marTop w:val="0"/>
          <w:marBottom w:val="0"/>
          <w:divBdr>
            <w:top w:val="none" w:sz="0" w:space="0" w:color="auto"/>
            <w:left w:val="none" w:sz="0" w:space="0" w:color="auto"/>
            <w:bottom w:val="none" w:sz="0" w:space="0" w:color="auto"/>
            <w:right w:val="none" w:sz="0" w:space="0" w:color="auto"/>
          </w:divBdr>
        </w:div>
      </w:divsChild>
    </w:div>
    <w:div w:id="706178472">
      <w:marLeft w:val="0"/>
      <w:marRight w:val="0"/>
      <w:marTop w:val="0"/>
      <w:marBottom w:val="0"/>
      <w:divBdr>
        <w:top w:val="none" w:sz="0" w:space="0" w:color="auto"/>
        <w:left w:val="none" w:sz="0" w:space="0" w:color="auto"/>
        <w:bottom w:val="none" w:sz="0" w:space="0" w:color="auto"/>
        <w:right w:val="none" w:sz="0" w:space="0" w:color="auto"/>
      </w:divBdr>
      <w:divsChild>
        <w:div w:id="260769144">
          <w:marLeft w:val="0"/>
          <w:marRight w:val="0"/>
          <w:marTop w:val="0"/>
          <w:marBottom w:val="0"/>
          <w:divBdr>
            <w:top w:val="none" w:sz="0" w:space="0" w:color="auto"/>
            <w:left w:val="none" w:sz="0" w:space="0" w:color="auto"/>
            <w:bottom w:val="none" w:sz="0" w:space="0" w:color="auto"/>
            <w:right w:val="none" w:sz="0" w:space="0" w:color="auto"/>
          </w:divBdr>
        </w:div>
        <w:div w:id="1665081638">
          <w:marLeft w:val="0"/>
          <w:marRight w:val="0"/>
          <w:marTop w:val="0"/>
          <w:marBottom w:val="0"/>
          <w:divBdr>
            <w:top w:val="none" w:sz="0" w:space="0" w:color="auto"/>
            <w:left w:val="none" w:sz="0" w:space="0" w:color="auto"/>
            <w:bottom w:val="none" w:sz="0" w:space="0" w:color="auto"/>
            <w:right w:val="none" w:sz="0" w:space="0" w:color="auto"/>
          </w:divBdr>
        </w:div>
        <w:div w:id="1383409462">
          <w:marLeft w:val="0"/>
          <w:marRight w:val="0"/>
          <w:marTop w:val="0"/>
          <w:marBottom w:val="0"/>
          <w:divBdr>
            <w:top w:val="none" w:sz="0" w:space="0" w:color="auto"/>
            <w:left w:val="none" w:sz="0" w:space="0" w:color="auto"/>
            <w:bottom w:val="none" w:sz="0" w:space="0" w:color="auto"/>
            <w:right w:val="none" w:sz="0" w:space="0" w:color="auto"/>
          </w:divBdr>
        </w:div>
        <w:div w:id="1331524887">
          <w:marLeft w:val="0"/>
          <w:marRight w:val="0"/>
          <w:marTop w:val="0"/>
          <w:marBottom w:val="0"/>
          <w:divBdr>
            <w:top w:val="none" w:sz="0" w:space="0" w:color="auto"/>
            <w:left w:val="none" w:sz="0" w:space="0" w:color="auto"/>
            <w:bottom w:val="none" w:sz="0" w:space="0" w:color="auto"/>
            <w:right w:val="none" w:sz="0" w:space="0" w:color="auto"/>
          </w:divBdr>
        </w:div>
      </w:divsChild>
    </w:div>
    <w:div w:id="706217040">
      <w:marLeft w:val="0"/>
      <w:marRight w:val="0"/>
      <w:marTop w:val="0"/>
      <w:marBottom w:val="0"/>
      <w:divBdr>
        <w:top w:val="none" w:sz="0" w:space="0" w:color="auto"/>
        <w:left w:val="none" w:sz="0" w:space="0" w:color="auto"/>
        <w:bottom w:val="none" w:sz="0" w:space="0" w:color="auto"/>
        <w:right w:val="none" w:sz="0" w:space="0" w:color="auto"/>
      </w:divBdr>
      <w:divsChild>
        <w:div w:id="261300092">
          <w:marLeft w:val="0"/>
          <w:marRight w:val="0"/>
          <w:marTop w:val="0"/>
          <w:marBottom w:val="0"/>
          <w:divBdr>
            <w:top w:val="none" w:sz="0" w:space="0" w:color="auto"/>
            <w:left w:val="none" w:sz="0" w:space="0" w:color="auto"/>
            <w:bottom w:val="none" w:sz="0" w:space="0" w:color="auto"/>
            <w:right w:val="none" w:sz="0" w:space="0" w:color="auto"/>
          </w:divBdr>
        </w:div>
        <w:div w:id="1606571766">
          <w:marLeft w:val="0"/>
          <w:marRight w:val="0"/>
          <w:marTop w:val="0"/>
          <w:marBottom w:val="0"/>
          <w:divBdr>
            <w:top w:val="none" w:sz="0" w:space="0" w:color="auto"/>
            <w:left w:val="none" w:sz="0" w:space="0" w:color="auto"/>
            <w:bottom w:val="none" w:sz="0" w:space="0" w:color="auto"/>
            <w:right w:val="none" w:sz="0" w:space="0" w:color="auto"/>
          </w:divBdr>
        </w:div>
        <w:div w:id="1097361343">
          <w:marLeft w:val="0"/>
          <w:marRight w:val="0"/>
          <w:marTop w:val="0"/>
          <w:marBottom w:val="0"/>
          <w:divBdr>
            <w:top w:val="none" w:sz="0" w:space="0" w:color="auto"/>
            <w:left w:val="none" w:sz="0" w:space="0" w:color="auto"/>
            <w:bottom w:val="none" w:sz="0" w:space="0" w:color="auto"/>
            <w:right w:val="none" w:sz="0" w:space="0" w:color="auto"/>
          </w:divBdr>
        </w:div>
        <w:div w:id="610165564">
          <w:marLeft w:val="0"/>
          <w:marRight w:val="0"/>
          <w:marTop w:val="0"/>
          <w:marBottom w:val="0"/>
          <w:divBdr>
            <w:top w:val="none" w:sz="0" w:space="0" w:color="auto"/>
            <w:left w:val="none" w:sz="0" w:space="0" w:color="auto"/>
            <w:bottom w:val="none" w:sz="0" w:space="0" w:color="auto"/>
            <w:right w:val="none" w:sz="0" w:space="0" w:color="auto"/>
          </w:divBdr>
        </w:div>
      </w:divsChild>
    </w:div>
    <w:div w:id="709377628">
      <w:marLeft w:val="0"/>
      <w:marRight w:val="0"/>
      <w:marTop w:val="200"/>
      <w:marBottom w:val="0"/>
      <w:divBdr>
        <w:top w:val="none" w:sz="0" w:space="0" w:color="auto"/>
        <w:left w:val="none" w:sz="0" w:space="0" w:color="auto"/>
        <w:bottom w:val="none" w:sz="0" w:space="0" w:color="auto"/>
        <w:right w:val="none" w:sz="0" w:space="0" w:color="auto"/>
      </w:divBdr>
    </w:div>
    <w:div w:id="713233921">
      <w:marLeft w:val="0"/>
      <w:marRight w:val="0"/>
      <w:marTop w:val="200"/>
      <w:marBottom w:val="0"/>
      <w:divBdr>
        <w:top w:val="none" w:sz="0" w:space="0" w:color="auto"/>
        <w:left w:val="none" w:sz="0" w:space="0" w:color="auto"/>
        <w:bottom w:val="none" w:sz="0" w:space="0" w:color="auto"/>
        <w:right w:val="none" w:sz="0" w:space="0" w:color="auto"/>
      </w:divBdr>
    </w:div>
    <w:div w:id="714618481">
      <w:marLeft w:val="0"/>
      <w:marRight w:val="0"/>
      <w:marTop w:val="200"/>
      <w:marBottom w:val="0"/>
      <w:divBdr>
        <w:top w:val="none" w:sz="0" w:space="0" w:color="auto"/>
        <w:left w:val="none" w:sz="0" w:space="0" w:color="auto"/>
        <w:bottom w:val="none" w:sz="0" w:space="0" w:color="auto"/>
        <w:right w:val="none" w:sz="0" w:space="0" w:color="auto"/>
      </w:divBdr>
    </w:div>
    <w:div w:id="715197031">
      <w:marLeft w:val="0"/>
      <w:marRight w:val="0"/>
      <w:marTop w:val="0"/>
      <w:marBottom w:val="0"/>
      <w:divBdr>
        <w:top w:val="none" w:sz="0" w:space="0" w:color="auto"/>
        <w:left w:val="none" w:sz="0" w:space="0" w:color="auto"/>
        <w:bottom w:val="none" w:sz="0" w:space="0" w:color="auto"/>
        <w:right w:val="none" w:sz="0" w:space="0" w:color="auto"/>
      </w:divBdr>
      <w:divsChild>
        <w:div w:id="1280599592">
          <w:marLeft w:val="0"/>
          <w:marRight w:val="0"/>
          <w:marTop w:val="0"/>
          <w:marBottom w:val="0"/>
          <w:divBdr>
            <w:top w:val="none" w:sz="0" w:space="0" w:color="auto"/>
            <w:left w:val="none" w:sz="0" w:space="0" w:color="auto"/>
            <w:bottom w:val="none" w:sz="0" w:space="0" w:color="auto"/>
            <w:right w:val="none" w:sz="0" w:space="0" w:color="auto"/>
          </w:divBdr>
        </w:div>
      </w:divsChild>
    </w:div>
    <w:div w:id="720792551">
      <w:marLeft w:val="0"/>
      <w:marRight w:val="0"/>
      <w:marTop w:val="0"/>
      <w:marBottom w:val="0"/>
      <w:divBdr>
        <w:top w:val="none" w:sz="0" w:space="0" w:color="auto"/>
        <w:left w:val="none" w:sz="0" w:space="0" w:color="auto"/>
        <w:bottom w:val="none" w:sz="0" w:space="0" w:color="auto"/>
        <w:right w:val="none" w:sz="0" w:space="0" w:color="auto"/>
      </w:divBdr>
      <w:divsChild>
        <w:div w:id="1123574071">
          <w:marLeft w:val="0"/>
          <w:marRight w:val="0"/>
          <w:marTop w:val="0"/>
          <w:marBottom w:val="0"/>
          <w:divBdr>
            <w:top w:val="none" w:sz="0" w:space="0" w:color="auto"/>
            <w:left w:val="none" w:sz="0" w:space="0" w:color="auto"/>
            <w:bottom w:val="none" w:sz="0" w:space="0" w:color="auto"/>
            <w:right w:val="none" w:sz="0" w:space="0" w:color="auto"/>
          </w:divBdr>
        </w:div>
      </w:divsChild>
    </w:div>
    <w:div w:id="721557580">
      <w:marLeft w:val="0"/>
      <w:marRight w:val="0"/>
      <w:marTop w:val="0"/>
      <w:marBottom w:val="0"/>
      <w:divBdr>
        <w:top w:val="none" w:sz="0" w:space="0" w:color="auto"/>
        <w:left w:val="none" w:sz="0" w:space="0" w:color="auto"/>
        <w:bottom w:val="none" w:sz="0" w:space="0" w:color="auto"/>
        <w:right w:val="none" w:sz="0" w:space="0" w:color="auto"/>
      </w:divBdr>
    </w:div>
    <w:div w:id="722602569">
      <w:marLeft w:val="0"/>
      <w:marRight w:val="0"/>
      <w:marTop w:val="200"/>
      <w:marBottom w:val="0"/>
      <w:divBdr>
        <w:top w:val="none" w:sz="0" w:space="0" w:color="auto"/>
        <w:left w:val="none" w:sz="0" w:space="0" w:color="auto"/>
        <w:bottom w:val="none" w:sz="0" w:space="0" w:color="auto"/>
        <w:right w:val="none" w:sz="0" w:space="0" w:color="auto"/>
      </w:divBdr>
    </w:div>
    <w:div w:id="725106324">
      <w:marLeft w:val="0"/>
      <w:marRight w:val="0"/>
      <w:marTop w:val="60"/>
      <w:marBottom w:val="0"/>
      <w:divBdr>
        <w:top w:val="none" w:sz="0" w:space="0" w:color="auto"/>
        <w:left w:val="none" w:sz="0" w:space="0" w:color="auto"/>
        <w:bottom w:val="none" w:sz="0" w:space="0" w:color="auto"/>
        <w:right w:val="none" w:sz="0" w:space="0" w:color="auto"/>
      </w:divBdr>
    </w:div>
    <w:div w:id="725950327">
      <w:marLeft w:val="0"/>
      <w:marRight w:val="0"/>
      <w:marTop w:val="0"/>
      <w:marBottom w:val="0"/>
      <w:divBdr>
        <w:top w:val="none" w:sz="0" w:space="0" w:color="auto"/>
        <w:left w:val="none" w:sz="0" w:space="0" w:color="auto"/>
        <w:bottom w:val="none" w:sz="0" w:space="0" w:color="auto"/>
        <w:right w:val="none" w:sz="0" w:space="0" w:color="auto"/>
      </w:divBdr>
      <w:divsChild>
        <w:div w:id="2083020020">
          <w:marLeft w:val="0"/>
          <w:marRight w:val="0"/>
          <w:marTop w:val="0"/>
          <w:marBottom w:val="0"/>
          <w:divBdr>
            <w:top w:val="none" w:sz="0" w:space="0" w:color="auto"/>
            <w:left w:val="none" w:sz="0" w:space="0" w:color="auto"/>
            <w:bottom w:val="none" w:sz="0" w:space="0" w:color="auto"/>
            <w:right w:val="none" w:sz="0" w:space="0" w:color="auto"/>
          </w:divBdr>
        </w:div>
      </w:divsChild>
    </w:div>
    <w:div w:id="727343994">
      <w:marLeft w:val="0"/>
      <w:marRight w:val="0"/>
      <w:marTop w:val="200"/>
      <w:marBottom w:val="0"/>
      <w:divBdr>
        <w:top w:val="none" w:sz="0" w:space="0" w:color="auto"/>
        <w:left w:val="none" w:sz="0" w:space="0" w:color="auto"/>
        <w:bottom w:val="none" w:sz="0" w:space="0" w:color="auto"/>
        <w:right w:val="none" w:sz="0" w:space="0" w:color="auto"/>
      </w:divBdr>
    </w:div>
    <w:div w:id="728965120">
      <w:marLeft w:val="0"/>
      <w:marRight w:val="0"/>
      <w:marTop w:val="0"/>
      <w:marBottom w:val="0"/>
      <w:divBdr>
        <w:top w:val="none" w:sz="0" w:space="0" w:color="auto"/>
        <w:left w:val="none" w:sz="0" w:space="0" w:color="auto"/>
        <w:bottom w:val="none" w:sz="0" w:space="0" w:color="auto"/>
        <w:right w:val="none" w:sz="0" w:space="0" w:color="auto"/>
      </w:divBdr>
      <w:divsChild>
        <w:div w:id="559902735">
          <w:marLeft w:val="0"/>
          <w:marRight w:val="0"/>
          <w:marTop w:val="0"/>
          <w:marBottom w:val="0"/>
          <w:divBdr>
            <w:top w:val="none" w:sz="0" w:space="0" w:color="auto"/>
            <w:left w:val="none" w:sz="0" w:space="0" w:color="auto"/>
            <w:bottom w:val="none" w:sz="0" w:space="0" w:color="auto"/>
            <w:right w:val="none" w:sz="0" w:space="0" w:color="auto"/>
          </w:divBdr>
        </w:div>
      </w:divsChild>
    </w:div>
    <w:div w:id="730275887">
      <w:marLeft w:val="0"/>
      <w:marRight w:val="0"/>
      <w:marTop w:val="200"/>
      <w:marBottom w:val="0"/>
      <w:divBdr>
        <w:top w:val="none" w:sz="0" w:space="0" w:color="auto"/>
        <w:left w:val="none" w:sz="0" w:space="0" w:color="auto"/>
        <w:bottom w:val="none" w:sz="0" w:space="0" w:color="auto"/>
        <w:right w:val="none" w:sz="0" w:space="0" w:color="auto"/>
      </w:divBdr>
    </w:div>
    <w:div w:id="732435900">
      <w:marLeft w:val="0"/>
      <w:marRight w:val="0"/>
      <w:marTop w:val="200"/>
      <w:marBottom w:val="0"/>
      <w:divBdr>
        <w:top w:val="none" w:sz="0" w:space="0" w:color="auto"/>
        <w:left w:val="none" w:sz="0" w:space="0" w:color="auto"/>
        <w:bottom w:val="none" w:sz="0" w:space="0" w:color="auto"/>
        <w:right w:val="none" w:sz="0" w:space="0" w:color="auto"/>
      </w:divBdr>
    </w:div>
    <w:div w:id="733044850">
      <w:marLeft w:val="0"/>
      <w:marRight w:val="0"/>
      <w:marTop w:val="0"/>
      <w:marBottom w:val="0"/>
      <w:divBdr>
        <w:top w:val="none" w:sz="0" w:space="0" w:color="auto"/>
        <w:left w:val="none" w:sz="0" w:space="0" w:color="auto"/>
        <w:bottom w:val="none" w:sz="0" w:space="0" w:color="auto"/>
        <w:right w:val="none" w:sz="0" w:space="0" w:color="auto"/>
      </w:divBdr>
    </w:div>
    <w:div w:id="734939101">
      <w:marLeft w:val="0"/>
      <w:marRight w:val="0"/>
      <w:marTop w:val="200"/>
      <w:marBottom w:val="0"/>
      <w:divBdr>
        <w:top w:val="none" w:sz="0" w:space="0" w:color="auto"/>
        <w:left w:val="none" w:sz="0" w:space="0" w:color="auto"/>
        <w:bottom w:val="none" w:sz="0" w:space="0" w:color="auto"/>
        <w:right w:val="none" w:sz="0" w:space="0" w:color="auto"/>
      </w:divBdr>
    </w:div>
    <w:div w:id="735204593">
      <w:marLeft w:val="0"/>
      <w:marRight w:val="0"/>
      <w:marTop w:val="0"/>
      <w:marBottom w:val="0"/>
      <w:divBdr>
        <w:top w:val="none" w:sz="0" w:space="0" w:color="auto"/>
        <w:left w:val="none" w:sz="0" w:space="0" w:color="auto"/>
        <w:bottom w:val="none" w:sz="0" w:space="0" w:color="auto"/>
        <w:right w:val="none" w:sz="0" w:space="0" w:color="auto"/>
      </w:divBdr>
    </w:div>
    <w:div w:id="741563417">
      <w:marLeft w:val="0"/>
      <w:marRight w:val="0"/>
      <w:marTop w:val="200"/>
      <w:marBottom w:val="0"/>
      <w:divBdr>
        <w:top w:val="none" w:sz="0" w:space="0" w:color="auto"/>
        <w:left w:val="none" w:sz="0" w:space="0" w:color="auto"/>
        <w:bottom w:val="none" w:sz="0" w:space="0" w:color="auto"/>
        <w:right w:val="none" w:sz="0" w:space="0" w:color="auto"/>
      </w:divBdr>
    </w:div>
    <w:div w:id="743990015">
      <w:marLeft w:val="0"/>
      <w:marRight w:val="0"/>
      <w:marTop w:val="100"/>
      <w:marBottom w:val="0"/>
      <w:divBdr>
        <w:top w:val="none" w:sz="0" w:space="0" w:color="auto"/>
        <w:left w:val="none" w:sz="0" w:space="0" w:color="auto"/>
        <w:bottom w:val="none" w:sz="0" w:space="0" w:color="auto"/>
        <w:right w:val="none" w:sz="0" w:space="0" w:color="auto"/>
      </w:divBdr>
    </w:div>
    <w:div w:id="746541328">
      <w:marLeft w:val="0"/>
      <w:marRight w:val="0"/>
      <w:marTop w:val="0"/>
      <w:marBottom w:val="0"/>
      <w:divBdr>
        <w:top w:val="none" w:sz="0" w:space="0" w:color="auto"/>
        <w:left w:val="none" w:sz="0" w:space="0" w:color="auto"/>
        <w:bottom w:val="none" w:sz="0" w:space="0" w:color="auto"/>
        <w:right w:val="none" w:sz="0" w:space="0" w:color="auto"/>
      </w:divBdr>
      <w:divsChild>
        <w:div w:id="1321232989">
          <w:marLeft w:val="0"/>
          <w:marRight w:val="0"/>
          <w:marTop w:val="0"/>
          <w:marBottom w:val="0"/>
          <w:divBdr>
            <w:top w:val="none" w:sz="0" w:space="0" w:color="auto"/>
            <w:left w:val="none" w:sz="0" w:space="0" w:color="auto"/>
            <w:bottom w:val="none" w:sz="0" w:space="0" w:color="auto"/>
            <w:right w:val="none" w:sz="0" w:space="0" w:color="auto"/>
          </w:divBdr>
        </w:div>
      </w:divsChild>
    </w:div>
    <w:div w:id="747387962">
      <w:marLeft w:val="0"/>
      <w:marRight w:val="0"/>
      <w:marTop w:val="0"/>
      <w:marBottom w:val="0"/>
      <w:divBdr>
        <w:top w:val="none" w:sz="0" w:space="0" w:color="auto"/>
        <w:left w:val="none" w:sz="0" w:space="0" w:color="auto"/>
        <w:bottom w:val="none" w:sz="0" w:space="0" w:color="auto"/>
        <w:right w:val="none" w:sz="0" w:space="0" w:color="auto"/>
      </w:divBdr>
    </w:div>
    <w:div w:id="748386837">
      <w:marLeft w:val="0"/>
      <w:marRight w:val="0"/>
      <w:marTop w:val="0"/>
      <w:marBottom w:val="160"/>
      <w:divBdr>
        <w:top w:val="none" w:sz="0" w:space="0" w:color="auto"/>
        <w:left w:val="none" w:sz="0" w:space="0" w:color="auto"/>
        <w:bottom w:val="none" w:sz="0" w:space="0" w:color="auto"/>
        <w:right w:val="none" w:sz="0" w:space="0" w:color="auto"/>
      </w:divBdr>
    </w:div>
    <w:div w:id="749932316">
      <w:marLeft w:val="0"/>
      <w:marRight w:val="0"/>
      <w:marTop w:val="200"/>
      <w:marBottom w:val="0"/>
      <w:divBdr>
        <w:top w:val="none" w:sz="0" w:space="0" w:color="auto"/>
        <w:left w:val="none" w:sz="0" w:space="0" w:color="auto"/>
        <w:bottom w:val="none" w:sz="0" w:space="0" w:color="auto"/>
        <w:right w:val="none" w:sz="0" w:space="0" w:color="auto"/>
      </w:divBdr>
    </w:div>
    <w:div w:id="751046933">
      <w:marLeft w:val="0"/>
      <w:marRight w:val="0"/>
      <w:marTop w:val="0"/>
      <w:marBottom w:val="160"/>
      <w:divBdr>
        <w:top w:val="none" w:sz="0" w:space="0" w:color="auto"/>
        <w:left w:val="none" w:sz="0" w:space="0" w:color="auto"/>
        <w:bottom w:val="none" w:sz="0" w:space="0" w:color="auto"/>
        <w:right w:val="none" w:sz="0" w:space="0" w:color="auto"/>
      </w:divBdr>
    </w:div>
    <w:div w:id="756514133">
      <w:marLeft w:val="0"/>
      <w:marRight w:val="0"/>
      <w:marTop w:val="200"/>
      <w:marBottom w:val="0"/>
      <w:divBdr>
        <w:top w:val="none" w:sz="0" w:space="0" w:color="auto"/>
        <w:left w:val="none" w:sz="0" w:space="0" w:color="auto"/>
        <w:bottom w:val="none" w:sz="0" w:space="0" w:color="auto"/>
        <w:right w:val="none" w:sz="0" w:space="0" w:color="auto"/>
      </w:divBdr>
    </w:div>
    <w:div w:id="758059009">
      <w:marLeft w:val="0"/>
      <w:marRight w:val="0"/>
      <w:marTop w:val="200"/>
      <w:marBottom w:val="0"/>
      <w:divBdr>
        <w:top w:val="none" w:sz="0" w:space="0" w:color="auto"/>
        <w:left w:val="none" w:sz="0" w:space="0" w:color="auto"/>
        <w:bottom w:val="none" w:sz="0" w:space="0" w:color="auto"/>
        <w:right w:val="none" w:sz="0" w:space="0" w:color="auto"/>
      </w:divBdr>
    </w:div>
    <w:div w:id="766582508">
      <w:marLeft w:val="0"/>
      <w:marRight w:val="0"/>
      <w:marTop w:val="0"/>
      <w:marBottom w:val="0"/>
      <w:divBdr>
        <w:top w:val="none" w:sz="0" w:space="0" w:color="auto"/>
        <w:left w:val="none" w:sz="0" w:space="0" w:color="auto"/>
        <w:bottom w:val="none" w:sz="0" w:space="0" w:color="auto"/>
        <w:right w:val="none" w:sz="0" w:space="0" w:color="auto"/>
      </w:divBdr>
      <w:divsChild>
        <w:div w:id="450394749">
          <w:marLeft w:val="0"/>
          <w:marRight w:val="0"/>
          <w:marTop w:val="0"/>
          <w:marBottom w:val="0"/>
          <w:divBdr>
            <w:top w:val="none" w:sz="0" w:space="0" w:color="auto"/>
            <w:left w:val="none" w:sz="0" w:space="0" w:color="auto"/>
            <w:bottom w:val="none" w:sz="0" w:space="0" w:color="auto"/>
            <w:right w:val="none" w:sz="0" w:space="0" w:color="auto"/>
          </w:divBdr>
        </w:div>
      </w:divsChild>
    </w:div>
    <w:div w:id="766729710">
      <w:marLeft w:val="0"/>
      <w:marRight w:val="0"/>
      <w:marTop w:val="0"/>
      <w:marBottom w:val="0"/>
      <w:divBdr>
        <w:top w:val="none" w:sz="0" w:space="0" w:color="auto"/>
        <w:left w:val="none" w:sz="0" w:space="0" w:color="auto"/>
        <w:bottom w:val="none" w:sz="0" w:space="0" w:color="auto"/>
        <w:right w:val="none" w:sz="0" w:space="0" w:color="auto"/>
      </w:divBdr>
    </w:div>
    <w:div w:id="767309589">
      <w:marLeft w:val="0"/>
      <w:marRight w:val="0"/>
      <w:marTop w:val="0"/>
      <w:marBottom w:val="0"/>
      <w:divBdr>
        <w:top w:val="none" w:sz="0" w:space="0" w:color="auto"/>
        <w:left w:val="none" w:sz="0" w:space="0" w:color="auto"/>
        <w:bottom w:val="none" w:sz="0" w:space="0" w:color="auto"/>
        <w:right w:val="none" w:sz="0" w:space="0" w:color="auto"/>
      </w:divBdr>
      <w:divsChild>
        <w:div w:id="316961704">
          <w:marLeft w:val="0"/>
          <w:marRight w:val="0"/>
          <w:marTop w:val="0"/>
          <w:marBottom w:val="0"/>
          <w:divBdr>
            <w:top w:val="none" w:sz="0" w:space="0" w:color="auto"/>
            <w:left w:val="none" w:sz="0" w:space="0" w:color="auto"/>
            <w:bottom w:val="none" w:sz="0" w:space="0" w:color="auto"/>
            <w:right w:val="none" w:sz="0" w:space="0" w:color="auto"/>
          </w:divBdr>
        </w:div>
      </w:divsChild>
    </w:div>
    <w:div w:id="768434121">
      <w:marLeft w:val="0"/>
      <w:marRight w:val="0"/>
      <w:marTop w:val="0"/>
      <w:marBottom w:val="0"/>
      <w:divBdr>
        <w:top w:val="none" w:sz="0" w:space="0" w:color="auto"/>
        <w:left w:val="none" w:sz="0" w:space="0" w:color="auto"/>
        <w:bottom w:val="none" w:sz="0" w:space="0" w:color="auto"/>
        <w:right w:val="none" w:sz="0" w:space="0" w:color="auto"/>
      </w:divBdr>
      <w:divsChild>
        <w:div w:id="1175730441">
          <w:marLeft w:val="0"/>
          <w:marRight w:val="0"/>
          <w:marTop w:val="0"/>
          <w:marBottom w:val="0"/>
          <w:divBdr>
            <w:top w:val="none" w:sz="0" w:space="0" w:color="auto"/>
            <w:left w:val="none" w:sz="0" w:space="0" w:color="auto"/>
            <w:bottom w:val="none" w:sz="0" w:space="0" w:color="auto"/>
            <w:right w:val="none" w:sz="0" w:space="0" w:color="auto"/>
          </w:divBdr>
        </w:div>
        <w:div w:id="620499463">
          <w:marLeft w:val="0"/>
          <w:marRight w:val="0"/>
          <w:marTop w:val="0"/>
          <w:marBottom w:val="0"/>
          <w:divBdr>
            <w:top w:val="none" w:sz="0" w:space="0" w:color="auto"/>
            <w:left w:val="none" w:sz="0" w:space="0" w:color="auto"/>
            <w:bottom w:val="none" w:sz="0" w:space="0" w:color="auto"/>
            <w:right w:val="none" w:sz="0" w:space="0" w:color="auto"/>
          </w:divBdr>
        </w:div>
        <w:div w:id="705642919">
          <w:marLeft w:val="0"/>
          <w:marRight w:val="0"/>
          <w:marTop w:val="0"/>
          <w:marBottom w:val="0"/>
          <w:divBdr>
            <w:top w:val="none" w:sz="0" w:space="0" w:color="auto"/>
            <w:left w:val="none" w:sz="0" w:space="0" w:color="auto"/>
            <w:bottom w:val="none" w:sz="0" w:space="0" w:color="auto"/>
            <w:right w:val="none" w:sz="0" w:space="0" w:color="auto"/>
          </w:divBdr>
        </w:div>
        <w:div w:id="979072560">
          <w:marLeft w:val="0"/>
          <w:marRight w:val="0"/>
          <w:marTop w:val="0"/>
          <w:marBottom w:val="0"/>
          <w:divBdr>
            <w:top w:val="none" w:sz="0" w:space="0" w:color="auto"/>
            <w:left w:val="none" w:sz="0" w:space="0" w:color="auto"/>
            <w:bottom w:val="none" w:sz="0" w:space="0" w:color="auto"/>
            <w:right w:val="none" w:sz="0" w:space="0" w:color="auto"/>
          </w:divBdr>
        </w:div>
      </w:divsChild>
    </w:div>
    <w:div w:id="768889253">
      <w:marLeft w:val="0"/>
      <w:marRight w:val="0"/>
      <w:marTop w:val="0"/>
      <w:marBottom w:val="0"/>
      <w:divBdr>
        <w:top w:val="none" w:sz="0" w:space="0" w:color="auto"/>
        <w:left w:val="none" w:sz="0" w:space="0" w:color="auto"/>
        <w:bottom w:val="none" w:sz="0" w:space="0" w:color="auto"/>
        <w:right w:val="none" w:sz="0" w:space="0" w:color="auto"/>
      </w:divBdr>
      <w:divsChild>
        <w:div w:id="1620063567">
          <w:marLeft w:val="0"/>
          <w:marRight w:val="0"/>
          <w:marTop w:val="0"/>
          <w:marBottom w:val="0"/>
          <w:divBdr>
            <w:top w:val="none" w:sz="0" w:space="0" w:color="auto"/>
            <w:left w:val="none" w:sz="0" w:space="0" w:color="auto"/>
            <w:bottom w:val="none" w:sz="0" w:space="0" w:color="auto"/>
            <w:right w:val="none" w:sz="0" w:space="0" w:color="auto"/>
          </w:divBdr>
          <w:divsChild>
            <w:div w:id="13779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20078">
      <w:marLeft w:val="0"/>
      <w:marRight w:val="0"/>
      <w:marTop w:val="0"/>
      <w:marBottom w:val="0"/>
      <w:divBdr>
        <w:top w:val="none" w:sz="0" w:space="0" w:color="auto"/>
        <w:left w:val="none" w:sz="0" w:space="0" w:color="auto"/>
        <w:bottom w:val="none" w:sz="0" w:space="0" w:color="auto"/>
        <w:right w:val="none" w:sz="0" w:space="0" w:color="auto"/>
      </w:divBdr>
      <w:divsChild>
        <w:div w:id="1514301919">
          <w:marLeft w:val="0"/>
          <w:marRight w:val="0"/>
          <w:marTop w:val="0"/>
          <w:marBottom w:val="0"/>
          <w:divBdr>
            <w:top w:val="none" w:sz="0" w:space="0" w:color="auto"/>
            <w:left w:val="none" w:sz="0" w:space="0" w:color="auto"/>
            <w:bottom w:val="none" w:sz="0" w:space="0" w:color="auto"/>
            <w:right w:val="none" w:sz="0" w:space="0" w:color="auto"/>
          </w:divBdr>
        </w:div>
      </w:divsChild>
    </w:div>
    <w:div w:id="774207145">
      <w:marLeft w:val="0"/>
      <w:marRight w:val="0"/>
      <w:marTop w:val="0"/>
      <w:marBottom w:val="120"/>
      <w:divBdr>
        <w:top w:val="none" w:sz="0" w:space="0" w:color="auto"/>
        <w:left w:val="none" w:sz="0" w:space="0" w:color="auto"/>
        <w:bottom w:val="none" w:sz="0" w:space="0" w:color="auto"/>
        <w:right w:val="none" w:sz="0" w:space="0" w:color="auto"/>
      </w:divBdr>
    </w:div>
    <w:div w:id="774832895">
      <w:marLeft w:val="0"/>
      <w:marRight w:val="0"/>
      <w:marTop w:val="40"/>
      <w:marBottom w:val="0"/>
      <w:divBdr>
        <w:top w:val="none" w:sz="0" w:space="0" w:color="auto"/>
        <w:left w:val="none" w:sz="0" w:space="0" w:color="auto"/>
        <w:bottom w:val="none" w:sz="0" w:space="0" w:color="auto"/>
        <w:right w:val="none" w:sz="0" w:space="0" w:color="auto"/>
      </w:divBdr>
    </w:div>
    <w:div w:id="780144129">
      <w:marLeft w:val="0"/>
      <w:marRight w:val="0"/>
      <w:marTop w:val="0"/>
      <w:marBottom w:val="0"/>
      <w:divBdr>
        <w:top w:val="none" w:sz="0" w:space="0" w:color="auto"/>
        <w:left w:val="none" w:sz="0" w:space="0" w:color="auto"/>
        <w:bottom w:val="none" w:sz="0" w:space="0" w:color="auto"/>
        <w:right w:val="none" w:sz="0" w:space="0" w:color="auto"/>
      </w:divBdr>
      <w:divsChild>
        <w:div w:id="151677814">
          <w:marLeft w:val="0"/>
          <w:marRight w:val="0"/>
          <w:marTop w:val="0"/>
          <w:marBottom w:val="0"/>
          <w:divBdr>
            <w:top w:val="none" w:sz="0" w:space="0" w:color="auto"/>
            <w:left w:val="none" w:sz="0" w:space="0" w:color="auto"/>
            <w:bottom w:val="none" w:sz="0" w:space="0" w:color="auto"/>
            <w:right w:val="none" w:sz="0" w:space="0" w:color="auto"/>
          </w:divBdr>
        </w:div>
        <w:div w:id="836726340">
          <w:marLeft w:val="0"/>
          <w:marRight w:val="0"/>
          <w:marTop w:val="0"/>
          <w:marBottom w:val="0"/>
          <w:divBdr>
            <w:top w:val="none" w:sz="0" w:space="0" w:color="auto"/>
            <w:left w:val="none" w:sz="0" w:space="0" w:color="auto"/>
            <w:bottom w:val="none" w:sz="0" w:space="0" w:color="auto"/>
            <w:right w:val="none" w:sz="0" w:space="0" w:color="auto"/>
          </w:divBdr>
        </w:div>
        <w:div w:id="1043943380">
          <w:marLeft w:val="0"/>
          <w:marRight w:val="0"/>
          <w:marTop w:val="0"/>
          <w:marBottom w:val="0"/>
          <w:divBdr>
            <w:top w:val="none" w:sz="0" w:space="0" w:color="auto"/>
            <w:left w:val="none" w:sz="0" w:space="0" w:color="auto"/>
            <w:bottom w:val="none" w:sz="0" w:space="0" w:color="auto"/>
            <w:right w:val="none" w:sz="0" w:space="0" w:color="auto"/>
          </w:divBdr>
        </w:div>
        <w:div w:id="265426530">
          <w:marLeft w:val="0"/>
          <w:marRight w:val="0"/>
          <w:marTop w:val="0"/>
          <w:marBottom w:val="0"/>
          <w:divBdr>
            <w:top w:val="none" w:sz="0" w:space="0" w:color="auto"/>
            <w:left w:val="none" w:sz="0" w:space="0" w:color="auto"/>
            <w:bottom w:val="none" w:sz="0" w:space="0" w:color="auto"/>
            <w:right w:val="none" w:sz="0" w:space="0" w:color="auto"/>
          </w:divBdr>
        </w:div>
      </w:divsChild>
    </w:div>
    <w:div w:id="780412754">
      <w:marLeft w:val="0"/>
      <w:marRight w:val="0"/>
      <w:marTop w:val="0"/>
      <w:marBottom w:val="0"/>
      <w:divBdr>
        <w:top w:val="none" w:sz="0" w:space="0" w:color="auto"/>
        <w:left w:val="none" w:sz="0" w:space="0" w:color="auto"/>
        <w:bottom w:val="none" w:sz="0" w:space="0" w:color="auto"/>
        <w:right w:val="none" w:sz="0" w:space="0" w:color="auto"/>
      </w:divBdr>
    </w:div>
    <w:div w:id="785269892">
      <w:marLeft w:val="0"/>
      <w:marRight w:val="0"/>
      <w:marTop w:val="0"/>
      <w:marBottom w:val="0"/>
      <w:divBdr>
        <w:top w:val="none" w:sz="0" w:space="0" w:color="auto"/>
        <w:left w:val="none" w:sz="0" w:space="0" w:color="auto"/>
        <w:bottom w:val="none" w:sz="0" w:space="0" w:color="auto"/>
        <w:right w:val="none" w:sz="0" w:space="0" w:color="auto"/>
      </w:divBdr>
      <w:divsChild>
        <w:div w:id="1111972706">
          <w:marLeft w:val="0"/>
          <w:marRight w:val="0"/>
          <w:marTop w:val="0"/>
          <w:marBottom w:val="0"/>
          <w:divBdr>
            <w:top w:val="none" w:sz="0" w:space="0" w:color="auto"/>
            <w:left w:val="none" w:sz="0" w:space="0" w:color="auto"/>
            <w:bottom w:val="none" w:sz="0" w:space="0" w:color="auto"/>
            <w:right w:val="none" w:sz="0" w:space="0" w:color="auto"/>
          </w:divBdr>
        </w:div>
        <w:div w:id="1629361739">
          <w:marLeft w:val="0"/>
          <w:marRight w:val="0"/>
          <w:marTop w:val="0"/>
          <w:marBottom w:val="0"/>
          <w:divBdr>
            <w:top w:val="none" w:sz="0" w:space="0" w:color="auto"/>
            <w:left w:val="none" w:sz="0" w:space="0" w:color="auto"/>
            <w:bottom w:val="none" w:sz="0" w:space="0" w:color="auto"/>
            <w:right w:val="none" w:sz="0" w:space="0" w:color="auto"/>
          </w:divBdr>
        </w:div>
        <w:div w:id="1535265830">
          <w:marLeft w:val="0"/>
          <w:marRight w:val="0"/>
          <w:marTop w:val="0"/>
          <w:marBottom w:val="0"/>
          <w:divBdr>
            <w:top w:val="none" w:sz="0" w:space="0" w:color="auto"/>
            <w:left w:val="none" w:sz="0" w:space="0" w:color="auto"/>
            <w:bottom w:val="none" w:sz="0" w:space="0" w:color="auto"/>
            <w:right w:val="none" w:sz="0" w:space="0" w:color="auto"/>
          </w:divBdr>
        </w:div>
        <w:div w:id="1685939739">
          <w:marLeft w:val="0"/>
          <w:marRight w:val="0"/>
          <w:marTop w:val="0"/>
          <w:marBottom w:val="0"/>
          <w:divBdr>
            <w:top w:val="none" w:sz="0" w:space="0" w:color="auto"/>
            <w:left w:val="none" w:sz="0" w:space="0" w:color="auto"/>
            <w:bottom w:val="none" w:sz="0" w:space="0" w:color="auto"/>
            <w:right w:val="none" w:sz="0" w:space="0" w:color="auto"/>
          </w:divBdr>
        </w:div>
      </w:divsChild>
    </w:div>
    <w:div w:id="788939675">
      <w:marLeft w:val="0"/>
      <w:marRight w:val="0"/>
      <w:marTop w:val="200"/>
      <w:marBottom w:val="0"/>
      <w:divBdr>
        <w:top w:val="none" w:sz="0" w:space="0" w:color="auto"/>
        <w:left w:val="none" w:sz="0" w:space="0" w:color="auto"/>
        <w:bottom w:val="none" w:sz="0" w:space="0" w:color="auto"/>
        <w:right w:val="none" w:sz="0" w:space="0" w:color="auto"/>
      </w:divBdr>
    </w:div>
    <w:div w:id="793056199">
      <w:marLeft w:val="0"/>
      <w:marRight w:val="0"/>
      <w:marTop w:val="0"/>
      <w:marBottom w:val="200"/>
      <w:divBdr>
        <w:top w:val="none" w:sz="0" w:space="0" w:color="auto"/>
        <w:left w:val="none" w:sz="0" w:space="0" w:color="auto"/>
        <w:bottom w:val="none" w:sz="0" w:space="0" w:color="auto"/>
        <w:right w:val="none" w:sz="0" w:space="0" w:color="auto"/>
      </w:divBdr>
    </w:div>
    <w:div w:id="794182650">
      <w:marLeft w:val="0"/>
      <w:marRight w:val="0"/>
      <w:marTop w:val="0"/>
      <w:marBottom w:val="0"/>
      <w:divBdr>
        <w:top w:val="none" w:sz="0" w:space="0" w:color="auto"/>
        <w:left w:val="none" w:sz="0" w:space="0" w:color="auto"/>
        <w:bottom w:val="none" w:sz="0" w:space="0" w:color="auto"/>
        <w:right w:val="none" w:sz="0" w:space="0" w:color="auto"/>
      </w:divBdr>
      <w:divsChild>
        <w:div w:id="1310406047">
          <w:marLeft w:val="0"/>
          <w:marRight w:val="0"/>
          <w:marTop w:val="0"/>
          <w:marBottom w:val="0"/>
          <w:divBdr>
            <w:top w:val="none" w:sz="0" w:space="0" w:color="auto"/>
            <w:left w:val="none" w:sz="0" w:space="0" w:color="auto"/>
            <w:bottom w:val="none" w:sz="0" w:space="0" w:color="auto"/>
            <w:right w:val="none" w:sz="0" w:space="0" w:color="auto"/>
          </w:divBdr>
        </w:div>
      </w:divsChild>
    </w:div>
    <w:div w:id="794251104">
      <w:marLeft w:val="0"/>
      <w:marRight w:val="0"/>
      <w:marTop w:val="180"/>
      <w:marBottom w:val="0"/>
      <w:divBdr>
        <w:top w:val="none" w:sz="0" w:space="0" w:color="auto"/>
        <w:left w:val="none" w:sz="0" w:space="0" w:color="auto"/>
        <w:bottom w:val="none" w:sz="0" w:space="0" w:color="auto"/>
        <w:right w:val="none" w:sz="0" w:space="0" w:color="auto"/>
      </w:divBdr>
    </w:div>
    <w:div w:id="795562613">
      <w:marLeft w:val="0"/>
      <w:marRight w:val="0"/>
      <w:marTop w:val="0"/>
      <w:marBottom w:val="200"/>
      <w:divBdr>
        <w:top w:val="none" w:sz="0" w:space="0" w:color="auto"/>
        <w:left w:val="none" w:sz="0" w:space="0" w:color="auto"/>
        <w:bottom w:val="none" w:sz="0" w:space="0" w:color="auto"/>
        <w:right w:val="none" w:sz="0" w:space="0" w:color="auto"/>
      </w:divBdr>
    </w:div>
    <w:div w:id="797184509">
      <w:marLeft w:val="0"/>
      <w:marRight w:val="0"/>
      <w:marTop w:val="200"/>
      <w:marBottom w:val="0"/>
      <w:divBdr>
        <w:top w:val="none" w:sz="0" w:space="0" w:color="auto"/>
        <w:left w:val="none" w:sz="0" w:space="0" w:color="auto"/>
        <w:bottom w:val="none" w:sz="0" w:space="0" w:color="auto"/>
        <w:right w:val="none" w:sz="0" w:space="0" w:color="auto"/>
      </w:divBdr>
    </w:div>
    <w:div w:id="799998601">
      <w:marLeft w:val="0"/>
      <w:marRight w:val="0"/>
      <w:marTop w:val="200"/>
      <w:marBottom w:val="0"/>
      <w:divBdr>
        <w:top w:val="none" w:sz="0" w:space="0" w:color="auto"/>
        <w:left w:val="none" w:sz="0" w:space="0" w:color="auto"/>
        <w:bottom w:val="none" w:sz="0" w:space="0" w:color="auto"/>
        <w:right w:val="none" w:sz="0" w:space="0" w:color="auto"/>
      </w:divBdr>
    </w:div>
    <w:div w:id="801507840">
      <w:marLeft w:val="0"/>
      <w:marRight w:val="0"/>
      <w:marTop w:val="0"/>
      <w:marBottom w:val="0"/>
      <w:divBdr>
        <w:top w:val="none" w:sz="0" w:space="0" w:color="auto"/>
        <w:left w:val="none" w:sz="0" w:space="0" w:color="auto"/>
        <w:bottom w:val="none" w:sz="0" w:space="0" w:color="auto"/>
        <w:right w:val="none" w:sz="0" w:space="0" w:color="auto"/>
      </w:divBdr>
      <w:divsChild>
        <w:div w:id="1119880077">
          <w:marLeft w:val="0"/>
          <w:marRight w:val="0"/>
          <w:marTop w:val="0"/>
          <w:marBottom w:val="0"/>
          <w:divBdr>
            <w:top w:val="none" w:sz="0" w:space="0" w:color="auto"/>
            <w:left w:val="none" w:sz="0" w:space="0" w:color="auto"/>
            <w:bottom w:val="none" w:sz="0" w:space="0" w:color="auto"/>
            <w:right w:val="none" w:sz="0" w:space="0" w:color="auto"/>
          </w:divBdr>
        </w:div>
      </w:divsChild>
    </w:div>
    <w:div w:id="802699086">
      <w:marLeft w:val="0"/>
      <w:marRight w:val="0"/>
      <w:marTop w:val="0"/>
      <w:marBottom w:val="0"/>
      <w:divBdr>
        <w:top w:val="none" w:sz="0" w:space="0" w:color="auto"/>
        <w:left w:val="none" w:sz="0" w:space="0" w:color="auto"/>
        <w:bottom w:val="none" w:sz="0" w:space="0" w:color="auto"/>
        <w:right w:val="none" w:sz="0" w:space="0" w:color="auto"/>
      </w:divBdr>
      <w:divsChild>
        <w:div w:id="1873224804">
          <w:marLeft w:val="0"/>
          <w:marRight w:val="0"/>
          <w:marTop w:val="0"/>
          <w:marBottom w:val="0"/>
          <w:divBdr>
            <w:top w:val="none" w:sz="0" w:space="0" w:color="auto"/>
            <w:left w:val="none" w:sz="0" w:space="0" w:color="auto"/>
            <w:bottom w:val="none" w:sz="0" w:space="0" w:color="auto"/>
            <w:right w:val="none" w:sz="0" w:space="0" w:color="auto"/>
          </w:divBdr>
        </w:div>
      </w:divsChild>
    </w:div>
    <w:div w:id="804812504">
      <w:marLeft w:val="0"/>
      <w:marRight w:val="0"/>
      <w:marTop w:val="200"/>
      <w:marBottom w:val="0"/>
      <w:divBdr>
        <w:top w:val="none" w:sz="0" w:space="0" w:color="auto"/>
        <w:left w:val="none" w:sz="0" w:space="0" w:color="auto"/>
        <w:bottom w:val="none" w:sz="0" w:space="0" w:color="auto"/>
        <w:right w:val="none" w:sz="0" w:space="0" w:color="auto"/>
      </w:divBdr>
    </w:div>
    <w:div w:id="804931130">
      <w:marLeft w:val="0"/>
      <w:marRight w:val="0"/>
      <w:marTop w:val="200"/>
      <w:marBottom w:val="0"/>
      <w:divBdr>
        <w:top w:val="none" w:sz="0" w:space="0" w:color="auto"/>
        <w:left w:val="none" w:sz="0" w:space="0" w:color="auto"/>
        <w:bottom w:val="none" w:sz="0" w:space="0" w:color="auto"/>
        <w:right w:val="none" w:sz="0" w:space="0" w:color="auto"/>
      </w:divBdr>
    </w:div>
    <w:div w:id="808398785">
      <w:marLeft w:val="0"/>
      <w:marRight w:val="0"/>
      <w:marTop w:val="0"/>
      <w:marBottom w:val="0"/>
      <w:divBdr>
        <w:top w:val="none" w:sz="0" w:space="0" w:color="auto"/>
        <w:left w:val="none" w:sz="0" w:space="0" w:color="auto"/>
        <w:bottom w:val="none" w:sz="0" w:space="0" w:color="auto"/>
        <w:right w:val="none" w:sz="0" w:space="0" w:color="auto"/>
      </w:divBdr>
    </w:div>
    <w:div w:id="811941202">
      <w:marLeft w:val="0"/>
      <w:marRight w:val="0"/>
      <w:marTop w:val="0"/>
      <w:marBottom w:val="0"/>
      <w:divBdr>
        <w:top w:val="none" w:sz="0" w:space="0" w:color="auto"/>
        <w:left w:val="none" w:sz="0" w:space="0" w:color="auto"/>
        <w:bottom w:val="none" w:sz="0" w:space="0" w:color="auto"/>
        <w:right w:val="none" w:sz="0" w:space="0" w:color="auto"/>
      </w:divBdr>
    </w:div>
    <w:div w:id="813596333">
      <w:marLeft w:val="0"/>
      <w:marRight w:val="0"/>
      <w:marTop w:val="200"/>
      <w:marBottom w:val="0"/>
      <w:divBdr>
        <w:top w:val="none" w:sz="0" w:space="0" w:color="auto"/>
        <w:left w:val="none" w:sz="0" w:space="0" w:color="auto"/>
        <w:bottom w:val="none" w:sz="0" w:space="0" w:color="auto"/>
        <w:right w:val="none" w:sz="0" w:space="0" w:color="auto"/>
      </w:divBdr>
    </w:div>
    <w:div w:id="814177276">
      <w:marLeft w:val="0"/>
      <w:marRight w:val="0"/>
      <w:marTop w:val="200"/>
      <w:marBottom w:val="0"/>
      <w:divBdr>
        <w:top w:val="none" w:sz="0" w:space="0" w:color="auto"/>
        <w:left w:val="none" w:sz="0" w:space="0" w:color="auto"/>
        <w:bottom w:val="none" w:sz="0" w:space="0" w:color="auto"/>
        <w:right w:val="none" w:sz="0" w:space="0" w:color="auto"/>
      </w:divBdr>
    </w:div>
    <w:div w:id="814836030">
      <w:marLeft w:val="0"/>
      <w:marRight w:val="0"/>
      <w:marTop w:val="0"/>
      <w:marBottom w:val="0"/>
      <w:divBdr>
        <w:top w:val="none" w:sz="0" w:space="0" w:color="auto"/>
        <w:left w:val="none" w:sz="0" w:space="0" w:color="auto"/>
        <w:bottom w:val="none" w:sz="0" w:space="0" w:color="auto"/>
        <w:right w:val="none" w:sz="0" w:space="0" w:color="auto"/>
      </w:divBdr>
    </w:div>
    <w:div w:id="817498737">
      <w:marLeft w:val="0"/>
      <w:marRight w:val="0"/>
      <w:marTop w:val="0"/>
      <w:marBottom w:val="0"/>
      <w:divBdr>
        <w:top w:val="none" w:sz="0" w:space="0" w:color="auto"/>
        <w:left w:val="none" w:sz="0" w:space="0" w:color="auto"/>
        <w:bottom w:val="none" w:sz="0" w:space="0" w:color="auto"/>
        <w:right w:val="none" w:sz="0" w:space="0" w:color="auto"/>
      </w:divBdr>
    </w:div>
    <w:div w:id="817846060">
      <w:marLeft w:val="0"/>
      <w:marRight w:val="0"/>
      <w:marTop w:val="200"/>
      <w:marBottom w:val="0"/>
      <w:divBdr>
        <w:top w:val="none" w:sz="0" w:space="0" w:color="auto"/>
        <w:left w:val="none" w:sz="0" w:space="0" w:color="auto"/>
        <w:bottom w:val="none" w:sz="0" w:space="0" w:color="auto"/>
        <w:right w:val="none" w:sz="0" w:space="0" w:color="auto"/>
      </w:divBdr>
    </w:div>
    <w:div w:id="818348863">
      <w:marLeft w:val="0"/>
      <w:marRight w:val="0"/>
      <w:marTop w:val="0"/>
      <w:marBottom w:val="0"/>
      <w:divBdr>
        <w:top w:val="none" w:sz="0" w:space="0" w:color="auto"/>
        <w:left w:val="none" w:sz="0" w:space="0" w:color="auto"/>
        <w:bottom w:val="none" w:sz="0" w:space="0" w:color="auto"/>
        <w:right w:val="none" w:sz="0" w:space="0" w:color="auto"/>
      </w:divBdr>
      <w:divsChild>
        <w:div w:id="679746453">
          <w:marLeft w:val="0"/>
          <w:marRight w:val="0"/>
          <w:marTop w:val="0"/>
          <w:marBottom w:val="0"/>
          <w:divBdr>
            <w:top w:val="none" w:sz="0" w:space="0" w:color="auto"/>
            <w:left w:val="none" w:sz="0" w:space="0" w:color="auto"/>
            <w:bottom w:val="none" w:sz="0" w:space="0" w:color="auto"/>
            <w:right w:val="none" w:sz="0" w:space="0" w:color="auto"/>
          </w:divBdr>
        </w:div>
      </w:divsChild>
    </w:div>
    <w:div w:id="819273600">
      <w:marLeft w:val="0"/>
      <w:marRight w:val="0"/>
      <w:marTop w:val="200"/>
      <w:marBottom w:val="0"/>
      <w:divBdr>
        <w:top w:val="none" w:sz="0" w:space="0" w:color="auto"/>
        <w:left w:val="none" w:sz="0" w:space="0" w:color="auto"/>
        <w:bottom w:val="none" w:sz="0" w:space="0" w:color="auto"/>
        <w:right w:val="none" w:sz="0" w:space="0" w:color="auto"/>
      </w:divBdr>
    </w:div>
    <w:div w:id="821119430">
      <w:marLeft w:val="0"/>
      <w:marRight w:val="0"/>
      <w:marTop w:val="200"/>
      <w:marBottom w:val="0"/>
      <w:divBdr>
        <w:top w:val="none" w:sz="0" w:space="0" w:color="auto"/>
        <w:left w:val="none" w:sz="0" w:space="0" w:color="auto"/>
        <w:bottom w:val="none" w:sz="0" w:space="0" w:color="auto"/>
        <w:right w:val="none" w:sz="0" w:space="0" w:color="auto"/>
      </w:divBdr>
    </w:div>
    <w:div w:id="823812663">
      <w:marLeft w:val="0"/>
      <w:marRight w:val="0"/>
      <w:marTop w:val="200"/>
      <w:marBottom w:val="0"/>
      <w:divBdr>
        <w:top w:val="none" w:sz="0" w:space="0" w:color="auto"/>
        <w:left w:val="none" w:sz="0" w:space="0" w:color="auto"/>
        <w:bottom w:val="none" w:sz="0" w:space="0" w:color="auto"/>
        <w:right w:val="none" w:sz="0" w:space="0" w:color="auto"/>
      </w:divBdr>
    </w:div>
    <w:div w:id="827870385">
      <w:marLeft w:val="0"/>
      <w:marRight w:val="0"/>
      <w:marTop w:val="0"/>
      <w:marBottom w:val="0"/>
      <w:divBdr>
        <w:top w:val="none" w:sz="0" w:space="0" w:color="auto"/>
        <w:left w:val="none" w:sz="0" w:space="0" w:color="auto"/>
        <w:bottom w:val="none" w:sz="0" w:space="0" w:color="auto"/>
        <w:right w:val="none" w:sz="0" w:space="0" w:color="auto"/>
      </w:divBdr>
    </w:div>
    <w:div w:id="829517465">
      <w:marLeft w:val="0"/>
      <w:marRight w:val="0"/>
      <w:marTop w:val="100"/>
      <w:marBottom w:val="60"/>
      <w:divBdr>
        <w:top w:val="none" w:sz="0" w:space="0" w:color="auto"/>
        <w:left w:val="none" w:sz="0" w:space="0" w:color="auto"/>
        <w:bottom w:val="none" w:sz="0" w:space="0" w:color="auto"/>
        <w:right w:val="none" w:sz="0" w:space="0" w:color="auto"/>
      </w:divBdr>
    </w:div>
    <w:div w:id="830216321">
      <w:marLeft w:val="0"/>
      <w:marRight w:val="0"/>
      <w:marTop w:val="0"/>
      <w:marBottom w:val="0"/>
      <w:divBdr>
        <w:top w:val="none" w:sz="0" w:space="0" w:color="auto"/>
        <w:left w:val="none" w:sz="0" w:space="0" w:color="auto"/>
        <w:bottom w:val="none" w:sz="0" w:space="0" w:color="auto"/>
        <w:right w:val="none" w:sz="0" w:space="0" w:color="auto"/>
      </w:divBdr>
    </w:div>
    <w:div w:id="830368926">
      <w:marLeft w:val="0"/>
      <w:marRight w:val="0"/>
      <w:marTop w:val="0"/>
      <w:marBottom w:val="0"/>
      <w:divBdr>
        <w:top w:val="none" w:sz="0" w:space="0" w:color="auto"/>
        <w:left w:val="none" w:sz="0" w:space="0" w:color="auto"/>
        <w:bottom w:val="none" w:sz="0" w:space="0" w:color="auto"/>
        <w:right w:val="none" w:sz="0" w:space="0" w:color="auto"/>
      </w:divBdr>
      <w:divsChild>
        <w:div w:id="1627349317">
          <w:marLeft w:val="0"/>
          <w:marRight w:val="0"/>
          <w:marTop w:val="0"/>
          <w:marBottom w:val="0"/>
          <w:divBdr>
            <w:top w:val="none" w:sz="0" w:space="0" w:color="auto"/>
            <w:left w:val="none" w:sz="0" w:space="0" w:color="auto"/>
            <w:bottom w:val="none" w:sz="0" w:space="0" w:color="auto"/>
            <w:right w:val="none" w:sz="0" w:space="0" w:color="auto"/>
          </w:divBdr>
        </w:div>
      </w:divsChild>
    </w:div>
    <w:div w:id="830683241">
      <w:marLeft w:val="0"/>
      <w:marRight w:val="0"/>
      <w:marTop w:val="0"/>
      <w:marBottom w:val="0"/>
      <w:divBdr>
        <w:top w:val="none" w:sz="0" w:space="0" w:color="auto"/>
        <w:left w:val="none" w:sz="0" w:space="0" w:color="auto"/>
        <w:bottom w:val="none" w:sz="0" w:space="0" w:color="auto"/>
        <w:right w:val="none" w:sz="0" w:space="0" w:color="auto"/>
      </w:divBdr>
    </w:div>
    <w:div w:id="831065425">
      <w:marLeft w:val="0"/>
      <w:marRight w:val="0"/>
      <w:marTop w:val="200"/>
      <w:marBottom w:val="0"/>
      <w:divBdr>
        <w:top w:val="none" w:sz="0" w:space="0" w:color="auto"/>
        <w:left w:val="none" w:sz="0" w:space="0" w:color="auto"/>
        <w:bottom w:val="none" w:sz="0" w:space="0" w:color="auto"/>
        <w:right w:val="none" w:sz="0" w:space="0" w:color="auto"/>
      </w:divBdr>
    </w:div>
    <w:div w:id="831094490">
      <w:marLeft w:val="0"/>
      <w:marRight w:val="0"/>
      <w:marTop w:val="0"/>
      <w:marBottom w:val="0"/>
      <w:divBdr>
        <w:top w:val="none" w:sz="0" w:space="0" w:color="auto"/>
        <w:left w:val="none" w:sz="0" w:space="0" w:color="auto"/>
        <w:bottom w:val="none" w:sz="0" w:space="0" w:color="auto"/>
        <w:right w:val="none" w:sz="0" w:space="0" w:color="auto"/>
      </w:divBdr>
      <w:divsChild>
        <w:div w:id="1905217149">
          <w:marLeft w:val="0"/>
          <w:marRight w:val="0"/>
          <w:marTop w:val="0"/>
          <w:marBottom w:val="0"/>
          <w:divBdr>
            <w:top w:val="none" w:sz="0" w:space="0" w:color="auto"/>
            <w:left w:val="none" w:sz="0" w:space="0" w:color="auto"/>
            <w:bottom w:val="none" w:sz="0" w:space="0" w:color="auto"/>
            <w:right w:val="none" w:sz="0" w:space="0" w:color="auto"/>
          </w:divBdr>
        </w:div>
      </w:divsChild>
    </w:div>
    <w:div w:id="831144249">
      <w:marLeft w:val="0"/>
      <w:marRight w:val="0"/>
      <w:marTop w:val="0"/>
      <w:marBottom w:val="0"/>
      <w:divBdr>
        <w:top w:val="none" w:sz="0" w:space="0" w:color="auto"/>
        <w:left w:val="none" w:sz="0" w:space="0" w:color="auto"/>
        <w:bottom w:val="none" w:sz="0" w:space="0" w:color="auto"/>
        <w:right w:val="none" w:sz="0" w:space="0" w:color="auto"/>
      </w:divBdr>
    </w:div>
    <w:div w:id="833033076">
      <w:marLeft w:val="0"/>
      <w:marRight w:val="0"/>
      <w:marTop w:val="0"/>
      <w:marBottom w:val="160"/>
      <w:divBdr>
        <w:top w:val="none" w:sz="0" w:space="0" w:color="auto"/>
        <w:left w:val="none" w:sz="0" w:space="0" w:color="auto"/>
        <w:bottom w:val="none" w:sz="0" w:space="0" w:color="auto"/>
        <w:right w:val="none" w:sz="0" w:space="0" w:color="auto"/>
      </w:divBdr>
    </w:div>
    <w:div w:id="833453736">
      <w:marLeft w:val="0"/>
      <w:marRight w:val="0"/>
      <w:marTop w:val="0"/>
      <w:marBottom w:val="0"/>
      <w:divBdr>
        <w:top w:val="none" w:sz="0" w:space="0" w:color="auto"/>
        <w:left w:val="none" w:sz="0" w:space="0" w:color="auto"/>
        <w:bottom w:val="none" w:sz="0" w:space="0" w:color="auto"/>
        <w:right w:val="none" w:sz="0" w:space="0" w:color="auto"/>
      </w:divBdr>
      <w:divsChild>
        <w:div w:id="1897156224">
          <w:marLeft w:val="0"/>
          <w:marRight w:val="0"/>
          <w:marTop w:val="0"/>
          <w:marBottom w:val="0"/>
          <w:divBdr>
            <w:top w:val="none" w:sz="0" w:space="0" w:color="auto"/>
            <w:left w:val="none" w:sz="0" w:space="0" w:color="auto"/>
            <w:bottom w:val="none" w:sz="0" w:space="0" w:color="auto"/>
            <w:right w:val="none" w:sz="0" w:space="0" w:color="auto"/>
          </w:divBdr>
        </w:div>
      </w:divsChild>
    </w:div>
    <w:div w:id="834760005">
      <w:marLeft w:val="0"/>
      <w:marRight w:val="0"/>
      <w:marTop w:val="0"/>
      <w:marBottom w:val="0"/>
      <w:divBdr>
        <w:top w:val="none" w:sz="0" w:space="0" w:color="auto"/>
        <w:left w:val="none" w:sz="0" w:space="0" w:color="auto"/>
        <w:bottom w:val="none" w:sz="0" w:space="0" w:color="auto"/>
        <w:right w:val="none" w:sz="0" w:space="0" w:color="auto"/>
      </w:divBdr>
      <w:divsChild>
        <w:div w:id="1176647542">
          <w:marLeft w:val="0"/>
          <w:marRight w:val="0"/>
          <w:marTop w:val="0"/>
          <w:marBottom w:val="0"/>
          <w:divBdr>
            <w:top w:val="none" w:sz="0" w:space="0" w:color="auto"/>
            <w:left w:val="none" w:sz="0" w:space="0" w:color="auto"/>
            <w:bottom w:val="none" w:sz="0" w:space="0" w:color="auto"/>
            <w:right w:val="none" w:sz="0" w:space="0" w:color="auto"/>
          </w:divBdr>
        </w:div>
      </w:divsChild>
    </w:div>
    <w:div w:id="836000787">
      <w:marLeft w:val="0"/>
      <w:marRight w:val="0"/>
      <w:marTop w:val="0"/>
      <w:marBottom w:val="0"/>
      <w:divBdr>
        <w:top w:val="none" w:sz="0" w:space="0" w:color="auto"/>
        <w:left w:val="none" w:sz="0" w:space="0" w:color="auto"/>
        <w:bottom w:val="none" w:sz="0" w:space="0" w:color="auto"/>
        <w:right w:val="none" w:sz="0" w:space="0" w:color="auto"/>
      </w:divBdr>
    </w:div>
    <w:div w:id="838302855">
      <w:marLeft w:val="0"/>
      <w:marRight w:val="0"/>
      <w:marTop w:val="0"/>
      <w:marBottom w:val="0"/>
      <w:divBdr>
        <w:top w:val="none" w:sz="0" w:space="0" w:color="auto"/>
        <w:left w:val="none" w:sz="0" w:space="0" w:color="auto"/>
        <w:bottom w:val="none" w:sz="0" w:space="0" w:color="auto"/>
        <w:right w:val="none" w:sz="0" w:space="0" w:color="auto"/>
      </w:divBdr>
    </w:div>
    <w:div w:id="839199140">
      <w:marLeft w:val="0"/>
      <w:marRight w:val="0"/>
      <w:marTop w:val="200"/>
      <w:marBottom w:val="0"/>
      <w:divBdr>
        <w:top w:val="none" w:sz="0" w:space="0" w:color="auto"/>
        <w:left w:val="none" w:sz="0" w:space="0" w:color="auto"/>
        <w:bottom w:val="none" w:sz="0" w:space="0" w:color="auto"/>
        <w:right w:val="none" w:sz="0" w:space="0" w:color="auto"/>
      </w:divBdr>
    </w:div>
    <w:div w:id="841701867">
      <w:marLeft w:val="0"/>
      <w:marRight w:val="0"/>
      <w:marTop w:val="40"/>
      <w:marBottom w:val="0"/>
      <w:divBdr>
        <w:top w:val="none" w:sz="0" w:space="0" w:color="auto"/>
        <w:left w:val="none" w:sz="0" w:space="0" w:color="auto"/>
        <w:bottom w:val="none" w:sz="0" w:space="0" w:color="auto"/>
        <w:right w:val="none" w:sz="0" w:space="0" w:color="auto"/>
      </w:divBdr>
    </w:div>
    <w:div w:id="842163589">
      <w:marLeft w:val="0"/>
      <w:marRight w:val="0"/>
      <w:marTop w:val="0"/>
      <w:marBottom w:val="0"/>
      <w:divBdr>
        <w:top w:val="none" w:sz="0" w:space="0" w:color="auto"/>
        <w:left w:val="none" w:sz="0" w:space="0" w:color="auto"/>
        <w:bottom w:val="none" w:sz="0" w:space="0" w:color="auto"/>
        <w:right w:val="none" w:sz="0" w:space="0" w:color="auto"/>
      </w:divBdr>
      <w:divsChild>
        <w:div w:id="1559634160">
          <w:marLeft w:val="0"/>
          <w:marRight w:val="0"/>
          <w:marTop w:val="0"/>
          <w:marBottom w:val="0"/>
          <w:divBdr>
            <w:top w:val="none" w:sz="0" w:space="0" w:color="auto"/>
            <w:left w:val="none" w:sz="0" w:space="0" w:color="auto"/>
            <w:bottom w:val="none" w:sz="0" w:space="0" w:color="auto"/>
            <w:right w:val="none" w:sz="0" w:space="0" w:color="auto"/>
          </w:divBdr>
        </w:div>
      </w:divsChild>
    </w:div>
    <w:div w:id="842167884">
      <w:marLeft w:val="0"/>
      <w:marRight w:val="0"/>
      <w:marTop w:val="200"/>
      <w:marBottom w:val="0"/>
      <w:divBdr>
        <w:top w:val="none" w:sz="0" w:space="0" w:color="auto"/>
        <w:left w:val="none" w:sz="0" w:space="0" w:color="auto"/>
        <w:bottom w:val="none" w:sz="0" w:space="0" w:color="auto"/>
        <w:right w:val="none" w:sz="0" w:space="0" w:color="auto"/>
      </w:divBdr>
    </w:div>
    <w:div w:id="842822301">
      <w:marLeft w:val="0"/>
      <w:marRight w:val="0"/>
      <w:marTop w:val="0"/>
      <w:marBottom w:val="0"/>
      <w:divBdr>
        <w:top w:val="none" w:sz="0" w:space="0" w:color="auto"/>
        <w:left w:val="none" w:sz="0" w:space="0" w:color="auto"/>
        <w:bottom w:val="none" w:sz="0" w:space="0" w:color="auto"/>
        <w:right w:val="none" w:sz="0" w:space="0" w:color="auto"/>
      </w:divBdr>
    </w:div>
    <w:div w:id="843319842">
      <w:marLeft w:val="0"/>
      <w:marRight w:val="0"/>
      <w:marTop w:val="100"/>
      <w:marBottom w:val="0"/>
      <w:divBdr>
        <w:top w:val="none" w:sz="0" w:space="0" w:color="auto"/>
        <w:left w:val="none" w:sz="0" w:space="0" w:color="auto"/>
        <w:bottom w:val="none" w:sz="0" w:space="0" w:color="auto"/>
        <w:right w:val="none" w:sz="0" w:space="0" w:color="auto"/>
      </w:divBdr>
      <w:divsChild>
        <w:div w:id="960767668">
          <w:marLeft w:val="0"/>
          <w:marRight w:val="0"/>
          <w:marTop w:val="0"/>
          <w:marBottom w:val="0"/>
          <w:divBdr>
            <w:top w:val="none" w:sz="0" w:space="0" w:color="auto"/>
            <w:left w:val="none" w:sz="0" w:space="0" w:color="auto"/>
            <w:bottom w:val="none" w:sz="0" w:space="0" w:color="auto"/>
            <w:right w:val="none" w:sz="0" w:space="0" w:color="auto"/>
          </w:divBdr>
        </w:div>
        <w:div w:id="1666660735">
          <w:marLeft w:val="0"/>
          <w:marRight w:val="0"/>
          <w:marTop w:val="0"/>
          <w:marBottom w:val="0"/>
          <w:divBdr>
            <w:top w:val="none" w:sz="0" w:space="0" w:color="auto"/>
            <w:left w:val="none" w:sz="0" w:space="0" w:color="auto"/>
            <w:bottom w:val="none" w:sz="0" w:space="0" w:color="auto"/>
            <w:right w:val="none" w:sz="0" w:space="0" w:color="auto"/>
          </w:divBdr>
        </w:div>
        <w:div w:id="1586574145">
          <w:marLeft w:val="0"/>
          <w:marRight w:val="0"/>
          <w:marTop w:val="0"/>
          <w:marBottom w:val="0"/>
          <w:divBdr>
            <w:top w:val="none" w:sz="0" w:space="0" w:color="auto"/>
            <w:left w:val="none" w:sz="0" w:space="0" w:color="auto"/>
            <w:bottom w:val="none" w:sz="0" w:space="0" w:color="auto"/>
            <w:right w:val="none" w:sz="0" w:space="0" w:color="auto"/>
          </w:divBdr>
        </w:div>
      </w:divsChild>
    </w:div>
    <w:div w:id="847141231">
      <w:marLeft w:val="0"/>
      <w:marRight w:val="0"/>
      <w:marTop w:val="0"/>
      <w:marBottom w:val="0"/>
      <w:divBdr>
        <w:top w:val="none" w:sz="0" w:space="0" w:color="auto"/>
        <w:left w:val="none" w:sz="0" w:space="0" w:color="auto"/>
        <w:bottom w:val="none" w:sz="0" w:space="0" w:color="auto"/>
        <w:right w:val="none" w:sz="0" w:space="0" w:color="auto"/>
      </w:divBdr>
      <w:divsChild>
        <w:div w:id="617641570">
          <w:marLeft w:val="0"/>
          <w:marRight w:val="0"/>
          <w:marTop w:val="0"/>
          <w:marBottom w:val="0"/>
          <w:divBdr>
            <w:top w:val="none" w:sz="0" w:space="0" w:color="auto"/>
            <w:left w:val="none" w:sz="0" w:space="0" w:color="auto"/>
            <w:bottom w:val="none" w:sz="0" w:space="0" w:color="auto"/>
            <w:right w:val="none" w:sz="0" w:space="0" w:color="auto"/>
          </w:divBdr>
        </w:div>
      </w:divsChild>
    </w:div>
    <w:div w:id="847524894">
      <w:marLeft w:val="0"/>
      <w:marRight w:val="0"/>
      <w:marTop w:val="0"/>
      <w:marBottom w:val="0"/>
      <w:divBdr>
        <w:top w:val="none" w:sz="0" w:space="0" w:color="auto"/>
        <w:left w:val="none" w:sz="0" w:space="0" w:color="auto"/>
        <w:bottom w:val="none" w:sz="0" w:space="0" w:color="auto"/>
        <w:right w:val="none" w:sz="0" w:space="0" w:color="auto"/>
      </w:divBdr>
      <w:divsChild>
        <w:div w:id="2068841533">
          <w:marLeft w:val="0"/>
          <w:marRight w:val="0"/>
          <w:marTop w:val="0"/>
          <w:marBottom w:val="0"/>
          <w:divBdr>
            <w:top w:val="none" w:sz="0" w:space="0" w:color="auto"/>
            <w:left w:val="none" w:sz="0" w:space="0" w:color="auto"/>
            <w:bottom w:val="none" w:sz="0" w:space="0" w:color="auto"/>
            <w:right w:val="none" w:sz="0" w:space="0" w:color="auto"/>
          </w:divBdr>
        </w:div>
      </w:divsChild>
    </w:div>
    <w:div w:id="853425977">
      <w:marLeft w:val="0"/>
      <w:marRight w:val="0"/>
      <w:marTop w:val="0"/>
      <w:marBottom w:val="0"/>
      <w:divBdr>
        <w:top w:val="none" w:sz="0" w:space="0" w:color="auto"/>
        <w:left w:val="none" w:sz="0" w:space="0" w:color="auto"/>
        <w:bottom w:val="none" w:sz="0" w:space="0" w:color="auto"/>
        <w:right w:val="none" w:sz="0" w:space="0" w:color="auto"/>
      </w:divBdr>
    </w:div>
    <w:div w:id="853761579">
      <w:marLeft w:val="0"/>
      <w:marRight w:val="0"/>
      <w:marTop w:val="0"/>
      <w:marBottom w:val="0"/>
      <w:divBdr>
        <w:top w:val="none" w:sz="0" w:space="0" w:color="auto"/>
        <w:left w:val="none" w:sz="0" w:space="0" w:color="auto"/>
        <w:bottom w:val="none" w:sz="0" w:space="0" w:color="auto"/>
        <w:right w:val="none" w:sz="0" w:space="0" w:color="auto"/>
      </w:divBdr>
    </w:div>
    <w:div w:id="854461155">
      <w:marLeft w:val="0"/>
      <w:marRight w:val="0"/>
      <w:marTop w:val="0"/>
      <w:marBottom w:val="0"/>
      <w:divBdr>
        <w:top w:val="none" w:sz="0" w:space="0" w:color="auto"/>
        <w:left w:val="none" w:sz="0" w:space="0" w:color="auto"/>
        <w:bottom w:val="none" w:sz="0" w:space="0" w:color="auto"/>
        <w:right w:val="none" w:sz="0" w:space="0" w:color="auto"/>
      </w:divBdr>
    </w:div>
    <w:div w:id="854658283">
      <w:marLeft w:val="0"/>
      <w:marRight w:val="0"/>
      <w:marTop w:val="100"/>
      <w:marBottom w:val="0"/>
      <w:divBdr>
        <w:top w:val="none" w:sz="0" w:space="0" w:color="auto"/>
        <w:left w:val="none" w:sz="0" w:space="0" w:color="auto"/>
        <w:bottom w:val="none" w:sz="0" w:space="0" w:color="auto"/>
        <w:right w:val="none" w:sz="0" w:space="0" w:color="auto"/>
      </w:divBdr>
    </w:div>
    <w:div w:id="855776783">
      <w:marLeft w:val="0"/>
      <w:marRight w:val="0"/>
      <w:marTop w:val="0"/>
      <w:marBottom w:val="0"/>
      <w:divBdr>
        <w:top w:val="none" w:sz="0" w:space="0" w:color="auto"/>
        <w:left w:val="none" w:sz="0" w:space="0" w:color="auto"/>
        <w:bottom w:val="none" w:sz="0" w:space="0" w:color="auto"/>
        <w:right w:val="none" w:sz="0" w:space="0" w:color="auto"/>
      </w:divBdr>
    </w:div>
    <w:div w:id="856236522">
      <w:marLeft w:val="0"/>
      <w:marRight w:val="0"/>
      <w:marTop w:val="200"/>
      <w:marBottom w:val="0"/>
      <w:divBdr>
        <w:top w:val="none" w:sz="0" w:space="0" w:color="auto"/>
        <w:left w:val="none" w:sz="0" w:space="0" w:color="auto"/>
        <w:bottom w:val="none" w:sz="0" w:space="0" w:color="auto"/>
        <w:right w:val="none" w:sz="0" w:space="0" w:color="auto"/>
      </w:divBdr>
    </w:div>
    <w:div w:id="856508485">
      <w:marLeft w:val="0"/>
      <w:marRight w:val="0"/>
      <w:marTop w:val="200"/>
      <w:marBottom w:val="0"/>
      <w:divBdr>
        <w:top w:val="none" w:sz="0" w:space="0" w:color="auto"/>
        <w:left w:val="none" w:sz="0" w:space="0" w:color="auto"/>
        <w:bottom w:val="none" w:sz="0" w:space="0" w:color="auto"/>
        <w:right w:val="none" w:sz="0" w:space="0" w:color="auto"/>
      </w:divBdr>
    </w:div>
    <w:div w:id="857933569">
      <w:marLeft w:val="0"/>
      <w:marRight w:val="0"/>
      <w:marTop w:val="0"/>
      <w:marBottom w:val="200"/>
      <w:divBdr>
        <w:top w:val="none" w:sz="0" w:space="0" w:color="auto"/>
        <w:left w:val="none" w:sz="0" w:space="0" w:color="auto"/>
        <w:bottom w:val="none" w:sz="0" w:space="0" w:color="auto"/>
        <w:right w:val="none" w:sz="0" w:space="0" w:color="auto"/>
      </w:divBdr>
    </w:div>
    <w:div w:id="858928861">
      <w:marLeft w:val="0"/>
      <w:marRight w:val="0"/>
      <w:marTop w:val="0"/>
      <w:marBottom w:val="0"/>
      <w:divBdr>
        <w:top w:val="none" w:sz="0" w:space="0" w:color="auto"/>
        <w:left w:val="none" w:sz="0" w:space="0" w:color="auto"/>
        <w:bottom w:val="none" w:sz="0" w:space="0" w:color="auto"/>
        <w:right w:val="none" w:sz="0" w:space="0" w:color="auto"/>
      </w:divBdr>
    </w:div>
    <w:div w:id="860778629">
      <w:marLeft w:val="0"/>
      <w:marRight w:val="0"/>
      <w:marTop w:val="0"/>
      <w:marBottom w:val="0"/>
      <w:divBdr>
        <w:top w:val="none" w:sz="0" w:space="0" w:color="auto"/>
        <w:left w:val="none" w:sz="0" w:space="0" w:color="auto"/>
        <w:bottom w:val="none" w:sz="0" w:space="0" w:color="auto"/>
        <w:right w:val="none" w:sz="0" w:space="0" w:color="auto"/>
      </w:divBdr>
    </w:div>
    <w:div w:id="862861599">
      <w:marLeft w:val="0"/>
      <w:marRight w:val="0"/>
      <w:marTop w:val="0"/>
      <w:marBottom w:val="0"/>
      <w:divBdr>
        <w:top w:val="none" w:sz="0" w:space="0" w:color="auto"/>
        <w:left w:val="none" w:sz="0" w:space="0" w:color="auto"/>
        <w:bottom w:val="none" w:sz="0" w:space="0" w:color="auto"/>
        <w:right w:val="none" w:sz="0" w:space="0" w:color="auto"/>
      </w:divBdr>
    </w:div>
    <w:div w:id="863204717">
      <w:marLeft w:val="0"/>
      <w:marRight w:val="0"/>
      <w:marTop w:val="0"/>
      <w:marBottom w:val="0"/>
      <w:divBdr>
        <w:top w:val="none" w:sz="0" w:space="0" w:color="auto"/>
        <w:left w:val="none" w:sz="0" w:space="0" w:color="auto"/>
        <w:bottom w:val="none" w:sz="0" w:space="0" w:color="auto"/>
        <w:right w:val="none" w:sz="0" w:space="0" w:color="auto"/>
      </w:divBdr>
      <w:divsChild>
        <w:div w:id="586575624">
          <w:marLeft w:val="0"/>
          <w:marRight w:val="0"/>
          <w:marTop w:val="0"/>
          <w:marBottom w:val="0"/>
          <w:divBdr>
            <w:top w:val="none" w:sz="0" w:space="0" w:color="auto"/>
            <w:left w:val="none" w:sz="0" w:space="0" w:color="auto"/>
            <w:bottom w:val="none" w:sz="0" w:space="0" w:color="auto"/>
            <w:right w:val="none" w:sz="0" w:space="0" w:color="auto"/>
          </w:divBdr>
        </w:div>
      </w:divsChild>
    </w:div>
    <w:div w:id="864245911">
      <w:marLeft w:val="0"/>
      <w:marRight w:val="0"/>
      <w:marTop w:val="200"/>
      <w:marBottom w:val="0"/>
      <w:divBdr>
        <w:top w:val="none" w:sz="0" w:space="0" w:color="auto"/>
        <w:left w:val="none" w:sz="0" w:space="0" w:color="auto"/>
        <w:bottom w:val="none" w:sz="0" w:space="0" w:color="auto"/>
        <w:right w:val="none" w:sz="0" w:space="0" w:color="auto"/>
      </w:divBdr>
    </w:div>
    <w:div w:id="865754006">
      <w:marLeft w:val="0"/>
      <w:marRight w:val="0"/>
      <w:marTop w:val="200"/>
      <w:marBottom w:val="0"/>
      <w:divBdr>
        <w:top w:val="none" w:sz="0" w:space="0" w:color="auto"/>
        <w:left w:val="none" w:sz="0" w:space="0" w:color="auto"/>
        <w:bottom w:val="none" w:sz="0" w:space="0" w:color="auto"/>
        <w:right w:val="none" w:sz="0" w:space="0" w:color="auto"/>
      </w:divBdr>
    </w:div>
    <w:div w:id="865993202">
      <w:marLeft w:val="0"/>
      <w:marRight w:val="0"/>
      <w:marTop w:val="0"/>
      <w:marBottom w:val="0"/>
      <w:divBdr>
        <w:top w:val="none" w:sz="0" w:space="0" w:color="auto"/>
        <w:left w:val="none" w:sz="0" w:space="0" w:color="auto"/>
        <w:bottom w:val="none" w:sz="0" w:space="0" w:color="auto"/>
        <w:right w:val="none" w:sz="0" w:space="0" w:color="auto"/>
      </w:divBdr>
      <w:divsChild>
        <w:div w:id="1612007233">
          <w:marLeft w:val="0"/>
          <w:marRight w:val="0"/>
          <w:marTop w:val="0"/>
          <w:marBottom w:val="0"/>
          <w:divBdr>
            <w:top w:val="none" w:sz="0" w:space="0" w:color="auto"/>
            <w:left w:val="none" w:sz="0" w:space="0" w:color="auto"/>
            <w:bottom w:val="none" w:sz="0" w:space="0" w:color="auto"/>
            <w:right w:val="none" w:sz="0" w:space="0" w:color="auto"/>
          </w:divBdr>
        </w:div>
      </w:divsChild>
    </w:div>
    <w:div w:id="867643548">
      <w:marLeft w:val="0"/>
      <w:marRight w:val="0"/>
      <w:marTop w:val="0"/>
      <w:marBottom w:val="200"/>
      <w:divBdr>
        <w:top w:val="none" w:sz="0" w:space="0" w:color="auto"/>
        <w:left w:val="none" w:sz="0" w:space="0" w:color="auto"/>
        <w:bottom w:val="none" w:sz="0" w:space="0" w:color="auto"/>
        <w:right w:val="none" w:sz="0" w:space="0" w:color="auto"/>
      </w:divBdr>
    </w:div>
    <w:div w:id="868908742">
      <w:marLeft w:val="0"/>
      <w:marRight w:val="0"/>
      <w:marTop w:val="200"/>
      <w:marBottom w:val="0"/>
      <w:divBdr>
        <w:top w:val="none" w:sz="0" w:space="0" w:color="auto"/>
        <w:left w:val="none" w:sz="0" w:space="0" w:color="auto"/>
        <w:bottom w:val="none" w:sz="0" w:space="0" w:color="auto"/>
        <w:right w:val="none" w:sz="0" w:space="0" w:color="auto"/>
      </w:divBdr>
    </w:div>
    <w:div w:id="868956784">
      <w:marLeft w:val="0"/>
      <w:marRight w:val="0"/>
      <w:marTop w:val="0"/>
      <w:marBottom w:val="0"/>
      <w:divBdr>
        <w:top w:val="none" w:sz="0" w:space="0" w:color="auto"/>
        <w:left w:val="none" w:sz="0" w:space="0" w:color="auto"/>
        <w:bottom w:val="none" w:sz="0" w:space="0" w:color="auto"/>
        <w:right w:val="none" w:sz="0" w:space="0" w:color="auto"/>
      </w:divBdr>
      <w:divsChild>
        <w:div w:id="1498380666">
          <w:marLeft w:val="0"/>
          <w:marRight w:val="0"/>
          <w:marTop w:val="0"/>
          <w:marBottom w:val="0"/>
          <w:divBdr>
            <w:top w:val="none" w:sz="0" w:space="0" w:color="auto"/>
            <w:left w:val="none" w:sz="0" w:space="0" w:color="auto"/>
            <w:bottom w:val="none" w:sz="0" w:space="0" w:color="auto"/>
            <w:right w:val="none" w:sz="0" w:space="0" w:color="auto"/>
          </w:divBdr>
        </w:div>
        <w:div w:id="1758600554">
          <w:marLeft w:val="0"/>
          <w:marRight w:val="0"/>
          <w:marTop w:val="0"/>
          <w:marBottom w:val="0"/>
          <w:divBdr>
            <w:top w:val="none" w:sz="0" w:space="0" w:color="auto"/>
            <w:left w:val="none" w:sz="0" w:space="0" w:color="auto"/>
            <w:bottom w:val="none" w:sz="0" w:space="0" w:color="auto"/>
            <w:right w:val="none" w:sz="0" w:space="0" w:color="auto"/>
          </w:divBdr>
        </w:div>
        <w:div w:id="254285506">
          <w:marLeft w:val="0"/>
          <w:marRight w:val="0"/>
          <w:marTop w:val="0"/>
          <w:marBottom w:val="0"/>
          <w:divBdr>
            <w:top w:val="none" w:sz="0" w:space="0" w:color="auto"/>
            <w:left w:val="none" w:sz="0" w:space="0" w:color="auto"/>
            <w:bottom w:val="none" w:sz="0" w:space="0" w:color="auto"/>
            <w:right w:val="none" w:sz="0" w:space="0" w:color="auto"/>
          </w:divBdr>
        </w:div>
        <w:div w:id="803817125">
          <w:marLeft w:val="0"/>
          <w:marRight w:val="0"/>
          <w:marTop w:val="0"/>
          <w:marBottom w:val="0"/>
          <w:divBdr>
            <w:top w:val="none" w:sz="0" w:space="0" w:color="auto"/>
            <w:left w:val="none" w:sz="0" w:space="0" w:color="auto"/>
            <w:bottom w:val="none" w:sz="0" w:space="0" w:color="auto"/>
            <w:right w:val="none" w:sz="0" w:space="0" w:color="auto"/>
          </w:divBdr>
        </w:div>
      </w:divsChild>
    </w:div>
    <w:div w:id="869803646">
      <w:marLeft w:val="0"/>
      <w:marRight w:val="0"/>
      <w:marTop w:val="200"/>
      <w:marBottom w:val="0"/>
      <w:divBdr>
        <w:top w:val="none" w:sz="0" w:space="0" w:color="auto"/>
        <w:left w:val="none" w:sz="0" w:space="0" w:color="auto"/>
        <w:bottom w:val="none" w:sz="0" w:space="0" w:color="auto"/>
        <w:right w:val="none" w:sz="0" w:space="0" w:color="auto"/>
      </w:divBdr>
    </w:div>
    <w:div w:id="871111675">
      <w:marLeft w:val="0"/>
      <w:marRight w:val="0"/>
      <w:marTop w:val="0"/>
      <w:marBottom w:val="0"/>
      <w:divBdr>
        <w:top w:val="none" w:sz="0" w:space="0" w:color="auto"/>
        <w:left w:val="none" w:sz="0" w:space="0" w:color="auto"/>
        <w:bottom w:val="none" w:sz="0" w:space="0" w:color="auto"/>
        <w:right w:val="none" w:sz="0" w:space="0" w:color="auto"/>
      </w:divBdr>
    </w:div>
    <w:div w:id="871309000">
      <w:marLeft w:val="0"/>
      <w:marRight w:val="0"/>
      <w:marTop w:val="0"/>
      <w:marBottom w:val="0"/>
      <w:divBdr>
        <w:top w:val="none" w:sz="0" w:space="0" w:color="auto"/>
        <w:left w:val="none" w:sz="0" w:space="0" w:color="auto"/>
        <w:bottom w:val="none" w:sz="0" w:space="0" w:color="auto"/>
        <w:right w:val="none" w:sz="0" w:space="0" w:color="auto"/>
      </w:divBdr>
    </w:div>
    <w:div w:id="879971580">
      <w:marLeft w:val="0"/>
      <w:marRight w:val="0"/>
      <w:marTop w:val="0"/>
      <w:marBottom w:val="0"/>
      <w:divBdr>
        <w:top w:val="none" w:sz="0" w:space="0" w:color="auto"/>
        <w:left w:val="none" w:sz="0" w:space="0" w:color="auto"/>
        <w:bottom w:val="none" w:sz="0" w:space="0" w:color="auto"/>
        <w:right w:val="none" w:sz="0" w:space="0" w:color="auto"/>
      </w:divBdr>
    </w:div>
    <w:div w:id="882912533">
      <w:marLeft w:val="0"/>
      <w:marRight w:val="0"/>
      <w:marTop w:val="0"/>
      <w:marBottom w:val="0"/>
      <w:divBdr>
        <w:top w:val="none" w:sz="0" w:space="0" w:color="auto"/>
        <w:left w:val="none" w:sz="0" w:space="0" w:color="auto"/>
        <w:bottom w:val="none" w:sz="0" w:space="0" w:color="auto"/>
        <w:right w:val="none" w:sz="0" w:space="0" w:color="auto"/>
      </w:divBdr>
    </w:div>
    <w:div w:id="885141163">
      <w:marLeft w:val="0"/>
      <w:marRight w:val="0"/>
      <w:marTop w:val="0"/>
      <w:marBottom w:val="0"/>
      <w:divBdr>
        <w:top w:val="none" w:sz="0" w:space="0" w:color="auto"/>
        <w:left w:val="none" w:sz="0" w:space="0" w:color="auto"/>
        <w:bottom w:val="none" w:sz="0" w:space="0" w:color="auto"/>
        <w:right w:val="none" w:sz="0" w:space="0" w:color="auto"/>
      </w:divBdr>
      <w:divsChild>
        <w:div w:id="386926223">
          <w:marLeft w:val="0"/>
          <w:marRight w:val="0"/>
          <w:marTop w:val="0"/>
          <w:marBottom w:val="0"/>
          <w:divBdr>
            <w:top w:val="none" w:sz="0" w:space="0" w:color="auto"/>
            <w:left w:val="none" w:sz="0" w:space="0" w:color="auto"/>
            <w:bottom w:val="none" w:sz="0" w:space="0" w:color="auto"/>
            <w:right w:val="none" w:sz="0" w:space="0" w:color="auto"/>
          </w:divBdr>
        </w:div>
        <w:div w:id="575672425">
          <w:marLeft w:val="0"/>
          <w:marRight w:val="0"/>
          <w:marTop w:val="0"/>
          <w:marBottom w:val="0"/>
          <w:divBdr>
            <w:top w:val="none" w:sz="0" w:space="0" w:color="auto"/>
            <w:left w:val="none" w:sz="0" w:space="0" w:color="auto"/>
            <w:bottom w:val="none" w:sz="0" w:space="0" w:color="auto"/>
            <w:right w:val="none" w:sz="0" w:space="0" w:color="auto"/>
          </w:divBdr>
        </w:div>
        <w:div w:id="413668873">
          <w:marLeft w:val="0"/>
          <w:marRight w:val="0"/>
          <w:marTop w:val="0"/>
          <w:marBottom w:val="0"/>
          <w:divBdr>
            <w:top w:val="none" w:sz="0" w:space="0" w:color="auto"/>
            <w:left w:val="none" w:sz="0" w:space="0" w:color="auto"/>
            <w:bottom w:val="none" w:sz="0" w:space="0" w:color="auto"/>
            <w:right w:val="none" w:sz="0" w:space="0" w:color="auto"/>
          </w:divBdr>
        </w:div>
        <w:div w:id="1937055250">
          <w:marLeft w:val="0"/>
          <w:marRight w:val="0"/>
          <w:marTop w:val="0"/>
          <w:marBottom w:val="0"/>
          <w:divBdr>
            <w:top w:val="none" w:sz="0" w:space="0" w:color="auto"/>
            <w:left w:val="none" w:sz="0" w:space="0" w:color="auto"/>
            <w:bottom w:val="none" w:sz="0" w:space="0" w:color="auto"/>
            <w:right w:val="none" w:sz="0" w:space="0" w:color="auto"/>
          </w:divBdr>
        </w:div>
      </w:divsChild>
    </w:div>
    <w:div w:id="885683136">
      <w:marLeft w:val="0"/>
      <w:marRight w:val="0"/>
      <w:marTop w:val="0"/>
      <w:marBottom w:val="0"/>
      <w:divBdr>
        <w:top w:val="none" w:sz="0" w:space="0" w:color="auto"/>
        <w:left w:val="none" w:sz="0" w:space="0" w:color="auto"/>
        <w:bottom w:val="none" w:sz="0" w:space="0" w:color="auto"/>
        <w:right w:val="none" w:sz="0" w:space="0" w:color="auto"/>
      </w:divBdr>
    </w:div>
    <w:div w:id="895437272">
      <w:marLeft w:val="0"/>
      <w:marRight w:val="0"/>
      <w:marTop w:val="200"/>
      <w:marBottom w:val="0"/>
      <w:divBdr>
        <w:top w:val="none" w:sz="0" w:space="0" w:color="auto"/>
        <w:left w:val="none" w:sz="0" w:space="0" w:color="auto"/>
        <w:bottom w:val="none" w:sz="0" w:space="0" w:color="auto"/>
        <w:right w:val="none" w:sz="0" w:space="0" w:color="auto"/>
      </w:divBdr>
    </w:div>
    <w:div w:id="898442219">
      <w:marLeft w:val="0"/>
      <w:marRight w:val="0"/>
      <w:marTop w:val="0"/>
      <w:marBottom w:val="0"/>
      <w:divBdr>
        <w:top w:val="none" w:sz="0" w:space="0" w:color="auto"/>
        <w:left w:val="none" w:sz="0" w:space="0" w:color="auto"/>
        <w:bottom w:val="none" w:sz="0" w:space="0" w:color="auto"/>
        <w:right w:val="none" w:sz="0" w:space="0" w:color="auto"/>
      </w:divBdr>
    </w:div>
    <w:div w:id="898857364">
      <w:marLeft w:val="0"/>
      <w:marRight w:val="0"/>
      <w:marTop w:val="0"/>
      <w:marBottom w:val="0"/>
      <w:divBdr>
        <w:top w:val="none" w:sz="0" w:space="0" w:color="auto"/>
        <w:left w:val="none" w:sz="0" w:space="0" w:color="auto"/>
        <w:bottom w:val="none" w:sz="0" w:space="0" w:color="auto"/>
        <w:right w:val="none" w:sz="0" w:space="0" w:color="auto"/>
      </w:divBdr>
    </w:div>
    <w:div w:id="899364838">
      <w:marLeft w:val="0"/>
      <w:marRight w:val="0"/>
      <w:marTop w:val="0"/>
      <w:marBottom w:val="0"/>
      <w:divBdr>
        <w:top w:val="none" w:sz="0" w:space="0" w:color="auto"/>
        <w:left w:val="none" w:sz="0" w:space="0" w:color="auto"/>
        <w:bottom w:val="none" w:sz="0" w:space="0" w:color="auto"/>
        <w:right w:val="none" w:sz="0" w:space="0" w:color="auto"/>
      </w:divBdr>
    </w:div>
    <w:div w:id="900214612">
      <w:marLeft w:val="0"/>
      <w:marRight w:val="0"/>
      <w:marTop w:val="200"/>
      <w:marBottom w:val="0"/>
      <w:divBdr>
        <w:top w:val="none" w:sz="0" w:space="0" w:color="auto"/>
        <w:left w:val="none" w:sz="0" w:space="0" w:color="auto"/>
        <w:bottom w:val="none" w:sz="0" w:space="0" w:color="auto"/>
        <w:right w:val="none" w:sz="0" w:space="0" w:color="auto"/>
      </w:divBdr>
    </w:div>
    <w:div w:id="900285710">
      <w:marLeft w:val="0"/>
      <w:marRight w:val="0"/>
      <w:marTop w:val="200"/>
      <w:marBottom w:val="0"/>
      <w:divBdr>
        <w:top w:val="none" w:sz="0" w:space="0" w:color="auto"/>
        <w:left w:val="none" w:sz="0" w:space="0" w:color="auto"/>
        <w:bottom w:val="none" w:sz="0" w:space="0" w:color="auto"/>
        <w:right w:val="none" w:sz="0" w:space="0" w:color="auto"/>
      </w:divBdr>
    </w:div>
    <w:div w:id="912086937">
      <w:marLeft w:val="0"/>
      <w:marRight w:val="0"/>
      <w:marTop w:val="0"/>
      <w:marBottom w:val="0"/>
      <w:divBdr>
        <w:top w:val="none" w:sz="0" w:space="0" w:color="auto"/>
        <w:left w:val="none" w:sz="0" w:space="0" w:color="auto"/>
        <w:bottom w:val="none" w:sz="0" w:space="0" w:color="auto"/>
        <w:right w:val="none" w:sz="0" w:space="0" w:color="auto"/>
      </w:divBdr>
    </w:div>
    <w:div w:id="913079589">
      <w:marLeft w:val="0"/>
      <w:marRight w:val="0"/>
      <w:marTop w:val="0"/>
      <w:marBottom w:val="0"/>
      <w:divBdr>
        <w:top w:val="none" w:sz="0" w:space="0" w:color="auto"/>
        <w:left w:val="none" w:sz="0" w:space="0" w:color="auto"/>
        <w:bottom w:val="none" w:sz="0" w:space="0" w:color="auto"/>
        <w:right w:val="none" w:sz="0" w:space="0" w:color="auto"/>
      </w:divBdr>
      <w:divsChild>
        <w:div w:id="1265267014">
          <w:marLeft w:val="0"/>
          <w:marRight w:val="0"/>
          <w:marTop w:val="0"/>
          <w:marBottom w:val="0"/>
          <w:divBdr>
            <w:top w:val="none" w:sz="0" w:space="0" w:color="auto"/>
            <w:left w:val="none" w:sz="0" w:space="0" w:color="auto"/>
            <w:bottom w:val="none" w:sz="0" w:space="0" w:color="auto"/>
            <w:right w:val="none" w:sz="0" w:space="0" w:color="auto"/>
          </w:divBdr>
        </w:div>
      </w:divsChild>
    </w:div>
    <w:div w:id="918059895">
      <w:marLeft w:val="0"/>
      <w:marRight w:val="0"/>
      <w:marTop w:val="0"/>
      <w:marBottom w:val="0"/>
      <w:divBdr>
        <w:top w:val="none" w:sz="0" w:space="0" w:color="auto"/>
        <w:left w:val="none" w:sz="0" w:space="0" w:color="auto"/>
        <w:bottom w:val="none" w:sz="0" w:space="0" w:color="auto"/>
        <w:right w:val="none" w:sz="0" w:space="0" w:color="auto"/>
      </w:divBdr>
    </w:div>
    <w:div w:id="918902056">
      <w:marLeft w:val="0"/>
      <w:marRight w:val="0"/>
      <w:marTop w:val="0"/>
      <w:marBottom w:val="0"/>
      <w:divBdr>
        <w:top w:val="none" w:sz="0" w:space="0" w:color="auto"/>
        <w:left w:val="none" w:sz="0" w:space="0" w:color="auto"/>
        <w:bottom w:val="none" w:sz="0" w:space="0" w:color="auto"/>
        <w:right w:val="none" w:sz="0" w:space="0" w:color="auto"/>
      </w:divBdr>
    </w:div>
    <w:div w:id="919217206">
      <w:marLeft w:val="0"/>
      <w:marRight w:val="0"/>
      <w:marTop w:val="0"/>
      <w:marBottom w:val="0"/>
      <w:divBdr>
        <w:top w:val="none" w:sz="0" w:space="0" w:color="auto"/>
        <w:left w:val="none" w:sz="0" w:space="0" w:color="auto"/>
        <w:bottom w:val="none" w:sz="0" w:space="0" w:color="auto"/>
        <w:right w:val="none" w:sz="0" w:space="0" w:color="auto"/>
      </w:divBdr>
      <w:divsChild>
        <w:div w:id="717583386">
          <w:marLeft w:val="0"/>
          <w:marRight w:val="0"/>
          <w:marTop w:val="0"/>
          <w:marBottom w:val="0"/>
          <w:divBdr>
            <w:top w:val="none" w:sz="0" w:space="0" w:color="auto"/>
            <w:left w:val="none" w:sz="0" w:space="0" w:color="auto"/>
            <w:bottom w:val="none" w:sz="0" w:space="0" w:color="auto"/>
            <w:right w:val="none" w:sz="0" w:space="0" w:color="auto"/>
          </w:divBdr>
        </w:div>
      </w:divsChild>
    </w:div>
    <w:div w:id="920142641">
      <w:marLeft w:val="0"/>
      <w:marRight w:val="0"/>
      <w:marTop w:val="200"/>
      <w:marBottom w:val="0"/>
      <w:divBdr>
        <w:top w:val="none" w:sz="0" w:space="0" w:color="auto"/>
        <w:left w:val="none" w:sz="0" w:space="0" w:color="auto"/>
        <w:bottom w:val="none" w:sz="0" w:space="0" w:color="auto"/>
        <w:right w:val="none" w:sz="0" w:space="0" w:color="auto"/>
      </w:divBdr>
    </w:div>
    <w:div w:id="922881596">
      <w:marLeft w:val="0"/>
      <w:marRight w:val="0"/>
      <w:marTop w:val="200"/>
      <w:marBottom w:val="0"/>
      <w:divBdr>
        <w:top w:val="none" w:sz="0" w:space="0" w:color="auto"/>
        <w:left w:val="none" w:sz="0" w:space="0" w:color="auto"/>
        <w:bottom w:val="none" w:sz="0" w:space="0" w:color="auto"/>
        <w:right w:val="none" w:sz="0" w:space="0" w:color="auto"/>
      </w:divBdr>
    </w:div>
    <w:div w:id="923686152">
      <w:marLeft w:val="0"/>
      <w:marRight w:val="0"/>
      <w:marTop w:val="0"/>
      <w:marBottom w:val="0"/>
      <w:divBdr>
        <w:top w:val="none" w:sz="0" w:space="0" w:color="auto"/>
        <w:left w:val="none" w:sz="0" w:space="0" w:color="auto"/>
        <w:bottom w:val="none" w:sz="0" w:space="0" w:color="auto"/>
        <w:right w:val="none" w:sz="0" w:space="0" w:color="auto"/>
      </w:divBdr>
    </w:div>
    <w:div w:id="924534917">
      <w:marLeft w:val="0"/>
      <w:marRight w:val="0"/>
      <w:marTop w:val="200"/>
      <w:marBottom w:val="0"/>
      <w:divBdr>
        <w:top w:val="none" w:sz="0" w:space="0" w:color="auto"/>
        <w:left w:val="none" w:sz="0" w:space="0" w:color="auto"/>
        <w:bottom w:val="none" w:sz="0" w:space="0" w:color="auto"/>
        <w:right w:val="none" w:sz="0" w:space="0" w:color="auto"/>
      </w:divBdr>
    </w:div>
    <w:div w:id="930238174">
      <w:marLeft w:val="0"/>
      <w:marRight w:val="0"/>
      <w:marTop w:val="0"/>
      <w:marBottom w:val="0"/>
      <w:divBdr>
        <w:top w:val="none" w:sz="0" w:space="0" w:color="auto"/>
        <w:left w:val="none" w:sz="0" w:space="0" w:color="auto"/>
        <w:bottom w:val="none" w:sz="0" w:space="0" w:color="auto"/>
        <w:right w:val="none" w:sz="0" w:space="0" w:color="auto"/>
      </w:divBdr>
      <w:divsChild>
        <w:div w:id="1990355296">
          <w:marLeft w:val="0"/>
          <w:marRight w:val="0"/>
          <w:marTop w:val="0"/>
          <w:marBottom w:val="0"/>
          <w:divBdr>
            <w:top w:val="none" w:sz="0" w:space="0" w:color="auto"/>
            <w:left w:val="none" w:sz="0" w:space="0" w:color="auto"/>
            <w:bottom w:val="none" w:sz="0" w:space="0" w:color="auto"/>
            <w:right w:val="none" w:sz="0" w:space="0" w:color="auto"/>
          </w:divBdr>
        </w:div>
      </w:divsChild>
    </w:div>
    <w:div w:id="932854569">
      <w:marLeft w:val="0"/>
      <w:marRight w:val="0"/>
      <w:marTop w:val="200"/>
      <w:marBottom w:val="0"/>
      <w:divBdr>
        <w:top w:val="none" w:sz="0" w:space="0" w:color="auto"/>
        <w:left w:val="none" w:sz="0" w:space="0" w:color="auto"/>
        <w:bottom w:val="none" w:sz="0" w:space="0" w:color="auto"/>
        <w:right w:val="none" w:sz="0" w:space="0" w:color="auto"/>
      </w:divBdr>
    </w:div>
    <w:div w:id="934941590">
      <w:marLeft w:val="0"/>
      <w:marRight w:val="0"/>
      <w:marTop w:val="0"/>
      <w:marBottom w:val="0"/>
      <w:divBdr>
        <w:top w:val="none" w:sz="0" w:space="0" w:color="auto"/>
        <w:left w:val="none" w:sz="0" w:space="0" w:color="auto"/>
        <w:bottom w:val="none" w:sz="0" w:space="0" w:color="auto"/>
        <w:right w:val="none" w:sz="0" w:space="0" w:color="auto"/>
      </w:divBdr>
      <w:divsChild>
        <w:div w:id="1563717067">
          <w:marLeft w:val="0"/>
          <w:marRight w:val="0"/>
          <w:marTop w:val="0"/>
          <w:marBottom w:val="0"/>
          <w:divBdr>
            <w:top w:val="none" w:sz="0" w:space="0" w:color="auto"/>
            <w:left w:val="none" w:sz="0" w:space="0" w:color="auto"/>
            <w:bottom w:val="none" w:sz="0" w:space="0" w:color="auto"/>
            <w:right w:val="none" w:sz="0" w:space="0" w:color="auto"/>
          </w:divBdr>
        </w:div>
        <w:div w:id="836187324">
          <w:marLeft w:val="0"/>
          <w:marRight w:val="0"/>
          <w:marTop w:val="0"/>
          <w:marBottom w:val="0"/>
          <w:divBdr>
            <w:top w:val="none" w:sz="0" w:space="0" w:color="auto"/>
            <w:left w:val="none" w:sz="0" w:space="0" w:color="auto"/>
            <w:bottom w:val="none" w:sz="0" w:space="0" w:color="auto"/>
            <w:right w:val="none" w:sz="0" w:space="0" w:color="auto"/>
          </w:divBdr>
        </w:div>
        <w:div w:id="688796401">
          <w:marLeft w:val="0"/>
          <w:marRight w:val="0"/>
          <w:marTop w:val="0"/>
          <w:marBottom w:val="0"/>
          <w:divBdr>
            <w:top w:val="none" w:sz="0" w:space="0" w:color="auto"/>
            <w:left w:val="none" w:sz="0" w:space="0" w:color="auto"/>
            <w:bottom w:val="none" w:sz="0" w:space="0" w:color="auto"/>
            <w:right w:val="none" w:sz="0" w:space="0" w:color="auto"/>
          </w:divBdr>
        </w:div>
        <w:div w:id="1484394705">
          <w:marLeft w:val="0"/>
          <w:marRight w:val="0"/>
          <w:marTop w:val="0"/>
          <w:marBottom w:val="0"/>
          <w:divBdr>
            <w:top w:val="none" w:sz="0" w:space="0" w:color="auto"/>
            <w:left w:val="none" w:sz="0" w:space="0" w:color="auto"/>
            <w:bottom w:val="none" w:sz="0" w:space="0" w:color="auto"/>
            <w:right w:val="none" w:sz="0" w:space="0" w:color="auto"/>
          </w:divBdr>
        </w:div>
      </w:divsChild>
    </w:div>
    <w:div w:id="935013760">
      <w:marLeft w:val="0"/>
      <w:marRight w:val="0"/>
      <w:marTop w:val="0"/>
      <w:marBottom w:val="0"/>
      <w:divBdr>
        <w:top w:val="none" w:sz="0" w:space="0" w:color="auto"/>
        <w:left w:val="none" w:sz="0" w:space="0" w:color="auto"/>
        <w:bottom w:val="none" w:sz="0" w:space="0" w:color="auto"/>
        <w:right w:val="none" w:sz="0" w:space="0" w:color="auto"/>
      </w:divBdr>
      <w:divsChild>
        <w:div w:id="658268465">
          <w:marLeft w:val="0"/>
          <w:marRight w:val="0"/>
          <w:marTop w:val="0"/>
          <w:marBottom w:val="0"/>
          <w:divBdr>
            <w:top w:val="none" w:sz="0" w:space="0" w:color="auto"/>
            <w:left w:val="none" w:sz="0" w:space="0" w:color="auto"/>
            <w:bottom w:val="none" w:sz="0" w:space="0" w:color="auto"/>
            <w:right w:val="none" w:sz="0" w:space="0" w:color="auto"/>
          </w:divBdr>
        </w:div>
      </w:divsChild>
    </w:div>
    <w:div w:id="935946789">
      <w:marLeft w:val="0"/>
      <w:marRight w:val="0"/>
      <w:marTop w:val="0"/>
      <w:marBottom w:val="0"/>
      <w:divBdr>
        <w:top w:val="none" w:sz="0" w:space="0" w:color="auto"/>
        <w:left w:val="none" w:sz="0" w:space="0" w:color="auto"/>
        <w:bottom w:val="none" w:sz="0" w:space="0" w:color="auto"/>
        <w:right w:val="none" w:sz="0" w:space="0" w:color="auto"/>
      </w:divBdr>
      <w:divsChild>
        <w:div w:id="913709313">
          <w:marLeft w:val="0"/>
          <w:marRight w:val="0"/>
          <w:marTop w:val="0"/>
          <w:marBottom w:val="0"/>
          <w:divBdr>
            <w:top w:val="none" w:sz="0" w:space="0" w:color="auto"/>
            <w:left w:val="none" w:sz="0" w:space="0" w:color="auto"/>
            <w:bottom w:val="none" w:sz="0" w:space="0" w:color="auto"/>
            <w:right w:val="none" w:sz="0" w:space="0" w:color="auto"/>
          </w:divBdr>
        </w:div>
      </w:divsChild>
    </w:div>
    <w:div w:id="938877951">
      <w:marLeft w:val="0"/>
      <w:marRight w:val="0"/>
      <w:marTop w:val="200"/>
      <w:marBottom w:val="0"/>
      <w:divBdr>
        <w:top w:val="none" w:sz="0" w:space="0" w:color="auto"/>
        <w:left w:val="none" w:sz="0" w:space="0" w:color="auto"/>
        <w:bottom w:val="none" w:sz="0" w:space="0" w:color="auto"/>
        <w:right w:val="none" w:sz="0" w:space="0" w:color="auto"/>
      </w:divBdr>
    </w:div>
    <w:div w:id="940725280">
      <w:marLeft w:val="0"/>
      <w:marRight w:val="0"/>
      <w:marTop w:val="0"/>
      <w:marBottom w:val="0"/>
      <w:divBdr>
        <w:top w:val="none" w:sz="0" w:space="0" w:color="auto"/>
        <w:left w:val="none" w:sz="0" w:space="0" w:color="auto"/>
        <w:bottom w:val="none" w:sz="0" w:space="0" w:color="auto"/>
        <w:right w:val="none" w:sz="0" w:space="0" w:color="auto"/>
      </w:divBdr>
      <w:divsChild>
        <w:div w:id="881288104">
          <w:marLeft w:val="0"/>
          <w:marRight w:val="0"/>
          <w:marTop w:val="0"/>
          <w:marBottom w:val="0"/>
          <w:divBdr>
            <w:top w:val="none" w:sz="0" w:space="0" w:color="auto"/>
            <w:left w:val="none" w:sz="0" w:space="0" w:color="auto"/>
            <w:bottom w:val="none" w:sz="0" w:space="0" w:color="auto"/>
            <w:right w:val="none" w:sz="0" w:space="0" w:color="auto"/>
          </w:divBdr>
        </w:div>
      </w:divsChild>
    </w:div>
    <w:div w:id="942346714">
      <w:marLeft w:val="0"/>
      <w:marRight w:val="0"/>
      <w:marTop w:val="200"/>
      <w:marBottom w:val="0"/>
      <w:divBdr>
        <w:top w:val="none" w:sz="0" w:space="0" w:color="auto"/>
        <w:left w:val="none" w:sz="0" w:space="0" w:color="auto"/>
        <w:bottom w:val="none" w:sz="0" w:space="0" w:color="auto"/>
        <w:right w:val="none" w:sz="0" w:space="0" w:color="auto"/>
      </w:divBdr>
    </w:div>
    <w:div w:id="942882884">
      <w:marLeft w:val="0"/>
      <w:marRight w:val="0"/>
      <w:marTop w:val="0"/>
      <w:marBottom w:val="0"/>
      <w:divBdr>
        <w:top w:val="none" w:sz="0" w:space="0" w:color="auto"/>
        <w:left w:val="none" w:sz="0" w:space="0" w:color="auto"/>
        <w:bottom w:val="none" w:sz="0" w:space="0" w:color="auto"/>
        <w:right w:val="none" w:sz="0" w:space="0" w:color="auto"/>
      </w:divBdr>
    </w:div>
    <w:div w:id="944312361">
      <w:marLeft w:val="0"/>
      <w:marRight w:val="0"/>
      <w:marTop w:val="200"/>
      <w:marBottom w:val="0"/>
      <w:divBdr>
        <w:top w:val="none" w:sz="0" w:space="0" w:color="auto"/>
        <w:left w:val="none" w:sz="0" w:space="0" w:color="auto"/>
        <w:bottom w:val="none" w:sz="0" w:space="0" w:color="auto"/>
        <w:right w:val="none" w:sz="0" w:space="0" w:color="auto"/>
      </w:divBdr>
    </w:div>
    <w:div w:id="950744051">
      <w:marLeft w:val="0"/>
      <w:marRight w:val="0"/>
      <w:marTop w:val="0"/>
      <w:marBottom w:val="0"/>
      <w:divBdr>
        <w:top w:val="none" w:sz="0" w:space="0" w:color="auto"/>
        <w:left w:val="none" w:sz="0" w:space="0" w:color="auto"/>
        <w:bottom w:val="none" w:sz="0" w:space="0" w:color="auto"/>
        <w:right w:val="none" w:sz="0" w:space="0" w:color="auto"/>
      </w:divBdr>
      <w:divsChild>
        <w:div w:id="1662539547">
          <w:marLeft w:val="0"/>
          <w:marRight w:val="0"/>
          <w:marTop w:val="0"/>
          <w:marBottom w:val="0"/>
          <w:divBdr>
            <w:top w:val="none" w:sz="0" w:space="0" w:color="auto"/>
            <w:left w:val="none" w:sz="0" w:space="0" w:color="auto"/>
            <w:bottom w:val="none" w:sz="0" w:space="0" w:color="auto"/>
            <w:right w:val="none" w:sz="0" w:space="0" w:color="auto"/>
          </w:divBdr>
        </w:div>
      </w:divsChild>
    </w:div>
    <w:div w:id="953101941">
      <w:marLeft w:val="0"/>
      <w:marRight w:val="0"/>
      <w:marTop w:val="200"/>
      <w:marBottom w:val="0"/>
      <w:divBdr>
        <w:top w:val="none" w:sz="0" w:space="0" w:color="auto"/>
        <w:left w:val="none" w:sz="0" w:space="0" w:color="auto"/>
        <w:bottom w:val="none" w:sz="0" w:space="0" w:color="auto"/>
        <w:right w:val="none" w:sz="0" w:space="0" w:color="auto"/>
      </w:divBdr>
    </w:div>
    <w:div w:id="956569678">
      <w:marLeft w:val="0"/>
      <w:marRight w:val="0"/>
      <w:marTop w:val="0"/>
      <w:marBottom w:val="0"/>
      <w:divBdr>
        <w:top w:val="none" w:sz="0" w:space="0" w:color="auto"/>
        <w:left w:val="none" w:sz="0" w:space="0" w:color="auto"/>
        <w:bottom w:val="none" w:sz="0" w:space="0" w:color="auto"/>
        <w:right w:val="none" w:sz="0" w:space="0" w:color="auto"/>
      </w:divBdr>
    </w:div>
    <w:div w:id="958100587">
      <w:marLeft w:val="0"/>
      <w:marRight w:val="0"/>
      <w:marTop w:val="200"/>
      <w:marBottom w:val="0"/>
      <w:divBdr>
        <w:top w:val="none" w:sz="0" w:space="0" w:color="auto"/>
        <w:left w:val="none" w:sz="0" w:space="0" w:color="auto"/>
        <w:bottom w:val="none" w:sz="0" w:space="0" w:color="auto"/>
        <w:right w:val="none" w:sz="0" w:space="0" w:color="auto"/>
      </w:divBdr>
    </w:div>
    <w:div w:id="961233275">
      <w:marLeft w:val="0"/>
      <w:marRight w:val="0"/>
      <w:marTop w:val="0"/>
      <w:marBottom w:val="0"/>
      <w:divBdr>
        <w:top w:val="none" w:sz="0" w:space="0" w:color="auto"/>
        <w:left w:val="none" w:sz="0" w:space="0" w:color="auto"/>
        <w:bottom w:val="none" w:sz="0" w:space="0" w:color="auto"/>
        <w:right w:val="none" w:sz="0" w:space="0" w:color="auto"/>
      </w:divBdr>
      <w:divsChild>
        <w:div w:id="70084740">
          <w:marLeft w:val="0"/>
          <w:marRight w:val="0"/>
          <w:marTop w:val="0"/>
          <w:marBottom w:val="0"/>
          <w:divBdr>
            <w:top w:val="none" w:sz="0" w:space="0" w:color="auto"/>
            <w:left w:val="none" w:sz="0" w:space="0" w:color="auto"/>
            <w:bottom w:val="none" w:sz="0" w:space="0" w:color="auto"/>
            <w:right w:val="none" w:sz="0" w:space="0" w:color="auto"/>
          </w:divBdr>
        </w:div>
      </w:divsChild>
    </w:div>
    <w:div w:id="962810302">
      <w:marLeft w:val="0"/>
      <w:marRight w:val="0"/>
      <w:marTop w:val="200"/>
      <w:marBottom w:val="0"/>
      <w:divBdr>
        <w:top w:val="none" w:sz="0" w:space="0" w:color="auto"/>
        <w:left w:val="none" w:sz="0" w:space="0" w:color="auto"/>
        <w:bottom w:val="none" w:sz="0" w:space="0" w:color="auto"/>
        <w:right w:val="none" w:sz="0" w:space="0" w:color="auto"/>
      </w:divBdr>
    </w:div>
    <w:div w:id="967200067">
      <w:marLeft w:val="0"/>
      <w:marRight w:val="0"/>
      <w:marTop w:val="0"/>
      <w:marBottom w:val="160"/>
      <w:divBdr>
        <w:top w:val="none" w:sz="0" w:space="0" w:color="auto"/>
        <w:left w:val="none" w:sz="0" w:space="0" w:color="auto"/>
        <w:bottom w:val="none" w:sz="0" w:space="0" w:color="auto"/>
        <w:right w:val="none" w:sz="0" w:space="0" w:color="auto"/>
      </w:divBdr>
    </w:div>
    <w:div w:id="967781257">
      <w:marLeft w:val="0"/>
      <w:marRight w:val="0"/>
      <w:marTop w:val="0"/>
      <w:marBottom w:val="0"/>
      <w:divBdr>
        <w:top w:val="none" w:sz="0" w:space="0" w:color="auto"/>
        <w:left w:val="none" w:sz="0" w:space="0" w:color="auto"/>
        <w:bottom w:val="none" w:sz="0" w:space="0" w:color="auto"/>
        <w:right w:val="none" w:sz="0" w:space="0" w:color="auto"/>
      </w:divBdr>
      <w:divsChild>
        <w:div w:id="938761564">
          <w:marLeft w:val="0"/>
          <w:marRight w:val="0"/>
          <w:marTop w:val="0"/>
          <w:marBottom w:val="0"/>
          <w:divBdr>
            <w:top w:val="none" w:sz="0" w:space="0" w:color="auto"/>
            <w:left w:val="none" w:sz="0" w:space="0" w:color="auto"/>
            <w:bottom w:val="none" w:sz="0" w:space="0" w:color="auto"/>
            <w:right w:val="none" w:sz="0" w:space="0" w:color="auto"/>
          </w:divBdr>
        </w:div>
      </w:divsChild>
    </w:div>
    <w:div w:id="968244371">
      <w:marLeft w:val="0"/>
      <w:marRight w:val="0"/>
      <w:marTop w:val="200"/>
      <w:marBottom w:val="0"/>
      <w:divBdr>
        <w:top w:val="none" w:sz="0" w:space="0" w:color="auto"/>
        <w:left w:val="none" w:sz="0" w:space="0" w:color="auto"/>
        <w:bottom w:val="none" w:sz="0" w:space="0" w:color="auto"/>
        <w:right w:val="none" w:sz="0" w:space="0" w:color="auto"/>
      </w:divBdr>
    </w:div>
    <w:div w:id="968360039">
      <w:marLeft w:val="0"/>
      <w:marRight w:val="0"/>
      <w:marTop w:val="0"/>
      <w:marBottom w:val="0"/>
      <w:divBdr>
        <w:top w:val="none" w:sz="0" w:space="0" w:color="auto"/>
        <w:left w:val="none" w:sz="0" w:space="0" w:color="auto"/>
        <w:bottom w:val="none" w:sz="0" w:space="0" w:color="auto"/>
        <w:right w:val="none" w:sz="0" w:space="0" w:color="auto"/>
      </w:divBdr>
    </w:div>
    <w:div w:id="975649725">
      <w:marLeft w:val="0"/>
      <w:marRight w:val="0"/>
      <w:marTop w:val="0"/>
      <w:marBottom w:val="0"/>
      <w:divBdr>
        <w:top w:val="none" w:sz="0" w:space="0" w:color="auto"/>
        <w:left w:val="none" w:sz="0" w:space="0" w:color="auto"/>
        <w:bottom w:val="none" w:sz="0" w:space="0" w:color="auto"/>
        <w:right w:val="none" w:sz="0" w:space="0" w:color="auto"/>
      </w:divBdr>
      <w:divsChild>
        <w:div w:id="1338188687">
          <w:marLeft w:val="0"/>
          <w:marRight w:val="0"/>
          <w:marTop w:val="0"/>
          <w:marBottom w:val="0"/>
          <w:divBdr>
            <w:top w:val="none" w:sz="0" w:space="0" w:color="auto"/>
            <w:left w:val="none" w:sz="0" w:space="0" w:color="auto"/>
            <w:bottom w:val="none" w:sz="0" w:space="0" w:color="auto"/>
            <w:right w:val="none" w:sz="0" w:space="0" w:color="auto"/>
          </w:divBdr>
        </w:div>
      </w:divsChild>
    </w:div>
    <w:div w:id="976641339">
      <w:marLeft w:val="0"/>
      <w:marRight w:val="0"/>
      <w:marTop w:val="0"/>
      <w:marBottom w:val="0"/>
      <w:divBdr>
        <w:top w:val="none" w:sz="0" w:space="0" w:color="auto"/>
        <w:left w:val="none" w:sz="0" w:space="0" w:color="auto"/>
        <w:bottom w:val="none" w:sz="0" w:space="0" w:color="auto"/>
        <w:right w:val="none" w:sz="0" w:space="0" w:color="auto"/>
      </w:divBdr>
      <w:divsChild>
        <w:div w:id="443890307">
          <w:marLeft w:val="0"/>
          <w:marRight w:val="0"/>
          <w:marTop w:val="0"/>
          <w:marBottom w:val="0"/>
          <w:divBdr>
            <w:top w:val="none" w:sz="0" w:space="0" w:color="auto"/>
            <w:left w:val="none" w:sz="0" w:space="0" w:color="auto"/>
            <w:bottom w:val="none" w:sz="0" w:space="0" w:color="auto"/>
            <w:right w:val="none" w:sz="0" w:space="0" w:color="auto"/>
          </w:divBdr>
        </w:div>
      </w:divsChild>
    </w:div>
    <w:div w:id="978075062">
      <w:marLeft w:val="0"/>
      <w:marRight w:val="0"/>
      <w:marTop w:val="0"/>
      <w:marBottom w:val="0"/>
      <w:divBdr>
        <w:top w:val="none" w:sz="0" w:space="0" w:color="auto"/>
        <w:left w:val="none" w:sz="0" w:space="0" w:color="auto"/>
        <w:bottom w:val="none" w:sz="0" w:space="0" w:color="auto"/>
        <w:right w:val="none" w:sz="0" w:space="0" w:color="auto"/>
      </w:divBdr>
    </w:div>
    <w:div w:id="981617436">
      <w:marLeft w:val="0"/>
      <w:marRight w:val="0"/>
      <w:marTop w:val="200"/>
      <w:marBottom w:val="0"/>
      <w:divBdr>
        <w:top w:val="none" w:sz="0" w:space="0" w:color="auto"/>
        <w:left w:val="none" w:sz="0" w:space="0" w:color="auto"/>
        <w:bottom w:val="none" w:sz="0" w:space="0" w:color="auto"/>
        <w:right w:val="none" w:sz="0" w:space="0" w:color="auto"/>
      </w:divBdr>
    </w:div>
    <w:div w:id="982153776">
      <w:marLeft w:val="0"/>
      <w:marRight w:val="0"/>
      <w:marTop w:val="0"/>
      <w:marBottom w:val="0"/>
      <w:divBdr>
        <w:top w:val="none" w:sz="0" w:space="0" w:color="auto"/>
        <w:left w:val="none" w:sz="0" w:space="0" w:color="auto"/>
        <w:bottom w:val="none" w:sz="0" w:space="0" w:color="auto"/>
        <w:right w:val="none" w:sz="0" w:space="0" w:color="auto"/>
      </w:divBdr>
    </w:div>
    <w:div w:id="982927176">
      <w:marLeft w:val="0"/>
      <w:marRight w:val="0"/>
      <w:marTop w:val="200"/>
      <w:marBottom w:val="0"/>
      <w:divBdr>
        <w:top w:val="none" w:sz="0" w:space="0" w:color="auto"/>
        <w:left w:val="none" w:sz="0" w:space="0" w:color="auto"/>
        <w:bottom w:val="none" w:sz="0" w:space="0" w:color="auto"/>
        <w:right w:val="none" w:sz="0" w:space="0" w:color="auto"/>
      </w:divBdr>
    </w:div>
    <w:div w:id="983705034">
      <w:marLeft w:val="0"/>
      <w:marRight w:val="0"/>
      <w:marTop w:val="100"/>
      <w:marBottom w:val="0"/>
      <w:divBdr>
        <w:top w:val="none" w:sz="0" w:space="0" w:color="auto"/>
        <w:left w:val="none" w:sz="0" w:space="0" w:color="auto"/>
        <w:bottom w:val="none" w:sz="0" w:space="0" w:color="auto"/>
        <w:right w:val="none" w:sz="0" w:space="0" w:color="auto"/>
      </w:divBdr>
    </w:div>
    <w:div w:id="983891986">
      <w:marLeft w:val="0"/>
      <w:marRight w:val="0"/>
      <w:marTop w:val="0"/>
      <w:marBottom w:val="0"/>
      <w:divBdr>
        <w:top w:val="none" w:sz="0" w:space="0" w:color="auto"/>
        <w:left w:val="none" w:sz="0" w:space="0" w:color="auto"/>
        <w:bottom w:val="none" w:sz="0" w:space="0" w:color="auto"/>
        <w:right w:val="none" w:sz="0" w:space="0" w:color="auto"/>
      </w:divBdr>
    </w:div>
    <w:div w:id="984892103">
      <w:marLeft w:val="0"/>
      <w:marRight w:val="0"/>
      <w:marTop w:val="0"/>
      <w:marBottom w:val="0"/>
      <w:divBdr>
        <w:top w:val="none" w:sz="0" w:space="0" w:color="auto"/>
        <w:left w:val="none" w:sz="0" w:space="0" w:color="auto"/>
        <w:bottom w:val="none" w:sz="0" w:space="0" w:color="auto"/>
        <w:right w:val="none" w:sz="0" w:space="0" w:color="auto"/>
      </w:divBdr>
    </w:div>
    <w:div w:id="985473366">
      <w:marLeft w:val="0"/>
      <w:marRight w:val="0"/>
      <w:marTop w:val="200"/>
      <w:marBottom w:val="0"/>
      <w:divBdr>
        <w:top w:val="none" w:sz="0" w:space="0" w:color="auto"/>
        <w:left w:val="none" w:sz="0" w:space="0" w:color="auto"/>
        <w:bottom w:val="none" w:sz="0" w:space="0" w:color="auto"/>
        <w:right w:val="none" w:sz="0" w:space="0" w:color="auto"/>
      </w:divBdr>
    </w:div>
    <w:div w:id="987981197">
      <w:marLeft w:val="0"/>
      <w:marRight w:val="0"/>
      <w:marTop w:val="0"/>
      <w:marBottom w:val="0"/>
      <w:divBdr>
        <w:top w:val="none" w:sz="0" w:space="0" w:color="auto"/>
        <w:left w:val="none" w:sz="0" w:space="0" w:color="auto"/>
        <w:bottom w:val="none" w:sz="0" w:space="0" w:color="auto"/>
        <w:right w:val="none" w:sz="0" w:space="0" w:color="auto"/>
      </w:divBdr>
    </w:div>
    <w:div w:id="989139965">
      <w:marLeft w:val="0"/>
      <w:marRight w:val="0"/>
      <w:marTop w:val="200"/>
      <w:marBottom w:val="0"/>
      <w:divBdr>
        <w:top w:val="none" w:sz="0" w:space="0" w:color="auto"/>
        <w:left w:val="none" w:sz="0" w:space="0" w:color="auto"/>
        <w:bottom w:val="none" w:sz="0" w:space="0" w:color="auto"/>
        <w:right w:val="none" w:sz="0" w:space="0" w:color="auto"/>
      </w:divBdr>
    </w:div>
    <w:div w:id="989672904">
      <w:marLeft w:val="0"/>
      <w:marRight w:val="0"/>
      <w:marTop w:val="0"/>
      <w:marBottom w:val="200"/>
      <w:divBdr>
        <w:top w:val="none" w:sz="0" w:space="0" w:color="auto"/>
        <w:left w:val="none" w:sz="0" w:space="0" w:color="auto"/>
        <w:bottom w:val="none" w:sz="0" w:space="0" w:color="auto"/>
        <w:right w:val="none" w:sz="0" w:space="0" w:color="auto"/>
      </w:divBdr>
    </w:div>
    <w:div w:id="989946354">
      <w:marLeft w:val="0"/>
      <w:marRight w:val="0"/>
      <w:marTop w:val="0"/>
      <w:marBottom w:val="0"/>
      <w:divBdr>
        <w:top w:val="none" w:sz="0" w:space="0" w:color="auto"/>
        <w:left w:val="none" w:sz="0" w:space="0" w:color="auto"/>
        <w:bottom w:val="none" w:sz="0" w:space="0" w:color="auto"/>
        <w:right w:val="none" w:sz="0" w:space="0" w:color="auto"/>
      </w:divBdr>
      <w:divsChild>
        <w:div w:id="555052355">
          <w:marLeft w:val="0"/>
          <w:marRight w:val="0"/>
          <w:marTop w:val="0"/>
          <w:marBottom w:val="0"/>
          <w:divBdr>
            <w:top w:val="none" w:sz="0" w:space="0" w:color="auto"/>
            <w:left w:val="none" w:sz="0" w:space="0" w:color="auto"/>
            <w:bottom w:val="none" w:sz="0" w:space="0" w:color="auto"/>
            <w:right w:val="none" w:sz="0" w:space="0" w:color="auto"/>
          </w:divBdr>
        </w:div>
      </w:divsChild>
    </w:div>
    <w:div w:id="990253215">
      <w:marLeft w:val="0"/>
      <w:marRight w:val="0"/>
      <w:marTop w:val="0"/>
      <w:marBottom w:val="0"/>
      <w:divBdr>
        <w:top w:val="none" w:sz="0" w:space="0" w:color="auto"/>
        <w:left w:val="none" w:sz="0" w:space="0" w:color="auto"/>
        <w:bottom w:val="none" w:sz="0" w:space="0" w:color="auto"/>
        <w:right w:val="none" w:sz="0" w:space="0" w:color="auto"/>
      </w:divBdr>
      <w:divsChild>
        <w:div w:id="1638684806">
          <w:marLeft w:val="0"/>
          <w:marRight w:val="0"/>
          <w:marTop w:val="0"/>
          <w:marBottom w:val="0"/>
          <w:divBdr>
            <w:top w:val="none" w:sz="0" w:space="0" w:color="auto"/>
            <w:left w:val="none" w:sz="0" w:space="0" w:color="auto"/>
            <w:bottom w:val="none" w:sz="0" w:space="0" w:color="auto"/>
            <w:right w:val="none" w:sz="0" w:space="0" w:color="auto"/>
          </w:divBdr>
        </w:div>
      </w:divsChild>
    </w:div>
    <w:div w:id="990519600">
      <w:marLeft w:val="0"/>
      <w:marRight w:val="0"/>
      <w:marTop w:val="0"/>
      <w:marBottom w:val="0"/>
      <w:divBdr>
        <w:top w:val="none" w:sz="0" w:space="0" w:color="auto"/>
        <w:left w:val="none" w:sz="0" w:space="0" w:color="auto"/>
        <w:bottom w:val="none" w:sz="0" w:space="0" w:color="auto"/>
        <w:right w:val="none" w:sz="0" w:space="0" w:color="auto"/>
      </w:divBdr>
      <w:divsChild>
        <w:div w:id="475537298">
          <w:marLeft w:val="0"/>
          <w:marRight w:val="0"/>
          <w:marTop w:val="0"/>
          <w:marBottom w:val="0"/>
          <w:divBdr>
            <w:top w:val="none" w:sz="0" w:space="0" w:color="auto"/>
            <w:left w:val="none" w:sz="0" w:space="0" w:color="auto"/>
            <w:bottom w:val="none" w:sz="0" w:space="0" w:color="auto"/>
            <w:right w:val="none" w:sz="0" w:space="0" w:color="auto"/>
          </w:divBdr>
        </w:div>
      </w:divsChild>
    </w:div>
    <w:div w:id="993027465">
      <w:marLeft w:val="0"/>
      <w:marRight w:val="0"/>
      <w:marTop w:val="0"/>
      <w:marBottom w:val="0"/>
      <w:divBdr>
        <w:top w:val="none" w:sz="0" w:space="0" w:color="auto"/>
        <w:left w:val="none" w:sz="0" w:space="0" w:color="auto"/>
        <w:bottom w:val="none" w:sz="0" w:space="0" w:color="auto"/>
        <w:right w:val="none" w:sz="0" w:space="0" w:color="auto"/>
      </w:divBdr>
      <w:divsChild>
        <w:div w:id="659962812">
          <w:marLeft w:val="0"/>
          <w:marRight w:val="0"/>
          <w:marTop w:val="0"/>
          <w:marBottom w:val="0"/>
          <w:divBdr>
            <w:top w:val="none" w:sz="0" w:space="0" w:color="auto"/>
            <w:left w:val="none" w:sz="0" w:space="0" w:color="auto"/>
            <w:bottom w:val="none" w:sz="0" w:space="0" w:color="auto"/>
            <w:right w:val="none" w:sz="0" w:space="0" w:color="auto"/>
          </w:divBdr>
        </w:div>
      </w:divsChild>
    </w:div>
    <w:div w:id="993529251">
      <w:marLeft w:val="0"/>
      <w:marRight w:val="0"/>
      <w:marTop w:val="100"/>
      <w:marBottom w:val="0"/>
      <w:divBdr>
        <w:top w:val="none" w:sz="0" w:space="0" w:color="auto"/>
        <w:left w:val="none" w:sz="0" w:space="0" w:color="auto"/>
        <w:bottom w:val="none" w:sz="0" w:space="0" w:color="auto"/>
        <w:right w:val="none" w:sz="0" w:space="0" w:color="auto"/>
      </w:divBdr>
    </w:div>
    <w:div w:id="996302126">
      <w:marLeft w:val="0"/>
      <w:marRight w:val="0"/>
      <w:marTop w:val="100"/>
      <w:marBottom w:val="0"/>
      <w:divBdr>
        <w:top w:val="none" w:sz="0" w:space="0" w:color="auto"/>
        <w:left w:val="none" w:sz="0" w:space="0" w:color="auto"/>
        <w:bottom w:val="none" w:sz="0" w:space="0" w:color="auto"/>
        <w:right w:val="none" w:sz="0" w:space="0" w:color="auto"/>
      </w:divBdr>
    </w:div>
    <w:div w:id="997346878">
      <w:marLeft w:val="0"/>
      <w:marRight w:val="0"/>
      <w:marTop w:val="200"/>
      <w:marBottom w:val="0"/>
      <w:divBdr>
        <w:top w:val="none" w:sz="0" w:space="0" w:color="auto"/>
        <w:left w:val="none" w:sz="0" w:space="0" w:color="auto"/>
        <w:bottom w:val="none" w:sz="0" w:space="0" w:color="auto"/>
        <w:right w:val="none" w:sz="0" w:space="0" w:color="auto"/>
      </w:divBdr>
    </w:div>
    <w:div w:id="997609605">
      <w:marLeft w:val="0"/>
      <w:marRight w:val="0"/>
      <w:marTop w:val="100"/>
      <w:marBottom w:val="0"/>
      <w:divBdr>
        <w:top w:val="none" w:sz="0" w:space="0" w:color="auto"/>
        <w:left w:val="none" w:sz="0" w:space="0" w:color="auto"/>
        <w:bottom w:val="none" w:sz="0" w:space="0" w:color="auto"/>
        <w:right w:val="none" w:sz="0" w:space="0" w:color="auto"/>
      </w:divBdr>
      <w:divsChild>
        <w:div w:id="1308047749">
          <w:marLeft w:val="0"/>
          <w:marRight w:val="0"/>
          <w:marTop w:val="0"/>
          <w:marBottom w:val="0"/>
          <w:divBdr>
            <w:top w:val="none" w:sz="0" w:space="0" w:color="auto"/>
            <w:left w:val="none" w:sz="0" w:space="0" w:color="auto"/>
            <w:bottom w:val="none" w:sz="0" w:space="0" w:color="auto"/>
            <w:right w:val="none" w:sz="0" w:space="0" w:color="auto"/>
          </w:divBdr>
        </w:div>
      </w:divsChild>
    </w:div>
    <w:div w:id="999042971">
      <w:marLeft w:val="0"/>
      <w:marRight w:val="0"/>
      <w:marTop w:val="200"/>
      <w:marBottom w:val="0"/>
      <w:divBdr>
        <w:top w:val="none" w:sz="0" w:space="0" w:color="auto"/>
        <w:left w:val="none" w:sz="0" w:space="0" w:color="auto"/>
        <w:bottom w:val="none" w:sz="0" w:space="0" w:color="auto"/>
        <w:right w:val="none" w:sz="0" w:space="0" w:color="auto"/>
      </w:divBdr>
    </w:div>
    <w:div w:id="1001661247">
      <w:marLeft w:val="0"/>
      <w:marRight w:val="0"/>
      <w:marTop w:val="200"/>
      <w:marBottom w:val="0"/>
      <w:divBdr>
        <w:top w:val="none" w:sz="0" w:space="0" w:color="auto"/>
        <w:left w:val="none" w:sz="0" w:space="0" w:color="auto"/>
        <w:bottom w:val="none" w:sz="0" w:space="0" w:color="auto"/>
        <w:right w:val="none" w:sz="0" w:space="0" w:color="auto"/>
      </w:divBdr>
    </w:div>
    <w:div w:id="1001808554">
      <w:marLeft w:val="0"/>
      <w:marRight w:val="0"/>
      <w:marTop w:val="0"/>
      <w:marBottom w:val="0"/>
      <w:divBdr>
        <w:top w:val="none" w:sz="0" w:space="0" w:color="auto"/>
        <w:left w:val="none" w:sz="0" w:space="0" w:color="auto"/>
        <w:bottom w:val="none" w:sz="0" w:space="0" w:color="auto"/>
        <w:right w:val="none" w:sz="0" w:space="0" w:color="auto"/>
      </w:divBdr>
      <w:divsChild>
        <w:div w:id="1369065802">
          <w:marLeft w:val="0"/>
          <w:marRight w:val="0"/>
          <w:marTop w:val="0"/>
          <w:marBottom w:val="0"/>
          <w:divBdr>
            <w:top w:val="none" w:sz="0" w:space="0" w:color="auto"/>
            <w:left w:val="none" w:sz="0" w:space="0" w:color="auto"/>
            <w:bottom w:val="none" w:sz="0" w:space="0" w:color="auto"/>
            <w:right w:val="none" w:sz="0" w:space="0" w:color="auto"/>
          </w:divBdr>
        </w:div>
      </w:divsChild>
    </w:div>
    <w:div w:id="1004163577">
      <w:marLeft w:val="0"/>
      <w:marRight w:val="0"/>
      <w:marTop w:val="200"/>
      <w:marBottom w:val="0"/>
      <w:divBdr>
        <w:top w:val="none" w:sz="0" w:space="0" w:color="auto"/>
        <w:left w:val="none" w:sz="0" w:space="0" w:color="auto"/>
        <w:bottom w:val="none" w:sz="0" w:space="0" w:color="auto"/>
        <w:right w:val="none" w:sz="0" w:space="0" w:color="auto"/>
      </w:divBdr>
    </w:div>
    <w:div w:id="1008018163">
      <w:marLeft w:val="0"/>
      <w:marRight w:val="0"/>
      <w:marTop w:val="0"/>
      <w:marBottom w:val="160"/>
      <w:divBdr>
        <w:top w:val="none" w:sz="0" w:space="0" w:color="auto"/>
        <w:left w:val="none" w:sz="0" w:space="0" w:color="auto"/>
        <w:bottom w:val="none" w:sz="0" w:space="0" w:color="auto"/>
        <w:right w:val="none" w:sz="0" w:space="0" w:color="auto"/>
      </w:divBdr>
    </w:div>
    <w:div w:id="1011489562">
      <w:marLeft w:val="0"/>
      <w:marRight w:val="0"/>
      <w:marTop w:val="0"/>
      <w:marBottom w:val="0"/>
      <w:divBdr>
        <w:top w:val="none" w:sz="0" w:space="0" w:color="auto"/>
        <w:left w:val="none" w:sz="0" w:space="0" w:color="auto"/>
        <w:bottom w:val="none" w:sz="0" w:space="0" w:color="auto"/>
        <w:right w:val="none" w:sz="0" w:space="0" w:color="auto"/>
      </w:divBdr>
    </w:div>
    <w:div w:id="1012606868">
      <w:marLeft w:val="0"/>
      <w:marRight w:val="0"/>
      <w:marTop w:val="0"/>
      <w:marBottom w:val="0"/>
      <w:divBdr>
        <w:top w:val="none" w:sz="0" w:space="0" w:color="auto"/>
        <w:left w:val="none" w:sz="0" w:space="0" w:color="auto"/>
        <w:bottom w:val="none" w:sz="0" w:space="0" w:color="auto"/>
        <w:right w:val="none" w:sz="0" w:space="0" w:color="auto"/>
      </w:divBdr>
      <w:divsChild>
        <w:div w:id="559174066">
          <w:marLeft w:val="0"/>
          <w:marRight w:val="0"/>
          <w:marTop w:val="0"/>
          <w:marBottom w:val="0"/>
          <w:divBdr>
            <w:top w:val="none" w:sz="0" w:space="0" w:color="auto"/>
            <w:left w:val="none" w:sz="0" w:space="0" w:color="auto"/>
            <w:bottom w:val="none" w:sz="0" w:space="0" w:color="auto"/>
            <w:right w:val="none" w:sz="0" w:space="0" w:color="auto"/>
          </w:divBdr>
        </w:div>
      </w:divsChild>
    </w:div>
    <w:div w:id="1014112329">
      <w:marLeft w:val="0"/>
      <w:marRight w:val="0"/>
      <w:marTop w:val="100"/>
      <w:marBottom w:val="0"/>
      <w:divBdr>
        <w:top w:val="none" w:sz="0" w:space="0" w:color="auto"/>
        <w:left w:val="none" w:sz="0" w:space="0" w:color="auto"/>
        <w:bottom w:val="none" w:sz="0" w:space="0" w:color="auto"/>
        <w:right w:val="none" w:sz="0" w:space="0" w:color="auto"/>
      </w:divBdr>
    </w:div>
    <w:div w:id="1019314029">
      <w:marLeft w:val="0"/>
      <w:marRight w:val="0"/>
      <w:marTop w:val="0"/>
      <w:marBottom w:val="0"/>
      <w:divBdr>
        <w:top w:val="none" w:sz="0" w:space="0" w:color="auto"/>
        <w:left w:val="none" w:sz="0" w:space="0" w:color="auto"/>
        <w:bottom w:val="none" w:sz="0" w:space="0" w:color="auto"/>
        <w:right w:val="none" w:sz="0" w:space="0" w:color="auto"/>
      </w:divBdr>
      <w:divsChild>
        <w:div w:id="464155104">
          <w:marLeft w:val="0"/>
          <w:marRight w:val="0"/>
          <w:marTop w:val="0"/>
          <w:marBottom w:val="0"/>
          <w:divBdr>
            <w:top w:val="none" w:sz="0" w:space="0" w:color="auto"/>
            <w:left w:val="none" w:sz="0" w:space="0" w:color="auto"/>
            <w:bottom w:val="none" w:sz="0" w:space="0" w:color="auto"/>
            <w:right w:val="none" w:sz="0" w:space="0" w:color="auto"/>
          </w:divBdr>
        </w:div>
      </w:divsChild>
    </w:div>
    <w:div w:id="1020082879">
      <w:marLeft w:val="0"/>
      <w:marRight w:val="0"/>
      <w:marTop w:val="200"/>
      <w:marBottom w:val="0"/>
      <w:divBdr>
        <w:top w:val="none" w:sz="0" w:space="0" w:color="auto"/>
        <w:left w:val="none" w:sz="0" w:space="0" w:color="auto"/>
        <w:bottom w:val="none" w:sz="0" w:space="0" w:color="auto"/>
        <w:right w:val="none" w:sz="0" w:space="0" w:color="auto"/>
      </w:divBdr>
    </w:div>
    <w:div w:id="1020396994">
      <w:marLeft w:val="0"/>
      <w:marRight w:val="0"/>
      <w:marTop w:val="200"/>
      <w:marBottom w:val="0"/>
      <w:divBdr>
        <w:top w:val="none" w:sz="0" w:space="0" w:color="auto"/>
        <w:left w:val="none" w:sz="0" w:space="0" w:color="auto"/>
        <w:bottom w:val="none" w:sz="0" w:space="0" w:color="auto"/>
        <w:right w:val="none" w:sz="0" w:space="0" w:color="auto"/>
      </w:divBdr>
    </w:div>
    <w:div w:id="1020544382">
      <w:marLeft w:val="0"/>
      <w:marRight w:val="0"/>
      <w:marTop w:val="0"/>
      <w:marBottom w:val="0"/>
      <w:divBdr>
        <w:top w:val="none" w:sz="0" w:space="0" w:color="auto"/>
        <w:left w:val="none" w:sz="0" w:space="0" w:color="auto"/>
        <w:bottom w:val="none" w:sz="0" w:space="0" w:color="auto"/>
        <w:right w:val="none" w:sz="0" w:space="0" w:color="auto"/>
      </w:divBdr>
    </w:div>
    <w:div w:id="1021929160">
      <w:marLeft w:val="0"/>
      <w:marRight w:val="0"/>
      <w:marTop w:val="0"/>
      <w:marBottom w:val="0"/>
      <w:divBdr>
        <w:top w:val="none" w:sz="0" w:space="0" w:color="auto"/>
        <w:left w:val="none" w:sz="0" w:space="0" w:color="auto"/>
        <w:bottom w:val="none" w:sz="0" w:space="0" w:color="auto"/>
        <w:right w:val="none" w:sz="0" w:space="0" w:color="auto"/>
      </w:divBdr>
      <w:divsChild>
        <w:div w:id="237860876">
          <w:marLeft w:val="0"/>
          <w:marRight w:val="0"/>
          <w:marTop w:val="0"/>
          <w:marBottom w:val="0"/>
          <w:divBdr>
            <w:top w:val="none" w:sz="0" w:space="0" w:color="auto"/>
            <w:left w:val="none" w:sz="0" w:space="0" w:color="auto"/>
            <w:bottom w:val="none" w:sz="0" w:space="0" w:color="auto"/>
            <w:right w:val="none" w:sz="0" w:space="0" w:color="auto"/>
          </w:divBdr>
        </w:div>
        <w:div w:id="116027142">
          <w:marLeft w:val="0"/>
          <w:marRight w:val="0"/>
          <w:marTop w:val="0"/>
          <w:marBottom w:val="0"/>
          <w:divBdr>
            <w:top w:val="none" w:sz="0" w:space="0" w:color="auto"/>
            <w:left w:val="none" w:sz="0" w:space="0" w:color="auto"/>
            <w:bottom w:val="none" w:sz="0" w:space="0" w:color="auto"/>
            <w:right w:val="none" w:sz="0" w:space="0" w:color="auto"/>
          </w:divBdr>
        </w:div>
        <w:div w:id="1916932872">
          <w:marLeft w:val="0"/>
          <w:marRight w:val="0"/>
          <w:marTop w:val="0"/>
          <w:marBottom w:val="0"/>
          <w:divBdr>
            <w:top w:val="none" w:sz="0" w:space="0" w:color="auto"/>
            <w:left w:val="none" w:sz="0" w:space="0" w:color="auto"/>
            <w:bottom w:val="none" w:sz="0" w:space="0" w:color="auto"/>
            <w:right w:val="none" w:sz="0" w:space="0" w:color="auto"/>
          </w:divBdr>
        </w:div>
        <w:div w:id="806094256">
          <w:marLeft w:val="0"/>
          <w:marRight w:val="0"/>
          <w:marTop w:val="0"/>
          <w:marBottom w:val="0"/>
          <w:divBdr>
            <w:top w:val="none" w:sz="0" w:space="0" w:color="auto"/>
            <w:left w:val="none" w:sz="0" w:space="0" w:color="auto"/>
            <w:bottom w:val="none" w:sz="0" w:space="0" w:color="auto"/>
            <w:right w:val="none" w:sz="0" w:space="0" w:color="auto"/>
          </w:divBdr>
        </w:div>
      </w:divsChild>
    </w:div>
    <w:div w:id="1028675521">
      <w:marLeft w:val="0"/>
      <w:marRight w:val="0"/>
      <w:marTop w:val="0"/>
      <w:marBottom w:val="0"/>
      <w:divBdr>
        <w:top w:val="none" w:sz="0" w:space="0" w:color="auto"/>
        <w:left w:val="none" w:sz="0" w:space="0" w:color="auto"/>
        <w:bottom w:val="none" w:sz="0" w:space="0" w:color="auto"/>
        <w:right w:val="none" w:sz="0" w:space="0" w:color="auto"/>
      </w:divBdr>
    </w:div>
    <w:div w:id="1028992446">
      <w:marLeft w:val="0"/>
      <w:marRight w:val="0"/>
      <w:marTop w:val="0"/>
      <w:marBottom w:val="0"/>
      <w:divBdr>
        <w:top w:val="none" w:sz="0" w:space="0" w:color="auto"/>
        <w:left w:val="none" w:sz="0" w:space="0" w:color="auto"/>
        <w:bottom w:val="none" w:sz="0" w:space="0" w:color="auto"/>
        <w:right w:val="none" w:sz="0" w:space="0" w:color="auto"/>
      </w:divBdr>
    </w:div>
    <w:div w:id="1030494228">
      <w:marLeft w:val="0"/>
      <w:marRight w:val="0"/>
      <w:marTop w:val="0"/>
      <w:marBottom w:val="200"/>
      <w:divBdr>
        <w:top w:val="none" w:sz="0" w:space="0" w:color="auto"/>
        <w:left w:val="none" w:sz="0" w:space="0" w:color="auto"/>
        <w:bottom w:val="none" w:sz="0" w:space="0" w:color="auto"/>
        <w:right w:val="none" w:sz="0" w:space="0" w:color="auto"/>
      </w:divBdr>
    </w:div>
    <w:div w:id="1032610053">
      <w:marLeft w:val="0"/>
      <w:marRight w:val="0"/>
      <w:marTop w:val="200"/>
      <w:marBottom w:val="0"/>
      <w:divBdr>
        <w:top w:val="none" w:sz="0" w:space="0" w:color="auto"/>
        <w:left w:val="none" w:sz="0" w:space="0" w:color="auto"/>
        <w:bottom w:val="none" w:sz="0" w:space="0" w:color="auto"/>
        <w:right w:val="none" w:sz="0" w:space="0" w:color="auto"/>
      </w:divBdr>
    </w:div>
    <w:div w:id="1032656480">
      <w:marLeft w:val="0"/>
      <w:marRight w:val="0"/>
      <w:marTop w:val="0"/>
      <w:marBottom w:val="0"/>
      <w:divBdr>
        <w:top w:val="none" w:sz="0" w:space="0" w:color="auto"/>
        <w:left w:val="none" w:sz="0" w:space="0" w:color="auto"/>
        <w:bottom w:val="none" w:sz="0" w:space="0" w:color="auto"/>
        <w:right w:val="none" w:sz="0" w:space="0" w:color="auto"/>
      </w:divBdr>
    </w:div>
    <w:div w:id="1034189834">
      <w:marLeft w:val="0"/>
      <w:marRight w:val="0"/>
      <w:marTop w:val="0"/>
      <w:marBottom w:val="200"/>
      <w:divBdr>
        <w:top w:val="none" w:sz="0" w:space="0" w:color="auto"/>
        <w:left w:val="none" w:sz="0" w:space="0" w:color="auto"/>
        <w:bottom w:val="none" w:sz="0" w:space="0" w:color="auto"/>
        <w:right w:val="none" w:sz="0" w:space="0" w:color="auto"/>
      </w:divBdr>
    </w:div>
    <w:div w:id="1034842266">
      <w:marLeft w:val="0"/>
      <w:marRight w:val="0"/>
      <w:marTop w:val="120"/>
      <w:marBottom w:val="0"/>
      <w:divBdr>
        <w:top w:val="none" w:sz="0" w:space="0" w:color="auto"/>
        <w:left w:val="none" w:sz="0" w:space="0" w:color="auto"/>
        <w:bottom w:val="none" w:sz="0" w:space="0" w:color="auto"/>
        <w:right w:val="none" w:sz="0" w:space="0" w:color="auto"/>
      </w:divBdr>
    </w:div>
    <w:div w:id="1035158306">
      <w:marLeft w:val="0"/>
      <w:marRight w:val="0"/>
      <w:marTop w:val="200"/>
      <w:marBottom w:val="0"/>
      <w:divBdr>
        <w:top w:val="none" w:sz="0" w:space="0" w:color="auto"/>
        <w:left w:val="none" w:sz="0" w:space="0" w:color="auto"/>
        <w:bottom w:val="none" w:sz="0" w:space="0" w:color="auto"/>
        <w:right w:val="none" w:sz="0" w:space="0" w:color="auto"/>
      </w:divBdr>
    </w:div>
    <w:div w:id="1036154385">
      <w:marLeft w:val="0"/>
      <w:marRight w:val="0"/>
      <w:marTop w:val="200"/>
      <w:marBottom w:val="0"/>
      <w:divBdr>
        <w:top w:val="none" w:sz="0" w:space="0" w:color="auto"/>
        <w:left w:val="none" w:sz="0" w:space="0" w:color="auto"/>
        <w:bottom w:val="none" w:sz="0" w:space="0" w:color="auto"/>
        <w:right w:val="none" w:sz="0" w:space="0" w:color="auto"/>
      </w:divBdr>
    </w:div>
    <w:div w:id="1036810749">
      <w:marLeft w:val="0"/>
      <w:marRight w:val="0"/>
      <w:marTop w:val="0"/>
      <w:marBottom w:val="0"/>
      <w:divBdr>
        <w:top w:val="none" w:sz="0" w:space="0" w:color="auto"/>
        <w:left w:val="none" w:sz="0" w:space="0" w:color="auto"/>
        <w:bottom w:val="none" w:sz="0" w:space="0" w:color="auto"/>
        <w:right w:val="none" w:sz="0" w:space="0" w:color="auto"/>
      </w:divBdr>
      <w:divsChild>
        <w:div w:id="205265980">
          <w:marLeft w:val="0"/>
          <w:marRight w:val="0"/>
          <w:marTop w:val="0"/>
          <w:marBottom w:val="0"/>
          <w:divBdr>
            <w:top w:val="none" w:sz="0" w:space="0" w:color="auto"/>
            <w:left w:val="none" w:sz="0" w:space="0" w:color="auto"/>
            <w:bottom w:val="none" w:sz="0" w:space="0" w:color="auto"/>
            <w:right w:val="none" w:sz="0" w:space="0" w:color="auto"/>
          </w:divBdr>
        </w:div>
      </w:divsChild>
    </w:div>
    <w:div w:id="1039207843">
      <w:marLeft w:val="0"/>
      <w:marRight w:val="0"/>
      <w:marTop w:val="0"/>
      <w:marBottom w:val="0"/>
      <w:divBdr>
        <w:top w:val="none" w:sz="0" w:space="0" w:color="auto"/>
        <w:left w:val="none" w:sz="0" w:space="0" w:color="auto"/>
        <w:bottom w:val="none" w:sz="0" w:space="0" w:color="auto"/>
        <w:right w:val="none" w:sz="0" w:space="0" w:color="auto"/>
      </w:divBdr>
      <w:divsChild>
        <w:div w:id="1150561628">
          <w:marLeft w:val="0"/>
          <w:marRight w:val="0"/>
          <w:marTop w:val="0"/>
          <w:marBottom w:val="0"/>
          <w:divBdr>
            <w:top w:val="none" w:sz="0" w:space="0" w:color="auto"/>
            <w:left w:val="none" w:sz="0" w:space="0" w:color="auto"/>
            <w:bottom w:val="none" w:sz="0" w:space="0" w:color="auto"/>
            <w:right w:val="none" w:sz="0" w:space="0" w:color="auto"/>
          </w:divBdr>
        </w:div>
      </w:divsChild>
    </w:div>
    <w:div w:id="1039548892">
      <w:marLeft w:val="0"/>
      <w:marRight w:val="0"/>
      <w:marTop w:val="0"/>
      <w:marBottom w:val="0"/>
      <w:divBdr>
        <w:top w:val="none" w:sz="0" w:space="0" w:color="auto"/>
        <w:left w:val="none" w:sz="0" w:space="0" w:color="auto"/>
        <w:bottom w:val="none" w:sz="0" w:space="0" w:color="auto"/>
        <w:right w:val="none" w:sz="0" w:space="0" w:color="auto"/>
      </w:divBdr>
      <w:divsChild>
        <w:div w:id="2072607107">
          <w:marLeft w:val="0"/>
          <w:marRight w:val="0"/>
          <w:marTop w:val="0"/>
          <w:marBottom w:val="0"/>
          <w:divBdr>
            <w:top w:val="none" w:sz="0" w:space="0" w:color="auto"/>
            <w:left w:val="none" w:sz="0" w:space="0" w:color="auto"/>
            <w:bottom w:val="none" w:sz="0" w:space="0" w:color="auto"/>
            <w:right w:val="none" w:sz="0" w:space="0" w:color="auto"/>
          </w:divBdr>
        </w:div>
      </w:divsChild>
    </w:div>
    <w:div w:id="1039933250">
      <w:marLeft w:val="0"/>
      <w:marRight w:val="0"/>
      <w:marTop w:val="0"/>
      <w:marBottom w:val="0"/>
      <w:divBdr>
        <w:top w:val="none" w:sz="0" w:space="0" w:color="auto"/>
        <w:left w:val="none" w:sz="0" w:space="0" w:color="auto"/>
        <w:bottom w:val="none" w:sz="0" w:space="0" w:color="auto"/>
        <w:right w:val="none" w:sz="0" w:space="0" w:color="auto"/>
      </w:divBdr>
      <w:divsChild>
        <w:div w:id="1308389485">
          <w:marLeft w:val="0"/>
          <w:marRight w:val="0"/>
          <w:marTop w:val="0"/>
          <w:marBottom w:val="0"/>
          <w:divBdr>
            <w:top w:val="none" w:sz="0" w:space="0" w:color="auto"/>
            <w:left w:val="none" w:sz="0" w:space="0" w:color="auto"/>
            <w:bottom w:val="none" w:sz="0" w:space="0" w:color="auto"/>
            <w:right w:val="none" w:sz="0" w:space="0" w:color="auto"/>
          </w:divBdr>
        </w:div>
      </w:divsChild>
    </w:div>
    <w:div w:id="1040012550">
      <w:marLeft w:val="0"/>
      <w:marRight w:val="0"/>
      <w:marTop w:val="0"/>
      <w:marBottom w:val="0"/>
      <w:divBdr>
        <w:top w:val="none" w:sz="0" w:space="0" w:color="auto"/>
        <w:left w:val="none" w:sz="0" w:space="0" w:color="auto"/>
        <w:bottom w:val="none" w:sz="0" w:space="0" w:color="auto"/>
        <w:right w:val="none" w:sz="0" w:space="0" w:color="auto"/>
      </w:divBdr>
      <w:divsChild>
        <w:div w:id="89084582">
          <w:marLeft w:val="0"/>
          <w:marRight w:val="0"/>
          <w:marTop w:val="0"/>
          <w:marBottom w:val="0"/>
          <w:divBdr>
            <w:top w:val="none" w:sz="0" w:space="0" w:color="auto"/>
            <w:left w:val="none" w:sz="0" w:space="0" w:color="auto"/>
            <w:bottom w:val="none" w:sz="0" w:space="0" w:color="auto"/>
            <w:right w:val="none" w:sz="0" w:space="0" w:color="auto"/>
          </w:divBdr>
        </w:div>
      </w:divsChild>
    </w:div>
    <w:div w:id="1040743951">
      <w:marLeft w:val="0"/>
      <w:marRight w:val="0"/>
      <w:marTop w:val="0"/>
      <w:marBottom w:val="0"/>
      <w:divBdr>
        <w:top w:val="none" w:sz="0" w:space="0" w:color="auto"/>
        <w:left w:val="none" w:sz="0" w:space="0" w:color="auto"/>
        <w:bottom w:val="none" w:sz="0" w:space="0" w:color="auto"/>
        <w:right w:val="none" w:sz="0" w:space="0" w:color="auto"/>
      </w:divBdr>
      <w:divsChild>
        <w:div w:id="250505942">
          <w:marLeft w:val="0"/>
          <w:marRight w:val="0"/>
          <w:marTop w:val="0"/>
          <w:marBottom w:val="0"/>
          <w:divBdr>
            <w:top w:val="none" w:sz="0" w:space="0" w:color="auto"/>
            <w:left w:val="none" w:sz="0" w:space="0" w:color="auto"/>
            <w:bottom w:val="none" w:sz="0" w:space="0" w:color="auto"/>
            <w:right w:val="none" w:sz="0" w:space="0" w:color="auto"/>
          </w:divBdr>
        </w:div>
      </w:divsChild>
    </w:div>
    <w:div w:id="1044132887">
      <w:marLeft w:val="0"/>
      <w:marRight w:val="0"/>
      <w:marTop w:val="200"/>
      <w:marBottom w:val="0"/>
      <w:divBdr>
        <w:top w:val="none" w:sz="0" w:space="0" w:color="auto"/>
        <w:left w:val="none" w:sz="0" w:space="0" w:color="auto"/>
        <w:bottom w:val="none" w:sz="0" w:space="0" w:color="auto"/>
        <w:right w:val="none" w:sz="0" w:space="0" w:color="auto"/>
      </w:divBdr>
    </w:div>
    <w:div w:id="1049181535">
      <w:marLeft w:val="0"/>
      <w:marRight w:val="0"/>
      <w:marTop w:val="0"/>
      <w:marBottom w:val="160"/>
      <w:divBdr>
        <w:top w:val="none" w:sz="0" w:space="0" w:color="auto"/>
        <w:left w:val="none" w:sz="0" w:space="0" w:color="auto"/>
        <w:bottom w:val="none" w:sz="0" w:space="0" w:color="auto"/>
        <w:right w:val="none" w:sz="0" w:space="0" w:color="auto"/>
      </w:divBdr>
    </w:div>
    <w:div w:id="1050301706">
      <w:marLeft w:val="0"/>
      <w:marRight w:val="0"/>
      <w:marTop w:val="0"/>
      <w:marBottom w:val="0"/>
      <w:divBdr>
        <w:top w:val="none" w:sz="0" w:space="0" w:color="auto"/>
        <w:left w:val="none" w:sz="0" w:space="0" w:color="auto"/>
        <w:bottom w:val="none" w:sz="0" w:space="0" w:color="auto"/>
        <w:right w:val="none" w:sz="0" w:space="0" w:color="auto"/>
      </w:divBdr>
    </w:div>
    <w:div w:id="1051883548">
      <w:marLeft w:val="0"/>
      <w:marRight w:val="0"/>
      <w:marTop w:val="100"/>
      <w:marBottom w:val="60"/>
      <w:divBdr>
        <w:top w:val="none" w:sz="0" w:space="0" w:color="auto"/>
        <w:left w:val="none" w:sz="0" w:space="0" w:color="auto"/>
        <w:bottom w:val="none" w:sz="0" w:space="0" w:color="auto"/>
        <w:right w:val="none" w:sz="0" w:space="0" w:color="auto"/>
      </w:divBdr>
    </w:div>
    <w:div w:id="1055010537">
      <w:marLeft w:val="0"/>
      <w:marRight w:val="0"/>
      <w:marTop w:val="200"/>
      <w:marBottom w:val="0"/>
      <w:divBdr>
        <w:top w:val="none" w:sz="0" w:space="0" w:color="auto"/>
        <w:left w:val="none" w:sz="0" w:space="0" w:color="auto"/>
        <w:bottom w:val="none" w:sz="0" w:space="0" w:color="auto"/>
        <w:right w:val="none" w:sz="0" w:space="0" w:color="auto"/>
      </w:divBdr>
    </w:div>
    <w:div w:id="1055200671">
      <w:marLeft w:val="0"/>
      <w:marRight w:val="0"/>
      <w:marTop w:val="0"/>
      <w:marBottom w:val="0"/>
      <w:divBdr>
        <w:top w:val="none" w:sz="0" w:space="0" w:color="auto"/>
        <w:left w:val="none" w:sz="0" w:space="0" w:color="auto"/>
        <w:bottom w:val="none" w:sz="0" w:space="0" w:color="auto"/>
        <w:right w:val="none" w:sz="0" w:space="0" w:color="auto"/>
      </w:divBdr>
      <w:divsChild>
        <w:div w:id="840970705">
          <w:marLeft w:val="0"/>
          <w:marRight w:val="0"/>
          <w:marTop w:val="0"/>
          <w:marBottom w:val="0"/>
          <w:divBdr>
            <w:top w:val="none" w:sz="0" w:space="0" w:color="auto"/>
            <w:left w:val="none" w:sz="0" w:space="0" w:color="auto"/>
            <w:bottom w:val="none" w:sz="0" w:space="0" w:color="auto"/>
            <w:right w:val="none" w:sz="0" w:space="0" w:color="auto"/>
          </w:divBdr>
        </w:div>
      </w:divsChild>
    </w:div>
    <w:div w:id="1056511901">
      <w:marLeft w:val="0"/>
      <w:marRight w:val="0"/>
      <w:marTop w:val="200"/>
      <w:marBottom w:val="0"/>
      <w:divBdr>
        <w:top w:val="none" w:sz="0" w:space="0" w:color="auto"/>
        <w:left w:val="none" w:sz="0" w:space="0" w:color="auto"/>
        <w:bottom w:val="none" w:sz="0" w:space="0" w:color="auto"/>
        <w:right w:val="none" w:sz="0" w:space="0" w:color="auto"/>
      </w:divBdr>
    </w:div>
    <w:div w:id="1058167838">
      <w:marLeft w:val="0"/>
      <w:marRight w:val="0"/>
      <w:marTop w:val="0"/>
      <w:marBottom w:val="0"/>
      <w:divBdr>
        <w:top w:val="none" w:sz="0" w:space="0" w:color="auto"/>
        <w:left w:val="none" w:sz="0" w:space="0" w:color="auto"/>
        <w:bottom w:val="none" w:sz="0" w:space="0" w:color="auto"/>
        <w:right w:val="none" w:sz="0" w:space="0" w:color="auto"/>
      </w:divBdr>
      <w:divsChild>
        <w:div w:id="1560048319">
          <w:marLeft w:val="0"/>
          <w:marRight w:val="0"/>
          <w:marTop w:val="0"/>
          <w:marBottom w:val="0"/>
          <w:divBdr>
            <w:top w:val="none" w:sz="0" w:space="0" w:color="auto"/>
            <w:left w:val="none" w:sz="0" w:space="0" w:color="auto"/>
            <w:bottom w:val="none" w:sz="0" w:space="0" w:color="auto"/>
            <w:right w:val="none" w:sz="0" w:space="0" w:color="auto"/>
          </w:divBdr>
        </w:div>
      </w:divsChild>
    </w:div>
    <w:div w:id="1058436826">
      <w:marLeft w:val="0"/>
      <w:marRight w:val="0"/>
      <w:marTop w:val="0"/>
      <w:marBottom w:val="0"/>
      <w:divBdr>
        <w:top w:val="none" w:sz="0" w:space="0" w:color="auto"/>
        <w:left w:val="none" w:sz="0" w:space="0" w:color="auto"/>
        <w:bottom w:val="none" w:sz="0" w:space="0" w:color="auto"/>
        <w:right w:val="none" w:sz="0" w:space="0" w:color="auto"/>
      </w:divBdr>
    </w:div>
    <w:div w:id="1060910015">
      <w:marLeft w:val="0"/>
      <w:marRight w:val="0"/>
      <w:marTop w:val="0"/>
      <w:marBottom w:val="0"/>
      <w:divBdr>
        <w:top w:val="none" w:sz="0" w:space="0" w:color="auto"/>
        <w:left w:val="none" w:sz="0" w:space="0" w:color="auto"/>
        <w:bottom w:val="none" w:sz="0" w:space="0" w:color="auto"/>
        <w:right w:val="none" w:sz="0" w:space="0" w:color="auto"/>
      </w:divBdr>
      <w:divsChild>
        <w:div w:id="1149707502">
          <w:marLeft w:val="0"/>
          <w:marRight w:val="0"/>
          <w:marTop w:val="0"/>
          <w:marBottom w:val="0"/>
          <w:divBdr>
            <w:top w:val="none" w:sz="0" w:space="0" w:color="auto"/>
            <w:left w:val="none" w:sz="0" w:space="0" w:color="auto"/>
            <w:bottom w:val="none" w:sz="0" w:space="0" w:color="auto"/>
            <w:right w:val="none" w:sz="0" w:space="0" w:color="auto"/>
          </w:divBdr>
        </w:div>
      </w:divsChild>
    </w:div>
    <w:div w:id="1063604267">
      <w:marLeft w:val="0"/>
      <w:marRight w:val="0"/>
      <w:marTop w:val="200"/>
      <w:marBottom w:val="0"/>
      <w:divBdr>
        <w:top w:val="none" w:sz="0" w:space="0" w:color="auto"/>
        <w:left w:val="none" w:sz="0" w:space="0" w:color="auto"/>
        <w:bottom w:val="none" w:sz="0" w:space="0" w:color="auto"/>
        <w:right w:val="none" w:sz="0" w:space="0" w:color="auto"/>
      </w:divBdr>
    </w:div>
    <w:div w:id="1065176293">
      <w:marLeft w:val="0"/>
      <w:marRight w:val="0"/>
      <w:marTop w:val="0"/>
      <w:marBottom w:val="0"/>
      <w:divBdr>
        <w:top w:val="none" w:sz="0" w:space="0" w:color="auto"/>
        <w:left w:val="none" w:sz="0" w:space="0" w:color="auto"/>
        <w:bottom w:val="none" w:sz="0" w:space="0" w:color="auto"/>
        <w:right w:val="none" w:sz="0" w:space="0" w:color="auto"/>
      </w:divBdr>
    </w:div>
    <w:div w:id="1070075110">
      <w:marLeft w:val="0"/>
      <w:marRight w:val="0"/>
      <w:marTop w:val="200"/>
      <w:marBottom w:val="0"/>
      <w:divBdr>
        <w:top w:val="none" w:sz="0" w:space="0" w:color="auto"/>
        <w:left w:val="none" w:sz="0" w:space="0" w:color="auto"/>
        <w:bottom w:val="none" w:sz="0" w:space="0" w:color="auto"/>
        <w:right w:val="none" w:sz="0" w:space="0" w:color="auto"/>
      </w:divBdr>
    </w:div>
    <w:div w:id="1074204465">
      <w:marLeft w:val="0"/>
      <w:marRight w:val="0"/>
      <w:marTop w:val="200"/>
      <w:marBottom w:val="0"/>
      <w:divBdr>
        <w:top w:val="none" w:sz="0" w:space="0" w:color="auto"/>
        <w:left w:val="none" w:sz="0" w:space="0" w:color="auto"/>
        <w:bottom w:val="none" w:sz="0" w:space="0" w:color="auto"/>
        <w:right w:val="none" w:sz="0" w:space="0" w:color="auto"/>
      </w:divBdr>
    </w:div>
    <w:div w:id="1074351365">
      <w:marLeft w:val="0"/>
      <w:marRight w:val="0"/>
      <w:marTop w:val="0"/>
      <w:marBottom w:val="0"/>
      <w:divBdr>
        <w:top w:val="none" w:sz="0" w:space="0" w:color="auto"/>
        <w:left w:val="none" w:sz="0" w:space="0" w:color="auto"/>
        <w:bottom w:val="none" w:sz="0" w:space="0" w:color="auto"/>
        <w:right w:val="none" w:sz="0" w:space="0" w:color="auto"/>
      </w:divBdr>
      <w:divsChild>
        <w:div w:id="2125271176">
          <w:marLeft w:val="0"/>
          <w:marRight w:val="0"/>
          <w:marTop w:val="0"/>
          <w:marBottom w:val="0"/>
          <w:divBdr>
            <w:top w:val="none" w:sz="0" w:space="0" w:color="auto"/>
            <w:left w:val="none" w:sz="0" w:space="0" w:color="auto"/>
            <w:bottom w:val="none" w:sz="0" w:space="0" w:color="auto"/>
            <w:right w:val="none" w:sz="0" w:space="0" w:color="auto"/>
          </w:divBdr>
        </w:div>
      </w:divsChild>
    </w:div>
    <w:div w:id="1075933551">
      <w:marLeft w:val="0"/>
      <w:marRight w:val="0"/>
      <w:marTop w:val="200"/>
      <w:marBottom w:val="0"/>
      <w:divBdr>
        <w:top w:val="none" w:sz="0" w:space="0" w:color="auto"/>
        <w:left w:val="none" w:sz="0" w:space="0" w:color="auto"/>
        <w:bottom w:val="none" w:sz="0" w:space="0" w:color="auto"/>
        <w:right w:val="none" w:sz="0" w:space="0" w:color="auto"/>
      </w:divBdr>
    </w:div>
    <w:div w:id="1078092952">
      <w:marLeft w:val="0"/>
      <w:marRight w:val="0"/>
      <w:marTop w:val="0"/>
      <w:marBottom w:val="0"/>
      <w:divBdr>
        <w:top w:val="none" w:sz="0" w:space="0" w:color="auto"/>
        <w:left w:val="none" w:sz="0" w:space="0" w:color="auto"/>
        <w:bottom w:val="none" w:sz="0" w:space="0" w:color="auto"/>
        <w:right w:val="none" w:sz="0" w:space="0" w:color="auto"/>
      </w:divBdr>
    </w:div>
    <w:div w:id="1078792940">
      <w:marLeft w:val="0"/>
      <w:marRight w:val="0"/>
      <w:marTop w:val="0"/>
      <w:marBottom w:val="0"/>
      <w:divBdr>
        <w:top w:val="none" w:sz="0" w:space="0" w:color="auto"/>
        <w:left w:val="none" w:sz="0" w:space="0" w:color="auto"/>
        <w:bottom w:val="none" w:sz="0" w:space="0" w:color="auto"/>
        <w:right w:val="none" w:sz="0" w:space="0" w:color="auto"/>
      </w:divBdr>
      <w:divsChild>
        <w:div w:id="334698262">
          <w:marLeft w:val="0"/>
          <w:marRight w:val="0"/>
          <w:marTop w:val="0"/>
          <w:marBottom w:val="0"/>
          <w:divBdr>
            <w:top w:val="none" w:sz="0" w:space="0" w:color="auto"/>
            <w:left w:val="none" w:sz="0" w:space="0" w:color="auto"/>
            <w:bottom w:val="none" w:sz="0" w:space="0" w:color="auto"/>
            <w:right w:val="none" w:sz="0" w:space="0" w:color="auto"/>
          </w:divBdr>
        </w:div>
      </w:divsChild>
    </w:div>
    <w:div w:id="1078942476">
      <w:marLeft w:val="0"/>
      <w:marRight w:val="0"/>
      <w:marTop w:val="0"/>
      <w:marBottom w:val="0"/>
      <w:divBdr>
        <w:top w:val="none" w:sz="0" w:space="0" w:color="auto"/>
        <w:left w:val="none" w:sz="0" w:space="0" w:color="auto"/>
        <w:bottom w:val="none" w:sz="0" w:space="0" w:color="auto"/>
        <w:right w:val="none" w:sz="0" w:space="0" w:color="auto"/>
      </w:divBdr>
    </w:div>
    <w:div w:id="1084230651">
      <w:marLeft w:val="0"/>
      <w:marRight w:val="0"/>
      <w:marTop w:val="0"/>
      <w:marBottom w:val="0"/>
      <w:divBdr>
        <w:top w:val="none" w:sz="0" w:space="0" w:color="auto"/>
        <w:left w:val="none" w:sz="0" w:space="0" w:color="auto"/>
        <w:bottom w:val="none" w:sz="0" w:space="0" w:color="auto"/>
        <w:right w:val="none" w:sz="0" w:space="0" w:color="auto"/>
      </w:divBdr>
    </w:div>
    <w:div w:id="1084692194">
      <w:marLeft w:val="0"/>
      <w:marRight w:val="0"/>
      <w:marTop w:val="200"/>
      <w:marBottom w:val="0"/>
      <w:divBdr>
        <w:top w:val="none" w:sz="0" w:space="0" w:color="auto"/>
        <w:left w:val="none" w:sz="0" w:space="0" w:color="auto"/>
        <w:bottom w:val="none" w:sz="0" w:space="0" w:color="auto"/>
        <w:right w:val="none" w:sz="0" w:space="0" w:color="auto"/>
      </w:divBdr>
    </w:div>
    <w:div w:id="1084884864">
      <w:marLeft w:val="0"/>
      <w:marRight w:val="0"/>
      <w:marTop w:val="0"/>
      <w:marBottom w:val="0"/>
      <w:divBdr>
        <w:top w:val="none" w:sz="0" w:space="0" w:color="auto"/>
        <w:left w:val="none" w:sz="0" w:space="0" w:color="auto"/>
        <w:bottom w:val="none" w:sz="0" w:space="0" w:color="auto"/>
        <w:right w:val="none" w:sz="0" w:space="0" w:color="auto"/>
      </w:divBdr>
      <w:divsChild>
        <w:div w:id="1317340559">
          <w:marLeft w:val="0"/>
          <w:marRight w:val="0"/>
          <w:marTop w:val="0"/>
          <w:marBottom w:val="0"/>
          <w:divBdr>
            <w:top w:val="none" w:sz="0" w:space="0" w:color="auto"/>
            <w:left w:val="none" w:sz="0" w:space="0" w:color="auto"/>
            <w:bottom w:val="none" w:sz="0" w:space="0" w:color="auto"/>
            <w:right w:val="none" w:sz="0" w:space="0" w:color="auto"/>
          </w:divBdr>
        </w:div>
      </w:divsChild>
    </w:div>
    <w:div w:id="1089888808">
      <w:marLeft w:val="0"/>
      <w:marRight w:val="0"/>
      <w:marTop w:val="0"/>
      <w:marBottom w:val="0"/>
      <w:divBdr>
        <w:top w:val="none" w:sz="0" w:space="0" w:color="auto"/>
        <w:left w:val="none" w:sz="0" w:space="0" w:color="auto"/>
        <w:bottom w:val="none" w:sz="0" w:space="0" w:color="auto"/>
        <w:right w:val="none" w:sz="0" w:space="0" w:color="auto"/>
      </w:divBdr>
      <w:divsChild>
        <w:div w:id="103502195">
          <w:marLeft w:val="0"/>
          <w:marRight w:val="0"/>
          <w:marTop w:val="0"/>
          <w:marBottom w:val="0"/>
          <w:divBdr>
            <w:top w:val="none" w:sz="0" w:space="0" w:color="auto"/>
            <w:left w:val="none" w:sz="0" w:space="0" w:color="auto"/>
            <w:bottom w:val="none" w:sz="0" w:space="0" w:color="auto"/>
            <w:right w:val="none" w:sz="0" w:space="0" w:color="auto"/>
          </w:divBdr>
        </w:div>
      </w:divsChild>
    </w:div>
    <w:div w:id="1094011715">
      <w:marLeft w:val="0"/>
      <w:marRight w:val="0"/>
      <w:marTop w:val="0"/>
      <w:marBottom w:val="0"/>
      <w:divBdr>
        <w:top w:val="none" w:sz="0" w:space="0" w:color="auto"/>
        <w:left w:val="none" w:sz="0" w:space="0" w:color="auto"/>
        <w:bottom w:val="none" w:sz="0" w:space="0" w:color="auto"/>
        <w:right w:val="none" w:sz="0" w:space="0" w:color="auto"/>
      </w:divBdr>
      <w:divsChild>
        <w:div w:id="402879231">
          <w:marLeft w:val="0"/>
          <w:marRight w:val="0"/>
          <w:marTop w:val="0"/>
          <w:marBottom w:val="0"/>
          <w:divBdr>
            <w:top w:val="none" w:sz="0" w:space="0" w:color="auto"/>
            <w:left w:val="none" w:sz="0" w:space="0" w:color="auto"/>
            <w:bottom w:val="none" w:sz="0" w:space="0" w:color="auto"/>
            <w:right w:val="none" w:sz="0" w:space="0" w:color="auto"/>
          </w:divBdr>
        </w:div>
      </w:divsChild>
    </w:div>
    <w:div w:id="1094982653">
      <w:marLeft w:val="0"/>
      <w:marRight w:val="0"/>
      <w:marTop w:val="0"/>
      <w:marBottom w:val="0"/>
      <w:divBdr>
        <w:top w:val="none" w:sz="0" w:space="0" w:color="auto"/>
        <w:left w:val="none" w:sz="0" w:space="0" w:color="auto"/>
        <w:bottom w:val="none" w:sz="0" w:space="0" w:color="auto"/>
        <w:right w:val="none" w:sz="0" w:space="0" w:color="auto"/>
      </w:divBdr>
    </w:div>
    <w:div w:id="1097212070">
      <w:marLeft w:val="0"/>
      <w:marRight w:val="0"/>
      <w:marTop w:val="100"/>
      <w:marBottom w:val="0"/>
      <w:divBdr>
        <w:top w:val="none" w:sz="0" w:space="0" w:color="auto"/>
        <w:left w:val="none" w:sz="0" w:space="0" w:color="auto"/>
        <w:bottom w:val="none" w:sz="0" w:space="0" w:color="auto"/>
        <w:right w:val="none" w:sz="0" w:space="0" w:color="auto"/>
      </w:divBdr>
    </w:div>
    <w:div w:id="1098021545">
      <w:marLeft w:val="0"/>
      <w:marRight w:val="0"/>
      <w:marTop w:val="0"/>
      <w:marBottom w:val="0"/>
      <w:divBdr>
        <w:top w:val="none" w:sz="0" w:space="0" w:color="auto"/>
        <w:left w:val="none" w:sz="0" w:space="0" w:color="auto"/>
        <w:bottom w:val="none" w:sz="0" w:space="0" w:color="auto"/>
        <w:right w:val="none" w:sz="0" w:space="0" w:color="auto"/>
      </w:divBdr>
    </w:div>
    <w:div w:id="1098214325">
      <w:marLeft w:val="0"/>
      <w:marRight w:val="0"/>
      <w:marTop w:val="0"/>
      <w:marBottom w:val="0"/>
      <w:divBdr>
        <w:top w:val="none" w:sz="0" w:space="0" w:color="auto"/>
        <w:left w:val="none" w:sz="0" w:space="0" w:color="auto"/>
        <w:bottom w:val="none" w:sz="0" w:space="0" w:color="auto"/>
        <w:right w:val="none" w:sz="0" w:space="0" w:color="auto"/>
      </w:divBdr>
      <w:divsChild>
        <w:div w:id="1195190813">
          <w:marLeft w:val="0"/>
          <w:marRight w:val="0"/>
          <w:marTop w:val="0"/>
          <w:marBottom w:val="0"/>
          <w:divBdr>
            <w:top w:val="none" w:sz="0" w:space="0" w:color="auto"/>
            <w:left w:val="none" w:sz="0" w:space="0" w:color="auto"/>
            <w:bottom w:val="none" w:sz="0" w:space="0" w:color="auto"/>
            <w:right w:val="none" w:sz="0" w:space="0" w:color="auto"/>
          </w:divBdr>
        </w:div>
      </w:divsChild>
    </w:div>
    <w:div w:id="1098332629">
      <w:marLeft w:val="0"/>
      <w:marRight w:val="0"/>
      <w:marTop w:val="0"/>
      <w:marBottom w:val="0"/>
      <w:divBdr>
        <w:top w:val="none" w:sz="0" w:space="0" w:color="auto"/>
        <w:left w:val="none" w:sz="0" w:space="0" w:color="auto"/>
        <w:bottom w:val="none" w:sz="0" w:space="0" w:color="auto"/>
        <w:right w:val="none" w:sz="0" w:space="0" w:color="auto"/>
      </w:divBdr>
      <w:divsChild>
        <w:div w:id="1342927498">
          <w:marLeft w:val="0"/>
          <w:marRight w:val="0"/>
          <w:marTop w:val="0"/>
          <w:marBottom w:val="0"/>
          <w:divBdr>
            <w:top w:val="none" w:sz="0" w:space="0" w:color="auto"/>
            <w:left w:val="none" w:sz="0" w:space="0" w:color="auto"/>
            <w:bottom w:val="none" w:sz="0" w:space="0" w:color="auto"/>
            <w:right w:val="none" w:sz="0" w:space="0" w:color="auto"/>
          </w:divBdr>
        </w:div>
      </w:divsChild>
    </w:div>
    <w:div w:id="1098452582">
      <w:marLeft w:val="0"/>
      <w:marRight w:val="0"/>
      <w:marTop w:val="0"/>
      <w:marBottom w:val="0"/>
      <w:divBdr>
        <w:top w:val="none" w:sz="0" w:space="0" w:color="auto"/>
        <w:left w:val="none" w:sz="0" w:space="0" w:color="auto"/>
        <w:bottom w:val="none" w:sz="0" w:space="0" w:color="auto"/>
        <w:right w:val="none" w:sz="0" w:space="0" w:color="auto"/>
      </w:divBdr>
      <w:divsChild>
        <w:div w:id="972758867">
          <w:marLeft w:val="0"/>
          <w:marRight w:val="0"/>
          <w:marTop w:val="0"/>
          <w:marBottom w:val="0"/>
          <w:divBdr>
            <w:top w:val="none" w:sz="0" w:space="0" w:color="auto"/>
            <w:left w:val="none" w:sz="0" w:space="0" w:color="auto"/>
            <w:bottom w:val="none" w:sz="0" w:space="0" w:color="auto"/>
            <w:right w:val="none" w:sz="0" w:space="0" w:color="auto"/>
          </w:divBdr>
        </w:div>
        <w:div w:id="1219586037">
          <w:marLeft w:val="0"/>
          <w:marRight w:val="0"/>
          <w:marTop w:val="0"/>
          <w:marBottom w:val="0"/>
          <w:divBdr>
            <w:top w:val="none" w:sz="0" w:space="0" w:color="auto"/>
            <w:left w:val="none" w:sz="0" w:space="0" w:color="auto"/>
            <w:bottom w:val="none" w:sz="0" w:space="0" w:color="auto"/>
            <w:right w:val="none" w:sz="0" w:space="0" w:color="auto"/>
          </w:divBdr>
        </w:div>
      </w:divsChild>
    </w:div>
    <w:div w:id="1099372865">
      <w:marLeft w:val="0"/>
      <w:marRight w:val="0"/>
      <w:marTop w:val="0"/>
      <w:marBottom w:val="0"/>
      <w:divBdr>
        <w:top w:val="none" w:sz="0" w:space="0" w:color="auto"/>
        <w:left w:val="none" w:sz="0" w:space="0" w:color="auto"/>
        <w:bottom w:val="none" w:sz="0" w:space="0" w:color="auto"/>
        <w:right w:val="none" w:sz="0" w:space="0" w:color="auto"/>
      </w:divBdr>
      <w:divsChild>
        <w:div w:id="864370774">
          <w:marLeft w:val="0"/>
          <w:marRight w:val="0"/>
          <w:marTop w:val="0"/>
          <w:marBottom w:val="0"/>
          <w:divBdr>
            <w:top w:val="none" w:sz="0" w:space="0" w:color="auto"/>
            <w:left w:val="none" w:sz="0" w:space="0" w:color="auto"/>
            <w:bottom w:val="none" w:sz="0" w:space="0" w:color="auto"/>
            <w:right w:val="none" w:sz="0" w:space="0" w:color="auto"/>
          </w:divBdr>
        </w:div>
      </w:divsChild>
    </w:div>
    <w:div w:id="1104109603">
      <w:marLeft w:val="0"/>
      <w:marRight w:val="0"/>
      <w:marTop w:val="0"/>
      <w:marBottom w:val="200"/>
      <w:divBdr>
        <w:top w:val="none" w:sz="0" w:space="0" w:color="auto"/>
        <w:left w:val="none" w:sz="0" w:space="0" w:color="auto"/>
        <w:bottom w:val="none" w:sz="0" w:space="0" w:color="auto"/>
        <w:right w:val="none" w:sz="0" w:space="0" w:color="auto"/>
      </w:divBdr>
    </w:div>
    <w:div w:id="1106116751">
      <w:marLeft w:val="0"/>
      <w:marRight w:val="0"/>
      <w:marTop w:val="200"/>
      <w:marBottom w:val="0"/>
      <w:divBdr>
        <w:top w:val="none" w:sz="0" w:space="0" w:color="auto"/>
        <w:left w:val="none" w:sz="0" w:space="0" w:color="auto"/>
        <w:bottom w:val="none" w:sz="0" w:space="0" w:color="auto"/>
        <w:right w:val="none" w:sz="0" w:space="0" w:color="auto"/>
      </w:divBdr>
    </w:div>
    <w:div w:id="1107771554">
      <w:marLeft w:val="0"/>
      <w:marRight w:val="0"/>
      <w:marTop w:val="60"/>
      <w:marBottom w:val="0"/>
      <w:divBdr>
        <w:top w:val="none" w:sz="0" w:space="0" w:color="auto"/>
        <w:left w:val="none" w:sz="0" w:space="0" w:color="auto"/>
        <w:bottom w:val="none" w:sz="0" w:space="0" w:color="auto"/>
        <w:right w:val="none" w:sz="0" w:space="0" w:color="auto"/>
      </w:divBdr>
    </w:div>
    <w:div w:id="1108235632">
      <w:marLeft w:val="0"/>
      <w:marRight w:val="0"/>
      <w:marTop w:val="0"/>
      <w:marBottom w:val="0"/>
      <w:divBdr>
        <w:top w:val="none" w:sz="0" w:space="0" w:color="auto"/>
        <w:left w:val="none" w:sz="0" w:space="0" w:color="auto"/>
        <w:bottom w:val="none" w:sz="0" w:space="0" w:color="auto"/>
        <w:right w:val="none" w:sz="0" w:space="0" w:color="auto"/>
      </w:divBdr>
      <w:divsChild>
        <w:div w:id="882985063">
          <w:marLeft w:val="0"/>
          <w:marRight w:val="0"/>
          <w:marTop w:val="0"/>
          <w:marBottom w:val="0"/>
          <w:divBdr>
            <w:top w:val="none" w:sz="0" w:space="0" w:color="auto"/>
            <w:left w:val="none" w:sz="0" w:space="0" w:color="auto"/>
            <w:bottom w:val="none" w:sz="0" w:space="0" w:color="auto"/>
            <w:right w:val="none" w:sz="0" w:space="0" w:color="auto"/>
          </w:divBdr>
        </w:div>
      </w:divsChild>
    </w:div>
    <w:div w:id="1109814069">
      <w:marLeft w:val="0"/>
      <w:marRight w:val="0"/>
      <w:marTop w:val="0"/>
      <w:marBottom w:val="200"/>
      <w:divBdr>
        <w:top w:val="none" w:sz="0" w:space="0" w:color="auto"/>
        <w:left w:val="none" w:sz="0" w:space="0" w:color="auto"/>
        <w:bottom w:val="none" w:sz="0" w:space="0" w:color="auto"/>
        <w:right w:val="none" w:sz="0" w:space="0" w:color="auto"/>
      </w:divBdr>
    </w:div>
    <w:div w:id="1110903117">
      <w:marLeft w:val="0"/>
      <w:marRight w:val="0"/>
      <w:marTop w:val="0"/>
      <w:marBottom w:val="0"/>
      <w:divBdr>
        <w:top w:val="none" w:sz="0" w:space="0" w:color="auto"/>
        <w:left w:val="none" w:sz="0" w:space="0" w:color="auto"/>
        <w:bottom w:val="none" w:sz="0" w:space="0" w:color="auto"/>
        <w:right w:val="none" w:sz="0" w:space="0" w:color="auto"/>
      </w:divBdr>
      <w:divsChild>
        <w:div w:id="1995258252">
          <w:marLeft w:val="0"/>
          <w:marRight w:val="0"/>
          <w:marTop w:val="0"/>
          <w:marBottom w:val="0"/>
          <w:divBdr>
            <w:top w:val="none" w:sz="0" w:space="0" w:color="auto"/>
            <w:left w:val="none" w:sz="0" w:space="0" w:color="auto"/>
            <w:bottom w:val="none" w:sz="0" w:space="0" w:color="auto"/>
            <w:right w:val="none" w:sz="0" w:space="0" w:color="auto"/>
          </w:divBdr>
        </w:div>
      </w:divsChild>
    </w:div>
    <w:div w:id="1116024196">
      <w:marLeft w:val="0"/>
      <w:marRight w:val="0"/>
      <w:marTop w:val="100"/>
      <w:marBottom w:val="0"/>
      <w:divBdr>
        <w:top w:val="none" w:sz="0" w:space="0" w:color="auto"/>
        <w:left w:val="none" w:sz="0" w:space="0" w:color="auto"/>
        <w:bottom w:val="none" w:sz="0" w:space="0" w:color="auto"/>
        <w:right w:val="none" w:sz="0" w:space="0" w:color="auto"/>
      </w:divBdr>
    </w:div>
    <w:div w:id="1116095608">
      <w:marLeft w:val="0"/>
      <w:marRight w:val="0"/>
      <w:marTop w:val="60"/>
      <w:marBottom w:val="0"/>
      <w:divBdr>
        <w:top w:val="none" w:sz="0" w:space="0" w:color="auto"/>
        <w:left w:val="none" w:sz="0" w:space="0" w:color="auto"/>
        <w:bottom w:val="none" w:sz="0" w:space="0" w:color="auto"/>
        <w:right w:val="none" w:sz="0" w:space="0" w:color="auto"/>
      </w:divBdr>
    </w:div>
    <w:div w:id="1117797168">
      <w:marLeft w:val="0"/>
      <w:marRight w:val="0"/>
      <w:marTop w:val="0"/>
      <w:marBottom w:val="0"/>
      <w:divBdr>
        <w:top w:val="none" w:sz="0" w:space="0" w:color="auto"/>
        <w:left w:val="none" w:sz="0" w:space="0" w:color="auto"/>
        <w:bottom w:val="none" w:sz="0" w:space="0" w:color="auto"/>
        <w:right w:val="none" w:sz="0" w:space="0" w:color="auto"/>
      </w:divBdr>
      <w:divsChild>
        <w:div w:id="742217205">
          <w:marLeft w:val="0"/>
          <w:marRight w:val="0"/>
          <w:marTop w:val="0"/>
          <w:marBottom w:val="0"/>
          <w:divBdr>
            <w:top w:val="none" w:sz="0" w:space="0" w:color="auto"/>
            <w:left w:val="none" w:sz="0" w:space="0" w:color="auto"/>
            <w:bottom w:val="none" w:sz="0" w:space="0" w:color="auto"/>
            <w:right w:val="none" w:sz="0" w:space="0" w:color="auto"/>
          </w:divBdr>
        </w:div>
      </w:divsChild>
    </w:div>
    <w:div w:id="1118600137">
      <w:marLeft w:val="0"/>
      <w:marRight w:val="0"/>
      <w:marTop w:val="0"/>
      <w:marBottom w:val="0"/>
      <w:divBdr>
        <w:top w:val="none" w:sz="0" w:space="0" w:color="auto"/>
        <w:left w:val="none" w:sz="0" w:space="0" w:color="auto"/>
        <w:bottom w:val="none" w:sz="0" w:space="0" w:color="auto"/>
        <w:right w:val="none" w:sz="0" w:space="0" w:color="auto"/>
      </w:divBdr>
    </w:div>
    <w:div w:id="1120536398">
      <w:marLeft w:val="0"/>
      <w:marRight w:val="0"/>
      <w:marTop w:val="200"/>
      <w:marBottom w:val="0"/>
      <w:divBdr>
        <w:top w:val="none" w:sz="0" w:space="0" w:color="auto"/>
        <w:left w:val="none" w:sz="0" w:space="0" w:color="auto"/>
        <w:bottom w:val="none" w:sz="0" w:space="0" w:color="auto"/>
        <w:right w:val="none" w:sz="0" w:space="0" w:color="auto"/>
      </w:divBdr>
    </w:div>
    <w:div w:id="1132946664">
      <w:marLeft w:val="0"/>
      <w:marRight w:val="0"/>
      <w:marTop w:val="100"/>
      <w:marBottom w:val="0"/>
      <w:divBdr>
        <w:top w:val="none" w:sz="0" w:space="0" w:color="auto"/>
        <w:left w:val="none" w:sz="0" w:space="0" w:color="auto"/>
        <w:bottom w:val="none" w:sz="0" w:space="0" w:color="auto"/>
        <w:right w:val="none" w:sz="0" w:space="0" w:color="auto"/>
      </w:divBdr>
    </w:div>
    <w:div w:id="1133788966">
      <w:marLeft w:val="0"/>
      <w:marRight w:val="0"/>
      <w:marTop w:val="200"/>
      <w:marBottom w:val="0"/>
      <w:divBdr>
        <w:top w:val="none" w:sz="0" w:space="0" w:color="auto"/>
        <w:left w:val="none" w:sz="0" w:space="0" w:color="auto"/>
        <w:bottom w:val="none" w:sz="0" w:space="0" w:color="auto"/>
        <w:right w:val="none" w:sz="0" w:space="0" w:color="auto"/>
      </w:divBdr>
    </w:div>
    <w:div w:id="1135565896">
      <w:marLeft w:val="0"/>
      <w:marRight w:val="0"/>
      <w:marTop w:val="0"/>
      <w:marBottom w:val="0"/>
      <w:divBdr>
        <w:top w:val="none" w:sz="0" w:space="0" w:color="auto"/>
        <w:left w:val="none" w:sz="0" w:space="0" w:color="auto"/>
        <w:bottom w:val="none" w:sz="0" w:space="0" w:color="auto"/>
        <w:right w:val="none" w:sz="0" w:space="0" w:color="auto"/>
      </w:divBdr>
    </w:div>
    <w:div w:id="1138837848">
      <w:marLeft w:val="0"/>
      <w:marRight w:val="0"/>
      <w:marTop w:val="100"/>
      <w:marBottom w:val="0"/>
      <w:divBdr>
        <w:top w:val="none" w:sz="0" w:space="0" w:color="auto"/>
        <w:left w:val="none" w:sz="0" w:space="0" w:color="auto"/>
        <w:bottom w:val="none" w:sz="0" w:space="0" w:color="auto"/>
        <w:right w:val="none" w:sz="0" w:space="0" w:color="auto"/>
      </w:divBdr>
    </w:div>
    <w:div w:id="1139610441">
      <w:marLeft w:val="0"/>
      <w:marRight w:val="0"/>
      <w:marTop w:val="100"/>
      <w:marBottom w:val="0"/>
      <w:divBdr>
        <w:top w:val="none" w:sz="0" w:space="0" w:color="auto"/>
        <w:left w:val="none" w:sz="0" w:space="0" w:color="auto"/>
        <w:bottom w:val="none" w:sz="0" w:space="0" w:color="auto"/>
        <w:right w:val="none" w:sz="0" w:space="0" w:color="auto"/>
      </w:divBdr>
    </w:div>
    <w:div w:id="1140001953">
      <w:marLeft w:val="0"/>
      <w:marRight w:val="0"/>
      <w:marTop w:val="0"/>
      <w:marBottom w:val="0"/>
      <w:divBdr>
        <w:top w:val="none" w:sz="0" w:space="0" w:color="auto"/>
        <w:left w:val="none" w:sz="0" w:space="0" w:color="auto"/>
        <w:bottom w:val="none" w:sz="0" w:space="0" w:color="auto"/>
        <w:right w:val="none" w:sz="0" w:space="0" w:color="auto"/>
      </w:divBdr>
      <w:divsChild>
        <w:div w:id="1417631742">
          <w:marLeft w:val="0"/>
          <w:marRight w:val="0"/>
          <w:marTop w:val="0"/>
          <w:marBottom w:val="0"/>
          <w:divBdr>
            <w:top w:val="none" w:sz="0" w:space="0" w:color="auto"/>
            <w:left w:val="none" w:sz="0" w:space="0" w:color="auto"/>
            <w:bottom w:val="none" w:sz="0" w:space="0" w:color="auto"/>
            <w:right w:val="none" w:sz="0" w:space="0" w:color="auto"/>
          </w:divBdr>
        </w:div>
      </w:divsChild>
    </w:div>
    <w:div w:id="1142773340">
      <w:marLeft w:val="0"/>
      <w:marRight w:val="0"/>
      <w:marTop w:val="0"/>
      <w:marBottom w:val="0"/>
      <w:divBdr>
        <w:top w:val="none" w:sz="0" w:space="0" w:color="auto"/>
        <w:left w:val="none" w:sz="0" w:space="0" w:color="auto"/>
        <w:bottom w:val="none" w:sz="0" w:space="0" w:color="auto"/>
        <w:right w:val="none" w:sz="0" w:space="0" w:color="auto"/>
      </w:divBdr>
    </w:div>
    <w:div w:id="1142884886">
      <w:marLeft w:val="0"/>
      <w:marRight w:val="0"/>
      <w:marTop w:val="0"/>
      <w:marBottom w:val="0"/>
      <w:divBdr>
        <w:top w:val="none" w:sz="0" w:space="0" w:color="auto"/>
        <w:left w:val="none" w:sz="0" w:space="0" w:color="auto"/>
        <w:bottom w:val="none" w:sz="0" w:space="0" w:color="auto"/>
        <w:right w:val="none" w:sz="0" w:space="0" w:color="auto"/>
      </w:divBdr>
    </w:div>
    <w:div w:id="1148672494">
      <w:marLeft w:val="0"/>
      <w:marRight w:val="0"/>
      <w:marTop w:val="0"/>
      <w:marBottom w:val="0"/>
      <w:divBdr>
        <w:top w:val="none" w:sz="0" w:space="0" w:color="auto"/>
        <w:left w:val="none" w:sz="0" w:space="0" w:color="auto"/>
        <w:bottom w:val="none" w:sz="0" w:space="0" w:color="auto"/>
        <w:right w:val="none" w:sz="0" w:space="0" w:color="auto"/>
      </w:divBdr>
      <w:divsChild>
        <w:div w:id="1786581889">
          <w:marLeft w:val="0"/>
          <w:marRight w:val="0"/>
          <w:marTop w:val="0"/>
          <w:marBottom w:val="0"/>
          <w:divBdr>
            <w:top w:val="none" w:sz="0" w:space="0" w:color="auto"/>
            <w:left w:val="none" w:sz="0" w:space="0" w:color="auto"/>
            <w:bottom w:val="none" w:sz="0" w:space="0" w:color="auto"/>
            <w:right w:val="none" w:sz="0" w:space="0" w:color="auto"/>
          </w:divBdr>
        </w:div>
      </w:divsChild>
    </w:div>
    <w:div w:id="1149443614">
      <w:marLeft w:val="0"/>
      <w:marRight w:val="0"/>
      <w:marTop w:val="0"/>
      <w:marBottom w:val="0"/>
      <w:divBdr>
        <w:top w:val="none" w:sz="0" w:space="0" w:color="auto"/>
        <w:left w:val="none" w:sz="0" w:space="0" w:color="auto"/>
        <w:bottom w:val="none" w:sz="0" w:space="0" w:color="auto"/>
        <w:right w:val="none" w:sz="0" w:space="0" w:color="auto"/>
      </w:divBdr>
      <w:divsChild>
        <w:div w:id="1448503111">
          <w:marLeft w:val="0"/>
          <w:marRight w:val="0"/>
          <w:marTop w:val="0"/>
          <w:marBottom w:val="0"/>
          <w:divBdr>
            <w:top w:val="none" w:sz="0" w:space="0" w:color="auto"/>
            <w:left w:val="none" w:sz="0" w:space="0" w:color="auto"/>
            <w:bottom w:val="none" w:sz="0" w:space="0" w:color="auto"/>
            <w:right w:val="none" w:sz="0" w:space="0" w:color="auto"/>
          </w:divBdr>
        </w:div>
      </w:divsChild>
    </w:div>
    <w:div w:id="1151751821">
      <w:marLeft w:val="0"/>
      <w:marRight w:val="0"/>
      <w:marTop w:val="60"/>
      <w:marBottom w:val="0"/>
      <w:divBdr>
        <w:top w:val="none" w:sz="0" w:space="0" w:color="auto"/>
        <w:left w:val="none" w:sz="0" w:space="0" w:color="auto"/>
        <w:bottom w:val="none" w:sz="0" w:space="0" w:color="auto"/>
        <w:right w:val="none" w:sz="0" w:space="0" w:color="auto"/>
      </w:divBdr>
    </w:div>
    <w:div w:id="1151753504">
      <w:marLeft w:val="0"/>
      <w:marRight w:val="0"/>
      <w:marTop w:val="0"/>
      <w:marBottom w:val="0"/>
      <w:divBdr>
        <w:top w:val="none" w:sz="0" w:space="0" w:color="auto"/>
        <w:left w:val="none" w:sz="0" w:space="0" w:color="auto"/>
        <w:bottom w:val="none" w:sz="0" w:space="0" w:color="auto"/>
        <w:right w:val="none" w:sz="0" w:space="0" w:color="auto"/>
      </w:divBdr>
      <w:divsChild>
        <w:div w:id="364870256">
          <w:marLeft w:val="0"/>
          <w:marRight w:val="0"/>
          <w:marTop w:val="0"/>
          <w:marBottom w:val="0"/>
          <w:divBdr>
            <w:top w:val="none" w:sz="0" w:space="0" w:color="auto"/>
            <w:left w:val="none" w:sz="0" w:space="0" w:color="auto"/>
            <w:bottom w:val="none" w:sz="0" w:space="0" w:color="auto"/>
            <w:right w:val="none" w:sz="0" w:space="0" w:color="auto"/>
          </w:divBdr>
        </w:div>
      </w:divsChild>
    </w:div>
    <w:div w:id="1152523316">
      <w:marLeft w:val="0"/>
      <w:marRight w:val="0"/>
      <w:marTop w:val="0"/>
      <w:marBottom w:val="0"/>
      <w:divBdr>
        <w:top w:val="none" w:sz="0" w:space="0" w:color="auto"/>
        <w:left w:val="none" w:sz="0" w:space="0" w:color="auto"/>
        <w:bottom w:val="none" w:sz="0" w:space="0" w:color="auto"/>
        <w:right w:val="none" w:sz="0" w:space="0" w:color="auto"/>
      </w:divBdr>
      <w:divsChild>
        <w:div w:id="607616383">
          <w:marLeft w:val="0"/>
          <w:marRight w:val="0"/>
          <w:marTop w:val="0"/>
          <w:marBottom w:val="0"/>
          <w:divBdr>
            <w:top w:val="none" w:sz="0" w:space="0" w:color="auto"/>
            <w:left w:val="none" w:sz="0" w:space="0" w:color="auto"/>
            <w:bottom w:val="none" w:sz="0" w:space="0" w:color="auto"/>
            <w:right w:val="none" w:sz="0" w:space="0" w:color="auto"/>
          </w:divBdr>
        </w:div>
        <w:div w:id="450515077">
          <w:marLeft w:val="0"/>
          <w:marRight w:val="0"/>
          <w:marTop w:val="0"/>
          <w:marBottom w:val="0"/>
          <w:divBdr>
            <w:top w:val="none" w:sz="0" w:space="0" w:color="auto"/>
            <w:left w:val="none" w:sz="0" w:space="0" w:color="auto"/>
            <w:bottom w:val="none" w:sz="0" w:space="0" w:color="auto"/>
            <w:right w:val="none" w:sz="0" w:space="0" w:color="auto"/>
          </w:divBdr>
        </w:div>
        <w:div w:id="753358708">
          <w:marLeft w:val="0"/>
          <w:marRight w:val="0"/>
          <w:marTop w:val="0"/>
          <w:marBottom w:val="0"/>
          <w:divBdr>
            <w:top w:val="none" w:sz="0" w:space="0" w:color="auto"/>
            <w:left w:val="none" w:sz="0" w:space="0" w:color="auto"/>
            <w:bottom w:val="none" w:sz="0" w:space="0" w:color="auto"/>
            <w:right w:val="none" w:sz="0" w:space="0" w:color="auto"/>
          </w:divBdr>
        </w:div>
        <w:div w:id="717168781">
          <w:marLeft w:val="0"/>
          <w:marRight w:val="0"/>
          <w:marTop w:val="0"/>
          <w:marBottom w:val="0"/>
          <w:divBdr>
            <w:top w:val="none" w:sz="0" w:space="0" w:color="auto"/>
            <w:left w:val="none" w:sz="0" w:space="0" w:color="auto"/>
            <w:bottom w:val="none" w:sz="0" w:space="0" w:color="auto"/>
            <w:right w:val="none" w:sz="0" w:space="0" w:color="auto"/>
          </w:divBdr>
        </w:div>
      </w:divsChild>
    </w:div>
    <w:div w:id="1152714230">
      <w:marLeft w:val="0"/>
      <w:marRight w:val="0"/>
      <w:marTop w:val="200"/>
      <w:marBottom w:val="0"/>
      <w:divBdr>
        <w:top w:val="none" w:sz="0" w:space="0" w:color="auto"/>
        <w:left w:val="none" w:sz="0" w:space="0" w:color="auto"/>
        <w:bottom w:val="none" w:sz="0" w:space="0" w:color="auto"/>
        <w:right w:val="none" w:sz="0" w:space="0" w:color="auto"/>
      </w:divBdr>
    </w:div>
    <w:div w:id="1154224517">
      <w:marLeft w:val="0"/>
      <w:marRight w:val="0"/>
      <w:marTop w:val="180"/>
      <w:marBottom w:val="0"/>
      <w:divBdr>
        <w:top w:val="none" w:sz="0" w:space="0" w:color="auto"/>
        <w:left w:val="none" w:sz="0" w:space="0" w:color="auto"/>
        <w:bottom w:val="none" w:sz="0" w:space="0" w:color="auto"/>
        <w:right w:val="none" w:sz="0" w:space="0" w:color="auto"/>
      </w:divBdr>
    </w:div>
    <w:div w:id="1154298513">
      <w:marLeft w:val="0"/>
      <w:marRight w:val="0"/>
      <w:marTop w:val="200"/>
      <w:marBottom w:val="0"/>
      <w:divBdr>
        <w:top w:val="none" w:sz="0" w:space="0" w:color="auto"/>
        <w:left w:val="none" w:sz="0" w:space="0" w:color="auto"/>
        <w:bottom w:val="none" w:sz="0" w:space="0" w:color="auto"/>
        <w:right w:val="none" w:sz="0" w:space="0" w:color="auto"/>
      </w:divBdr>
    </w:div>
    <w:div w:id="1156527756">
      <w:marLeft w:val="0"/>
      <w:marRight w:val="0"/>
      <w:marTop w:val="0"/>
      <w:marBottom w:val="0"/>
      <w:divBdr>
        <w:top w:val="none" w:sz="0" w:space="0" w:color="auto"/>
        <w:left w:val="none" w:sz="0" w:space="0" w:color="auto"/>
        <w:bottom w:val="none" w:sz="0" w:space="0" w:color="auto"/>
        <w:right w:val="none" w:sz="0" w:space="0" w:color="auto"/>
      </w:divBdr>
    </w:div>
    <w:div w:id="1162700011">
      <w:marLeft w:val="0"/>
      <w:marRight w:val="0"/>
      <w:marTop w:val="200"/>
      <w:marBottom w:val="0"/>
      <w:divBdr>
        <w:top w:val="none" w:sz="0" w:space="0" w:color="auto"/>
        <w:left w:val="none" w:sz="0" w:space="0" w:color="auto"/>
        <w:bottom w:val="none" w:sz="0" w:space="0" w:color="auto"/>
        <w:right w:val="none" w:sz="0" w:space="0" w:color="auto"/>
      </w:divBdr>
    </w:div>
    <w:div w:id="1169757543">
      <w:marLeft w:val="0"/>
      <w:marRight w:val="0"/>
      <w:marTop w:val="200"/>
      <w:marBottom w:val="0"/>
      <w:divBdr>
        <w:top w:val="none" w:sz="0" w:space="0" w:color="auto"/>
        <w:left w:val="none" w:sz="0" w:space="0" w:color="auto"/>
        <w:bottom w:val="none" w:sz="0" w:space="0" w:color="auto"/>
        <w:right w:val="none" w:sz="0" w:space="0" w:color="auto"/>
      </w:divBdr>
    </w:div>
    <w:div w:id="1171145723">
      <w:marLeft w:val="0"/>
      <w:marRight w:val="0"/>
      <w:marTop w:val="200"/>
      <w:marBottom w:val="0"/>
      <w:divBdr>
        <w:top w:val="none" w:sz="0" w:space="0" w:color="auto"/>
        <w:left w:val="none" w:sz="0" w:space="0" w:color="auto"/>
        <w:bottom w:val="none" w:sz="0" w:space="0" w:color="auto"/>
        <w:right w:val="none" w:sz="0" w:space="0" w:color="auto"/>
      </w:divBdr>
    </w:div>
    <w:div w:id="1173765135">
      <w:marLeft w:val="0"/>
      <w:marRight w:val="0"/>
      <w:marTop w:val="0"/>
      <w:marBottom w:val="0"/>
      <w:divBdr>
        <w:top w:val="none" w:sz="0" w:space="0" w:color="auto"/>
        <w:left w:val="none" w:sz="0" w:space="0" w:color="auto"/>
        <w:bottom w:val="none" w:sz="0" w:space="0" w:color="auto"/>
        <w:right w:val="none" w:sz="0" w:space="0" w:color="auto"/>
      </w:divBdr>
    </w:div>
    <w:div w:id="1176649158">
      <w:marLeft w:val="0"/>
      <w:marRight w:val="0"/>
      <w:marTop w:val="200"/>
      <w:marBottom w:val="0"/>
      <w:divBdr>
        <w:top w:val="none" w:sz="0" w:space="0" w:color="auto"/>
        <w:left w:val="none" w:sz="0" w:space="0" w:color="auto"/>
        <w:bottom w:val="none" w:sz="0" w:space="0" w:color="auto"/>
        <w:right w:val="none" w:sz="0" w:space="0" w:color="auto"/>
      </w:divBdr>
    </w:div>
    <w:div w:id="1182167884">
      <w:marLeft w:val="0"/>
      <w:marRight w:val="0"/>
      <w:marTop w:val="0"/>
      <w:marBottom w:val="0"/>
      <w:divBdr>
        <w:top w:val="none" w:sz="0" w:space="0" w:color="auto"/>
        <w:left w:val="none" w:sz="0" w:space="0" w:color="auto"/>
        <w:bottom w:val="none" w:sz="0" w:space="0" w:color="auto"/>
        <w:right w:val="none" w:sz="0" w:space="0" w:color="auto"/>
      </w:divBdr>
    </w:div>
    <w:div w:id="1182278427">
      <w:marLeft w:val="0"/>
      <w:marRight w:val="0"/>
      <w:marTop w:val="0"/>
      <w:marBottom w:val="0"/>
      <w:divBdr>
        <w:top w:val="none" w:sz="0" w:space="0" w:color="auto"/>
        <w:left w:val="none" w:sz="0" w:space="0" w:color="auto"/>
        <w:bottom w:val="none" w:sz="0" w:space="0" w:color="auto"/>
        <w:right w:val="none" w:sz="0" w:space="0" w:color="auto"/>
      </w:divBdr>
      <w:divsChild>
        <w:div w:id="536549386">
          <w:marLeft w:val="0"/>
          <w:marRight w:val="0"/>
          <w:marTop w:val="0"/>
          <w:marBottom w:val="0"/>
          <w:divBdr>
            <w:top w:val="none" w:sz="0" w:space="0" w:color="auto"/>
            <w:left w:val="none" w:sz="0" w:space="0" w:color="auto"/>
            <w:bottom w:val="none" w:sz="0" w:space="0" w:color="auto"/>
            <w:right w:val="none" w:sz="0" w:space="0" w:color="auto"/>
          </w:divBdr>
        </w:div>
        <w:div w:id="868105531">
          <w:marLeft w:val="0"/>
          <w:marRight w:val="0"/>
          <w:marTop w:val="0"/>
          <w:marBottom w:val="0"/>
          <w:divBdr>
            <w:top w:val="none" w:sz="0" w:space="0" w:color="auto"/>
            <w:left w:val="none" w:sz="0" w:space="0" w:color="auto"/>
            <w:bottom w:val="none" w:sz="0" w:space="0" w:color="auto"/>
            <w:right w:val="none" w:sz="0" w:space="0" w:color="auto"/>
          </w:divBdr>
        </w:div>
        <w:div w:id="580212040">
          <w:marLeft w:val="0"/>
          <w:marRight w:val="0"/>
          <w:marTop w:val="0"/>
          <w:marBottom w:val="0"/>
          <w:divBdr>
            <w:top w:val="none" w:sz="0" w:space="0" w:color="auto"/>
            <w:left w:val="none" w:sz="0" w:space="0" w:color="auto"/>
            <w:bottom w:val="none" w:sz="0" w:space="0" w:color="auto"/>
            <w:right w:val="none" w:sz="0" w:space="0" w:color="auto"/>
          </w:divBdr>
        </w:div>
        <w:div w:id="1296834400">
          <w:marLeft w:val="0"/>
          <w:marRight w:val="0"/>
          <w:marTop w:val="0"/>
          <w:marBottom w:val="0"/>
          <w:divBdr>
            <w:top w:val="none" w:sz="0" w:space="0" w:color="auto"/>
            <w:left w:val="none" w:sz="0" w:space="0" w:color="auto"/>
            <w:bottom w:val="none" w:sz="0" w:space="0" w:color="auto"/>
            <w:right w:val="none" w:sz="0" w:space="0" w:color="auto"/>
          </w:divBdr>
        </w:div>
      </w:divsChild>
    </w:div>
    <w:div w:id="1184250186">
      <w:marLeft w:val="0"/>
      <w:marRight w:val="0"/>
      <w:marTop w:val="100"/>
      <w:marBottom w:val="0"/>
      <w:divBdr>
        <w:top w:val="none" w:sz="0" w:space="0" w:color="auto"/>
        <w:left w:val="none" w:sz="0" w:space="0" w:color="auto"/>
        <w:bottom w:val="none" w:sz="0" w:space="0" w:color="auto"/>
        <w:right w:val="none" w:sz="0" w:space="0" w:color="auto"/>
      </w:divBdr>
    </w:div>
    <w:div w:id="1186596033">
      <w:marLeft w:val="0"/>
      <w:marRight w:val="0"/>
      <w:marTop w:val="200"/>
      <w:marBottom w:val="0"/>
      <w:divBdr>
        <w:top w:val="none" w:sz="0" w:space="0" w:color="auto"/>
        <w:left w:val="none" w:sz="0" w:space="0" w:color="auto"/>
        <w:bottom w:val="none" w:sz="0" w:space="0" w:color="auto"/>
        <w:right w:val="none" w:sz="0" w:space="0" w:color="auto"/>
      </w:divBdr>
    </w:div>
    <w:div w:id="1187906051">
      <w:marLeft w:val="0"/>
      <w:marRight w:val="0"/>
      <w:marTop w:val="200"/>
      <w:marBottom w:val="0"/>
      <w:divBdr>
        <w:top w:val="none" w:sz="0" w:space="0" w:color="auto"/>
        <w:left w:val="none" w:sz="0" w:space="0" w:color="auto"/>
        <w:bottom w:val="none" w:sz="0" w:space="0" w:color="auto"/>
        <w:right w:val="none" w:sz="0" w:space="0" w:color="auto"/>
      </w:divBdr>
    </w:div>
    <w:div w:id="1188324442">
      <w:marLeft w:val="0"/>
      <w:marRight w:val="0"/>
      <w:marTop w:val="200"/>
      <w:marBottom w:val="0"/>
      <w:divBdr>
        <w:top w:val="none" w:sz="0" w:space="0" w:color="auto"/>
        <w:left w:val="none" w:sz="0" w:space="0" w:color="auto"/>
        <w:bottom w:val="none" w:sz="0" w:space="0" w:color="auto"/>
        <w:right w:val="none" w:sz="0" w:space="0" w:color="auto"/>
      </w:divBdr>
    </w:div>
    <w:div w:id="1188566709">
      <w:marLeft w:val="0"/>
      <w:marRight w:val="0"/>
      <w:marTop w:val="0"/>
      <w:marBottom w:val="0"/>
      <w:divBdr>
        <w:top w:val="none" w:sz="0" w:space="0" w:color="auto"/>
        <w:left w:val="none" w:sz="0" w:space="0" w:color="auto"/>
        <w:bottom w:val="none" w:sz="0" w:space="0" w:color="auto"/>
        <w:right w:val="none" w:sz="0" w:space="0" w:color="auto"/>
      </w:divBdr>
    </w:div>
    <w:div w:id="1189833302">
      <w:marLeft w:val="0"/>
      <w:marRight w:val="0"/>
      <w:marTop w:val="0"/>
      <w:marBottom w:val="0"/>
      <w:divBdr>
        <w:top w:val="none" w:sz="0" w:space="0" w:color="auto"/>
        <w:left w:val="none" w:sz="0" w:space="0" w:color="auto"/>
        <w:bottom w:val="none" w:sz="0" w:space="0" w:color="auto"/>
        <w:right w:val="none" w:sz="0" w:space="0" w:color="auto"/>
      </w:divBdr>
    </w:div>
    <w:div w:id="1191918039">
      <w:marLeft w:val="0"/>
      <w:marRight w:val="0"/>
      <w:marTop w:val="200"/>
      <w:marBottom w:val="0"/>
      <w:divBdr>
        <w:top w:val="none" w:sz="0" w:space="0" w:color="auto"/>
        <w:left w:val="none" w:sz="0" w:space="0" w:color="auto"/>
        <w:bottom w:val="none" w:sz="0" w:space="0" w:color="auto"/>
        <w:right w:val="none" w:sz="0" w:space="0" w:color="auto"/>
      </w:divBdr>
    </w:div>
    <w:div w:id="1192038801">
      <w:marLeft w:val="0"/>
      <w:marRight w:val="0"/>
      <w:marTop w:val="200"/>
      <w:marBottom w:val="0"/>
      <w:divBdr>
        <w:top w:val="none" w:sz="0" w:space="0" w:color="auto"/>
        <w:left w:val="none" w:sz="0" w:space="0" w:color="auto"/>
        <w:bottom w:val="none" w:sz="0" w:space="0" w:color="auto"/>
        <w:right w:val="none" w:sz="0" w:space="0" w:color="auto"/>
      </w:divBdr>
    </w:div>
    <w:div w:id="1192494739">
      <w:marLeft w:val="0"/>
      <w:marRight w:val="0"/>
      <w:marTop w:val="0"/>
      <w:marBottom w:val="0"/>
      <w:divBdr>
        <w:top w:val="none" w:sz="0" w:space="0" w:color="auto"/>
        <w:left w:val="none" w:sz="0" w:space="0" w:color="auto"/>
        <w:bottom w:val="none" w:sz="0" w:space="0" w:color="auto"/>
        <w:right w:val="none" w:sz="0" w:space="0" w:color="auto"/>
      </w:divBdr>
    </w:div>
    <w:div w:id="1192912250">
      <w:marLeft w:val="0"/>
      <w:marRight w:val="0"/>
      <w:marTop w:val="0"/>
      <w:marBottom w:val="0"/>
      <w:divBdr>
        <w:top w:val="none" w:sz="0" w:space="0" w:color="auto"/>
        <w:left w:val="none" w:sz="0" w:space="0" w:color="auto"/>
        <w:bottom w:val="none" w:sz="0" w:space="0" w:color="auto"/>
        <w:right w:val="none" w:sz="0" w:space="0" w:color="auto"/>
      </w:divBdr>
      <w:divsChild>
        <w:div w:id="1830365531">
          <w:marLeft w:val="0"/>
          <w:marRight w:val="0"/>
          <w:marTop w:val="0"/>
          <w:marBottom w:val="0"/>
          <w:divBdr>
            <w:top w:val="none" w:sz="0" w:space="0" w:color="auto"/>
            <w:left w:val="none" w:sz="0" w:space="0" w:color="auto"/>
            <w:bottom w:val="none" w:sz="0" w:space="0" w:color="auto"/>
            <w:right w:val="none" w:sz="0" w:space="0" w:color="auto"/>
          </w:divBdr>
        </w:div>
        <w:div w:id="575286499">
          <w:marLeft w:val="0"/>
          <w:marRight w:val="0"/>
          <w:marTop w:val="0"/>
          <w:marBottom w:val="0"/>
          <w:divBdr>
            <w:top w:val="none" w:sz="0" w:space="0" w:color="auto"/>
            <w:left w:val="none" w:sz="0" w:space="0" w:color="auto"/>
            <w:bottom w:val="none" w:sz="0" w:space="0" w:color="auto"/>
            <w:right w:val="none" w:sz="0" w:space="0" w:color="auto"/>
          </w:divBdr>
        </w:div>
        <w:div w:id="358236942">
          <w:marLeft w:val="0"/>
          <w:marRight w:val="0"/>
          <w:marTop w:val="0"/>
          <w:marBottom w:val="0"/>
          <w:divBdr>
            <w:top w:val="none" w:sz="0" w:space="0" w:color="auto"/>
            <w:left w:val="none" w:sz="0" w:space="0" w:color="auto"/>
            <w:bottom w:val="none" w:sz="0" w:space="0" w:color="auto"/>
            <w:right w:val="none" w:sz="0" w:space="0" w:color="auto"/>
          </w:divBdr>
        </w:div>
        <w:div w:id="38632235">
          <w:marLeft w:val="0"/>
          <w:marRight w:val="0"/>
          <w:marTop w:val="0"/>
          <w:marBottom w:val="0"/>
          <w:divBdr>
            <w:top w:val="none" w:sz="0" w:space="0" w:color="auto"/>
            <w:left w:val="none" w:sz="0" w:space="0" w:color="auto"/>
            <w:bottom w:val="none" w:sz="0" w:space="0" w:color="auto"/>
            <w:right w:val="none" w:sz="0" w:space="0" w:color="auto"/>
          </w:divBdr>
        </w:div>
      </w:divsChild>
    </w:div>
    <w:div w:id="1194731988">
      <w:marLeft w:val="0"/>
      <w:marRight w:val="0"/>
      <w:marTop w:val="0"/>
      <w:marBottom w:val="0"/>
      <w:divBdr>
        <w:top w:val="none" w:sz="0" w:space="0" w:color="auto"/>
        <w:left w:val="none" w:sz="0" w:space="0" w:color="auto"/>
        <w:bottom w:val="none" w:sz="0" w:space="0" w:color="auto"/>
        <w:right w:val="none" w:sz="0" w:space="0" w:color="auto"/>
      </w:divBdr>
      <w:divsChild>
        <w:div w:id="284625369">
          <w:marLeft w:val="0"/>
          <w:marRight w:val="0"/>
          <w:marTop w:val="0"/>
          <w:marBottom w:val="0"/>
          <w:divBdr>
            <w:top w:val="none" w:sz="0" w:space="0" w:color="auto"/>
            <w:left w:val="none" w:sz="0" w:space="0" w:color="auto"/>
            <w:bottom w:val="none" w:sz="0" w:space="0" w:color="auto"/>
            <w:right w:val="none" w:sz="0" w:space="0" w:color="auto"/>
          </w:divBdr>
        </w:div>
      </w:divsChild>
    </w:div>
    <w:div w:id="1195772715">
      <w:marLeft w:val="0"/>
      <w:marRight w:val="0"/>
      <w:marTop w:val="0"/>
      <w:marBottom w:val="0"/>
      <w:divBdr>
        <w:top w:val="none" w:sz="0" w:space="0" w:color="auto"/>
        <w:left w:val="none" w:sz="0" w:space="0" w:color="auto"/>
        <w:bottom w:val="none" w:sz="0" w:space="0" w:color="auto"/>
        <w:right w:val="none" w:sz="0" w:space="0" w:color="auto"/>
      </w:divBdr>
    </w:div>
    <w:div w:id="1196313737">
      <w:marLeft w:val="0"/>
      <w:marRight w:val="0"/>
      <w:marTop w:val="0"/>
      <w:marBottom w:val="0"/>
      <w:divBdr>
        <w:top w:val="none" w:sz="0" w:space="0" w:color="auto"/>
        <w:left w:val="none" w:sz="0" w:space="0" w:color="auto"/>
        <w:bottom w:val="none" w:sz="0" w:space="0" w:color="auto"/>
        <w:right w:val="none" w:sz="0" w:space="0" w:color="auto"/>
      </w:divBdr>
      <w:divsChild>
        <w:div w:id="861481966">
          <w:marLeft w:val="0"/>
          <w:marRight w:val="0"/>
          <w:marTop w:val="0"/>
          <w:marBottom w:val="0"/>
          <w:divBdr>
            <w:top w:val="none" w:sz="0" w:space="0" w:color="auto"/>
            <w:left w:val="none" w:sz="0" w:space="0" w:color="auto"/>
            <w:bottom w:val="none" w:sz="0" w:space="0" w:color="auto"/>
            <w:right w:val="none" w:sz="0" w:space="0" w:color="auto"/>
          </w:divBdr>
        </w:div>
        <w:div w:id="1615482394">
          <w:marLeft w:val="0"/>
          <w:marRight w:val="0"/>
          <w:marTop w:val="0"/>
          <w:marBottom w:val="0"/>
          <w:divBdr>
            <w:top w:val="none" w:sz="0" w:space="0" w:color="auto"/>
            <w:left w:val="none" w:sz="0" w:space="0" w:color="auto"/>
            <w:bottom w:val="none" w:sz="0" w:space="0" w:color="auto"/>
            <w:right w:val="none" w:sz="0" w:space="0" w:color="auto"/>
          </w:divBdr>
        </w:div>
        <w:div w:id="1664624555">
          <w:marLeft w:val="0"/>
          <w:marRight w:val="0"/>
          <w:marTop w:val="0"/>
          <w:marBottom w:val="0"/>
          <w:divBdr>
            <w:top w:val="none" w:sz="0" w:space="0" w:color="auto"/>
            <w:left w:val="none" w:sz="0" w:space="0" w:color="auto"/>
            <w:bottom w:val="none" w:sz="0" w:space="0" w:color="auto"/>
            <w:right w:val="none" w:sz="0" w:space="0" w:color="auto"/>
          </w:divBdr>
        </w:div>
        <w:div w:id="1845583847">
          <w:marLeft w:val="0"/>
          <w:marRight w:val="0"/>
          <w:marTop w:val="0"/>
          <w:marBottom w:val="0"/>
          <w:divBdr>
            <w:top w:val="none" w:sz="0" w:space="0" w:color="auto"/>
            <w:left w:val="none" w:sz="0" w:space="0" w:color="auto"/>
            <w:bottom w:val="none" w:sz="0" w:space="0" w:color="auto"/>
            <w:right w:val="none" w:sz="0" w:space="0" w:color="auto"/>
          </w:divBdr>
        </w:div>
      </w:divsChild>
    </w:div>
    <w:div w:id="1196774005">
      <w:marLeft w:val="0"/>
      <w:marRight w:val="0"/>
      <w:marTop w:val="0"/>
      <w:marBottom w:val="0"/>
      <w:divBdr>
        <w:top w:val="none" w:sz="0" w:space="0" w:color="auto"/>
        <w:left w:val="none" w:sz="0" w:space="0" w:color="auto"/>
        <w:bottom w:val="none" w:sz="0" w:space="0" w:color="auto"/>
        <w:right w:val="none" w:sz="0" w:space="0" w:color="auto"/>
      </w:divBdr>
      <w:divsChild>
        <w:div w:id="166755642">
          <w:marLeft w:val="0"/>
          <w:marRight w:val="0"/>
          <w:marTop w:val="0"/>
          <w:marBottom w:val="0"/>
          <w:divBdr>
            <w:top w:val="none" w:sz="0" w:space="0" w:color="auto"/>
            <w:left w:val="none" w:sz="0" w:space="0" w:color="auto"/>
            <w:bottom w:val="none" w:sz="0" w:space="0" w:color="auto"/>
            <w:right w:val="none" w:sz="0" w:space="0" w:color="auto"/>
          </w:divBdr>
        </w:div>
      </w:divsChild>
    </w:div>
    <w:div w:id="1198930032">
      <w:marLeft w:val="0"/>
      <w:marRight w:val="0"/>
      <w:marTop w:val="200"/>
      <w:marBottom w:val="0"/>
      <w:divBdr>
        <w:top w:val="none" w:sz="0" w:space="0" w:color="auto"/>
        <w:left w:val="none" w:sz="0" w:space="0" w:color="auto"/>
        <w:bottom w:val="none" w:sz="0" w:space="0" w:color="auto"/>
        <w:right w:val="none" w:sz="0" w:space="0" w:color="auto"/>
      </w:divBdr>
    </w:div>
    <w:div w:id="1203596936">
      <w:marLeft w:val="0"/>
      <w:marRight w:val="0"/>
      <w:marTop w:val="0"/>
      <w:marBottom w:val="0"/>
      <w:divBdr>
        <w:top w:val="none" w:sz="0" w:space="0" w:color="auto"/>
        <w:left w:val="none" w:sz="0" w:space="0" w:color="auto"/>
        <w:bottom w:val="none" w:sz="0" w:space="0" w:color="auto"/>
        <w:right w:val="none" w:sz="0" w:space="0" w:color="auto"/>
      </w:divBdr>
      <w:divsChild>
        <w:div w:id="438254932">
          <w:marLeft w:val="0"/>
          <w:marRight w:val="0"/>
          <w:marTop w:val="0"/>
          <w:marBottom w:val="0"/>
          <w:divBdr>
            <w:top w:val="none" w:sz="0" w:space="0" w:color="auto"/>
            <w:left w:val="none" w:sz="0" w:space="0" w:color="auto"/>
            <w:bottom w:val="none" w:sz="0" w:space="0" w:color="auto"/>
            <w:right w:val="none" w:sz="0" w:space="0" w:color="auto"/>
          </w:divBdr>
        </w:div>
      </w:divsChild>
    </w:div>
    <w:div w:id="1208689254">
      <w:marLeft w:val="0"/>
      <w:marRight w:val="0"/>
      <w:marTop w:val="0"/>
      <w:marBottom w:val="0"/>
      <w:divBdr>
        <w:top w:val="none" w:sz="0" w:space="0" w:color="auto"/>
        <w:left w:val="none" w:sz="0" w:space="0" w:color="auto"/>
        <w:bottom w:val="none" w:sz="0" w:space="0" w:color="auto"/>
        <w:right w:val="none" w:sz="0" w:space="0" w:color="auto"/>
      </w:divBdr>
    </w:div>
    <w:div w:id="1208879485">
      <w:marLeft w:val="0"/>
      <w:marRight w:val="0"/>
      <w:marTop w:val="0"/>
      <w:marBottom w:val="0"/>
      <w:divBdr>
        <w:top w:val="none" w:sz="0" w:space="0" w:color="auto"/>
        <w:left w:val="none" w:sz="0" w:space="0" w:color="auto"/>
        <w:bottom w:val="none" w:sz="0" w:space="0" w:color="auto"/>
        <w:right w:val="none" w:sz="0" w:space="0" w:color="auto"/>
      </w:divBdr>
      <w:divsChild>
        <w:div w:id="837771132">
          <w:marLeft w:val="0"/>
          <w:marRight w:val="0"/>
          <w:marTop w:val="0"/>
          <w:marBottom w:val="0"/>
          <w:divBdr>
            <w:top w:val="none" w:sz="0" w:space="0" w:color="auto"/>
            <w:left w:val="none" w:sz="0" w:space="0" w:color="auto"/>
            <w:bottom w:val="none" w:sz="0" w:space="0" w:color="auto"/>
            <w:right w:val="none" w:sz="0" w:space="0" w:color="auto"/>
          </w:divBdr>
        </w:div>
      </w:divsChild>
    </w:div>
    <w:div w:id="1215656902">
      <w:marLeft w:val="0"/>
      <w:marRight w:val="0"/>
      <w:marTop w:val="100"/>
      <w:marBottom w:val="0"/>
      <w:divBdr>
        <w:top w:val="none" w:sz="0" w:space="0" w:color="auto"/>
        <w:left w:val="none" w:sz="0" w:space="0" w:color="auto"/>
        <w:bottom w:val="none" w:sz="0" w:space="0" w:color="auto"/>
        <w:right w:val="none" w:sz="0" w:space="0" w:color="auto"/>
      </w:divBdr>
    </w:div>
    <w:div w:id="1216430391">
      <w:marLeft w:val="0"/>
      <w:marRight w:val="0"/>
      <w:marTop w:val="0"/>
      <w:marBottom w:val="0"/>
      <w:divBdr>
        <w:top w:val="none" w:sz="0" w:space="0" w:color="auto"/>
        <w:left w:val="none" w:sz="0" w:space="0" w:color="auto"/>
        <w:bottom w:val="none" w:sz="0" w:space="0" w:color="auto"/>
        <w:right w:val="none" w:sz="0" w:space="0" w:color="auto"/>
      </w:divBdr>
    </w:div>
    <w:div w:id="1218082354">
      <w:marLeft w:val="0"/>
      <w:marRight w:val="0"/>
      <w:marTop w:val="0"/>
      <w:marBottom w:val="0"/>
      <w:divBdr>
        <w:top w:val="none" w:sz="0" w:space="0" w:color="auto"/>
        <w:left w:val="none" w:sz="0" w:space="0" w:color="auto"/>
        <w:bottom w:val="none" w:sz="0" w:space="0" w:color="auto"/>
        <w:right w:val="none" w:sz="0" w:space="0" w:color="auto"/>
      </w:divBdr>
    </w:div>
    <w:div w:id="1222523635">
      <w:marLeft w:val="0"/>
      <w:marRight w:val="0"/>
      <w:marTop w:val="0"/>
      <w:marBottom w:val="0"/>
      <w:divBdr>
        <w:top w:val="none" w:sz="0" w:space="0" w:color="auto"/>
        <w:left w:val="none" w:sz="0" w:space="0" w:color="auto"/>
        <w:bottom w:val="none" w:sz="0" w:space="0" w:color="auto"/>
        <w:right w:val="none" w:sz="0" w:space="0" w:color="auto"/>
      </w:divBdr>
    </w:div>
    <w:div w:id="1225484268">
      <w:marLeft w:val="0"/>
      <w:marRight w:val="0"/>
      <w:marTop w:val="280"/>
      <w:marBottom w:val="0"/>
      <w:divBdr>
        <w:top w:val="none" w:sz="0" w:space="0" w:color="auto"/>
        <w:left w:val="none" w:sz="0" w:space="0" w:color="auto"/>
        <w:bottom w:val="none" w:sz="0" w:space="0" w:color="auto"/>
        <w:right w:val="none" w:sz="0" w:space="0" w:color="auto"/>
      </w:divBdr>
    </w:div>
    <w:div w:id="1227495212">
      <w:marLeft w:val="0"/>
      <w:marRight w:val="0"/>
      <w:marTop w:val="200"/>
      <w:marBottom w:val="0"/>
      <w:divBdr>
        <w:top w:val="none" w:sz="0" w:space="0" w:color="auto"/>
        <w:left w:val="none" w:sz="0" w:space="0" w:color="auto"/>
        <w:bottom w:val="none" w:sz="0" w:space="0" w:color="auto"/>
        <w:right w:val="none" w:sz="0" w:space="0" w:color="auto"/>
      </w:divBdr>
    </w:div>
    <w:div w:id="1228880818">
      <w:marLeft w:val="0"/>
      <w:marRight w:val="0"/>
      <w:marTop w:val="0"/>
      <w:marBottom w:val="0"/>
      <w:divBdr>
        <w:top w:val="none" w:sz="0" w:space="0" w:color="auto"/>
        <w:left w:val="none" w:sz="0" w:space="0" w:color="auto"/>
        <w:bottom w:val="none" w:sz="0" w:space="0" w:color="auto"/>
        <w:right w:val="none" w:sz="0" w:space="0" w:color="auto"/>
      </w:divBdr>
    </w:div>
    <w:div w:id="1231306222">
      <w:marLeft w:val="0"/>
      <w:marRight w:val="0"/>
      <w:marTop w:val="0"/>
      <w:marBottom w:val="200"/>
      <w:divBdr>
        <w:top w:val="none" w:sz="0" w:space="0" w:color="auto"/>
        <w:left w:val="none" w:sz="0" w:space="0" w:color="auto"/>
        <w:bottom w:val="none" w:sz="0" w:space="0" w:color="auto"/>
        <w:right w:val="none" w:sz="0" w:space="0" w:color="auto"/>
      </w:divBdr>
    </w:div>
    <w:div w:id="1234048385">
      <w:marLeft w:val="0"/>
      <w:marRight w:val="0"/>
      <w:marTop w:val="0"/>
      <w:marBottom w:val="0"/>
      <w:divBdr>
        <w:top w:val="none" w:sz="0" w:space="0" w:color="auto"/>
        <w:left w:val="none" w:sz="0" w:space="0" w:color="auto"/>
        <w:bottom w:val="none" w:sz="0" w:space="0" w:color="auto"/>
        <w:right w:val="none" w:sz="0" w:space="0" w:color="auto"/>
      </w:divBdr>
    </w:div>
    <w:div w:id="1234240025">
      <w:marLeft w:val="0"/>
      <w:marRight w:val="0"/>
      <w:marTop w:val="0"/>
      <w:marBottom w:val="0"/>
      <w:divBdr>
        <w:top w:val="none" w:sz="0" w:space="0" w:color="auto"/>
        <w:left w:val="none" w:sz="0" w:space="0" w:color="auto"/>
        <w:bottom w:val="none" w:sz="0" w:space="0" w:color="auto"/>
        <w:right w:val="none" w:sz="0" w:space="0" w:color="auto"/>
      </w:divBdr>
    </w:div>
    <w:div w:id="1235436622">
      <w:marLeft w:val="0"/>
      <w:marRight w:val="0"/>
      <w:marTop w:val="60"/>
      <w:marBottom w:val="0"/>
      <w:divBdr>
        <w:top w:val="none" w:sz="0" w:space="0" w:color="auto"/>
        <w:left w:val="none" w:sz="0" w:space="0" w:color="auto"/>
        <w:bottom w:val="none" w:sz="0" w:space="0" w:color="auto"/>
        <w:right w:val="none" w:sz="0" w:space="0" w:color="auto"/>
      </w:divBdr>
    </w:div>
    <w:div w:id="1238318789">
      <w:marLeft w:val="0"/>
      <w:marRight w:val="0"/>
      <w:marTop w:val="0"/>
      <w:marBottom w:val="0"/>
      <w:divBdr>
        <w:top w:val="none" w:sz="0" w:space="0" w:color="auto"/>
        <w:left w:val="none" w:sz="0" w:space="0" w:color="auto"/>
        <w:bottom w:val="none" w:sz="0" w:space="0" w:color="auto"/>
        <w:right w:val="none" w:sz="0" w:space="0" w:color="auto"/>
      </w:divBdr>
    </w:div>
    <w:div w:id="1240334628">
      <w:marLeft w:val="0"/>
      <w:marRight w:val="0"/>
      <w:marTop w:val="0"/>
      <w:marBottom w:val="0"/>
      <w:divBdr>
        <w:top w:val="none" w:sz="0" w:space="0" w:color="auto"/>
        <w:left w:val="none" w:sz="0" w:space="0" w:color="auto"/>
        <w:bottom w:val="none" w:sz="0" w:space="0" w:color="auto"/>
        <w:right w:val="none" w:sz="0" w:space="0" w:color="auto"/>
      </w:divBdr>
      <w:divsChild>
        <w:div w:id="2017539184">
          <w:marLeft w:val="0"/>
          <w:marRight w:val="0"/>
          <w:marTop w:val="0"/>
          <w:marBottom w:val="0"/>
          <w:divBdr>
            <w:top w:val="none" w:sz="0" w:space="0" w:color="auto"/>
            <w:left w:val="none" w:sz="0" w:space="0" w:color="auto"/>
            <w:bottom w:val="none" w:sz="0" w:space="0" w:color="auto"/>
            <w:right w:val="none" w:sz="0" w:space="0" w:color="auto"/>
          </w:divBdr>
        </w:div>
        <w:div w:id="1114329365">
          <w:marLeft w:val="0"/>
          <w:marRight w:val="0"/>
          <w:marTop w:val="0"/>
          <w:marBottom w:val="0"/>
          <w:divBdr>
            <w:top w:val="none" w:sz="0" w:space="0" w:color="auto"/>
            <w:left w:val="none" w:sz="0" w:space="0" w:color="auto"/>
            <w:bottom w:val="none" w:sz="0" w:space="0" w:color="auto"/>
            <w:right w:val="none" w:sz="0" w:space="0" w:color="auto"/>
          </w:divBdr>
        </w:div>
        <w:div w:id="841506177">
          <w:marLeft w:val="0"/>
          <w:marRight w:val="0"/>
          <w:marTop w:val="0"/>
          <w:marBottom w:val="0"/>
          <w:divBdr>
            <w:top w:val="none" w:sz="0" w:space="0" w:color="auto"/>
            <w:left w:val="none" w:sz="0" w:space="0" w:color="auto"/>
            <w:bottom w:val="none" w:sz="0" w:space="0" w:color="auto"/>
            <w:right w:val="none" w:sz="0" w:space="0" w:color="auto"/>
          </w:divBdr>
        </w:div>
        <w:div w:id="1087384114">
          <w:marLeft w:val="0"/>
          <w:marRight w:val="0"/>
          <w:marTop w:val="0"/>
          <w:marBottom w:val="0"/>
          <w:divBdr>
            <w:top w:val="none" w:sz="0" w:space="0" w:color="auto"/>
            <w:left w:val="none" w:sz="0" w:space="0" w:color="auto"/>
            <w:bottom w:val="none" w:sz="0" w:space="0" w:color="auto"/>
            <w:right w:val="none" w:sz="0" w:space="0" w:color="auto"/>
          </w:divBdr>
        </w:div>
      </w:divsChild>
    </w:div>
    <w:div w:id="1242788191">
      <w:marLeft w:val="0"/>
      <w:marRight w:val="0"/>
      <w:marTop w:val="200"/>
      <w:marBottom w:val="0"/>
      <w:divBdr>
        <w:top w:val="none" w:sz="0" w:space="0" w:color="auto"/>
        <w:left w:val="none" w:sz="0" w:space="0" w:color="auto"/>
        <w:bottom w:val="none" w:sz="0" w:space="0" w:color="auto"/>
        <w:right w:val="none" w:sz="0" w:space="0" w:color="auto"/>
      </w:divBdr>
    </w:div>
    <w:div w:id="1243105635">
      <w:marLeft w:val="0"/>
      <w:marRight w:val="0"/>
      <w:marTop w:val="200"/>
      <w:marBottom w:val="0"/>
      <w:divBdr>
        <w:top w:val="none" w:sz="0" w:space="0" w:color="auto"/>
        <w:left w:val="none" w:sz="0" w:space="0" w:color="auto"/>
        <w:bottom w:val="none" w:sz="0" w:space="0" w:color="auto"/>
        <w:right w:val="none" w:sz="0" w:space="0" w:color="auto"/>
      </w:divBdr>
    </w:div>
    <w:div w:id="1243417755">
      <w:marLeft w:val="0"/>
      <w:marRight w:val="0"/>
      <w:marTop w:val="0"/>
      <w:marBottom w:val="0"/>
      <w:divBdr>
        <w:top w:val="none" w:sz="0" w:space="0" w:color="auto"/>
        <w:left w:val="none" w:sz="0" w:space="0" w:color="auto"/>
        <w:bottom w:val="none" w:sz="0" w:space="0" w:color="auto"/>
        <w:right w:val="none" w:sz="0" w:space="0" w:color="auto"/>
      </w:divBdr>
    </w:div>
    <w:div w:id="1243685887">
      <w:marLeft w:val="0"/>
      <w:marRight w:val="0"/>
      <w:marTop w:val="0"/>
      <w:marBottom w:val="0"/>
      <w:divBdr>
        <w:top w:val="none" w:sz="0" w:space="0" w:color="auto"/>
        <w:left w:val="none" w:sz="0" w:space="0" w:color="auto"/>
        <w:bottom w:val="none" w:sz="0" w:space="0" w:color="auto"/>
        <w:right w:val="none" w:sz="0" w:space="0" w:color="auto"/>
      </w:divBdr>
    </w:div>
    <w:div w:id="1247881764">
      <w:marLeft w:val="0"/>
      <w:marRight w:val="0"/>
      <w:marTop w:val="200"/>
      <w:marBottom w:val="0"/>
      <w:divBdr>
        <w:top w:val="none" w:sz="0" w:space="0" w:color="auto"/>
        <w:left w:val="none" w:sz="0" w:space="0" w:color="auto"/>
        <w:bottom w:val="none" w:sz="0" w:space="0" w:color="auto"/>
        <w:right w:val="none" w:sz="0" w:space="0" w:color="auto"/>
      </w:divBdr>
    </w:div>
    <w:div w:id="1248348646">
      <w:marLeft w:val="0"/>
      <w:marRight w:val="0"/>
      <w:marTop w:val="60"/>
      <w:marBottom w:val="0"/>
      <w:divBdr>
        <w:top w:val="none" w:sz="0" w:space="0" w:color="auto"/>
        <w:left w:val="none" w:sz="0" w:space="0" w:color="auto"/>
        <w:bottom w:val="none" w:sz="0" w:space="0" w:color="auto"/>
        <w:right w:val="none" w:sz="0" w:space="0" w:color="auto"/>
      </w:divBdr>
    </w:div>
    <w:div w:id="1254558411">
      <w:marLeft w:val="0"/>
      <w:marRight w:val="0"/>
      <w:marTop w:val="0"/>
      <w:marBottom w:val="0"/>
      <w:divBdr>
        <w:top w:val="none" w:sz="0" w:space="0" w:color="auto"/>
        <w:left w:val="none" w:sz="0" w:space="0" w:color="auto"/>
        <w:bottom w:val="none" w:sz="0" w:space="0" w:color="auto"/>
        <w:right w:val="none" w:sz="0" w:space="0" w:color="auto"/>
      </w:divBdr>
      <w:divsChild>
        <w:div w:id="1557740303">
          <w:marLeft w:val="0"/>
          <w:marRight w:val="0"/>
          <w:marTop w:val="0"/>
          <w:marBottom w:val="0"/>
          <w:divBdr>
            <w:top w:val="none" w:sz="0" w:space="0" w:color="auto"/>
            <w:left w:val="none" w:sz="0" w:space="0" w:color="auto"/>
            <w:bottom w:val="none" w:sz="0" w:space="0" w:color="auto"/>
            <w:right w:val="none" w:sz="0" w:space="0" w:color="auto"/>
          </w:divBdr>
        </w:div>
      </w:divsChild>
    </w:div>
    <w:div w:id="1254971698">
      <w:marLeft w:val="0"/>
      <w:marRight w:val="0"/>
      <w:marTop w:val="0"/>
      <w:marBottom w:val="0"/>
      <w:divBdr>
        <w:top w:val="none" w:sz="0" w:space="0" w:color="auto"/>
        <w:left w:val="none" w:sz="0" w:space="0" w:color="auto"/>
        <w:bottom w:val="none" w:sz="0" w:space="0" w:color="auto"/>
        <w:right w:val="none" w:sz="0" w:space="0" w:color="auto"/>
      </w:divBdr>
      <w:divsChild>
        <w:div w:id="652683739">
          <w:marLeft w:val="0"/>
          <w:marRight w:val="0"/>
          <w:marTop w:val="0"/>
          <w:marBottom w:val="0"/>
          <w:divBdr>
            <w:top w:val="none" w:sz="0" w:space="0" w:color="auto"/>
            <w:left w:val="none" w:sz="0" w:space="0" w:color="auto"/>
            <w:bottom w:val="none" w:sz="0" w:space="0" w:color="auto"/>
            <w:right w:val="none" w:sz="0" w:space="0" w:color="auto"/>
          </w:divBdr>
        </w:div>
      </w:divsChild>
    </w:div>
    <w:div w:id="1256357154">
      <w:marLeft w:val="0"/>
      <w:marRight w:val="0"/>
      <w:marTop w:val="0"/>
      <w:marBottom w:val="200"/>
      <w:divBdr>
        <w:top w:val="none" w:sz="0" w:space="0" w:color="auto"/>
        <w:left w:val="none" w:sz="0" w:space="0" w:color="auto"/>
        <w:bottom w:val="none" w:sz="0" w:space="0" w:color="auto"/>
        <w:right w:val="none" w:sz="0" w:space="0" w:color="auto"/>
      </w:divBdr>
    </w:div>
    <w:div w:id="1256400848">
      <w:marLeft w:val="0"/>
      <w:marRight w:val="0"/>
      <w:marTop w:val="200"/>
      <w:marBottom w:val="0"/>
      <w:divBdr>
        <w:top w:val="none" w:sz="0" w:space="0" w:color="auto"/>
        <w:left w:val="none" w:sz="0" w:space="0" w:color="auto"/>
        <w:bottom w:val="none" w:sz="0" w:space="0" w:color="auto"/>
        <w:right w:val="none" w:sz="0" w:space="0" w:color="auto"/>
      </w:divBdr>
    </w:div>
    <w:div w:id="1257440918">
      <w:marLeft w:val="0"/>
      <w:marRight w:val="0"/>
      <w:marTop w:val="200"/>
      <w:marBottom w:val="0"/>
      <w:divBdr>
        <w:top w:val="none" w:sz="0" w:space="0" w:color="auto"/>
        <w:left w:val="none" w:sz="0" w:space="0" w:color="auto"/>
        <w:bottom w:val="none" w:sz="0" w:space="0" w:color="auto"/>
        <w:right w:val="none" w:sz="0" w:space="0" w:color="auto"/>
      </w:divBdr>
    </w:div>
    <w:div w:id="1259018463">
      <w:marLeft w:val="0"/>
      <w:marRight w:val="0"/>
      <w:marTop w:val="100"/>
      <w:marBottom w:val="60"/>
      <w:divBdr>
        <w:top w:val="none" w:sz="0" w:space="0" w:color="auto"/>
        <w:left w:val="none" w:sz="0" w:space="0" w:color="auto"/>
        <w:bottom w:val="none" w:sz="0" w:space="0" w:color="auto"/>
        <w:right w:val="none" w:sz="0" w:space="0" w:color="auto"/>
      </w:divBdr>
    </w:div>
    <w:div w:id="1260258764">
      <w:marLeft w:val="0"/>
      <w:marRight w:val="0"/>
      <w:marTop w:val="100"/>
      <w:marBottom w:val="0"/>
      <w:divBdr>
        <w:top w:val="none" w:sz="0" w:space="0" w:color="auto"/>
        <w:left w:val="none" w:sz="0" w:space="0" w:color="auto"/>
        <w:bottom w:val="none" w:sz="0" w:space="0" w:color="auto"/>
        <w:right w:val="none" w:sz="0" w:space="0" w:color="auto"/>
      </w:divBdr>
    </w:div>
    <w:div w:id="1264725487">
      <w:marLeft w:val="0"/>
      <w:marRight w:val="0"/>
      <w:marTop w:val="0"/>
      <w:marBottom w:val="0"/>
      <w:divBdr>
        <w:top w:val="none" w:sz="0" w:space="0" w:color="auto"/>
        <w:left w:val="none" w:sz="0" w:space="0" w:color="auto"/>
        <w:bottom w:val="none" w:sz="0" w:space="0" w:color="auto"/>
        <w:right w:val="none" w:sz="0" w:space="0" w:color="auto"/>
      </w:divBdr>
      <w:divsChild>
        <w:div w:id="404188042">
          <w:marLeft w:val="0"/>
          <w:marRight w:val="0"/>
          <w:marTop w:val="0"/>
          <w:marBottom w:val="0"/>
          <w:divBdr>
            <w:top w:val="none" w:sz="0" w:space="0" w:color="auto"/>
            <w:left w:val="none" w:sz="0" w:space="0" w:color="auto"/>
            <w:bottom w:val="none" w:sz="0" w:space="0" w:color="auto"/>
            <w:right w:val="none" w:sz="0" w:space="0" w:color="auto"/>
          </w:divBdr>
        </w:div>
        <w:div w:id="714625741">
          <w:marLeft w:val="0"/>
          <w:marRight w:val="0"/>
          <w:marTop w:val="0"/>
          <w:marBottom w:val="0"/>
          <w:divBdr>
            <w:top w:val="none" w:sz="0" w:space="0" w:color="auto"/>
            <w:left w:val="none" w:sz="0" w:space="0" w:color="auto"/>
            <w:bottom w:val="none" w:sz="0" w:space="0" w:color="auto"/>
            <w:right w:val="none" w:sz="0" w:space="0" w:color="auto"/>
          </w:divBdr>
        </w:div>
        <w:div w:id="868880358">
          <w:marLeft w:val="0"/>
          <w:marRight w:val="0"/>
          <w:marTop w:val="0"/>
          <w:marBottom w:val="0"/>
          <w:divBdr>
            <w:top w:val="none" w:sz="0" w:space="0" w:color="auto"/>
            <w:left w:val="none" w:sz="0" w:space="0" w:color="auto"/>
            <w:bottom w:val="none" w:sz="0" w:space="0" w:color="auto"/>
            <w:right w:val="none" w:sz="0" w:space="0" w:color="auto"/>
          </w:divBdr>
        </w:div>
        <w:div w:id="2076705961">
          <w:marLeft w:val="0"/>
          <w:marRight w:val="0"/>
          <w:marTop w:val="0"/>
          <w:marBottom w:val="0"/>
          <w:divBdr>
            <w:top w:val="none" w:sz="0" w:space="0" w:color="auto"/>
            <w:left w:val="none" w:sz="0" w:space="0" w:color="auto"/>
            <w:bottom w:val="none" w:sz="0" w:space="0" w:color="auto"/>
            <w:right w:val="none" w:sz="0" w:space="0" w:color="auto"/>
          </w:divBdr>
        </w:div>
      </w:divsChild>
    </w:div>
    <w:div w:id="1266352923">
      <w:marLeft w:val="0"/>
      <w:marRight w:val="0"/>
      <w:marTop w:val="0"/>
      <w:marBottom w:val="0"/>
      <w:divBdr>
        <w:top w:val="none" w:sz="0" w:space="0" w:color="auto"/>
        <w:left w:val="none" w:sz="0" w:space="0" w:color="auto"/>
        <w:bottom w:val="none" w:sz="0" w:space="0" w:color="auto"/>
        <w:right w:val="none" w:sz="0" w:space="0" w:color="auto"/>
      </w:divBdr>
      <w:divsChild>
        <w:div w:id="779491582">
          <w:marLeft w:val="0"/>
          <w:marRight w:val="0"/>
          <w:marTop w:val="0"/>
          <w:marBottom w:val="0"/>
          <w:divBdr>
            <w:top w:val="none" w:sz="0" w:space="0" w:color="auto"/>
            <w:left w:val="none" w:sz="0" w:space="0" w:color="auto"/>
            <w:bottom w:val="none" w:sz="0" w:space="0" w:color="auto"/>
            <w:right w:val="none" w:sz="0" w:space="0" w:color="auto"/>
          </w:divBdr>
        </w:div>
      </w:divsChild>
    </w:div>
    <w:div w:id="1268196512">
      <w:marLeft w:val="0"/>
      <w:marRight w:val="0"/>
      <w:marTop w:val="0"/>
      <w:marBottom w:val="0"/>
      <w:divBdr>
        <w:top w:val="none" w:sz="0" w:space="0" w:color="auto"/>
        <w:left w:val="none" w:sz="0" w:space="0" w:color="auto"/>
        <w:bottom w:val="none" w:sz="0" w:space="0" w:color="auto"/>
        <w:right w:val="none" w:sz="0" w:space="0" w:color="auto"/>
      </w:divBdr>
    </w:div>
    <w:div w:id="1268391261">
      <w:marLeft w:val="0"/>
      <w:marRight w:val="0"/>
      <w:marTop w:val="200"/>
      <w:marBottom w:val="0"/>
      <w:divBdr>
        <w:top w:val="none" w:sz="0" w:space="0" w:color="auto"/>
        <w:left w:val="none" w:sz="0" w:space="0" w:color="auto"/>
        <w:bottom w:val="none" w:sz="0" w:space="0" w:color="auto"/>
        <w:right w:val="none" w:sz="0" w:space="0" w:color="auto"/>
      </w:divBdr>
    </w:div>
    <w:div w:id="1270965670">
      <w:marLeft w:val="0"/>
      <w:marRight w:val="0"/>
      <w:marTop w:val="200"/>
      <w:marBottom w:val="0"/>
      <w:divBdr>
        <w:top w:val="none" w:sz="0" w:space="0" w:color="auto"/>
        <w:left w:val="none" w:sz="0" w:space="0" w:color="auto"/>
        <w:bottom w:val="none" w:sz="0" w:space="0" w:color="auto"/>
        <w:right w:val="none" w:sz="0" w:space="0" w:color="auto"/>
      </w:divBdr>
    </w:div>
    <w:div w:id="1271860444">
      <w:marLeft w:val="0"/>
      <w:marRight w:val="0"/>
      <w:marTop w:val="200"/>
      <w:marBottom w:val="0"/>
      <w:divBdr>
        <w:top w:val="none" w:sz="0" w:space="0" w:color="auto"/>
        <w:left w:val="none" w:sz="0" w:space="0" w:color="auto"/>
        <w:bottom w:val="none" w:sz="0" w:space="0" w:color="auto"/>
        <w:right w:val="none" w:sz="0" w:space="0" w:color="auto"/>
      </w:divBdr>
    </w:div>
    <w:div w:id="1276018559">
      <w:marLeft w:val="0"/>
      <w:marRight w:val="0"/>
      <w:marTop w:val="0"/>
      <w:marBottom w:val="0"/>
      <w:divBdr>
        <w:top w:val="none" w:sz="0" w:space="0" w:color="auto"/>
        <w:left w:val="none" w:sz="0" w:space="0" w:color="auto"/>
        <w:bottom w:val="none" w:sz="0" w:space="0" w:color="auto"/>
        <w:right w:val="none" w:sz="0" w:space="0" w:color="auto"/>
      </w:divBdr>
      <w:divsChild>
        <w:div w:id="85810493">
          <w:marLeft w:val="0"/>
          <w:marRight w:val="0"/>
          <w:marTop w:val="0"/>
          <w:marBottom w:val="0"/>
          <w:divBdr>
            <w:top w:val="none" w:sz="0" w:space="0" w:color="auto"/>
            <w:left w:val="none" w:sz="0" w:space="0" w:color="auto"/>
            <w:bottom w:val="none" w:sz="0" w:space="0" w:color="auto"/>
            <w:right w:val="none" w:sz="0" w:space="0" w:color="auto"/>
          </w:divBdr>
        </w:div>
        <w:div w:id="272979215">
          <w:marLeft w:val="0"/>
          <w:marRight w:val="0"/>
          <w:marTop w:val="0"/>
          <w:marBottom w:val="0"/>
          <w:divBdr>
            <w:top w:val="none" w:sz="0" w:space="0" w:color="auto"/>
            <w:left w:val="none" w:sz="0" w:space="0" w:color="auto"/>
            <w:bottom w:val="none" w:sz="0" w:space="0" w:color="auto"/>
            <w:right w:val="none" w:sz="0" w:space="0" w:color="auto"/>
          </w:divBdr>
        </w:div>
        <w:div w:id="1421215442">
          <w:marLeft w:val="0"/>
          <w:marRight w:val="0"/>
          <w:marTop w:val="0"/>
          <w:marBottom w:val="0"/>
          <w:divBdr>
            <w:top w:val="none" w:sz="0" w:space="0" w:color="auto"/>
            <w:left w:val="none" w:sz="0" w:space="0" w:color="auto"/>
            <w:bottom w:val="none" w:sz="0" w:space="0" w:color="auto"/>
            <w:right w:val="none" w:sz="0" w:space="0" w:color="auto"/>
          </w:divBdr>
        </w:div>
        <w:div w:id="1031878905">
          <w:marLeft w:val="0"/>
          <w:marRight w:val="0"/>
          <w:marTop w:val="0"/>
          <w:marBottom w:val="0"/>
          <w:divBdr>
            <w:top w:val="none" w:sz="0" w:space="0" w:color="auto"/>
            <w:left w:val="none" w:sz="0" w:space="0" w:color="auto"/>
            <w:bottom w:val="none" w:sz="0" w:space="0" w:color="auto"/>
            <w:right w:val="none" w:sz="0" w:space="0" w:color="auto"/>
          </w:divBdr>
        </w:div>
      </w:divsChild>
    </w:div>
    <w:div w:id="1276445227">
      <w:marLeft w:val="0"/>
      <w:marRight w:val="0"/>
      <w:marTop w:val="200"/>
      <w:marBottom w:val="0"/>
      <w:divBdr>
        <w:top w:val="none" w:sz="0" w:space="0" w:color="auto"/>
        <w:left w:val="none" w:sz="0" w:space="0" w:color="auto"/>
        <w:bottom w:val="none" w:sz="0" w:space="0" w:color="auto"/>
        <w:right w:val="none" w:sz="0" w:space="0" w:color="auto"/>
      </w:divBdr>
    </w:div>
    <w:div w:id="1278104254">
      <w:marLeft w:val="0"/>
      <w:marRight w:val="0"/>
      <w:marTop w:val="0"/>
      <w:marBottom w:val="0"/>
      <w:divBdr>
        <w:top w:val="none" w:sz="0" w:space="0" w:color="auto"/>
        <w:left w:val="none" w:sz="0" w:space="0" w:color="auto"/>
        <w:bottom w:val="none" w:sz="0" w:space="0" w:color="auto"/>
        <w:right w:val="none" w:sz="0" w:space="0" w:color="auto"/>
      </w:divBdr>
    </w:div>
    <w:div w:id="1279022014">
      <w:marLeft w:val="0"/>
      <w:marRight w:val="0"/>
      <w:marTop w:val="100"/>
      <w:marBottom w:val="0"/>
      <w:divBdr>
        <w:top w:val="none" w:sz="0" w:space="0" w:color="auto"/>
        <w:left w:val="none" w:sz="0" w:space="0" w:color="auto"/>
        <w:bottom w:val="none" w:sz="0" w:space="0" w:color="auto"/>
        <w:right w:val="none" w:sz="0" w:space="0" w:color="auto"/>
      </w:divBdr>
    </w:div>
    <w:div w:id="1279294651">
      <w:marLeft w:val="0"/>
      <w:marRight w:val="0"/>
      <w:marTop w:val="200"/>
      <w:marBottom w:val="0"/>
      <w:divBdr>
        <w:top w:val="none" w:sz="0" w:space="0" w:color="auto"/>
        <w:left w:val="none" w:sz="0" w:space="0" w:color="auto"/>
        <w:bottom w:val="none" w:sz="0" w:space="0" w:color="auto"/>
        <w:right w:val="none" w:sz="0" w:space="0" w:color="auto"/>
      </w:divBdr>
    </w:div>
    <w:div w:id="1280187520">
      <w:marLeft w:val="0"/>
      <w:marRight w:val="0"/>
      <w:marTop w:val="0"/>
      <w:marBottom w:val="0"/>
      <w:divBdr>
        <w:top w:val="none" w:sz="0" w:space="0" w:color="auto"/>
        <w:left w:val="none" w:sz="0" w:space="0" w:color="auto"/>
        <w:bottom w:val="none" w:sz="0" w:space="0" w:color="auto"/>
        <w:right w:val="none" w:sz="0" w:space="0" w:color="auto"/>
      </w:divBdr>
      <w:divsChild>
        <w:div w:id="1690139649">
          <w:marLeft w:val="0"/>
          <w:marRight w:val="0"/>
          <w:marTop w:val="0"/>
          <w:marBottom w:val="0"/>
          <w:divBdr>
            <w:top w:val="none" w:sz="0" w:space="0" w:color="auto"/>
            <w:left w:val="none" w:sz="0" w:space="0" w:color="auto"/>
            <w:bottom w:val="none" w:sz="0" w:space="0" w:color="auto"/>
            <w:right w:val="none" w:sz="0" w:space="0" w:color="auto"/>
          </w:divBdr>
        </w:div>
      </w:divsChild>
    </w:div>
    <w:div w:id="1281064691">
      <w:marLeft w:val="0"/>
      <w:marRight w:val="0"/>
      <w:marTop w:val="200"/>
      <w:marBottom w:val="0"/>
      <w:divBdr>
        <w:top w:val="none" w:sz="0" w:space="0" w:color="auto"/>
        <w:left w:val="none" w:sz="0" w:space="0" w:color="auto"/>
        <w:bottom w:val="none" w:sz="0" w:space="0" w:color="auto"/>
        <w:right w:val="none" w:sz="0" w:space="0" w:color="auto"/>
      </w:divBdr>
    </w:div>
    <w:div w:id="1284385463">
      <w:marLeft w:val="0"/>
      <w:marRight w:val="0"/>
      <w:marTop w:val="0"/>
      <w:marBottom w:val="0"/>
      <w:divBdr>
        <w:top w:val="none" w:sz="0" w:space="0" w:color="auto"/>
        <w:left w:val="none" w:sz="0" w:space="0" w:color="auto"/>
        <w:bottom w:val="none" w:sz="0" w:space="0" w:color="auto"/>
        <w:right w:val="none" w:sz="0" w:space="0" w:color="auto"/>
      </w:divBdr>
      <w:divsChild>
        <w:div w:id="1375159363">
          <w:marLeft w:val="0"/>
          <w:marRight w:val="0"/>
          <w:marTop w:val="0"/>
          <w:marBottom w:val="0"/>
          <w:divBdr>
            <w:top w:val="none" w:sz="0" w:space="0" w:color="auto"/>
            <w:left w:val="none" w:sz="0" w:space="0" w:color="auto"/>
            <w:bottom w:val="none" w:sz="0" w:space="0" w:color="auto"/>
            <w:right w:val="none" w:sz="0" w:space="0" w:color="auto"/>
          </w:divBdr>
        </w:div>
      </w:divsChild>
    </w:div>
    <w:div w:id="1288505120">
      <w:marLeft w:val="0"/>
      <w:marRight w:val="0"/>
      <w:marTop w:val="200"/>
      <w:marBottom w:val="0"/>
      <w:divBdr>
        <w:top w:val="none" w:sz="0" w:space="0" w:color="auto"/>
        <w:left w:val="none" w:sz="0" w:space="0" w:color="auto"/>
        <w:bottom w:val="none" w:sz="0" w:space="0" w:color="auto"/>
        <w:right w:val="none" w:sz="0" w:space="0" w:color="auto"/>
      </w:divBdr>
    </w:div>
    <w:div w:id="1289163836">
      <w:marLeft w:val="0"/>
      <w:marRight w:val="0"/>
      <w:marTop w:val="200"/>
      <w:marBottom w:val="0"/>
      <w:divBdr>
        <w:top w:val="none" w:sz="0" w:space="0" w:color="auto"/>
        <w:left w:val="none" w:sz="0" w:space="0" w:color="auto"/>
        <w:bottom w:val="none" w:sz="0" w:space="0" w:color="auto"/>
        <w:right w:val="none" w:sz="0" w:space="0" w:color="auto"/>
      </w:divBdr>
    </w:div>
    <w:div w:id="1290936201">
      <w:marLeft w:val="0"/>
      <w:marRight w:val="0"/>
      <w:marTop w:val="0"/>
      <w:marBottom w:val="0"/>
      <w:divBdr>
        <w:top w:val="none" w:sz="0" w:space="0" w:color="auto"/>
        <w:left w:val="none" w:sz="0" w:space="0" w:color="auto"/>
        <w:bottom w:val="none" w:sz="0" w:space="0" w:color="auto"/>
        <w:right w:val="none" w:sz="0" w:space="0" w:color="auto"/>
      </w:divBdr>
      <w:divsChild>
        <w:div w:id="105539015">
          <w:marLeft w:val="0"/>
          <w:marRight w:val="0"/>
          <w:marTop w:val="0"/>
          <w:marBottom w:val="0"/>
          <w:divBdr>
            <w:top w:val="none" w:sz="0" w:space="0" w:color="auto"/>
            <w:left w:val="none" w:sz="0" w:space="0" w:color="auto"/>
            <w:bottom w:val="none" w:sz="0" w:space="0" w:color="auto"/>
            <w:right w:val="none" w:sz="0" w:space="0" w:color="auto"/>
          </w:divBdr>
        </w:div>
        <w:div w:id="464859350">
          <w:marLeft w:val="0"/>
          <w:marRight w:val="0"/>
          <w:marTop w:val="0"/>
          <w:marBottom w:val="0"/>
          <w:divBdr>
            <w:top w:val="none" w:sz="0" w:space="0" w:color="auto"/>
            <w:left w:val="none" w:sz="0" w:space="0" w:color="auto"/>
            <w:bottom w:val="none" w:sz="0" w:space="0" w:color="auto"/>
            <w:right w:val="none" w:sz="0" w:space="0" w:color="auto"/>
          </w:divBdr>
        </w:div>
        <w:div w:id="99302214">
          <w:marLeft w:val="0"/>
          <w:marRight w:val="0"/>
          <w:marTop w:val="0"/>
          <w:marBottom w:val="0"/>
          <w:divBdr>
            <w:top w:val="none" w:sz="0" w:space="0" w:color="auto"/>
            <w:left w:val="none" w:sz="0" w:space="0" w:color="auto"/>
            <w:bottom w:val="none" w:sz="0" w:space="0" w:color="auto"/>
            <w:right w:val="none" w:sz="0" w:space="0" w:color="auto"/>
          </w:divBdr>
        </w:div>
        <w:div w:id="266036903">
          <w:marLeft w:val="0"/>
          <w:marRight w:val="0"/>
          <w:marTop w:val="0"/>
          <w:marBottom w:val="0"/>
          <w:divBdr>
            <w:top w:val="none" w:sz="0" w:space="0" w:color="auto"/>
            <w:left w:val="none" w:sz="0" w:space="0" w:color="auto"/>
            <w:bottom w:val="none" w:sz="0" w:space="0" w:color="auto"/>
            <w:right w:val="none" w:sz="0" w:space="0" w:color="auto"/>
          </w:divBdr>
        </w:div>
      </w:divsChild>
    </w:div>
    <w:div w:id="1295721461">
      <w:marLeft w:val="0"/>
      <w:marRight w:val="0"/>
      <w:marTop w:val="200"/>
      <w:marBottom w:val="0"/>
      <w:divBdr>
        <w:top w:val="none" w:sz="0" w:space="0" w:color="auto"/>
        <w:left w:val="none" w:sz="0" w:space="0" w:color="auto"/>
        <w:bottom w:val="none" w:sz="0" w:space="0" w:color="auto"/>
        <w:right w:val="none" w:sz="0" w:space="0" w:color="auto"/>
      </w:divBdr>
    </w:div>
    <w:div w:id="1299338531">
      <w:marLeft w:val="0"/>
      <w:marRight w:val="0"/>
      <w:marTop w:val="100"/>
      <w:marBottom w:val="0"/>
      <w:divBdr>
        <w:top w:val="none" w:sz="0" w:space="0" w:color="auto"/>
        <w:left w:val="none" w:sz="0" w:space="0" w:color="auto"/>
        <w:bottom w:val="none" w:sz="0" w:space="0" w:color="auto"/>
        <w:right w:val="none" w:sz="0" w:space="0" w:color="auto"/>
      </w:divBdr>
    </w:div>
    <w:div w:id="1299529821">
      <w:marLeft w:val="0"/>
      <w:marRight w:val="0"/>
      <w:marTop w:val="100"/>
      <w:marBottom w:val="60"/>
      <w:divBdr>
        <w:top w:val="none" w:sz="0" w:space="0" w:color="auto"/>
        <w:left w:val="none" w:sz="0" w:space="0" w:color="auto"/>
        <w:bottom w:val="none" w:sz="0" w:space="0" w:color="auto"/>
        <w:right w:val="none" w:sz="0" w:space="0" w:color="auto"/>
      </w:divBdr>
    </w:div>
    <w:div w:id="1301305827">
      <w:marLeft w:val="0"/>
      <w:marRight w:val="0"/>
      <w:marTop w:val="0"/>
      <w:marBottom w:val="200"/>
      <w:divBdr>
        <w:top w:val="none" w:sz="0" w:space="0" w:color="auto"/>
        <w:left w:val="none" w:sz="0" w:space="0" w:color="auto"/>
        <w:bottom w:val="none" w:sz="0" w:space="0" w:color="auto"/>
        <w:right w:val="none" w:sz="0" w:space="0" w:color="auto"/>
      </w:divBdr>
    </w:div>
    <w:div w:id="1304309462">
      <w:marLeft w:val="0"/>
      <w:marRight w:val="0"/>
      <w:marTop w:val="200"/>
      <w:marBottom w:val="0"/>
      <w:divBdr>
        <w:top w:val="none" w:sz="0" w:space="0" w:color="auto"/>
        <w:left w:val="none" w:sz="0" w:space="0" w:color="auto"/>
        <w:bottom w:val="none" w:sz="0" w:space="0" w:color="auto"/>
        <w:right w:val="none" w:sz="0" w:space="0" w:color="auto"/>
      </w:divBdr>
    </w:div>
    <w:div w:id="1306549694">
      <w:marLeft w:val="0"/>
      <w:marRight w:val="0"/>
      <w:marTop w:val="200"/>
      <w:marBottom w:val="0"/>
      <w:divBdr>
        <w:top w:val="none" w:sz="0" w:space="0" w:color="auto"/>
        <w:left w:val="none" w:sz="0" w:space="0" w:color="auto"/>
        <w:bottom w:val="none" w:sz="0" w:space="0" w:color="auto"/>
        <w:right w:val="none" w:sz="0" w:space="0" w:color="auto"/>
      </w:divBdr>
    </w:div>
    <w:div w:id="1315600743">
      <w:marLeft w:val="0"/>
      <w:marRight w:val="0"/>
      <w:marTop w:val="0"/>
      <w:marBottom w:val="160"/>
      <w:divBdr>
        <w:top w:val="none" w:sz="0" w:space="0" w:color="auto"/>
        <w:left w:val="none" w:sz="0" w:space="0" w:color="auto"/>
        <w:bottom w:val="none" w:sz="0" w:space="0" w:color="auto"/>
        <w:right w:val="none" w:sz="0" w:space="0" w:color="auto"/>
      </w:divBdr>
    </w:div>
    <w:div w:id="1315643401">
      <w:marLeft w:val="0"/>
      <w:marRight w:val="0"/>
      <w:marTop w:val="0"/>
      <w:marBottom w:val="0"/>
      <w:divBdr>
        <w:top w:val="none" w:sz="0" w:space="0" w:color="auto"/>
        <w:left w:val="none" w:sz="0" w:space="0" w:color="auto"/>
        <w:bottom w:val="none" w:sz="0" w:space="0" w:color="auto"/>
        <w:right w:val="none" w:sz="0" w:space="0" w:color="auto"/>
      </w:divBdr>
      <w:divsChild>
        <w:div w:id="19934470">
          <w:marLeft w:val="0"/>
          <w:marRight w:val="0"/>
          <w:marTop w:val="0"/>
          <w:marBottom w:val="0"/>
          <w:divBdr>
            <w:top w:val="none" w:sz="0" w:space="0" w:color="auto"/>
            <w:left w:val="none" w:sz="0" w:space="0" w:color="auto"/>
            <w:bottom w:val="none" w:sz="0" w:space="0" w:color="auto"/>
            <w:right w:val="none" w:sz="0" w:space="0" w:color="auto"/>
          </w:divBdr>
        </w:div>
      </w:divsChild>
    </w:div>
    <w:div w:id="1316496675">
      <w:marLeft w:val="0"/>
      <w:marRight w:val="0"/>
      <w:marTop w:val="0"/>
      <w:marBottom w:val="0"/>
      <w:divBdr>
        <w:top w:val="none" w:sz="0" w:space="0" w:color="auto"/>
        <w:left w:val="none" w:sz="0" w:space="0" w:color="auto"/>
        <w:bottom w:val="none" w:sz="0" w:space="0" w:color="auto"/>
        <w:right w:val="none" w:sz="0" w:space="0" w:color="auto"/>
      </w:divBdr>
    </w:div>
    <w:div w:id="1321888342">
      <w:marLeft w:val="0"/>
      <w:marRight w:val="0"/>
      <w:marTop w:val="200"/>
      <w:marBottom w:val="0"/>
      <w:divBdr>
        <w:top w:val="none" w:sz="0" w:space="0" w:color="auto"/>
        <w:left w:val="none" w:sz="0" w:space="0" w:color="auto"/>
        <w:bottom w:val="none" w:sz="0" w:space="0" w:color="auto"/>
        <w:right w:val="none" w:sz="0" w:space="0" w:color="auto"/>
      </w:divBdr>
    </w:div>
    <w:div w:id="1323048487">
      <w:marLeft w:val="0"/>
      <w:marRight w:val="0"/>
      <w:marTop w:val="200"/>
      <w:marBottom w:val="0"/>
      <w:divBdr>
        <w:top w:val="none" w:sz="0" w:space="0" w:color="auto"/>
        <w:left w:val="none" w:sz="0" w:space="0" w:color="auto"/>
        <w:bottom w:val="none" w:sz="0" w:space="0" w:color="auto"/>
        <w:right w:val="none" w:sz="0" w:space="0" w:color="auto"/>
      </w:divBdr>
    </w:div>
    <w:div w:id="1323310885">
      <w:marLeft w:val="0"/>
      <w:marRight w:val="0"/>
      <w:marTop w:val="0"/>
      <w:marBottom w:val="0"/>
      <w:divBdr>
        <w:top w:val="none" w:sz="0" w:space="0" w:color="auto"/>
        <w:left w:val="none" w:sz="0" w:space="0" w:color="auto"/>
        <w:bottom w:val="none" w:sz="0" w:space="0" w:color="auto"/>
        <w:right w:val="none" w:sz="0" w:space="0" w:color="auto"/>
      </w:divBdr>
    </w:div>
    <w:div w:id="1323705697">
      <w:marLeft w:val="0"/>
      <w:marRight w:val="0"/>
      <w:marTop w:val="100"/>
      <w:marBottom w:val="0"/>
      <w:divBdr>
        <w:top w:val="none" w:sz="0" w:space="0" w:color="auto"/>
        <w:left w:val="none" w:sz="0" w:space="0" w:color="auto"/>
        <w:bottom w:val="none" w:sz="0" w:space="0" w:color="auto"/>
        <w:right w:val="none" w:sz="0" w:space="0" w:color="auto"/>
      </w:divBdr>
    </w:div>
    <w:div w:id="1327635299">
      <w:marLeft w:val="0"/>
      <w:marRight w:val="0"/>
      <w:marTop w:val="200"/>
      <w:marBottom w:val="0"/>
      <w:divBdr>
        <w:top w:val="none" w:sz="0" w:space="0" w:color="auto"/>
        <w:left w:val="none" w:sz="0" w:space="0" w:color="auto"/>
        <w:bottom w:val="none" w:sz="0" w:space="0" w:color="auto"/>
        <w:right w:val="none" w:sz="0" w:space="0" w:color="auto"/>
      </w:divBdr>
    </w:div>
    <w:div w:id="1332954933">
      <w:marLeft w:val="0"/>
      <w:marRight w:val="0"/>
      <w:marTop w:val="100"/>
      <w:marBottom w:val="0"/>
      <w:divBdr>
        <w:top w:val="none" w:sz="0" w:space="0" w:color="auto"/>
        <w:left w:val="none" w:sz="0" w:space="0" w:color="auto"/>
        <w:bottom w:val="none" w:sz="0" w:space="0" w:color="auto"/>
        <w:right w:val="none" w:sz="0" w:space="0" w:color="auto"/>
      </w:divBdr>
      <w:divsChild>
        <w:div w:id="1395473284">
          <w:marLeft w:val="0"/>
          <w:marRight w:val="0"/>
          <w:marTop w:val="0"/>
          <w:marBottom w:val="0"/>
          <w:divBdr>
            <w:top w:val="none" w:sz="0" w:space="0" w:color="auto"/>
            <w:left w:val="none" w:sz="0" w:space="0" w:color="auto"/>
            <w:bottom w:val="none" w:sz="0" w:space="0" w:color="auto"/>
            <w:right w:val="none" w:sz="0" w:space="0" w:color="auto"/>
          </w:divBdr>
        </w:div>
        <w:div w:id="1343705499">
          <w:marLeft w:val="0"/>
          <w:marRight w:val="0"/>
          <w:marTop w:val="0"/>
          <w:marBottom w:val="0"/>
          <w:divBdr>
            <w:top w:val="none" w:sz="0" w:space="0" w:color="auto"/>
            <w:left w:val="none" w:sz="0" w:space="0" w:color="auto"/>
            <w:bottom w:val="none" w:sz="0" w:space="0" w:color="auto"/>
            <w:right w:val="none" w:sz="0" w:space="0" w:color="auto"/>
          </w:divBdr>
        </w:div>
        <w:div w:id="1114667737">
          <w:marLeft w:val="0"/>
          <w:marRight w:val="0"/>
          <w:marTop w:val="0"/>
          <w:marBottom w:val="0"/>
          <w:divBdr>
            <w:top w:val="none" w:sz="0" w:space="0" w:color="auto"/>
            <w:left w:val="none" w:sz="0" w:space="0" w:color="auto"/>
            <w:bottom w:val="none" w:sz="0" w:space="0" w:color="auto"/>
            <w:right w:val="none" w:sz="0" w:space="0" w:color="auto"/>
          </w:divBdr>
        </w:div>
      </w:divsChild>
    </w:div>
    <w:div w:id="1333332857">
      <w:marLeft w:val="0"/>
      <w:marRight w:val="0"/>
      <w:marTop w:val="0"/>
      <w:marBottom w:val="200"/>
      <w:divBdr>
        <w:top w:val="none" w:sz="0" w:space="0" w:color="auto"/>
        <w:left w:val="none" w:sz="0" w:space="0" w:color="auto"/>
        <w:bottom w:val="none" w:sz="0" w:space="0" w:color="auto"/>
        <w:right w:val="none" w:sz="0" w:space="0" w:color="auto"/>
      </w:divBdr>
    </w:div>
    <w:div w:id="1336348205">
      <w:marLeft w:val="0"/>
      <w:marRight w:val="0"/>
      <w:marTop w:val="0"/>
      <w:marBottom w:val="0"/>
      <w:divBdr>
        <w:top w:val="none" w:sz="0" w:space="0" w:color="auto"/>
        <w:left w:val="none" w:sz="0" w:space="0" w:color="auto"/>
        <w:bottom w:val="none" w:sz="0" w:space="0" w:color="auto"/>
        <w:right w:val="none" w:sz="0" w:space="0" w:color="auto"/>
      </w:divBdr>
    </w:div>
    <w:div w:id="1337614628">
      <w:marLeft w:val="0"/>
      <w:marRight w:val="0"/>
      <w:marTop w:val="200"/>
      <w:marBottom w:val="0"/>
      <w:divBdr>
        <w:top w:val="none" w:sz="0" w:space="0" w:color="auto"/>
        <w:left w:val="none" w:sz="0" w:space="0" w:color="auto"/>
        <w:bottom w:val="none" w:sz="0" w:space="0" w:color="auto"/>
        <w:right w:val="none" w:sz="0" w:space="0" w:color="auto"/>
      </w:divBdr>
    </w:div>
    <w:div w:id="1339306115">
      <w:marLeft w:val="0"/>
      <w:marRight w:val="0"/>
      <w:marTop w:val="0"/>
      <w:marBottom w:val="160"/>
      <w:divBdr>
        <w:top w:val="none" w:sz="0" w:space="0" w:color="auto"/>
        <w:left w:val="none" w:sz="0" w:space="0" w:color="auto"/>
        <w:bottom w:val="none" w:sz="0" w:space="0" w:color="auto"/>
        <w:right w:val="none" w:sz="0" w:space="0" w:color="auto"/>
      </w:divBdr>
    </w:div>
    <w:div w:id="1346592170">
      <w:marLeft w:val="0"/>
      <w:marRight w:val="0"/>
      <w:marTop w:val="0"/>
      <w:marBottom w:val="0"/>
      <w:divBdr>
        <w:top w:val="none" w:sz="0" w:space="0" w:color="auto"/>
        <w:left w:val="none" w:sz="0" w:space="0" w:color="auto"/>
        <w:bottom w:val="none" w:sz="0" w:space="0" w:color="auto"/>
        <w:right w:val="none" w:sz="0" w:space="0" w:color="auto"/>
      </w:divBdr>
      <w:divsChild>
        <w:div w:id="1998996427">
          <w:marLeft w:val="0"/>
          <w:marRight w:val="0"/>
          <w:marTop w:val="0"/>
          <w:marBottom w:val="0"/>
          <w:divBdr>
            <w:top w:val="none" w:sz="0" w:space="0" w:color="auto"/>
            <w:left w:val="none" w:sz="0" w:space="0" w:color="auto"/>
            <w:bottom w:val="none" w:sz="0" w:space="0" w:color="auto"/>
            <w:right w:val="none" w:sz="0" w:space="0" w:color="auto"/>
          </w:divBdr>
        </w:div>
      </w:divsChild>
    </w:div>
    <w:div w:id="1347902853">
      <w:marLeft w:val="0"/>
      <w:marRight w:val="0"/>
      <w:marTop w:val="60"/>
      <w:marBottom w:val="0"/>
      <w:divBdr>
        <w:top w:val="none" w:sz="0" w:space="0" w:color="auto"/>
        <w:left w:val="none" w:sz="0" w:space="0" w:color="auto"/>
        <w:bottom w:val="none" w:sz="0" w:space="0" w:color="auto"/>
        <w:right w:val="none" w:sz="0" w:space="0" w:color="auto"/>
      </w:divBdr>
    </w:div>
    <w:div w:id="1349865581">
      <w:marLeft w:val="0"/>
      <w:marRight w:val="0"/>
      <w:marTop w:val="0"/>
      <w:marBottom w:val="0"/>
      <w:divBdr>
        <w:top w:val="none" w:sz="0" w:space="0" w:color="auto"/>
        <w:left w:val="none" w:sz="0" w:space="0" w:color="auto"/>
        <w:bottom w:val="none" w:sz="0" w:space="0" w:color="auto"/>
        <w:right w:val="none" w:sz="0" w:space="0" w:color="auto"/>
      </w:divBdr>
    </w:div>
    <w:div w:id="1351101552">
      <w:marLeft w:val="0"/>
      <w:marRight w:val="0"/>
      <w:marTop w:val="0"/>
      <w:marBottom w:val="0"/>
      <w:divBdr>
        <w:top w:val="none" w:sz="0" w:space="0" w:color="auto"/>
        <w:left w:val="none" w:sz="0" w:space="0" w:color="auto"/>
        <w:bottom w:val="none" w:sz="0" w:space="0" w:color="auto"/>
        <w:right w:val="none" w:sz="0" w:space="0" w:color="auto"/>
      </w:divBdr>
      <w:divsChild>
        <w:div w:id="1226648868">
          <w:marLeft w:val="0"/>
          <w:marRight w:val="0"/>
          <w:marTop w:val="0"/>
          <w:marBottom w:val="0"/>
          <w:divBdr>
            <w:top w:val="none" w:sz="0" w:space="0" w:color="auto"/>
            <w:left w:val="none" w:sz="0" w:space="0" w:color="auto"/>
            <w:bottom w:val="none" w:sz="0" w:space="0" w:color="auto"/>
            <w:right w:val="none" w:sz="0" w:space="0" w:color="auto"/>
          </w:divBdr>
        </w:div>
      </w:divsChild>
    </w:div>
    <w:div w:id="1351494156">
      <w:marLeft w:val="0"/>
      <w:marRight w:val="0"/>
      <w:marTop w:val="100"/>
      <w:marBottom w:val="0"/>
      <w:divBdr>
        <w:top w:val="none" w:sz="0" w:space="0" w:color="auto"/>
        <w:left w:val="none" w:sz="0" w:space="0" w:color="auto"/>
        <w:bottom w:val="none" w:sz="0" w:space="0" w:color="auto"/>
        <w:right w:val="none" w:sz="0" w:space="0" w:color="auto"/>
      </w:divBdr>
    </w:div>
    <w:div w:id="1352956998">
      <w:marLeft w:val="0"/>
      <w:marRight w:val="0"/>
      <w:marTop w:val="200"/>
      <w:marBottom w:val="0"/>
      <w:divBdr>
        <w:top w:val="none" w:sz="0" w:space="0" w:color="auto"/>
        <w:left w:val="none" w:sz="0" w:space="0" w:color="auto"/>
        <w:bottom w:val="none" w:sz="0" w:space="0" w:color="auto"/>
        <w:right w:val="none" w:sz="0" w:space="0" w:color="auto"/>
      </w:divBdr>
    </w:div>
    <w:div w:id="1354645482">
      <w:marLeft w:val="0"/>
      <w:marRight w:val="0"/>
      <w:marTop w:val="0"/>
      <w:marBottom w:val="0"/>
      <w:divBdr>
        <w:top w:val="none" w:sz="0" w:space="0" w:color="auto"/>
        <w:left w:val="none" w:sz="0" w:space="0" w:color="auto"/>
        <w:bottom w:val="none" w:sz="0" w:space="0" w:color="auto"/>
        <w:right w:val="none" w:sz="0" w:space="0" w:color="auto"/>
      </w:divBdr>
      <w:divsChild>
        <w:div w:id="1836454685">
          <w:marLeft w:val="0"/>
          <w:marRight w:val="0"/>
          <w:marTop w:val="0"/>
          <w:marBottom w:val="0"/>
          <w:divBdr>
            <w:top w:val="none" w:sz="0" w:space="0" w:color="auto"/>
            <w:left w:val="none" w:sz="0" w:space="0" w:color="auto"/>
            <w:bottom w:val="none" w:sz="0" w:space="0" w:color="auto"/>
            <w:right w:val="none" w:sz="0" w:space="0" w:color="auto"/>
          </w:divBdr>
        </w:div>
      </w:divsChild>
    </w:div>
    <w:div w:id="1355040671">
      <w:marLeft w:val="0"/>
      <w:marRight w:val="0"/>
      <w:marTop w:val="100"/>
      <w:marBottom w:val="0"/>
      <w:divBdr>
        <w:top w:val="none" w:sz="0" w:space="0" w:color="auto"/>
        <w:left w:val="none" w:sz="0" w:space="0" w:color="auto"/>
        <w:bottom w:val="none" w:sz="0" w:space="0" w:color="auto"/>
        <w:right w:val="none" w:sz="0" w:space="0" w:color="auto"/>
      </w:divBdr>
    </w:div>
    <w:div w:id="1356733962">
      <w:marLeft w:val="0"/>
      <w:marRight w:val="0"/>
      <w:marTop w:val="100"/>
      <w:marBottom w:val="0"/>
      <w:divBdr>
        <w:top w:val="none" w:sz="0" w:space="0" w:color="auto"/>
        <w:left w:val="none" w:sz="0" w:space="0" w:color="auto"/>
        <w:bottom w:val="none" w:sz="0" w:space="0" w:color="auto"/>
        <w:right w:val="none" w:sz="0" w:space="0" w:color="auto"/>
      </w:divBdr>
    </w:div>
    <w:div w:id="1356928206">
      <w:marLeft w:val="0"/>
      <w:marRight w:val="0"/>
      <w:marTop w:val="0"/>
      <w:marBottom w:val="0"/>
      <w:divBdr>
        <w:top w:val="none" w:sz="0" w:space="0" w:color="auto"/>
        <w:left w:val="none" w:sz="0" w:space="0" w:color="auto"/>
        <w:bottom w:val="none" w:sz="0" w:space="0" w:color="auto"/>
        <w:right w:val="none" w:sz="0" w:space="0" w:color="auto"/>
      </w:divBdr>
      <w:divsChild>
        <w:div w:id="1423143576">
          <w:marLeft w:val="0"/>
          <w:marRight w:val="0"/>
          <w:marTop w:val="0"/>
          <w:marBottom w:val="0"/>
          <w:divBdr>
            <w:top w:val="none" w:sz="0" w:space="0" w:color="auto"/>
            <w:left w:val="none" w:sz="0" w:space="0" w:color="auto"/>
            <w:bottom w:val="none" w:sz="0" w:space="0" w:color="auto"/>
            <w:right w:val="none" w:sz="0" w:space="0" w:color="auto"/>
          </w:divBdr>
        </w:div>
      </w:divsChild>
    </w:div>
    <w:div w:id="1359044816">
      <w:marLeft w:val="0"/>
      <w:marRight w:val="0"/>
      <w:marTop w:val="0"/>
      <w:marBottom w:val="0"/>
      <w:divBdr>
        <w:top w:val="none" w:sz="0" w:space="0" w:color="auto"/>
        <w:left w:val="none" w:sz="0" w:space="0" w:color="auto"/>
        <w:bottom w:val="none" w:sz="0" w:space="0" w:color="auto"/>
        <w:right w:val="none" w:sz="0" w:space="0" w:color="auto"/>
      </w:divBdr>
      <w:divsChild>
        <w:div w:id="968977231">
          <w:marLeft w:val="0"/>
          <w:marRight w:val="0"/>
          <w:marTop w:val="0"/>
          <w:marBottom w:val="0"/>
          <w:divBdr>
            <w:top w:val="none" w:sz="0" w:space="0" w:color="auto"/>
            <w:left w:val="none" w:sz="0" w:space="0" w:color="auto"/>
            <w:bottom w:val="none" w:sz="0" w:space="0" w:color="auto"/>
            <w:right w:val="none" w:sz="0" w:space="0" w:color="auto"/>
          </w:divBdr>
        </w:div>
      </w:divsChild>
    </w:div>
    <w:div w:id="1362129160">
      <w:marLeft w:val="0"/>
      <w:marRight w:val="0"/>
      <w:marTop w:val="0"/>
      <w:marBottom w:val="0"/>
      <w:divBdr>
        <w:top w:val="none" w:sz="0" w:space="0" w:color="auto"/>
        <w:left w:val="none" w:sz="0" w:space="0" w:color="auto"/>
        <w:bottom w:val="none" w:sz="0" w:space="0" w:color="auto"/>
        <w:right w:val="none" w:sz="0" w:space="0" w:color="auto"/>
      </w:divBdr>
    </w:div>
    <w:div w:id="1366517062">
      <w:marLeft w:val="0"/>
      <w:marRight w:val="0"/>
      <w:marTop w:val="200"/>
      <w:marBottom w:val="0"/>
      <w:divBdr>
        <w:top w:val="none" w:sz="0" w:space="0" w:color="auto"/>
        <w:left w:val="none" w:sz="0" w:space="0" w:color="auto"/>
        <w:bottom w:val="none" w:sz="0" w:space="0" w:color="auto"/>
        <w:right w:val="none" w:sz="0" w:space="0" w:color="auto"/>
      </w:divBdr>
    </w:div>
    <w:div w:id="1367103897">
      <w:marLeft w:val="0"/>
      <w:marRight w:val="0"/>
      <w:marTop w:val="0"/>
      <w:marBottom w:val="200"/>
      <w:divBdr>
        <w:top w:val="none" w:sz="0" w:space="0" w:color="auto"/>
        <w:left w:val="none" w:sz="0" w:space="0" w:color="auto"/>
        <w:bottom w:val="none" w:sz="0" w:space="0" w:color="auto"/>
        <w:right w:val="none" w:sz="0" w:space="0" w:color="auto"/>
      </w:divBdr>
    </w:div>
    <w:div w:id="1371221456">
      <w:marLeft w:val="0"/>
      <w:marRight w:val="0"/>
      <w:marTop w:val="100"/>
      <w:marBottom w:val="0"/>
      <w:divBdr>
        <w:top w:val="none" w:sz="0" w:space="0" w:color="auto"/>
        <w:left w:val="none" w:sz="0" w:space="0" w:color="auto"/>
        <w:bottom w:val="none" w:sz="0" w:space="0" w:color="auto"/>
        <w:right w:val="none" w:sz="0" w:space="0" w:color="auto"/>
      </w:divBdr>
    </w:div>
    <w:div w:id="1373307778">
      <w:marLeft w:val="0"/>
      <w:marRight w:val="0"/>
      <w:marTop w:val="0"/>
      <w:marBottom w:val="0"/>
      <w:divBdr>
        <w:top w:val="none" w:sz="0" w:space="0" w:color="auto"/>
        <w:left w:val="none" w:sz="0" w:space="0" w:color="auto"/>
        <w:bottom w:val="none" w:sz="0" w:space="0" w:color="auto"/>
        <w:right w:val="none" w:sz="0" w:space="0" w:color="auto"/>
      </w:divBdr>
    </w:div>
    <w:div w:id="1375081268">
      <w:marLeft w:val="0"/>
      <w:marRight w:val="0"/>
      <w:marTop w:val="100"/>
      <w:marBottom w:val="0"/>
      <w:divBdr>
        <w:top w:val="none" w:sz="0" w:space="0" w:color="auto"/>
        <w:left w:val="none" w:sz="0" w:space="0" w:color="auto"/>
        <w:bottom w:val="none" w:sz="0" w:space="0" w:color="auto"/>
        <w:right w:val="none" w:sz="0" w:space="0" w:color="auto"/>
      </w:divBdr>
    </w:div>
    <w:div w:id="1381827175">
      <w:marLeft w:val="0"/>
      <w:marRight w:val="0"/>
      <w:marTop w:val="0"/>
      <w:marBottom w:val="0"/>
      <w:divBdr>
        <w:top w:val="none" w:sz="0" w:space="0" w:color="auto"/>
        <w:left w:val="none" w:sz="0" w:space="0" w:color="auto"/>
        <w:bottom w:val="none" w:sz="0" w:space="0" w:color="auto"/>
        <w:right w:val="none" w:sz="0" w:space="0" w:color="auto"/>
      </w:divBdr>
    </w:div>
    <w:div w:id="1381898169">
      <w:marLeft w:val="0"/>
      <w:marRight w:val="0"/>
      <w:marTop w:val="0"/>
      <w:marBottom w:val="0"/>
      <w:divBdr>
        <w:top w:val="none" w:sz="0" w:space="0" w:color="auto"/>
        <w:left w:val="none" w:sz="0" w:space="0" w:color="auto"/>
        <w:bottom w:val="none" w:sz="0" w:space="0" w:color="auto"/>
        <w:right w:val="none" w:sz="0" w:space="0" w:color="auto"/>
      </w:divBdr>
    </w:div>
    <w:div w:id="1384057381">
      <w:marLeft w:val="0"/>
      <w:marRight w:val="0"/>
      <w:marTop w:val="0"/>
      <w:marBottom w:val="0"/>
      <w:divBdr>
        <w:top w:val="none" w:sz="0" w:space="0" w:color="auto"/>
        <w:left w:val="none" w:sz="0" w:space="0" w:color="auto"/>
        <w:bottom w:val="none" w:sz="0" w:space="0" w:color="auto"/>
        <w:right w:val="none" w:sz="0" w:space="0" w:color="auto"/>
      </w:divBdr>
      <w:divsChild>
        <w:div w:id="1858499571">
          <w:marLeft w:val="0"/>
          <w:marRight w:val="0"/>
          <w:marTop w:val="0"/>
          <w:marBottom w:val="0"/>
          <w:divBdr>
            <w:top w:val="none" w:sz="0" w:space="0" w:color="auto"/>
            <w:left w:val="none" w:sz="0" w:space="0" w:color="auto"/>
            <w:bottom w:val="none" w:sz="0" w:space="0" w:color="auto"/>
            <w:right w:val="none" w:sz="0" w:space="0" w:color="auto"/>
          </w:divBdr>
        </w:div>
      </w:divsChild>
    </w:div>
    <w:div w:id="1386442969">
      <w:marLeft w:val="0"/>
      <w:marRight w:val="0"/>
      <w:marTop w:val="0"/>
      <w:marBottom w:val="160"/>
      <w:divBdr>
        <w:top w:val="none" w:sz="0" w:space="0" w:color="auto"/>
        <w:left w:val="none" w:sz="0" w:space="0" w:color="auto"/>
        <w:bottom w:val="none" w:sz="0" w:space="0" w:color="auto"/>
        <w:right w:val="none" w:sz="0" w:space="0" w:color="auto"/>
      </w:divBdr>
    </w:div>
    <w:div w:id="1386685873">
      <w:marLeft w:val="0"/>
      <w:marRight w:val="0"/>
      <w:marTop w:val="200"/>
      <w:marBottom w:val="0"/>
      <w:divBdr>
        <w:top w:val="none" w:sz="0" w:space="0" w:color="auto"/>
        <w:left w:val="none" w:sz="0" w:space="0" w:color="auto"/>
        <w:bottom w:val="none" w:sz="0" w:space="0" w:color="auto"/>
        <w:right w:val="none" w:sz="0" w:space="0" w:color="auto"/>
      </w:divBdr>
    </w:div>
    <w:div w:id="1389722932">
      <w:marLeft w:val="0"/>
      <w:marRight w:val="0"/>
      <w:marTop w:val="0"/>
      <w:marBottom w:val="0"/>
      <w:divBdr>
        <w:top w:val="none" w:sz="0" w:space="0" w:color="auto"/>
        <w:left w:val="none" w:sz="0" w:space="0" w:color="auto"/>
        <w:bottom w:val="none" w:sz="0" w:space="0" w:color="auto"/>
        <w:right w:val="none" w:sz="0" w:space="0" w:color="auto"/>
      </w:divBdr>
      <w:divsChild>
        <w:div w:id="670647753">
          <w:marLeft w:val="0"/>
          <w:marRight w:val="0"/>
          <w:marTop w:val="0"/>
          <w:marBottom w:val="0"/>
          <w:divBdr>
            <w:top w:val="none" w:sz="0" w:space="0" w:color="auto"/>
            <w:left w:val="none" w:sz="0" w:space="0" w:color="auto"/>
            <w:bottom w:val="none" w:sz="0" w:space="0" w:color="auto"/>
            <w:right w:val="none" w:sz="0" w:space="0" w:color="auto"/>
          </w:divBdr>
        </w:div>
      </w:divsChild>
    </w:div>
    <w:div w:id="1392079399">
      <w:marLeft w:val="0"/>
      <w:marRight w:val="0"/>
      <w:marTop w:val="0"/>
      <w:marBottom w:val="0"/>
      <w:divBdr>
        <w:top w:val="none" w:sz="0" w:space="0" w:color="auto"/>
        <w:left w:val="none" w:sz="0" w:space="0" w:color="auto"/>
        <w:bottom w:val="none" w:sz="0" w:space="0" w:color="auto"/>
        <w:right w:val="none" w:sz="0" w:space="0" w:color="auto"/>
      </w:divBdr>
      <w:divsChild>
        <w:div w:id="305821616">
          <w:marLeft w:val="0"/>
          <w:marRight w:val="0"/>
          <w:marTop w:val="0"/>
          <w:marBottom w:val="0"/>
          <w:divBdr>
            <w:top w:val="none" w:sz="0" w:space="0" w:color="auto"/>
            <w:left w:val="none" w:sz="0" w:space="0" w:color="auto"/>
            <w:bottom w:val="none" w:sz="0" w:space="0" w:color="auto"/>
            <w:right w:val="none" w:sz="0" w:space="0" w:color="auto"/>
          </w:divBdr>
        </w:div>
      </w:divsChild>
    </w:div>
    <w:div w:id="1393191635">
      <w:marLeft w:val="0"/>
      <w:marRight w:val="0"/>
      <w:marTop w:val="200"/>
      <w:marBottom w:val="0"/>
      <w:divBdr>
        <w:top w:val="none" w:sz="0" w:space="0" w:color="auto"/>
        <w:left w:val="none" w:sz="0" w:space="0" w:color="auto"/>
        <w:bottom w:val="none" w:sz="0" w:space="0" w:color="auto"/>
        <w:right w:val="none" w:sz="0" w:space="0" w:color="auto"/>
      </w:divBdr>
    </w:div>
    <w:div w:id="1394082013">
      <w:marLeft w:val="0"/>
      <w:marRight w:val="0"/>
      <w:marTop w:val="0"/>
      <w:marBottom w:val="0"/>
      <w:divBdr>
        <w:top w:val="none" w:sz="0" w:space="0" w:color="auto"/>
        <w:left w:val="none" w:sz="0" w:space="0" w:color="auto"/>
        <w:bottom w:val="none" w:sz="0" w:space="0" w:color="auto"/>
        <w:right w:val="none" w:sz="0" w:space="0" w:color="auto"/>
      </w:divBdr>
    </w:div>
    <w:div w:id="1394543774">
      <w:marLeft w:val="0"/>
      <w:marRight w:val="0"/>
      <w:marTop w:val="0"/>
      <w:marBottom w:val="0"/>
      <w:divBdr>
        <w:top w:val="none" w:sz="0" w:space="0" w:color="auto"/>
        <w:left w:val="none" w:sz="0" w:space="0" w:color="auto"/>
        <w:bottom w:val="none" w:sz="0" w:space="0" w:color="auto"/>
        <w:right w:val="none" w:sz="0" w:space="0" w:color="auto"/>
      </w:divBdr>
    </w:div>
    <w:div w:id="1401320480">
      <w:marLeft w:val="0"/>
      <w:marRight w:val="0"/>
      <w:marTop w:val="0"/>
      <w:marBottom w:val="0"/>
      <w:divBdr>
        <w:top w:val="none" w:sz="0" w:space="0" w:color="auto"/>
        <w:left w:val="none" w:sz="0" w:space="0" w:color="auto"/>
        <w:bottom w:val="none" w:sz="0" w:space="0" w:color="auto"/>
        <w:right w:val="none" w:sz="0" w:space="0" w:color="auto"/>
      </w:divBdr>
      <w:divsChild>
        <w:div w:id="628169238">
          <w:marLeft w:val="0"/>
          <w:marRight w:val="0"/>
          <w:marTop w:val="0"/>
          <w:marBottom w:val="0"/>
          <w:divBdr>
            <w:top w:val="none" w:sz="0" w:space="0" w:color="auto"/>
            <w:left w:val="none" w:sz="0" w:space="0" w:color="auto"/>
            <w:bottom w:val="none" w:sz="0" w:space="0" w:color="auto"/>
            <w:right w:val="none" w:sz="0" w:space="0" w:color="auto"/>
          </w:divBdr>
        </w:div>
      </w:divsChild>
    </w:div>
    <w:div w:id="1403066102">
      <w:marLeft w:val="0"/>
      <w:marRight w:val="0"/>
      <w:marTop w:val="200"/>
      <w:marBottom w:val="0"/>
      <w:divBdr>
        <w:top w:val="none" w:sz="0" w:space="0" w:color="auto"/>
        <w:left w:val="none" w:sz="0" w:space="0" w:color="auto"/>
        <w:bottom w:val="none" w:sz="0" w:space="0" w:color="auto"/>
        <w:right w:val="none" w:sz="0" w:space="0" w:color="auto"/>
      </w:divBdr>
    </w:div>
    <w:div w:id="1404526934">
      <w:marLeft w:val="0"/>
      <w:marRight w:val="0"/>
      <w:marTop w:val="0"/>
      <w:marBottom w:val="0"/>
      <w:divBdr>
        <w:top w:val="none" w:sz="0" w:space="0" w:color="auto"/>
        <w:left w:val="none" w:sz="0" w:space="0" w:color="auto"/>
        <w:bottom w:val="none" w:sz="0" w:space="0" w:color="auto"/>
        <w:right w:val="none" w:sz="0" w:space="0" w:color="auto"/>
      </w:divBdr>
      <w:divsChild>
        <w:div w:id="1948076052">
          <w:marLeft w:val="0"/>
          <w:marRight w:val="0"/>
          <w:marTop w:val="0"/>
          <w:marBottom w:val="0"/>
          <w:divBdr>
            <w:top w:val="none" w:sz="0" w:space="0" w:color="auto"/>
            <w:left w:val="none" w:sz="0" w:space="0" w:color="auto"/>
            <w:bottom w:val="none" w:sz="0" w:space="0" w:color="auto"/>
            <w:right w:val="none" w:sz="0" w:space="0" w:color="auto"/>
          </w:divBdr>
        </w:div>
      </w:divsChild>
    </w:div>
    <w:div w:id="1405638523">
      <w:marLeft w:val="0"/>
      <w:marRight w:val="0"/>
      <w:marTop w:val="0"/>
      <w:marBottom w:val="0"/>
      <w:divBdr>
        <w:top w:val="none" w:sz="0" w:space="0" w:color="auto"/>
        <w:left w:val="none" w:sz="0" w:space="0" w:color="auto"/>
        <w:bottom w:val="none" w:sz="0" w:space="0" w:color="auto"/>
        <w:right w:val="none" w:sz="0" w:space="0" w:color="auto"/>
      </w:divBdr>
      <w:divsChild>
        <w:div w:id="989292211">
          <w:marLeft w:val="0"/>
          <w:marRight w:val="0"/>
          <w:marTop w:val="0"/>
          <w:marBottom w:val="0"/>
          <w:divBdr>
            <w:top w:val="none" w:sz="0" w:space="0" w:color="auto"/>
            <w:left w:val="none" w:sz="0" w:space="0" w:color="auto"/>
            <w:bottom w:val="none" w:sz="0" w:space="0" w:color="auto"/>
            <w:right w:val="none" w:sz="0" w:space="0" w:color="auto"/>
          </w:divBdr>
        </w:div>
        <w:div w:id="2002150886">
          <w:marLeft w:val="0"/>
          <w:marRight w:val="0"/>
          <w:marTop w:val="0"/>
          <w:marBottom w:val="0"/>
          <w:divBdr>
            <w:top w:val="none" w:sz="0" w:space="0" w:color="auto"/>
            <w:left w:val="none" w:sz="0" w:space="0" w:color="auto"/>
            <w:bottom w:val="none" w:sz="0" w:space="0" w:color="auto"/>
            <w:right w:val="none" w:sz="0" w:space="0" w:color="auto"/>
          </w:divBdr>
        </w:div>
        <w:div w:id="1030836190">
          <w:marLeft w:val="0"/>
          <w:marRight w:val="0"/>
          <w:marTop w:val="0"/>
          <w:marBottom w:val="0"/>
          <w:divBdr>
            <w:top w:val="none" w:sz="0" w:space="0" w:color="auto"/>
            <w:left w:val="none" w:sz="0" w:space="0" w:color="auto"/>
            <w:bottom w:val="none" w:sz="0" w:space="0" w:color="auto"/>
            <w:right w:val="none" w:sz="0" w:space="0" w:color="auto"/>
          </w:divBdr>
        </w:div>
        <w:div w:id="596404657">
          <w:marLeft w:val="0"/>
          <w:marRight w:val="0"/>
          <w:marTop w:val="0"/>
          <w:marBottom w:val="0"/>
          <w:divBdr>
            <w:top w:val="none" w:sz="0" w:space="0" w:color="auto"/>
            <w:left w:val="none" w:sz="0" w:space="0" w:color="auto"/>
            <w:bottom w:val="none" w:sz="0" w:space="0" w:color="auto"/>
            <w:right w:val="none" w:sz="0" w:space="0" w:color="auto"/>
          </w:divBdr>
        </w:div>
      </w:divsChild>
    </w:div>
    <w:div w:id="1406222873">
      <w:marLeft w:val="0"/>
      <w:marRight w:val="0"/>
      <w:marTop w:val="100"/>
      <w:marBottom w:val="0"/>
      <w:divBdr>
        <w:top w:val="none" w:sz="0" w:space="0" w:color="auto"/>
        <w:left w:val="none" w:sz="0" w:space="0" w:color="auto"/>
        <w:bottom w:val="none" w:sz="0" w:space="0" w:color="auto"/>
        <w:right w:val="none" w:sz="0" w:space="0" w:color="auto"/>
      </w:divBdr>
    </w:div>
    <w:div w:id="1407920076">
      <w:marLeft w:val="0"/>
      <w:marRight w:val="0"/>
      <w:marTop w:val="0"/>
      <w:marBottom w:val="0"/>
      <w:divBdr>
        <w:top w:val="none" w:sz="0" w:space="0" w:color="auto"/>
        <w:left w:val="none" w:sz="0" w:space="0" w:color="auto"/>
        <w:bottom w:val="none" w:sz="0" w:space="0" w:color="auto"/>
        <w:right w:val="none" w:sz="0" w:space="0" w:color="auto"/>
      </w:divBdr>
    </w:div>
    <w:div w:id="1408962768">
      <w:marLeft w:val="0"/>
      <w:marRight w:val="0"/>
      <w:marTop w:val="0"/>
      <w:marBottom w:val="0"/>
      <w:divBdr>
        <w:top w:val="none" w:sz="0" w:space="0" w:color="auto"/>
        <w:left w:val="none" w:sz="0" w:space="0" w:color="auto"/>
        <w:bottom w:val="none" w:sz="0" w:space="0" w:color="auto"/>
        <w:right w:val="none" w:sz="0" w:space="0" w:color="auto"/>
      </w:divBdr>
      <w:divsChild>
        <w:div w:id="988287049">
          <w:marLeft w:val="0"/>
          <w:marRight w:val="0"/>
          <w:marTop w:val="0"/>
          <w:marBottom w:val="0"/>
          <w:divBdr>
            <w:top w:val="none" w:sz="0" w:space="0" w:color="auto"/>
            <w:left w:val="none" w:sz="0" w:space="0" w:color="auto"/>
            <w:bottom w:val="none" w:sz="0" w:space="0" w:color="auto"/>
            <w:right w:val="none" w:sz="0" w:space="0" w:color="auto"/>
          </w:divBdr>
        </w:div>
      </w:divsChild>
    </w:div>
    <w:div w:id="1410731827">
      <w:marLeft w:val="0"/>
      <w:marRight w:val="0"/>
      <w:marTop w:val="200"/>
      <w:marBottom w:val="0"/>
      <w:divBdr>
        <w:top w:val="none" w:sz="0" w:space="0" w:color="auto"/>
        <w:left w:val="none" w:sz="0" w:space="0" w:color="auto"/>
        <w:bottom w:val="none" w:sz="0" w:space="0" w:color="auto"/>
        <w:right w:val="none" w:sz="0" w:space="0" w:color="auto"/>
      </w:divBdr>
    </w:div>
    <w:div w:id="1413159734">
      <w:marLeft w:val="0"/>
      <w:marRight w:val="0"/>
      <w:marTop w:val="200"/>
      <w:marBottom w:val="0"/>
      <w:divBdr>
        <w:top w:val="none" w:sz="0" w:space="0" w:color="auto"/>
        <w:left w:val="none" w:sz="0" w:space="0" w:color="auto"/>
        <w:bottom w:val="none" w:sz="0" w:space="0" w:color="auto"/>
        <w:right w:val="none" w:sz="0" w:space="0" w:color="auto"/>
      </w:divBdr>
    </w:div>
    <w:div w:id="1415785847">
      <w:marLeft w:val="0"/>
      <w:marRight w:val="0"/>
      <w:marTop w:val="0"/>
      <w:marBottom w:val="200"/>
      <w:divBdr>
        <w:top w:val="none" w:sz="0" w:space="0" w:color="auto"/>
        <w:left w:val="none" w:sz="0" w:space="0" w:color="auto"/>
        <w:bottom w:val="none" w:sz="0" w:space="0" w:color="auto"/>
        <w:right w:val="none" w:sz="0" w:space="0" w:color="auto"/>
      </w:divBdr>
    </w:div>
    <w:div w:id="1420103450">
      <w:marLeft w:val="0"/>
      <w:marRight w:val="0"/>
      <w:marTop w:val="0"/>
      <w:marBottom w:val="0"/>
      <w:divBdr>
        <w:top w:val="none" w:sz="0" w:space="0" w:color="auto"/>
        <w:left w:val="none" w:sz="0" w:space="0" w:color="auto"/>
        <w:bottom w:val="none" w:sz="0" w:space="0" w:color="auto"/>
        <w:right w:val="none" w:sz="0" w:space="0" w:color="auto"/>
      </w:divBdr>
      <w:divsChild>
        <w:div w:id="573709303">
          <w:marLeft w:val="0"/>
          <w:marRight w:val="0"/>
          <w:marTop w:val="0"/>
          <w:marBottom w:val="0"/>
          <w:divBdr>
            <w:top w:val="none" w:sz="0" w:space="0" w:color="auto"/>
            <w:left w:val="none" w:sz="0" w:space="0" w:color="auto"/>
            <w:bottom w:val="none" w:sz="0" w:space="0" w:color="auto"/>
            <w:right w:val="none" w:sz="0" w:space="0" w:color="auto"/>
          </w:divBdr>
        </w:div>
      </w:divsChild>
    </w:div>
    <w:div w:id="1420983217">
      <w:marLeft w:val="0"/>
      <w:marRight w:val="0"/>
      <w:marTop w:val="200"/>
      <w:marBottom w:val="0"/>
      <w:divBdr>
        <w:top w:val="none" w:sz="0" w:space="0" w:color="auto"/>
        <w:left w:val="none" w:sz="0" w:space="0" w:color="auto"/>
        <w:bottom w:val="none" w:sz="0" w:space="0" w:color="auto"/>
        <w:right w:val="none" w:sz="0" w:space="0" w:color="auto"/>
      </w:divBdr>
    </w:div>
    <w:div w:id="1421953006">
      <w:marLeft w:val="0"/>
      <w:marRight w:val="0"/>
      <w:marTop w:val="0"/>
      <w:marBottom w:val="0"/>
      <w:divBdr>
        <w:top w:val="none" w:sz="0" w:space="0" w:color="auto"/>
        <w:left w:val="none" w:sz="0" w:space="0" w:color="auto"/>
        <w:bottom w:val="none" w:sz="0" w:space="0" w:color="auto"/>
        <w:right w:val="none" w:sz="0" w:space="0" w:color="auto"/>
      </w:divBdr>
    </w:div>
    <w:div w:id="1424763999">
      <w:marLeft w:val="0"/>
      <w:marRight w:val="0"/>
      <w:marTop w:val="0"/>
      <w:marBottom w:val="0"/>
      <w:divBdr>
        <w:top w:val="none" w:sz="0" w:space="0" w:color="auto"/>
        <w:left w:val="none" w:sz="0" w:space="0" w:color="auto"/>
        <w:bottom w:val="none" w:sz="0" w:space="0" w:color="auto"/>
        <w:right w:val="none" w:sz="0" w:space="0" w:color="auto"/>
      </w:divBdr>
    </w:div>
    <w:div w:id="1433822198">
      <w:marLeft w:val="0"/>
      <w:marRight w:val="0"/>
      <w:marTop w:val="0"/>
      <w:marBottom w:val="0"/>
      <w:divBdr>
        <w:top w:val="none" w:sz="0" w:space="0" w:color="auto"/>
        <w:left w:val="none" w:sz="0" w:space="0" w:color="auto"/>
        <w:bottom w:val="none" w:sz="0" w:space="0" w:color="auto"/>
        <w:right w:val="none" w:sz="0" w:space="0" w:color="auto"/>
      </w:divBdr>
      <w:divsChild>
        <w:div w:id="1507088590">
          <w:marLeft w:val="0"/>
          <w:marRight w:val="0"/>
          <w:marTop w:val="0"/>
          <w:marBottom w:val="0"/>
          <w:divBdr>
            <w:top w:val="none" w:sz="0" w:space="0" w:color="auto"/>
            <w:left w:val="none" w:sz="0" w:space="0" w:color="auto"/>
            <w:bottom w:val="none" w:sz="0" w:space="0" w:color="auto"/>
            <w:right w:val="none" w:sz="0" w:space="0" w:color="auto"/>
          </w:divBdr>
        </w:div>
        <w:div w:id="1879932562">
          <w:marLeft w:val="0"/>
          <w:marRight w:val="0"/>
          <w:marTop w:val="0"/>
          <w:marBottom w:val="0"/>
          <w:divBdr>
            <w:top w:val="none" w:sz="0" w:space="0" w:color="auto"/>
            <w:left w:val="none" w:sz="0" w:space="0" w:color="auto"/>
            <w:bottom w:val="none" w:sz="0" w:space="0" w:color="auto"/>
            <w:right w:val="none" w:sz="0" w:space="0" w:color="auto"/>
          </w:divBdr>
        </w:div>
        <w:div w:id="1215198315">
          <w:marLeft w:val="0"/>
          <w:marRight w:val="0"/>
          <w:marTop w:val="0"/>
          <w:marBottom w:val="0"/>
          <w:divBdr>
            <w:top w:val="none" w:sz="0" w:space="0" w:color="auto"/>
            <w:left w:val="none" w:sz="0" w:space="0" w:color="auto"/>
            <w:bottom w:val="none" w:sz="0" w:space="0" w:color="auto"/>
            <w:right w:val="none" w:sz="0" w:space="0" w:color="auto"/>
          </w:divBdr>
        </w:div>
        <w:div w:id="1155074878">
          <w:marLeft w:val="0"/>
          <w:marRight w:val="0"/>
          <w:marTop w:val="0"/>
          <w:marBottom w:val="0"/>
          <w:divBdr>
            <w:top w:val="none" w:sz="0" w:space="0" w:color="auto"/>
            <w:left w:val="none" w:sz="0" w:space="0" w:color="auto"/>
            <w:bottom w:val="none" w:sz="0" w:space="0" w:color="auto"/>
            <w:right w:val="none" w:sz="0" w:space="0" w:color="auto"/>
          </w:divBdr>
        </w:div>
      </w:divsChild>
    </w:div>
    <w:div w:id="1440030482">
      <w:marLeft w:val="0"/>
      <w:marRight w:val="0"/>
      <w:marTop w:val="0"/>
      <w:marBottom w:val="0"/>
      <w:divBdr>
        <w:top w:val="none" w:sz="0" w:space="0" w:color="auto"/>
        <w:left w:val="none" w:sz="0" w:space="0" w:color="auto"/>
        <w:bottom w:val="none" w:sz="0" w:space="0" w:color="auto"/>
        <w:right w:val="none" w:sz="0" w:space="0" w:color="auto"/>
      </w:divBdr>
      <w:divsChild>
        <w:div w:id="1259369152">
          <w:marLeft w:val="0"/>
          <w:marRight w:val="0"/>
          <w:marTop w:val="0"/>
          <w:marBottom w:val="0"/>
          <w:divBdr>
            <w:top w:val="none" w:sz="0" w:space="0" w:color="auto"/>
            <w:left w:val="none" w:sz="0" w:space="0" w:color="auto"/>
            <w:bottom w:val="none" w:sz="0" w:space="0" w:color="auto"/>
            <w:right w:val="none" w:sz="0" w:space="0" w:color="auto"/>
          </w:divBdr>
        </w:div>
      </w:divsChild>
    </w:div>
    <w:div w:id="1445230152">
      <w:marLeft w:val="0"/>
      <w:marRight w:val="0"/>
      <w:marTop w:val="0"/>
      <w:marBottom w:val="0"/>
      <w:divBdr>
        <w:top w:val="none" w:sz="0" w:space="0" w:color="auto"/>
        <w:left w:val="none" w:sz="0" w:space="0" w:color="auto"/>
        <w:bottom w:val="none" w:sz="0" w:space="0" w:color="auto"/>
        <w:right w:val="none" w:sz="0" w:space="0" w:color="auto"/>
      </w:divBdr>
      <w:divsChild>
        <w:div w:id="1775859172">
          <w:marLeft w:val="0"/>
          <w:marRight w:val="0"/>
          <w:marTop w:val="0"/>
          <w:marBottom w:val="0"/>
          <w:divBdr>
            <w:top w:val="none" w:sz="0" w:space="0" w:color="auto"/>
            <w:left w:val="none" w:sz="0" w:space="0" w:color="auto"/>
            <w:bottom w:val="none" w:sz="0" w:space="0" w:color="auto"/>
            <w:right w:val="none" w:sz="0" w:space="0" w:color="auto"/>
          </w:divBdr>
        </w:div>
      </w:divsChild>
    </w:div>
    <w:div w:id="1446848749">
      <w:marLeft w:val="0"/>
      <w:marRight w:val="0"/>
      <w:marTop w:val="0"/>
      <w:marBottom w:val="0"/>
      <w:divBdr>
        <w:top w:val="none" w:sz="0" w:space="0" w:color="auto"/>
        <w:left w:val="none" w:sz="0" w:space="0" w:color="auto"/>
        <w:bottom w:val="none" w:sz="0" w:space="0" w:color="auto"/>
        <w:right w:val="none" w:sz="0" w:space="0" w:color="auto"/>
      </w:divBdr>
    </w:div>
    <w:div w:id="1448112742">
      <w:marLeft w:val="0"/>
      <w:marRight w:val="0"/>
      <w:marTop w:val="0"/>
      <w:marBottom w:val="0"/>
      <w:divBdr>
        <w:top w:val="none" w:sz="0" w:space="0" w:color="auto"/>
        <w:left w:val="none" w:sz="0" w:space="0" w:color="auto"/>
        <w:bottom w:val="none" w:sz="0" w:space="0" w:color="auto"/>
        <w:right w:val="none" w:sz="0" w:space="0" w:color="auto"/>
      </w:divBdr>
      <w:divsChild>
        <w:div w:id="2065635729">
          <w:marLeft w:val="0"/>
          <w:marRight w:val="0"/>
          <w:marTop w:val="0"/>
          <w:marBottom w:val="0"/>
          <w:divBdr>
            <w:top w:val="none" w:sz="0" w:space="0" w:color="auto"/>
            <w:left w:val="none" w:sz="0" w:space="0" w:color="auto"/>
            <w:bottom w:val="none" w:sz="0" w:space="0" w:color="auto"/>
            <w:right w:val="none" w:sz="0" w:space="0" w:color="auto"/>
          </w:divBdr>
        </w:div>
        <w:div w:id="1440640799">
          <w:marLeft w:val="0"/>
          <w:marRight w:val="0"/>
          <w:marTop w:val="0"/>
          <w:marBottom w:val="0"/>
          <w:divBdr>
            <w:top w:val="none" w:sz="0" w:space="0" w:color="auto"/>
            <w:left w:val="none" w:sz="0" w:space="0" w:color="auto"/>
            <w:bottom w:val="none" w:sz="0" w:space="0" w:color="auto"/>
            <w:right w:val="none" w:sz="0" w:space="0" w:color="auto"/>
          </w:divBdr>
        </w:div>
        <w:div w:id="703212940">
          <w:marLeft w:val="0"/>
          <w:marRight w:val="0"/>
          <w:marTop w:val="0"/>
          <w:marBottom w:val="0"/>
          <w:divBdr>
            <w:top w:val="none" w:sz="0" w:space="0" w:color="auto"/>
            <w:left w:val="none" w:sz="0" w:space="0" w:color="auto"/>
            <w:bottom w:val="none" w:sz="0" w:space="0" w:color="auto"/>
            <w:right w:val="none" w:sz="0" w:space="0" w:color="auto"/>
          </w:divBdr>
        </w:div>
        <w:div w:id="1682195092">
          <w:marLeft w:val="0"/>
          <w:marRight w:val="0"/>
          <w:marTop w:val="0"/>
          <w:marBottom w:val="0"/>
          <w:divBdr>
            <w:top w:val="none" w:sz="0" w:space="0" w:color="auto"/>
            <w:left w:val="none" w:sz="0" w:space="0" w:color="auto"/>
            <w:bottom w:val="none" w:sz="0" w:space="0" w:color="auto"/>
            <w:right w:val="none" w:sz="0" w:space="0" w:color="auto"/>
          </w:divBdr>
        </w:div>
      </w:divsChild>
    </w:div>
    <w:div w:id="1449163026">
      <w:marLeft w:val="0"/>
      <w:marRight w:val="0"/>
      <w:marTop w:val="100"/>
      <w:marBottom w:val="0"/>
      <w:divBdr>
        <w:top w:val="none" w:sz="0" w:space="0" w:color="auto"/>
        <w:left w:val="none" w:sz="0" w:space="0" w:color="auto"/>
        <w:bottom w:val="none" w:sz="0" w:space="0" w:color="auto"/>
        <w:right w:val="none" w:sz="0" w:space="0" w:color="auto"/>
      </w:divBdr>
    </w:div>
    <w:div w:id="1449199909">
      <w:marLeft w:val="0"/>
      <w:marRight w:val="0"/>
      <w:marTop w:val="180"/>
      <w:marBottom w:val="0"/>
      <w:divBdr>
        <w:top w:val="none" w:sz="0" w:space="0" w:color="auto"/>
        <w:left w:val="none" w:sz="0" w:space="0" w:color="auto"/>
        <w:bottom w:val="none" w:sz="0" w:space="0" w:color="auto"/>
        <w:right w:val="none" w:sz="0" w:space="0" w:color="auto"/>
      </w:divBdr>
    </w:div>
    <w:div w:id="1450130217">
      <w:marLeft w:val="0"/>
      <w:marRight w:val="0"/>
      <w:marTop w:val="200"/>
      <w:marBottom w:val="0"/>
      <w:divBdr>
        <w:top w:val="none" w:sz="0" w:space="0" w:color="auto"/>
        <w:left w:val="none" w:sz="0" w:space="0" w:color="auto"/>
        <w:bottom w:val="none" w:sz="0" w:space="0" w:color="auto"/>
        <w:right w:val="none" w:sz="0" w:space="0" w:color="auto"/>
      </w:divBdr>
    </w:div>
    <w:div w:id="1451120365">
      <w:marLeft w:val="0"/>
      <w:marRight w:val="0"/>
      <w:marTop w:val="0"/>
      <w:marBottom w:val="200"/>
      <w:divBdr>
        <w:top w:val="none" w:sz="0" w:space="0" w:color="auto"/>
        <w:left w:val="none" w:sz="0" w:space="0" w:color="auto"/>
        <w:bottom w:val="none" w:sz="0" w:space="0" w:color="auto"/>
        <w:right w:val="none" w:sz="0" w:space="0" w:color="auto"/>
      </w:divBdr>
    </w:div>
    <w:div w:id="1451361472">
      <w:marLeft w:val="0"/>
      <w:marRight w:val="0"/>
      <w:marTop w:val="200"/>
      <w:marBottom w:val="0"/>
      <w:divBdr>
        <w:top w:val="none" w:sz="0" w:space="0" w:color="auto"/>
        <w:left w:val="none" w:sz="0" w:space="0" w:color="auto"/>
        <w:bottom w:val="none" w:sz="0" w:space="0" w:color="auto"/>
        <w:right w:val="none" w:sz="0" w:space="0" w:color="auto"/>
      </w:divBdr>
    </w:div>
    <w:div w:id="1452625634">
      <w:marLeft w:val="0"/>
      <w:marRight w:val="0"/>
      <w:marTop w:val="200"/>
      <w:marBottom w:val="0"/>
      <w:divBdr>
        <w:top w:val="none" w:sz="0" w:space="0" w:color="auto"/>
        <w:left w:val="none" w:sz="0" w:space="0" w:color="auto"/>
        <w:bottom w:val="none" w:sz="0" w:space="0" w:color="auto"/>
        <w:right w:val="none" w:sz="0" w:space="0" w:color="auto"/>
      </w:divBdr>
    </w:div>
    <w:div w:id="1456145468">
      <w:marLeft w:val="0"/>
      <w:marRight w:val="0"/>
      <w:marTop w:val="0"/>
      <w:marBottom w:val="0"/>
      <w:divBdr>
        <w:top w:val="none" w:sz="0" w:space="0" w:color="auto"/>
        <w:left w:val="none" w:sz="0" w:space="0" w:color="auto"/>
        <w:bottom w:val="none" w:sz="0" w:space="0" w:color="auto"/>
        <w:right w:val="none" w:sz="0" w:space="0" w:color="auto"/>
      </w:divBdr>
    </w:div>
    <w:div w:id="1456832244">
      <w:marLeft w:val="0"/>
      <w:marRight w:val="0"/>
      <w:marTop w:val="0"/>
      <w:marBottom w:val="0"/>
      <w:divBdr>
        <w:top w:val="none" w:sz="0" w:space="0" w:color="auto"/>
        <w:left w:val="none" w:sz="0" w:space="0" w:color="auto"/>
        <w:bottom w:val="none" w:sz="0" w:space="0" w:color="auto"/>
        <w:right w:val="none" w:sz="0" w:space="0" w:color="auto"/>
      </w:divBdr>
    </w:div>
    <w:div w:id="1458066567">
      <w:marLeft w:val="0"/>
      <w:marRight w:val="0"/>
      <w:marTop w:val="0"/>
      <w:marBottom w:val="0"/>
      <w:divBdr>
        <w:top w:val="none" w:sz="0" w:space="0" w:color="auto"/>
        <w:left w:val="none" w:sz="0" w:space="0" w:color="auto"/>
        <w:bottom w:val="none" w:sz="0" w:space="0" w:color="auto"/>
        <w:right w:val="none" w:sz="0" w:space="0" w:color="auto"/>
      </w:divBdr>
      <w:divsChild>
        <w:div w:id="1230922285">
          <w:marLeft w:val="0"/>
          <w:marRight w:val="0"/>
          <w:marTop w:val="0"/>
          <w:marBottom w:val="0"/>
          <w:divBdr>
            <w:top w:val="none" w:sz="0" w:space="0" w:color="auto"/>
            <w:left w:val="none" w:sz="0" w:space="0" w:color="auto"/>
            <w:bottom w:val="none" w:sz="0" w:space="0" w:color="auto"/>
            <w:right w:val="none" w:sz="0" w:space="0" w:color="auto"/>
          </w:divBdr>
        </w:div>
        <w:div w:id="2074156135">
          <w:marLeft w:val="0"/>
          <w:marRight w:val="0"/>
          <w:marTop w:val="0"/>
          <w:marBottom w:val="0"/>
          <w:divBdr>
            <w:top w:val="none" w:sz="0" w:space="0" w:color="auto"/>
            <w:left w:val="none" w:sz="0" w:space="0" w:color="auto"/>
            <w:bottom w:val="none" w:sz="0" w:space="0" w:color="auto"/>
            <w:right w:val="none" w:sz="0" w:space="0" w:color="auto"/>
          </w:divBdr>
        </w:div>
        <w:div w:id="799495405">
          <w:marLeft w:val="0"/>
          <w:marRight w:val="0"/>
          <w:marTop w:val="0"/>
          <w:marBottom w:val="0"/>
          <w:divBdr>
            <w:top w:val="none" w:sz="0" w:space="0" w:color="auto"/>
            <w:left w:val="none" w:sz="0" w:space="0" w:color="auto"/>
            <w:bottom w:val="none" w:sz="0" w:space="0" w:color="auto"/>
            <w:right w:val="none" w:sz="0" w:space="0" w:color="auto"/>
          </w:divBdr>
        </w:div>
        <w:div w:id="445347430">
          <w:marLeft w:val="0"/>
          <w:marRight w:val="0"/>
          <w:marTop w:val="0"/>
          <w:marBottom w:val="0"/>
          <w:divBdr>
            <w:top w:val="none" w:sz="0" w:space="0" w:color="auto"/>
            <w:left w:val="none" w:sz="0" w:space="0" w:color="auto"/>
            <w:bottom w:val="none" w:sz="0" w:space="0" w:color="auto"/>
            <w:right w:val="none" w:sz="0" w:space="0" w:color="auto"/>
          </w:divBdr>
        </w:div>
      </w:divsChild>
    </w:div>
    <w:div w:id="1460731966">
      <w:marLeft w:val="0"/>
      <w:marRight w:val="0"/>
      <w:marTop w:val="200"/>
      <w:marBottom w:val="0"/>
      <w:divBdr>
        <w:top w:val="none" w:sz="0" w:space="0" w:color="auto"/>
        <w:left w:val="none" w:sz="0" w:space="0" w:color="auto"/>
        <w:bottom w:val="none" w:sz="0" w:space="0" w:color="auto"/>
        <w:right w:val="none" w:sz="0" w:space="0" w:color="auto"/>
      </w:divBdr>
    </w:div>
    <w:div w:id="1461264990">
      <w:marLeft w:val="0"/>
      <w:marRight w:val="0"/>
      <w:marTop w:val="40"/>
      <w:marBottom w:val="0"/>
      <w:divBdr>
        <w:top w:val="none" w:sz="0" w:space="0" w:color="auto"/>
        <w:left w:val="none" w:sz="0" w:space="0" w:color="auto"/>
        <w:bottom w:val="none" w:sz="0" w:space="0" w:color="auto"/>
        <w:right w:val="none" w:sz="0" w:space="0" w:color="auto"/>
      </w:divBdr>
    </w:div>
    <w:div w:id="1469086959">
      <w:marLeft w:val="0"/>
      <w:marRight w:val="0"/>
      <w:marTop w:val="200"/>
      <w:marBottom w:val="0"/>
      <w:divBdr>
        <w:top w:val="none" w:sz="0" w:space="0" w:color="auto"/>
        <w:left w:val="none" w:sz="0" w:space="0" w:color="auto"/>
        <w:bottom w:val="none" w:sz="0" w:space="0" w:color="auto"/>
        <w:right w:val="none" w:sz="0" w:space="0" w:color="auto"/>
      </w:divBdr>
    </w:div>
    <w:div w:id="1476946709">
      <w:marLeft w:val="0"/>
      <w:marRight w:val="0"/>
      <w:marTop w:val="0"/>
      <w:marBottom w:val="0"/>
      <w:divBdr>
        <w:top w:val="none" w:sz="0" w:space="0" w:color="auto"/>
        <w:left w:val="none" w:sz="0" w:space="0" w:color="auto"/>
        <w:bottom w:val="none" w:sz="0" w:space="0" w:color="auto"/>
        <w:right w:val="none" w:sz="0" w:space="0" w:color="auto"/>
      </w:divBdr>
    </w:div>
    <w:div w:id="1479835285">
      <w:marLeft w:val="0"/>
      <w:marRight w:val="0"/>
      <w:marTop w:val="200"/>
      <w:marBottom w:val="0"/>
      <w:divBdr>
        <w:top w:val="none" w:sz="0" w:space="0" w:color="auto"/>
        <w:left w:val="none" w:sz="0" w:space="0" w:color="auto"/>
        <w:bottom w:val="none" w:sz="0" w:space="0" w:color="auto"/>
        <w:right w:val="none" w:sz="0" w:space="0" w:color="auto"/>
      </w:divBdr>
    </w:div>
    <w:div w:id="1481271901">
      <w:marLeft w:val="0"/>
      <w:marRight w:val="0"/>
      <w:marTop w:val="0"/>
      <w:marBottom w:val="0"/>
      <w:divBdr>
        <w:top w:val="none" w:sz="0" w:space="0" w:color="auto"/>
        <w:left w:val="none" w:sz="0" w:space="0" w:color="auto"/>
        <w:bottom w:val="none" w:sz="0" w:space="0" w:color="auto"/>
        <w:right w:val="none" w:sz="0" w:space="0" w:color="auto"/>
      </w:divBdr>
    </w:div>
    <w:div w:id="1481648855">
      <w:marLeft w:val="0"/>
      <w:marRight w:val="0"/>
      <w:marTop w:val="0"/>
      <w:marBottom w:val="0"/>
      <w:divBdr>
        <w:top w:val="none" w:sz="0" w:space="0" w:color="auto"/>
        <w:left w:val="none" w:sz="0" w:space="0" w:color="auto"/>
        <w:bottom w:val="none" w:sz="0" w:space="0" w:color="auto"/>
        <w:right w:val="none" w:sz="0" w:space="0" w:color="auto"/>
      </w:divBdr>
      <w:divsChild>
        <w:div w:id="2001997921">
          <w:marLeft w:val="0"/>
          <w:marRight w:val="0"/>
          <w:marTop w:val="0"/>
          <w:marBottom w:val="0"/>
          <w:divBdr>
            <w:top w:val="none" w:sz="0" w:space="0" w:color="auto"/>
            <w:left w:val="none" w:sz="0" w:space="0" w:color="auto"/>
            <w:bottom w:val="none" w:sz="0" w:space="0" w:color="auto"/>
            <w:right w:val="none" w:sz="0" w:space="0" w:color="auto"/>
          </w:divBdr>
        </w:div>
      </w:divsChild>
    </w:div>
    <w:div w:id="1485195768">
      <w:marLeft w:val="0"/>
      <w:marRight w:val="0"/>
      <w:marTop w:val="200"/>
      <w:marBottom w:val="0"/>
      <w:divBdr>
        <w:top w:val="none" w:sz="0" w:space="0" w:color="auto"/>
        <w:left w:val="none" w:sz="0" w:space="0" w:color="auto"/>
        <w:bottom w:val="none" w:sz="0" w:space="0" w:color="auto"/>
        <w:right w:val="none" w:sz="0" w:space="0" w:color="auto"/>
      </w:divBdr>
    </w:div>
    <w:div w:id="1489325336">
      <w:marLeft w:val="0"/>
      <w:marRight w:val="0"/>
      <w:marTop w:val="200"/>
      <w:marBottom w:val="0"/>
      <w:divBdr>
        <w:top w:val="none" w:sz="0" w:space="0" w:color="auto"/>
        <w:left w:val="none" w:sz="0" w:space="0" w:color="auto"/>
        <w:bottom w:val="none" w:sz="0" w:space="0" w:color="auto"/>
        <w:right w:val="none" w:sz="0" w:space="0" w:color="auto"/>
      </w:divBdr>
    </w:div>
    <w:div w:id="1493566586">
      <w:marLeft w:val="0"/>
      <w:marRight w:val="0"/>
      <w:marTop w:val="200"/>
      <w:marBottom w:val="0"/>
      <w:divBdr>
        <w:top w:val="none" w:sz="0" w:space="0" w:color="auto"/>
        <w:left w:val="none" w:sz="0" w:space="0" w:color="auto"/>
        <w:bottom w:val="none" w:sz="0" w:space="0" w:color="auto"/>
        <w:right w:val="none" w:sz="0" w:space="0" w:color="auto"/>
      </w:divBdr>
    </w:div>
    <w:div w:id="1493764237">
      <w:marLeft w:val="0"/>
      <w:marRight w:val="0"/>
      <w:marTop w:val="0"/>
      <w:marBottom w:val="160"/>
      <w:divBdr>
        <w:top w:val="none" w:sz="0" w:space="0" w:color="auto"/>
        <w:left w:val="none" w:sz="0" w:space="0" w:color="auto"/>
        <w:bottom w:val="none" w:sz="0" w:space="0" w:color="auto"/>
        <w:right w:val="none" w:sz="0" w:space="0" w:color="auto"/>
      </w:divBdr>
    </w:div>
    <w:div w:id="1496915059">
      <w:marLeft w:val="0"/>
      <w:marRight w:val="0"/>
      <w:marTop w:val="0"/>
      <w:marBottom w:val="0"/>
      <w:divBdr>
        <w:top w:val="none" w:sz="0" w:space="0" w:color="auto"/>
        <w:left w:val="none" w:sz="0" w:space="0" w:color="auto"/>
        <w:bottom w:val="none" w:sz="0" w:space="0" w:color="auto"/>
        <w:right w:val="none" w:sz="0" w:space="0" w:color="auto"/>
      </w:divBdr>
      <w:divsChild>
        <w:div w:id="1856189069">
          <w:marLeft w:val="0"/>
          <w:marRight w:val="0"/>
          <w:marTop w:val="0"/>
          <w:marBottom w:val="0"/>
          <w:divBdr>
            <w:top w:val="none" w:sz="0" w:space="0" w:color="auto"/>
            <w:left w:val="none" w:sz="0" w:space="0" w:color="auto"/>
            <w:bottom w:val="none" w:sz="0" w:space="0" w:color="auto"/>
            <w:right w:val="none" w:sz="0" w:space="0" w:color="auto"/>
          </w:divBdr>
        </w:div>
      </w:divsChild>
    </w:div>
    <w:div w:id="1497262952">
      <w:marLeft w:val="0"/>
      <w:marRight w:val="0"/>
      <w:marTop w:val="0"/>
      <w:marBottom w:val="0"/>
      <w:divBdr>
        <w:top w:val="none" w:sz="0" w:space="0" w:color="auto"/>
        <w:left w:val="none" w:sz="0" w:space="0" w:color="auto"/>
        <w:bottom w:val="none" w:sz="0" w:space="0" w:color="auto"/>
        <w:right w:val="none" w:sz="0" w:space="0" w:color="auto"/>
      </w:divBdr>
    </w:div>
    <w:div w:id="1499541645">
      <w:marLeft w:val="0"/>
      <w:marRight w:val="0"/>
      <w:marTop w:val="0"/>
      <w:marBottom w:val="0"/>
      <w:divBdr>
        <w:top w:val="none" w:sz="0" w:space="0" w:color="auto"/>
        <w:left w:val="none" w:sz="0" w:space="0" w:color="auto"/>
        <w:bottom w:val="none" w:sz="0" w:space="0" w:color="auto"/>
        <w:right w:val="none" w:sz="0" w:space="0" w:color="auto"/>
      </w:divBdr>
      <w:divsChild>
        <w:div w:id="25832944">
          <w:marLeft w:val="0"/>
          <w:marRight w:val="0"/>
          <w:marTop w:val="0"/>
          <w:marBottom w:val="0"/>
          <w:divBdr>
            <w:top w:val="none" w:sz="0" w:space="0" w:color="auto"/>
            <w:left w:val="none" w:sz="0" w:space="0" w:color="auto"/>
            <w:bottom w:val="none" w:sz="0" w:space="0" w:color="auto"/>
            <w:right w:val="none" w:sz="0" w:space="0" w:color="auto"/>
          </w:divBdr>
        </w:div>
      </w:divsChild>
    </w:div>
    <w:div w:id="1499925262">
      <w:marLeft w:val="0"/>
      <w:marRight w:val="0"/>
      <w:marTop w:val="200"/>
      <w:marBottom w:val="0"/>
      <w:divBdr>
        <w:top w:val="none" w:sz="0" w:space="0" w:color="auto"/>
        <w:left w:val="none" w:sz="0" w:space="0" w:color="auto"/>
        <w:bottom w:val="none" w:sz="0" w:space="0" w:color="auto"/>
        <w:right w:val="none" w:sz="0" w:space="0" w:color="auto"/>
      </w:divBdr>
    </w:div>
    <w:div w:id="1502312462">
      <w:marLeft w:val="0"/>
      <w:marRight w:val="0"/>
      <w:marTop w:val="0"/>
      <w:marBottom w:val="0"/>
      <w:divBdr>
        <w:top w:val="none" w:sz="0" w:space="0" w:color="auto"/>
        <w:left w:val="none" w:sz="0" w:space="0" w:color="auto"/>
        <w:bottom w:val="none" w:sz="0" w:space="0" w:color="auto"/>
        <w:right w:val="none" w:sz="0" w:space="0" w:color="auto"/>
      </w:divBdr>
    </w:div>
    <w:div w:id="1502352839">
      <w:marLeft w:val="0"/>
      <w:marRight w:val="0"/>
      <w:marTop w:val="100"/>
      <w:marBottom w:val="0"/>
      <w:divBdr>
        <w:top w:val="none" w:sz="0" w:space="0" w:color="auto"/>
        <w:left w:val="none" w:sz="0" w:space="0" w:color="auto"/>
        <w:bottom w:val="none" w:sz="0" w:space="0" w:color="auto"/>
        <w:right w:val="none" w:sz="0" w:space="0" w:color="auto"/>
      </w:divBdr>
    </w:div>
    <w:div w:id="1505363035">
      <w:marLeft w:val="0"/>
      <w:marRight w:val="0"/>
      <w:marTop w:val="0"/>
      <w:marBottom w:val="0"/>
      <w:divBdr>
        <w:top w:val="none" w:sz="0" w:space="0" w:color="auto"/>
        <w:left w:val="none" w:sz="0" w:space="0" w:color="auto"/>
        <w:bottom w:val="none" w:sz="0" w:space="0" w:color="auto"/>
        <w:right w:val="none" w:sz="0" w:space="0" w:color="auto"/>
      </w:divBdr>
    </w:div>
    <w:div w:id="1505510236">
      <w:marLeft w:val="0"/>
      <w:marRight w:val="0"/>
      <w:marTop w:val="200"/>
      <w:marBottom w:val="0"/>
      <w:divBdr>
        <w:top w:val="none" w:sz="0" w:space="0" w:color="auto"/>
        <w:left w:val="none" w:sz="0" w:space="0" w:color="auto"/>
        <w:bottom w:val="none" w:sz="0" w:space="0" w:color="auto"/>
        <w:right w:val="none" w:sz="0" w:space="0" w:color="auto"/>
      </w:divBdr>
    </w:div>
    <w:div w:id="1512523994">
      <w:marLeft w:val="0"/>
      <w:marRight w:val="0"/>
      <w:marTop w:val="200"/>
      <w:marBottom w:val="0"/>
      <w:divBdr>
        <w:top w:val="none" w:sz="0" w:space="0" w:color="auto"/>
        <w:left w:val="none" w:sz="0" w:space="0" w:color="auto"/>
        <w:bottom w:val="none" w:sz="0" w:space="0" w:color="auto"/>
        <w:right w:val="none" w:sz="0" w:space="0" w:color="auto"/>
      </w:divBdr>
    </w:div>
    <w:div w:id="1512603643">
      <w:marLeft w:val="0"/>
      <w:marRight w:val="0"/>
      <w:marTop w:val="0"/>
      <w:marBottom w:val="0"/>
      <w:divBdr>
        <w:top w:val="none" w:sz="0" w:space="0" w:color="auto"/>
        <w:left w:val="none" w:sz="0" w:space="0" w:color="auto"/>
        <w:bottom w:val="none" w:sz="0" w:space="0" w:color="auto"/>
        <w:right w:val="none" w:sz="0" w:space="0" w:color="auto"/>
      </w:divBdr>
    </w:div>
    <w:div w:id="1513061433">
      <w:marLeft w:val="0"/>
      <w:marRight w:val="0"/>
      <w:marTop w:val="225"/>
      <w:marBottom w:val="0"/>
      <w:divBdr>
        <w:top w:val="none" w:sz="0" w:space="0" w:color="auto"/>
        <w:left w:val="none" w:sz="0" w:space="0" w:color="auto"/>
        <w:bottom w:val="none" w:sz="0" w:space="0" w:color="auto"/>
        <w:right w:val="none" w:sz="0" w:space="0" w:color="auto"/>
      </w:divBdr>
    </w:div>
    <w:div w:id="1514226030">
      <w:marLeft w:val="0"/>
      <w:marRight w:val="0"/>
      <w:marTop w:val="0"/>
      <w:marBottom w:val="0"/>
      <w:divBdr>
        <w:top w:val="none" w:sz="0" w:space="0" w:color="auto"/>
        <w:left w:val="none" w:sz="0" w:space="0" w:color="auto"/>
        <w:bottom w:val="none" w:sz="0" w:space="0" w:color="auto"/>
        <w:right w:val="none" w:sz="0" w:space="0" w:color="auto"/>
      </w:divBdr>
      <w:divsChild>
        <w:div w:id="1040126249">
          <w:marLeft w:val="0"/>
          <w:marRight w:val="0"/>
          <w:marTop w:val="0"/>
          <w:marBottom w:val="0"/>
          <w:divBdr>
            <w:top w:val="none" w:sz="0" w:space="0" w:color="auto"/>
            <w:left w:val="none" w:sz="0" w:space="0" w:color="auto"/>
            <w:bottom w:val="none" w:sz="0" w:space="0" w:color="auto"/>
            <w:right w:val="none" w:sz="0" w:space="0" w:color="auto"/>
          </w:divBdr>
        </w:div>
      </w:divsChild>
    </w:div>
    <w:div w:id="1514294661">
      <w:marLeft w:val="0"/>
      <w:marRight w:val="0"/>
      <w:marTop w:val="0"/>
      <w:marBottom w:val="0"/>
      <w:divBdr>
        <w:top w:val="none" w:sz="0" w:space="0" w:color="auto"/>
        <w:left w:val="none" w:sz="0" w:space="0" w:color="auto"/>
        <w:bottom w:val="none" w:sz="0" w:space="0" w:color="auto"/>
        <w:right w:val="none" w:sz="0" w:space="0" w:color="auto"/>
      </w:divBdr>
    </w:div>
    <w:div w:id="1514759145">
      <w:marLeft w:val="0"/>
      <w:marRight w:val="0"/>
      <w:marTop w:val="0"/>
      <w:marBottom w:val="0"/>
      <w:divBdr>
        <w:top w:val="none" w:sz="0" w:space="0" w:color="auto"/>
        <w:left w:val="none" w:sz="0" w:space="0" w:color="auto"/>
        <w:bottom w:val="none" w:sz="0" w:space="0" w:color="auto"/>
        <w:right w:val="none" w:sz="0" w:space="0" w:color="auto"/>
      </w:divBdr>
    </w:div>
    <w:div w:id="1517890900">
      <w:marLeft w:val="0"/>
      <w:marRight w:val="0"/>
      <w:marTop w:val="0"/>
      <w:marBottom w:val="0"/>
      <w:divBdr>
        <w:top w:val="none" w:sz="0" w:space="0" w:color="auto"/>
        <w:left w:val="none" w:sz="0" w:space="0" w:color="auto"/>
        <w:bottom w:val="none" w:sz="0" w:space="0" w:color="auto"/>
        <w:right w:val="none" w:sz="0" w:space="0" w:color="auto"/>
      </w:divBdr>
      <w:divsChild>
        <w:div w:id="67730333">
          <w:marLeft w:val="0"/>
          <w:marRight w:val="0"/>
          <w:marTop w:val="0"/>
          <w:marBottom w:val="0"/>
          <w:divBdr>
            <w:top w:val="none" w:sz="0" w:space="0" w:color="auto"/>
            <w:left w:val="none" w:sz="0" w:space="0" w:color="auto"/>
            <w:bottom w:val="none" w:sz="0" w:space="0" w:color="auto"/>
            <w:right w:val="none" w:sz="0" w:space="0" w:color="auto"/>
          </w:divBdr>
        </w:div>
      </w:divsChild>
    </w:div>
    <w:div w:id="1518618934">
      <w:marLeft w:val="0"/>
      <w:marRight w:val="0"/>
      <w:marTop w:val="60"/>
      <w:marBottom w:val="0"/>
      <w:divBdr>
        <w:top w:val="none" w:sz="0" w:space="0" w:color="auto"/>
        <w:left w:val="none" w:sz="0" w:space="0" w:color="auto"/>
        <w:bottom w:val="none" w:sz="0" w:space="0" w:color="auto"/>
        <w:right w:val="none" w:sz="0" w:space="0" w:color="auto"/>
      </w:divBdr>
    </w:div>
    <w:div w:id="1520124692">
      <w:marLeft w:val="0"/>
      <w:marRight w:val="0"/>
      <w:marTop w:val="200"/>
      <w:marBottom w:val="0"/>
      <w:divBdr>
        <w:top w:val="none" w:sz="0" w:space="0" w:color="auto"/>
        <w:left w:val="none" w:sz="0" w:space="0" w:color="auto"/>
        <w:bottom w:val="none" w:sz="0" w:space="0" w:color="auto"/>
        <w:right w:val="none" w:sz="0" w:space="0" w:color="auto"/>
      </w:divBdr>
    </w:div>
    <w:div w:id="1521315797">
      <w:marLeft w:val="0"/>
      <w:marRight w:val="0"/>
      <w:marTop w:val="0"/>
      <w:marBottom w:val="0"/>
      <w:divBdr>
        <w:top w:val="none" w:sz="0" w:space="0" w:color="auto"/>
        <w:left w:val="none" w:sz="0" w:space="0" w:color="auto"/>
        <w:bottom w:val="none" w:sz="0" w:space="0" w:color="auto"/>
        <w:right w:val="none" w:sz="0" w:space="0" w:color="auto"/>
      </w:divBdr>
    </w:div>
    <w:div w:id="1521317366">
      <w:marLeft w:val="0"/>
      <w:marRight w:val="0"/>
      <w:marTop w:val="200"/>
      <w:marBottom w:val="0"/>
      <w:divBdr>
        <w:top w:val="none" w:sz="0" w:space="0" w:color="auto"/>
        <w:left w:val="none" w:sz="0" w:space="0" w:color="auto"/>
        <w:bottom w:val="none" w:sz="0" w:space="0" w:color="auto"/>
        <w:right w:val="none" w:sz="0" w:space="0" w:color="auto"/>
      </w:divBdr>
    </w:div>
    <w:div w:id="1521897327">
      <w:marLeft w:val="0"/>
      <w:marRight w:val="0"/>
      <w:marTop w:val="0"/>
      <w:marBottom w:val="0"/>
      <w:divBdr>
        <w:top w:val="none" w:sz="0" w:space="0" w:color="auto"/>
        <w:left w:val="none" w:sz="0" w:space="0" w:color="auto"/>
        <w:bottom w:val="none" w:sz="0" w:space="0" w:color="auto"/>
        <w:right w:val="none" w:sz="0" w:space="0" w:color="auto"/>
      </w:divBdr>
      <w:divsChild>
        <w:div w:id="599991724">
          <w:marLeft w:val="0"/>
          <w:marRight w:val="0"/>
          <w:marTop w:val="0"/>
          <w:marBottom w:val="0"/>
          <w:divBdr>
            <w:top w:val="none" w:sz="0" w:space="0" w:color="auto"/>
            <w:left w:val="none" w:sz="0" w:space="0" w:color="auto"/>
            <w:bottom w:val="none" w:sz="0" w:space="0" w:color="auto"/>
            <w:right w:val="none" w:sz="0" w:space="0" w:color="auto"/>
          </w:divBdr>
        </w:div>
      </w:divsChild>
    </w:div>
    <w:div w:id="1524249826">
      <w:marLeft w:val="0"/>
      <w:marRight w:val="0"/>
      <w:marTop w:val="0"/>
      <w:marBottom w:val="0"/>
      <w:divBdr>
        <w:top w:val="none" w:sz="0" w:space="0" w:color="auto"/>
        <w:left w:val="none" w:sz="0" w:space="0" w:color="auto"/>
        <w:bottom w:val="none" w:sz="0" w:space="0" w:color="auto"/>
        <w:right w:val="none" w:sz="0" w:space="0" w:color="auto"/>
      </w:divBdr>
    </w:div>
    <w:div w:id="1524444311">
      <w:marLeft w:val="0"/>
      <w:marRight w:val="0"/>
      <w:marTop w:val="0"/>
      <w:marBottom w:val="160"/>
      <w:divBdr>
        <w:top w:val="none" w:sz="0" w:space="0" w:color="auto"/>
        <w:left w:val="none" w:sz="0" w:space="0" w:color="auto"/>
        <w:bottom w:val="none" w:sz="0" w:space="0" w:color="auto"/>
        <w:right w:val="none" w:sz="0" w:space="0" w:color="auto"/>
      </w:divBdr>
    </w:div>
    <w:div w:id="1528518311">
      <w:marLeft w:val="0"/>
      <w:marRight w:val="0"/>
      <w:marTop w:val="0"/>
      <w:marBottom w:val="0"/>
      <w:divBdr>
        <w:top w:val="none" w:sz="0" w:space="0" w:color="auto"/>
        <w:left w:val="none" w:sz="0" w:space="0" w:color="auto"/>
        <w:bottom w:val="none" w:sz="0" w:space="0" w:color="auto"/>
        <w:right w:val="none" w:sz="0" w:space="0" w:color="auto"/>
      </w:divBdr>
    </w:div>
    <w:div w:id="1532526208">
      <w:marLeft w:val="0"/>
      <w:marRight w:val="0"/>
      <w:marTop w:val="200"/>
      <w:marBottom w:val="0"/>
      <w:divBdr>
        <w:top w:val="none" w:sz="0" w:space="0" w:color="auto"/>
        <w:left w:val="none" w:sz="0" w:space="0" w:color="auto"/>
        <w:bottom w:val="none" w:sz="0" w:space="0" w:color="auto"/>
        <w:right w:val="none" w:sz="0" w:space="0" w:color="auto"/>
      </w:divBdr>
    </w:div>
    <w:div w:id="1534920459">
      <w:marLeft w:val="0"/>
      <w:marRight w:val="0"/>
      <w:marTop w:val="0"/>
      <w:marBottom w:val="0"/>
      <w:divBdr>
        <w:top w:val="none" w:sz="0" w:space="0" w:color="auto"/>
        <w:left w:val="none" w:sz="0" w:space="0" w:color="auto"/>
        <w:bottom w:val="none" w:sz="0" w:space="0" w:color="auto"/>
        <w:right w:val="none" w:sz="0" w:space="0" w:color="auto"/>
      </w:divBdr>
    </w:div>
    <w:div w:id="1536042084">
      <w:marLeft w:val="0"/>
      <w:marRight w:val="0"/>
      <w:marTop w:val="0"/>
      <w:marBottom w:val="0"/>
      <w:divBdr>
        <w:top w:val="none" w:sz="0" w:space="0" w:color="auto"/>
        <w:left w:val="none" w:sz="0" w:space="0" w:color="auto"/>
        <w:bottom w:val="none" w:sz="0" w:space="0" w:color="auto"/>
        <w:right w:val="none" w:sz="0" w:space="0" w:color="auto"/>
      </w:divBdr>
      <w:divsChild>
        <w:div w:id="2008555318">
          <w:marLeft w:val="0"/>
          <w:marRight w:val="0"/>
          <w:marTop w:val="0"/>
          <w:marBottom w:val="0"/>
          <w:divBdr>
            <w:top w:val="none" w:sz="0" w:space="0" w:color="auto"/>
            <w:left w:val="none" w:sz="0" w:space="0" w:color="auto"/>
            <w:bottom w:val="none" w:sz="0" w:space="0" w:color="auto"/>
            <w:right w:val="none" w:sz="0" w:space="0" w:color="auto"/>
          </w:divBdr>
        </w:div>
      </w:divsChild>
    </w:div>
    <w:div w:id="1537156521">
      <w:marLeft w:val="0"/>
      <w:marRight w:val="0"/>
      <w:marTop w:val="0"/>
      <w:marBottom w:val="0"/>
      <w:divBdr>
        <w:top w:val="none" w:sz="0" w:space="0" w:color="auto"/>
        <w:left w:val="none" w:sz="0" w:space="0" w:color="auto"/>
        <w:bottom w:val="none" w:sz="0" w:space="0" w:color="auto"/>
        <w:right w:val="none" w:sz="0" w:space="0" w:color="auto"/>
      </w:divBdr>
    </w:div>
    <w:div w:id="1541824471">
      <w:marLeft w:val="0"/>
      <w:marRight w:val="0"/>
      <w:marTop w:val="100"/>
      <w:marBottom w:val="0"/>
      <w:divBdr>
        <w:top w:val="none" w:sz="0" w:space="0" w:color="auto"/>
        <w:left w:val="none" w:sz="0" w:space="0" w:color="auto"/>
        <w:bottom w:val="none" w:sz="0" w:space="0" w:color="auto"/>
        <w:right w:val="none" w:sz="0" w:space="0" w:color="auto"/>
      </w:divBdr>
      <w:divsChild>
        <w:div w:id="2133597425">
          <w:marLeft w:val="0"/>
          <w:marRight w:val="0"/>
          <w:marTop w:val="0"/>
          <w:marBottom w:val="0"/>
          <w:divBdr>
            <w:top w:val="none" w:sz="0" w:space="0" w:color="auto"/>
            <w:left w:val="none" w:sz="0" w:space="0" w:color="auto"/>
            <w:bottom w:val="none" w:sz="0" w:space="0" w:color="auto"/>
            <w:right w:val="none" w:sz="0" w:space="0" w:color="auto"/>
          </w:divBdr>
        </w:div>
        <w:div w:id="1621648006">
          <w:marLeft w:val="0"/>
          <w:marRight w:val="0"/>
          <w:marTop w:val="0"/>
          <w:marBottom w:val="0"/>
          <w:divBdr>
            <w:top w:val="none" w:sz="0" w:space="0" w:color="auto"/>
            <w:left w:val="none" w:sz="0" w:space="0" w:color="auto"/>
            <w:bottom w:val="none" w:sz="0" w:space="0" w:color="auto"/>
            <w:right w:val="none" w:sz="0" w:space="0" w:color="auto"/>
          </w:divBdr>
        </w:div>
        <w:div w:id="1712412088">
          <w:marLeft w:val="0"/>
          <w:marRight w:val="0"/>
          <w:marTop w:val="0"/>
          <w:marBottom w:val="0"/>
          <w:divBdr>
            <w:top w:val="none" w:sz="0" w:space="0" w:color="auto"/>
            <w:left w:val="none" w:sz="0" w:space="0" w:color="auto"/>
            <w:bottom w:val="none" w:sz="0" w:space="0" w:color="auto"/>
            <w:right w:val="none" w:sz="0" w:space="0" w:color="auto"/>
          </w:divBdr>
        </w:div>
        <w:div w:id="269821927">
          <w:marLeft w:val="0"/>
          <w:marRight w:val="0"/>
          <w:marTop w:val="0"/>
          <w:marBottom w:val="0"/>
          <w:divBdr>
            <w:top w:val="none" w:sz="0" w:space="0" w:color="auto"/>
            <w:left w:val="none" w:sz="0" w:space="0" w:color="auto"/>
            <w:bottom w:val="none" w:sz="0" w:space="0" w:color="auto"/>
            <w:right w:val="none" w:sz="0" w:space="0" w:color="auto"/>
          </w:divBdr>
        </w:div>
        <w:div w:id="1590580905">
          <w:marLeft w:val="0"/>
          <w:marRight w:val="0"/>
          <w:marTop w:val="0"/>
          <w:marBottom w:val="0"/>
          <w:divBdr>
            <w:top w:val="none" w:sz="0" w:space="0" w:color="auto"/>
            <w:left w:val="none" w:sz="0" w:space="0" w:color="auto"/>
            <w:bottom w:val="none" w:sz="0" w:space="0" w:color="auto"/>
            <w:right w:val="none" w:sz="0" w:space="0" w:color="auto"/>
          </w:divBdr>
        </w:div>
        <w:div w:id="1173181445">
          <w:marLeft w:val="0"/>
          <w:marRight w:val="0"/>
          <w:marTop w:val="0"/>
          <w:marBottom w:val="0"/>
          <w:divBdr>
            <w:top w:val="none" w:sz="0" w:space="0" w:color="auto"/>
            <w:left w:val="none" w:sz="0" w:space="0" w:color="auto"/>
            <w:bottom w:val="none" w:sz="0" w:space="0" w:color="auto"/>
            <w:right w:val="none" w:sz="0" w:space="0" w:color="auto"/>
          </w:divBdr>
        </w:div>
        <w:div w:id="1483157766">
          <w:marLeft w:val="0"/>
          <w:marRight w:val="0"/>
          <w:marTop w:val="0"/>
          <w:marBottom w:val="0"/>
          <w:divBdr>
            <w:top w:val="none" w:sz="0" w:space="0" w:color="auto"/>
            <w:left w:val="none" w:sz="0" w:space="0" w:color="auto"/>
            <w:bottom w:val="none" w:sz="0" w:space="0" w:color="auto"/>
            <w:right w:val="none" w:sz="0" w:space="0" w:color="auto"/>
          </w:divBdr>
        </w:div>
        <w:div w:id="1499425012">
          <w:marLeft w:val="0"/>
          <w:marRight w:val="0"/>
          <w:marTop w:val="0"/>
          <w:marBottom w:val="0"/>
          <w:divBdr>
            <w:top w:val="none" w:sz="0" w:space="0" w:color="auto"/>
            <w:left w:val="none" w:sz="0" w:space="0" w:color="auto"/>
            <w:bottom w:val="none" w:sz="0" w:space="0" w:color="auto"/>
            <w:right w:val="none" w:sz="0" w:space="0" w:color="auto"/>
          </w:divBdr>
        </w:div>
        <w:div w:id="23335048">
          <w:marLeft w:val="0"/>
          <w:marRight w:val="0"/>
          <w:marTop w:val="0"/>
          <w:marBottom w:val="0"/>
          <w:divBdr>
            <w:top w:val="none" w:sz="0" w:space="0" w:color="auto"/>
            <w:left w:val="none" w:sz="0" w:space="0" w:color="auto"/>
            <w:bottom w:val="none" w:sz="0" w:space="0" w:color="auto"/>
            <w:right w:val="none" w:sz="0" w:space="0" w:color="auto"/>
          </w:divBdr>
        </w:div>
        <w:div w:id="1302492478">
          <w:marLeft w:val="0"/>
          <w:marRight w:val="0"/>
          <w:marTop w:val="0"/>
          <w:marBottom w:val="0"/>
          <w:divBdr>
            <w:top w:val="none" w:sz="0" w:space="0" w:color="auto"/>
            <w:left w:val="none" w:sz="0" w:space="0" w:color="auto"/>
            <w:bottom w:val="none" w:sz="0" w:space="0" w:color="auto"/>
            <w:right w:val="none" w:sz="0" w:space="0" w:color="auto"/>
          </w:divBdr>
        </w:div>
        <w:div w:id="2009215245">
          <w:marLeft w:val="0"/>
          <w:marRight w:val="0"/>
          <w:marTop w:val="0"/>
          <w:marBottom w:val="0"/>
          <w:divBdr>
            <w:top w:val="none" w:sz="0" w:space="0" w:color="auto"/>
            <w:left w:val="none" w:sz="0" w:space="0" w:color="auto"/>
            <w:bottom w:val="none" w:sz="0" w:space="0" w:color="auto"/>
            <w:right w:val="none" w:sz="0" w:space="0" w:color="auto"/>
          </w:divBdr>
        </w:div>
        <w:div w:id="1247156925">
          <w:marLeft w:val="0"/>
          <w:marRight w:val="0"/>
          <w:marTop w:val="0"/>
          <w:marBottom w:val="0"/>
          <w:divBdr>
            <w:top w:val="none" w:sz="0" w:space="0" w:color="auto"/>
            <w:left w:val="none" w:sz="0" w:space="0" w:color="auto"/>
            <w:bottom w:val="none" w:sz="0" w:space="0" w:color="auto"/>
            <w:right w:val="none" w:sz="0" w:space="0" w:color="auto"/>
          </w:divBdr>
        </w:div>
        <w:div w:id="1265728324">
          <w:marLeft w:val="0"/>
          <w:marRight w:val="0"/>
          <w:marTop w:val="0"/>
          <w:marBottom w:val="0"/>
          <w:divBdr>
            <w:top w:val="none" w:sz="0" w:space="0" w:color="auto"/>
            <w:left w:val="none" w:sz="0" w:space="0" w:color="auto"/>
            <w:bottom w:val="none" w:sz="0" w:space="0" w:color="auto"/>
            <w:right w:val="none" w:sz="0" w:space="0" w:color="auto"/>
          </w:divBdr>
        </w:div>
        <w:div w:id="423962878">
          <w:marLeft w:val="0"/>
          <w:marRight w:val="0"/>
          <w:marTop w:val="0"/>
          <w:marBottom w:val="0"/>
          <w:divBdr>
            <w:top w:val="none" w:sz="0" w:space="0" w:color="auto"/>
            <w:left w:val="none" w:sz="0" w:space="0" w:color="auto"/>
            <w:bottom w:val="none" w:sz="0" w:space="0" w:color="auto"/>
            <w:right w:val="none" w:sz="0" w:space="0" w:color="auto"/>
          </w:divBdr>
        </w:div>
        <w:div w:id="612444234">
          <w:marLeft w:val="0"/>
          <w:marRight w:val="0"/>
          <w:marTop w:val="0"/>
          <w:marBottom w:val="0"/>
          <w:divBdr>
            <w:top w:val="none" w:sz="0" w:space="0" w:color="auto"/>
            <w:left w:val="none" w:sz="0" w:space="0" w:color="auto"/>
            <w:bottom w:val="none" w:sz="0" w:space="0" w:color="auto"/>
            <w:right w:val="none" w:sz="0" w:space="0" w:color="auto"/>
          </w:divBdr>
        </w:div>
        <w:div w:id="667908521">
          <w:marLeft w:val="0"/>
          <w:marRight w:val="0"/>
          <w:marTop w:val="0"/>
          <w:marBottom w:val="0"/>
          <w:divBdr>
            <w:top w:val="none" w:sz="0" w:space="0" w:color="auto"/>
            <w:left w:val="none" w:sz="0" w:space="0" w:color="auto"/>
            <w:bottom w:val="none" w:sz="0" w:space="0" w:color="auto"/>
            <w:right w:val="none" w:sz="0" w:space="0" w:color="auto"/>
          </w:divBdr>
        </w:div>
        <w:div w:id="1680037204">
          <w:marLeft w:val="0"/>
          <w:marRight w:val="0"/>
          <w:marTop w:val="0"/>
          <w:marBottom w:val="0"/>
          <w:divBdr>
            <w:top w:val="none" w:sz="0" w:space="0" w:color="auto"/>
            <w:left w:val="none" w:sz="0" w:space="0" w:color="auto"/>
            <w:bottom w:val="none" w:sz="0" w:space="0" w:color="auto"/>
            <w:right w:val="none" w:sz="0" w:space="0" w:color="auto"/>
          </w:divBdr>
        </w:div>
        <w:div w:id="284041536">
          <w:marLeft w:val="0"/>
          <w:marRight w:val="0"/>
          <w:marTop w:val="0"/>
          <w:marBottom w:val="0"/>
          <w:divBdr>
            <w:top w:val="none" w:sz="0" w:space="0" w:color="auto"/>
            <w:left w:val="none" w:sz="0" w:space="0" w:color="auto"/>
            <w:bottom w:val="none" w:sz="0" w:space="0" w:color="auto"/>
            <w:right w:val="none" w:sz="0" w:space="0" w:color="auto"/>
          </w:divBdr>
        </w:div>
        <w:div w:id="408617171">
          <w:marLeft w:val="0"/>
          <w:marRight w:val="0"/>
          <w:marTop w:val="0"/>
          <w:marBottom w:val="0"/>
          <w:divBdr>
            <w:top w:val="none" w:sz="0" w:space="0" w:color="auto"/>
            <w:left w:val="none" w:sz="0" w:space="0" w:color="auto"/>
            <w:bottom w:val="none" w:sz="0" w:space="0" w:color="auto"/>
            <w:right w:val="none" w:sz="0" w:space="0" w:color="auto"/>
          </w:divBdr>
        </w:div>
        <w:div w:id="647787172">
          <w:marLeft w:val="0"/>
          <w:marRight w:val="0"/>
          <w:marTop w:val="0"/>
          <w:marBottom w:val="0"/>
          <w:divBdr>
            <w:top w:val="none" w:sz="0" w:space="0" w:color="auto"/>
            <w:left w:val="none" w:sz="0" w:space="0" w:color="auto"/>
            <w:bottom w:val="none" w:sz="0" w:space="0" w:color="auto"/>
            <w:right w:val="none" w:sz="0" w:space="0" w:color="auto"/>
          </w:divBdr>
        </w:div>
        <w:div w:id="453134835">
          <w:marLeft w:val="0"/>
          <w:marRight w:val="0"/>
          <w:marTop w:val="0"/>
          <w:marBottom w:val="0"/>
          <w:divBdr>
            <w:top w:val="none" w:sz="0" w:space="0" w:color="auto"/>
            <w:left w:val="none" w:sz="0" w:space="0" w:color="auto"/>
            <w:bottom w:val="none" w:sz="0" w:space="0" w:color="auto"/>
            <w:right w:val="none" w:sz="0" w:space="0" w:color="auto"/>
          </w:divBdr>
        </w:div>
        <w:div w:id="370693180">
          <w:marLeft w:val="0"/>
          <w:marRight w:val="0"/>
          <w:marTop w:val="0"/>
          <w:marBottom w:val="0"/>
          <w:divBdr>
            <w:top w:val="none" w:sz="0" w:space="0" w:color="auto"/>
            <w:left w:val="none" w:sz="0" w:space="0" w:color="auto"/>
            <w:bottom w:val="none" w:sz="0" w:space="0" w:color="auto"/>
            <w:right w:val="none" w:sz="0" w:space="0" w:color="auto"/>
          </w:divBdr>
        </w:div>
        <w:div w:id="477115189">
          <w:marLeft w:val="0"/>
          <w:marRight w:val="0"/>
          <w:marTop w:val="0"/>
          <w:marBottom w:val="0"/>
          <w:divBdr>
            <w:top w:val="none" w:sz="0" w:space="0" w:color="auto"/>
            <w:left w:val="none" w:sz="0" w:space="0" w:color="auto"/>
            <w:bottom w:val="none" w:sz="0" w:space="0" w:color="auto"/>
            <w:right w:val="none" w:sz="0" w:space="0" w:color="auto"/>
          </w:divBdr>
        </w:div>
        <w:div w:id="80375904">
          <w:marLeft w:val="0"/>
          <w:marRight w:val="0"/>
          <w:marTop w:val="0"/>
          <w:marBottom w:val="0"/>
          <w:divBdr>
            <w:top w:val="none" w:sz="0" w:space="0" w:color="auto"/>
            <w:left w:val="none" w:sz="0" w:space="0" w:color="auto"/>
            <w:bottom w:val="none" w:sz="0" w:space="0" w:color="auto"/>
            <w:right w:val="none" w:sz="0" w:space="0" w:color="auto"/>
          </w:divBdr>
        </w:div>
        <w:div w:id="950211464">
          <w:marLeft w:val="0"/>
          <w:marRight w:val="0"/>
          <w:marTop w:val="0"/>
          <w:marBottom w:val="0"/>
          <w:divBdr>
            <w:top w:val="none" w:sz="0" w:space="0" w:color="auto"/>
            <w:left w:val="none" w:sz="0" w:space="0" w:color="auto"/>
            <w:bottom w:val="none" w:sz="0" w:space="0" w:color="auto"/>
            <w:right w:val="none" w:sz="0" w:space="0" w:color="auto"/>
          </w:divBdr>
        </w:div>
        <w:div w:id="1348218464">
          <w:marLeft w:val="0"/>
          <w:marRight w:val="0"/>
          <w:marTop w:val="0"/>
          <w:marBottom w:val="0"/>
          <w:divBdr>
            <w:top w:val="none" w:sz="0" w:space="0" w:color="auto"/>
            <w:left w:val="none" w:sz="0" w:space="0" w:color="auto"/>
            <w:bottom w:val="none" w:sz="0" w:space="0" w:color="auto"/>
            <w:right w:val="none" w:sz="0" w:space="0" w:color="auto"/>
          </w:divBdr>
        </w:div>
        <w:div w:id="886528362">
          <w:marLeft w:val="0"/>
          <w:marRight w:val="0"/>
          <w:marTop w:val="0"/>
          <w:marBottom w:val="0"/>
          <w:divBdr>
            <w:top w:val="none" w:sz="0" w:space="0" w:color="auto"/>
            <w:left w:val="none" w:sz="0" w:space="0" w:color="auto"/>
            <w:bottom w:val="none" w:sz="0" w:space="0" w:color="auto"/>
            <w:right w:val="none" w:sz="0" w:space="0" w:color="auto"/>
          </w:divBdr>
        </w:div>
        <w:div w:id="1747799538">
          <w:marLeft w:val="0"/>
          <w:marRight w:val="0"/>
          <w:marTop w:val="0"/>
          <w:marBottom w:val="0"/>
          <w:divBdr>
            <w:top w:val="none" w:sz="0" w:space="0" w:color="auto"/>
            <w:left w:val="none" w:sz="0" w:space="0" w:color="auto"/>
            <w:bottom w:val="none" w:sz="0" w:space="0" w:color="auto"/>
            <w:right w:val="none" w:sz="0" w:space="0" w:color="auto"/>
          </w:divBdr>
        </w:div>
        <w:div w:id="1524399569">
          <w:marLeft w:val="0"/>
          <w:marRight w:val="0"/>
          <w:marTop w:val="0"/>
          <w:marBottom w:val="0"/>
          <w:divBdr>
            <w:top w:val="none" w:sz="0" w:space="0" w:color="auto"/>
            <w:left w:val="none" w:sz="0" w:space="0" w:color="auto"/>
            <w:bottom w:val="none" w:sz="0" w:space="0" w:color="auto"/>
            <w:right w:val="none" w:sz="0" w:space="0" w:color="auto"/>
          </w:divBdr>
        </w:div>
      </w:divsChild>
    </w:div>
    <w:div w:id="1542671891">
      <w:marLeft w:val="0"/>
      <w:marRight w:val="0"/>
      <w:marTop w:val="0"/>
      <w:marBottom w:val="0"/>
      <w:divBdr>
        <w:top w:val="none" w:sz="0" w:space="0" w:color="auto"/>
        <w:left w:val="none" w:sz="0" w:space="0" w:color="auto"/>
        <w:bottom w:val="none" w:sz="0" w:space="0" w:color="auto"/>
        <w:right w:val="none" w:sz="0" w:space="0" w:color="auto"/>
      </w:divBdr>
    </w:div>
    <w:div w:id="1547253532">
      <w:marLeft w:val="0"/>
      <w:marRight w:val="0"/>
      <w:marTop w:val="0"/>
      <w:marBottom w:val="0"/>
      <w:divBdr>
        <w:top w:val="none" w:sz="0" w:space="0" w:color="auto"/>
        <w:left w:val="none" w:sz="0" w:space="0" w:color="auto"/>
        <w:bottom w:val="none" w:sz="0" w:space="0" w:color="auto"/>
        <w:right w:val="none" w:sz="0" w:space="0" w:color="auto"/>
      </w:divBdr>
    </w:div>
    <w:div w:id="1549218936">
      <w:marLeft w:val="0"/>
      <w:marRight w:val="0"/>
      <w:marTop w:val="0"/>
      <w:marBottom w:val="0"/>
      <w:divBdr>
        <w:top w:val="none" w:sz="0" w:space="0" w:color="auto"/>
        <w:left w:val="none" w:sz="0" w:space="0" w:color="auto"/>
        <w:bottom w:val="none" w:sz="0" w:space="0" w:color="auto"/>
        <w:right w:val="none" w:sz="0" w:space="0" w:color="auto"/>
      </w:divBdr>
    </w:div>
    <w:div w:id="1550261948">
      <w:marLeft w:val="0"/>
      <w:marRight w:val="0"/>
      <w:marTop w:val="0"/>
      <w:marBottom w:val="0"/>
      <w:divBdr>
        <w:top w:val="none" w:sz="0" w:space="0" w:color="auto"/>
        <w:left w:val="none" w:sz="0" w:space="0" w:color="auto"/>
        <w:bottom w:val="none" w:sz="0" w:space="0" w:color="auto"/>
        <w:right w:val="none" w:sz="0" w:space="0" w:color="auto"/>
      </w:divBdr>
    </w:div>
    <w:div w:id="1565214230">
      <w:marLeft w:val="0"/>
      <w:marRight w:val="0"/>
      <w:marTop w:val="0"/>
      <w:marBottom w:val="0"/>
      <w:divBdr>
        <w:top w:val="none" w:sz="0" w:space="0" w:color="auto"/>
        <w:left w:val="none" w:sz="0" w:space="0" w:color="auto"/>
        <w:bottom w:val="none" w:sz="0" w:space="0" w:color="auto"/>
        <w:right w:val="none" w:sz="0" w:space="0" w:color="auto"/>
      </w:divBdr>
      <w:divsChild>
        <w:div w:id="1128473358">
          <w:marLeft w:val="0"/>
          <w:marRight w:val="0"/>
          <w:marTop w:val="0"/>
          <w:marBottom w:val="0"/>
          <w:divBdr>
            <w:top w:val="none" w:sz="0" w:space="0" w:color="auto"/>
            <w:left w:val="none" w:sz="0" w:space="0" w:color="auto"/>
            <w:bottom w:val="none" w:sz="0" w:space="0" w:color="auto"/>
            <w:right w:val="none" w:sz="0" w:space="0" w:color="auto"/>
          </w:divBdr>
        </w:div>
      </w:divsChild>
    </w:div>
    <w:div w:id="1569992911">
      <w:marLeft w:val="0"/>
      <w:marRight w:val="0"/>
      <w:marTop w:val="200"/>
      <w:marBottom w:val="0"/>
      <w:divBdr>
        <w:top w:val="none" w:sz="0" w:space="0" w:color="auto"/>
        <w:left w:val="none" w:sz="0" w:space="0" w:color="auto"/>
        <w:bottom w:val="none" w:sz="0" w:space="0" w:color="auto"/>
        <w:right w:val="none" w:sz="0" w:space="0" w:color="auto"/>
      </w:divBdr>
    </w:div>
    <w:div w:id="1572156711">
      <w:marLeft w:val="0"/>
      <w:marRight w:val="0"/>
      <w:marTop w:val="0"/>
      <w:marBottom w:val="160"/>
      <w:divBdr>
        <w:top w:val="none" w:sz="0" w:space="0" w:color="auto"/>
        <w:left w:val="none" w:sz="0" w:space="0" w:color="auto"/>
        <w:bottom w:val="none" w:sz="0" w:space="0" w:color="auto"/>
        <w:right w:val="none" w:sz="0" w:space="0" w:color="auto"/>
      </w:divBdr>
    </w:div>
    <w:div w:id="1573154137">
      <w:marLeft w:val="0"/>
      <w:marRight w:val="0"/>
      <w:marTop w:val="0"/>
      <w:marBottom w:val="0"/>
      <w:divBdr>
        <w:top w:val="none" w:sz="0" w:space="0" w:color="auto"/>
        <w:left w:val="none" w:sz="0" w:space="0" w:color="auto"/>
        <w:bottom w:val="none" w:sz="0" w:space="0" w:color="auto"/>
        <w:right w:val="none" w:sz="0" w:space="0" w:color="auto"/>
      </w:divBdr>
      <w:divsChild>
        <w:div w:id="304822992">
          <w:marLeft w:val="0"/>
          <w:marRight w:val="0"/>
          <w:marTop w:val="0"/>
          <w:marBottom w:val="0"/>
          <w:divBdr>
            <w:top w:val="none" w:sz="0" w:space="0" w:color="auto"/>
            <w:left w:val="none" w:sz="0" w:space="0" w:color="auto"/>
            <w:bottom w:val="none" w:sz="0" w:space="0" w:color="auto"/>
            <w:right w:val="none" w:sz="0" w:space="0" w:color="auto"/>
          </w:divBdr>
        </w:div>
      </w:divsChild>
    </w:div>
    <w:div w:id="1575428989">
      <w:marLeft w:val="0"/>
      <w:marRight w:val="0"/>
      <w:marTop w:val="180"/>
      <w:marBottom w:val="0"/>
      <w:divBdr>
        <w:top w:val="none" w:sz="0" w:space="0" w:color="auto"/>
        <w:left w:val="none" w:sz="0" w:space="0" w:color="auto"/>
        <w:bottom w:val="none" w:sz="0" w:space="0" w:color="auto"/>
        <w:right w:val="none" w:sz="0" w:space="0" w:color="auto"/>
      </w:divBdr>
    </w:div>
    <w:div w:id="1575899055">
      <w:marLeft w:val="0"/>
      <w:marRight w:val="0"/>
      <w:marTop w:val="0"/>
      <w:marBottom w:val="0"/>
      <w:divBdr>
        <w:top w:val="none" w:sz="0" w:space="0" w:color="auto"/>
        <w:left w:val="none" w:sz="0" w:space="0" w:color="auto"/>
        <w:bottom w:val="none" w:sz="0" w:space="0" w:color="auto"/>
        <w:right w:val="none" w:sz="0" w:space="0" w:color="auto"/>
      </w:divBdr>
    </w:div>
    <w:div w:id="1579748469">
      <w:marLeft w:val="0"/>
      <w:marRight w:val="0"/>
      <w:marTop w:val="200"/>
      <w:marBottom w:val="0"/>
      <w:divBdr>
        <w:top w:val="none" w:sz="0" w:space="0" w:color="auto"/>
        <w:left w:val="none" w:sz="0" w:space="0" w:color="auto"/>
        <w:bottom w:val="none" w:sz="0" w:space="0" w:color="auto"/>
        <w:right w:val="none" w:sz="0" w:space="0" w:color="auto"/>
      </w:divBdr>
    </w:div>
    <w:div w:id="1582907649">
      <w:marLeft w:val="0"/>
      <w:marRight w:val="0"/>
      <w:marTop w:val="0"/>
      <w:marBottom w:val="0"/>
      <w:divBdr>
        <w:top w:val="none" w:sz="0" w:space="0" w:color="auto"/>
        <w:left w:val="none" w:sz="0" w:space="0" w:color="auto"/>
        <w:bottom w:val="none" w:sz="0" w:space="0" w:color="auto"/>
        <w:right w:val="none" w:sz="0" w:space="0" w:color="auto"/>
      </w:divBdr>
      <w:divsChild>
        <w:div w:id="186218880">
          <w:marLeft w:val="0"/>
          <w:marRight w:val="0"/>
          <w:marTop w:val="0"/>
          <w:marBottom w:val="0"/>
          <w:divBdr>
            <w:top w:val="none" w:sz="0" w:space="0" w:color="auto"/>
            <w:left w:val="none" w:sz="0" w:space="0" w:color="auto"/>
            <w:bottom w:val="none" w:sz="0" w:space="0" w:color="auto"/>
            <w:right w:val="none" w:sz="0" w:space="0" w:color="auto"/>
          </w:divBdr>
        </w:div>
      </w:divsChild>
    </w:div>
    <w:div w:id="1583223418">
      <w:marLeft w:val="0"/>
      <w:marRight w:val="0"/>
      <w:marTop w:val="0"/>
      <w:marBottom w:val="0"/>
      <w:divBdr>
        <w:top w:val="none" w:sz="0" w:space="0" w:color="auto"/>
        <w:left w:val="none" w:sz="0" w:space="0" w:color="auto"/>
        <w:bottom w:val="none" w:sz="0" w:space="0" w:color="auto"/>
        <w:right w:val="none" w:sz="0" w:space="0" w:color="auto"/>
      </w:divBdr>
      <w:divsChild>
        <w:div w:id="305666639">
          <w:marLeft w:val="0"/>
          <w:marRight w:val="0"/>
          <w:marTop w:val="0"/>
          <w:marBottom w:val="0"/>
          <w:divBdr>
            <w:top w:val="none" w:sz="0" w:space="0" w:color="auto"/>
            <w:left w:val="none" w:sz="0" w:space="0" w:color="auto"/>
            <w:bottom w:val="none" w:sz="0" w:space="0" w:color="auto"/>
            <w:right w:val="none" w:sz="0" w:space="0" w:color="auto"/>
          </w:divBdr>
        </w:div>
      </w:divsChild>
    </w:div>
    <w:div w:id="1583367649">
      <w:marLeft w:val="0"/>
      <w:marRight w:val="0"/>
      <w:marTop w:val="100"/>
      <w:marBottom w:val="0"/>
      <w:divBdr>
        <w:top w:val="none" w:sz="0" w:space="0" w:color="auto"/>
        <w:left w:val="none" w:sz="0" w:space="0" w:color="auto"/>
        <w:bottom w:val="none" w:sz="0" w:space="0" w:color="auto"/>
        <w:right w:val="none" w:sz="0" w:space="0" w:color="auto"/>
      </w:divBdr>
    </w:div>
    <w:div w:id="1584996425">
      <w:marLeft w:val="0"/>
      <w:marRight w:val="0"/>
      <w:marTop w:val="0"/>
      <w:marBottom w:val="0"/>
      <w:divBdr>
        <w:top w:val="none" w:sz="0" w:space="0" w:color="auto"/>
        <w:left w:val="none" w:sz="0" w:space="0" w:color="auto"/>
        <w:bottom w:val="none" w:sz="0" w:space="0" w:color="auto"/>
        <w:right w:val="none" w:sz="0" w:space="0" w:color="auto"/>
      </w:divBdr>
      <w:divsChild>
        <w:div w:id="543638468">
          <w:marLeft w:val="0"/>
          <w:marRight w:val="0"/>
          <w:marTop w:val="0"/>
          <w:marBottom w:val="0"/>
          <w:divBdr>
            <w:top w:val="none" w:sz="0" w:space="0" w:color="auto"/>
            <w:left w:val="none" w:sz="0" w:space="0" w:color="auto"/>
            <w:bottom w:val="none" w:sz="0" w:space="0" w:color="auto"/>
            <w:right w:val="none" w:sz="0" w:space="0" w:color="auto"/>
          </w:divBdr>
        </w:div>
      </w:divsChild>
    </w:div>
    <w:div w:id="1585721716">
      <w:marLeft w:val="0"/>
      <w:marRight w:val="0"/>
      <w:marTop w:val="0"/>
      <w:marBottom w:val="0"/>
      <w:divBdr>
        <w:top w:val="none" w:sz="0" w:space="0" w:color="auto"/>
        <w:left w:val="none" w:sz="0" w:space="0" w:color="auto"/>
        <w:bottom w:val="none" w:sz="0" w:space="0" w:color="auto"/>
        <w:right w:val="none" w:sz="0" w:space="0" w:color="auto"/>
      </w:divBdr>
      <w:divsChild>
        <w:div w:id="742797516">
          <w:marLeft w:val="0"/>
          <w:marRight w:val="0"/>
          <w:marTop w:val="0"/>
          <w:marBottom w:val="0"/>
          <w:divBdr>
            <w:top w:val="none" w:sz="0" w:space="0" w:color="auto"/>
            <w:left w:val="none" w:sz="0" w:space="0" w:color="auto"/>
            <w:bottom w:val="none" w:sz="0" w:space="0" w:color="auto"/>
            <w:right w:val="none" w:sz="0" w:space="0" w:color="auto"/>
          </w:divBdr>
        </w:div>
        <w:div w:id="187565501">
          <w:marLeft w:val="0"/>
          <w:marRight w:val="0"/>
          <w:marTop w:val="0"/>
          <w:marBottom w:val="0"/>
          <w:divBdr>
            <w:top w:val="none" w:sz="0" w:space="0" w:color="auto"/>
            <w:left w:val="none" w:sz="0" w:space="0" w:color="auto"/>
            <w:bottom w:val="none" w:sz="0" w:space="0" w:color="auto"/>
            <w:right w:val="none" w:sz="0" w:space="0" w:color="auto"/>
          </w:divBdr>
        </w:div>
        <w:div w:id="524711014">
          <w:marLeft w:val="0"/>
          <w:marRight w:val="0"/>
          <w:marTop w:val="0"/>
          <w:marBottom w:val="0"/>
          <w:divBdr>
            <w:top w:val="none" w:sz="0" w:space="0" w:color="auto"/>
            <w:left w:val="none" w:sz="0" w:space="0" w:color="auto"/>
            <w:bottom w:val="none" w:sz="0" w:space="0" w:color="auto"/>
            <w:right w:val="none" w:sz="0" w:space="0" w:color="auto"/>
          </w:divBdr>
        </w:div>
        <w:div w:id="249966498">
          <w:marLeft w:val="0"/>
          <w:marRight w:val="0"/>
          <w:marTop w:val="0"/>
          <w:marBottom w:val="0"/>
          <w:divBdr>
            <w:top w:val="none" w:sz="0" w:space="0" w:color="auto"/>
            <w:left w:val="none" w:sz="0" w:space="0" w:color="auto"/>
            <w:bottom w:val="none" w:sz="0" w:space="0" w:color="auto"/>
            <w:right w:val="none" w:sz="0" w:space="0" w:color="auto"/>
          </w:divBdr>
        </w:div>
      </w:divsChild>
    </w:div>
    <w:div w:id="1588265405">
      <w:marLeft w:val="0"/>
      <w:marRight w:val="0"/>
      <w:marTop w:val="0"/>
      <w:marBottom w:val="0"/>
      <w:divBdr>
        <w:top w:val="none" w:sz="0" w:space="0" w:color="auto"/>
        <w:left w:val="none" w:sz="0" w:space="0" w:color="auto"/>
        <w:bottom w:val="none" w:sz="0" w:space="0" w:color="auto"/>
        <w:right w:val="none" w:sz="0" w:space="0" w:color="auto"/>
      </w:divBdr>
    </w:div>
    <w:div w:id="1589847978">
      <w:marLeft w:val="0"/>
      <w:marRight w:val="0"/>
      <w:marTop w:val="0"/>
      <w:marBottom w:val="0"/>
      <w:divBdr>
        <w:top w:val="none" w:sz="0" w:space="0" w:color="auto"/>
        <w:left w:val="none" w:sz="0" w:space="0" w:color="auto"/>
        <w:bottom w:val="none" w:sz="0" w:space="0" w:color="auto"/>
        <w:right w:val="none" w:sz="0" w:space="0" w:color="auto"/>
      </w:divBdr>
    </w:div>
    <w:div w:id="1591349256">
      <w:marLeft w:val="0"/>
      <w:marRight w:val="0"/>
      <w:marTop w:val="0"/>
      <w:marBottom w:val="160"/>
      <w:divBdr>
        <w:top w:val="none" w:sz="0" w:space="0" w:color="auto"/>
        <w:left w:val="none" w:sz="0" w:space="0" w:color="auto"/>
        <w:bottom w:val="none" w:sz="0" w:space="0" w:color="auto"/>
        <w:right w:val="none" w:sz="0" w:space="0" w:color="auto"/>
      </w:divBdr>
    </w:div>
    <w:div w:id="1592741003">
      <w:marLeft w:val="0"/>
      <w:marRight w:val="0"/>
      <w:marTop w:val="200"/>
      <w:marBottom w:val="0"/>
      <w:divBdr>
        <w:top w:val="none" w:sz="0" w:space="0" w:color="auto"/>
        <w:left w:val="none" w:sz="0" w:space="0" w:color="auto"/>
        <w:bottom w:val="none" w:sz="0" w:space="0" w:color="auto"/>
        <w:right w:val="none" w:sz="0" w:space="0" w:color="auto"/>
      </w:divBdr>
    </w:div>
    <w:div w:id="1594362801">
      <w:marLeft w:val="0"/>
      <w:marRight w:val="0"/>
      <w:marTop w:val="0"/>
      <w:marBottom w:val="0"/>
      <w:divBdr>
        <w:top w:val="none" w:sz="0" w:space="0" w:color="auto"/>
        <w:left w:val="none" w:sz="0" w:space="0" w:color="auto"/>
        <w:bottom w:val="none" w:sz="0" w:space="0" w:color="auto"/>
        <w:right w:val="none" w:sz="0" w:space="0" w:color="auto"/>
      </w:divBdr>
    </w:div>
    <w:div w:id="1595898524">
      <w:marLeft w:val="0"/>
      <w:marRight w:val="0"/>
      <w:marTop w:val="200"/>
      <w:marBottom w:val="0"/>
      <w:divBdr>
        <w:top w:val="none" w:sz="0" w:space="0" w:color="auto"/>
        <w:left w:val="none" w:sz="0" w:space="0" w:color="auto"/>
        <w:bottom w:val="none" w:sz="0" w:space="0" w:color="auto"/>
        <w:right w:val="none" w:sz="0" w:space="0" w:color="auto"/>
      </w:divBdr>
    </w:div>
    <w:div w:id="1599413637">
      <w:marLeft w:val="0"/>
      <w:marRight w:val="0"/>
      <w:marTop w:val="0"/>
      <w:marBottom w:val="0"/>
      <w:divBdr>
        <w:top w:val="none" w:sz="0" w:space="0" w:color="auto"/>
        <w:left w:val="none" w:sz="0" w:space="0" w:color="auto"/>
        <w:bottom w:val="none" w:sz="0" w:space="0" w:color="auto"/>
        <w:right w:val="none" w:sz="0" w:space="0" w:color="auto"/>
      </w:divBdr>
      <w:divsChild>
        <w:div w:id="151918493">
          <w:marLeft w:val="0"/>
          <w:marRight w:val="0"/>
          <w:marTop w:val="0"/>
          <w:marBottom w:val="0"/>
          <w:divBdr>
            <w:top w:val="none" w:sz="0" w:space="0" w:color="auto"/>
            <w:left w:val="none" w:sz="0" w:space="0" w:color="auto"/>
            <w:bottom w:val="none" w:sz="0" w:space="0" w:color="auto"/>
            <w:right w:val="none" w:sz="0" w:space="0" w:color="auto"/>
          </w:divBdr>
        </w:div>
      </w:divsChild>
    </w:div>
    <w:div w:id="1599756256">
      <w:marLeft w:val="0"/>
      <w:marRight w:val="0"/>
      <w:marTop w:val="0"/>
      <w:marBottom w:val="0"/>
      <w:divBdr>
        <w:top w:val="none" w:sz="0" w:space="0" w:color="auto"/>
        <w:left w:val="none" w:sz="0" w:space="0" w:color="auto"/>
        <w:bottom w:val="none" w:sz="0" w:space="0" w:color="auto"/>
        <w:right w:val="none" w:sz="0" w:space="0" w:color="auto"/>
      </w:divBdr>
      <w:divsChild>
        <w:div w:id="213389809">
          <w:marLeft w:val="0"/>
          <w:marRight w:val="0"/>
          <w:marTop w:val="0"/>
          <w:marBottom w:val="0"/>
          <w:divBdr>
            <w:top w:val="none" w:sz="0" w:space="0" w:color="auto"/>
            <w:left w:val="none" w:sz="0" w:space="0" w:color="auto"/>
            <w:bottom w:val="none" w:sz="0" w:space="0" w:color="auto"/>
            <w:right w:val="none" w:sz="0" w:space="0" w:color="auto"/>
          </w:divBdr>
        </w:div>
      </w:divsChild>
    </w:div>
    <w:div w:id="1608393835">
      <w:marLeft w:val="0"/>
      <w:marRight w:val="0"/>
      <w:marTop w:val="225"/>
      <w:marBottom w:val="0"/>
      <w:divBdr>
        <w:top w:val="none" w:sz="0" w:space="0" w:color="auto"/>
        <w:left w:val="none" w:sz="0" w:space="0" w:color="auto"/>
        <w:bottom w:val="none" w:sz="0" w:space="0" w:color="auto"/>
        <w:right w:val="none" w:sz="0" w:space="0" w:color="auto"/>
      </w:divBdr>
    </w:div>
    <w:div w:id="1609699296">
      <w:marLeft w:val="0"/>
      <w:marRight w:val="0"/>
      <w:marTop w:val="200"/>
      <w:marBottom w:val="0"/>
      <w:divBdr>
        <w:top w:val="none" w:sz="0" w:space="0" w:color="auto"/>
        <w:left w:val="none" w:sz="0" w:space="0" w:color="auto"/>
        <w:bottom w:val="none" w:sz="0" w:space="0" w:color="auto"/>
        <w:right w:val="none" w:sz="0" w:space="0" w:color="auto"/>
      </w:divBdr>
    </w:div>
    <w:div w:id="1612475614">
      <w:marLeft w:val="0"/>
      <w:marRight w:val="0"/>
      <w:marTop w:val="0"/>
      <w:marBottom w:val="0"/>
      <w:divBdr>
        <w:top w:val="none" w:sz="0" w:space="0" w:color="auto"/>
        <w:left w:val="none" w:sz="0" w:space="0" w:color="auto"/>
        <w:bottom w:val="none" w:sz="0" w:space="0" w:color="auto"/>
        <w:right w:val="none" w:sz="0" w:space="0" w:color="auto"/>
      </w:divBdr>
    </w:div>
    <w:div w:id="1613168897">
      <w:marLeft w:val="0"/>
      <w:marRight w:val="0"/>
      <w:marTop w:val="0"/>
      <w:marBottom w:val="0"/>
      <w:divBdr>
        <w:top w:val="none" w:sz="0" w:space="0" w:color="auto"/>
        <w:left w:val="none" w:sz="0" w:space="0" w:color="auto"/>
        <w:bottom w:val="none" w:sz="0" w:space="0" w:color="auto"/>
        <w:right w:val="none" w:sz="0" w:space="0" w:color="auto"/>
      </w:divBdr>
      <w:divsChild>
        <w:div w:id="1804691979">
          <w:marLeft w:val="0"/>
          <w:marRight w:val="0"/>
          <w:marTop w:val="0"/>
          <w:marBottom w:val="0"/>
          <w:divBdr>
            <w:top w:val="none" w:sz="0" w:space="0" w:color="auto"/>
            <w:left w:val="none" w:sz="0" w:space="0" w:color="auto"/>
            <w:bottom w:val="none" w:sz="0" w:space="0" w:color="auto"/>
            <w:right w:val="none" w:sz="0" w:space="0" w:color="auto"/>
          </w:divBdr>
        </w:div>
      </w:divsChild>
    </w:div>
    <w:div w:id="1615745286">
      <w:marLeft w:val="0"/>
      <w:marRight w:val="0"/>
      <w:marTop w:val="0"/>
      <w:marBottom w:val="0"/>
      <w:divBdr>
        <w:top w:val="none" w:sz="0" w:space="0" w:color="auto"/>
        <w:left w:val="none" w:sz="0" w:space="0" w:color="auto"/>
        <w:bottom w:val="none" w:sz="0" w:space="0" w:color="auto"/>
        <w:right w:val="none" w:sz="0" w:space="0" w:color="auto"/>
      </w:divBdr>
    </w:div>
    <w:div w:id="1616710016">
      <w:marLeft w:val="0"/>
      <w:marRight w:val="0"/>
      <w:marTop w:val="0"/>
      <w:marBottom w:val="0"/>
      <w:divBdr>
        <w:top w:val="none" w:sz="0" w:space="0" w:color="auto"/>
        <w:left w:val="none" w:sz="0" w:space="0" w:color="auto"/>
        <w:bottom w:val="none" w:sz="0" w:space="0" w:color="auto"/>
        <w:right w:val="none" w:sz="0" w:space="0" w:color="auto"/>
      </w:divBdr>
    </w:div>
    <w:div w:id="1618486075">
      <w:marLeft w:val="0"/>
      <w:marRight w:val="0"/>
      <w:marTop w:val="200"/>
      <w:marBottom w:val="0"/>
      <w:divBdr>
        <w:top w:val="none" w:sz="0" w:space="0" w:color="auto"/>
        <w:left w:val="none" w:sz="0" w:space="0" w:color="auto"/>
        <w:bottom w:val="none" w:sz="0" w:space="0" w:color="auto"/>
        <w:right w:val="none" w:sz="0" w:space="0" w:color="auto"/>
      </w:divBdr>
    </w:div>
    <w:div w:id="1619606400">
      <w:marLeft w:val="0"/>
      <w:marRight w:val="0"/>
      <w:marTop w:val="0"/>
      <w:marBottom w:val="200"/>
      <w:divBdr>
        <w:top w:val="none" w:sz="0" w:space="0" w:color="auto"/>
        <w:left w:val="none" w:sz="0" w:space="0" w:color="auto"/>
        <w:bottom w:val="none" w:sz="0" w:space="0" w:color="auto"/>
        <w:right w:val="none" w:sz="0" w:space="0" w:color="auto"/>
      </w:divBdr>
    </w:div>
    <w:div w:id="1619794331">
      <w:marLeft w:val="0"/>
      <w:marRight w:val="0"/>
      <w:marTop w:val="0"/>
      <w:marBottom w:val="0"/>
      <w:divBdr>
        <w:top w:val="none" w:sz="0" w:space="0" w:color="auto"/>
        <w:left w:val="none" w:sz="0" w:space="0" w:color="auto"/>
        <w:bottom w:val="none" w:sz="0" w:space="0" w:color="auto"/>
        <w:right w:val="none" w:sz="0" w:space="0" w:color="auto"/>
      </w:divBdr>
    </w:div>
    <w:div w:id="1621110734">
      <w:marLeft w:val="0"/>
      <w:marRight w:val="0"/>
      <w:marTop w:val="0"/>
      <w:marBottom w:val="0"/>
      <w:divBdr>
        <w:top w:val="none" w:sz="0" w:space="0" w:color="auto"/>
        <w:left w:val="none" w:sz="0" w:space="0" w:color="auto"/>
        <w:bottom w:val="none" w:sz="0" w:space="0" w:color="auto"/>
        <w:right w:val="none" w:sz="0" w:space="0" w:color="auto"/>
      </w:divBdr>
    </w:div>
    <w:div w:id="1624383308">
      <w:marLeft w:val="0"/>
      <w:marRight w:val="0"/>
      <w:marTop w:val="200"/>
      <w:marBottom w:val="0"/>
      <w:divBdr>
        <w:top w:val="none" w:sz="0" w:space="0" w:color="auto"/>
        <w:left w:val="none" w:sz="0" w:space="0" w:color="auto"/>
        <w:bottom w:val="none" w:sz="0" w:space="0" w:color="auto"/>
        <w:right w:val="none" w:sz="0" w:space="0" w:color="auto"/>
      </w:divBdr>
    </w:div>
    <w:div w:id="1629626831">
      <w:marLeft w:val="0"/>
      <w:marRight w:val="0"/>
      <w:marTop w:val="0"/>
      <w:marBottom w:val="0"/>
      <w:divBdr>
        <w:top w:val="none" w:sz="0" w:space="0" w:color="auto"/>
        <w:left w:val="none" w:sz="0" w:space="0" w:color="auto"/>
        <w:bottom w:val="none" w:sz="0" w:space="0" w:color="auto"/>
        <w:right w:val="none" w:sz="0" w:space="0" w:color="auto"/>
      </w:divBdr>
      <w:divsChild>
        <w:div w:id="1813861991">
          <w:marLeft w:val="0"/>
          <w:marRight w:val="0"/>
          <w:marTop w:val="0"/>
          <w:marBottom w:val="0"/>
          <w:divBdr>
            <w:top w:val="none" w:sz="0" w:space="0" w:color="auto"/>
            <w:left w:val="none" w:sz="0" w:space="0" w:color="auto"/>
            <w:bottom w:val="none" w:sz="0" w:space="0" w:color="auto"/>
            <w:right w:val="none" w:sz="0" w:space="0" w:color="auto"/>
          </w:divBdr>
        </w:div>
      </w:divsChild>
    </w:div>
    <w:div w:id="1629630691">
      <w:marLeft w:val="0"/>
      <w:marRight w:val="0"/>
      <w:marTop w:val="100"/>
      <w:marBottom w:val="0"/>
      <w:divBdr>
        <w:top w:val="none" w:sz="0" w:space="0" w:color="auto"/>
        <w:left w:val="none" w:sz="0" w:space="0" w:color="auto"/>
        <w:bottom w:val="none" w:sz="0" w:space="0" w:color="auto"/>
        <w:right w:val="none" w:sz="0" w:space="0" w:color="auto"/>
      </w:divBdr>
    </w:div>
    <w:div w:id="1632445131">
      <w:marLeft w:val="0"/>
      <w:marRight w:val="0"/>
      <w:marTop w:val="0"/>
      <w:marBottom w:val="0"/>
      <w:divBdr>
        <w:top w:val="none" w:sz="0" w:space="0" w:color="auto"/>
        <w:left w:val="none" w:sz="0" w:space="0" w:color="auto"/>
        <w:bottom w:val="none" w:sz="0" w:space="0" w:color="auto"/>
        <w:right w:val="none" w:sz="0" w:space="0" w:color="auto"/>
      </w:divBdr>
      <w:divsChild>
        <w:div w:id="340203300">
          <w:marLeft w:val="0"/>
          <w:marRight w:val="0"/>
          <w:marTop w:val="0"/>
          <w:marBottom w:val="0"/>
          <w:divBdr>
            <w:top w:val="none" w:sz="0" w:space="0" w:color="auto"/>
            <w:left w:val="none" w:sz="0" w:space="0" w:color="auto"/>
            <w:bottom w:val="none" w:sz="0" w:space="0" w:color="auto"/>
            <w:right w:val="none" w:sz="0" w:space="0" w:color="auto"/>
          </w:divBdr>
        </w:div>
      </w:divsChild>
    </w:div>
    <w:div w:id="1637056098">
      <w:marLeft w:val="0"/>
      <w:marRight w:val="0"/>
      <w:marTop w:val="0"/>
      <w:marBottom w:val="0"/>
      <w:divBdr>
        <w:top w:val="none" w:sz="0" w:space="0" w:color="auto"/>
        <w:left w:val="none" w:sz="0" w:space="0" w:color="auto"/>
        <w:bottom w:val="none" w:sz="0" w:space="0" w:color="auto"/>
        <w:right w:val="none" w:sz="0" w:space="0" w:color="auto"/>
      </w:divBdr>
    </w:div>
    <w:div w:id="1639527056">
      <w:marLeft w:val="0"/>
      <w:marRight w:val="0"/>
      <w:marTop w:val="0"/>
      <w:marBottom w:val="0"/>
      <w:divBdr>
        <w:top w:val="none" w:sz="0" w:space="0" w:color="auto"/>
        <w:left w:val="none" w:sz="0" w:space="0" w:color="auto"/>
        <w:bottom w:val="none" w:sz="0" w:space="0" w:color="auto"/>
        <w:right w:val="none" w:sz="0" w:space="0" w:color="auto"/>
      </w:divBdr>
      <w:divsChild>
        <w:div w:id="1998149300">
          <w:marLeft w:val="0"/>
          <w:marRight w:val="0"/>
          <w:marTop w:val="0"/>
          <w:marBottom w:val="0"/>
          <w:divBdr>
            <w:top w:val="none" w:sz="0" w:space="0" w:color="auto"/>
            <w:left w:val="none" w:sz="0" w:space="0" w:color="auto"/>
            <w:bottom w:val="none" w:sz="0" w:space="0" w:color="auto"/>
            <w:right w:val="none" w:sz="0" w:space="0" w:color="auto"/>
          </w:divBdr>
        </w:div>
      </w:divsChild>
    </w:div>
    <w:div w:id="1641426176">
      <w:marLeft w:val="0"/>
      <w:marRight w:val="0"/>
      <w:marTop w:val="0"/>
      <w:marBottom w:val="0"/>
      <w:divBdr>
        <w:top w:val="none" w:sz="0" w:space="0" w:color="auto"/>
        <w:left w:val="none" w:sz="0" w:space="0" w:color="auto"/>
        <w:bottom w:val="none" w:sz="0" w:space="0" w:color="auto"/>
        <w:right w:val="none" w:sz="0" w:space="0" w:color="auto"/>
      </w:divBdr>
    </w:div>
    <w:div w:id="1642148317">
      <w:marLeft w:val="0"/>
      <w:marRight w:val="0"/>
      <w:marTop w:val="200"/>
      <w:marBottom w:val="0"/>
      <w:divBdr>
        <w:top w:val="none" w:sz="0" w:space="0" w:color="auto"/>
        <w:left w:val="none" w:sz="0" w:space="0" w:color="auto"/>
        <w:bottom w:val="none" w:sz="0" w:space="0" w:color="auto"/>
        <w:right w:val="none" w:sz="0" w:space="0" w:color="auto"/>
      </w:divBdr>
    </w:div>
    <w:div w:id="1642231710">
      <w:marLeft w:val="0"/>
      <w:marRight w:val="0"/>
      <w:marTop w:val="0"/>
      <w:marBottom w:val="160"/>
      <w:divBdr>
        <w:top w:val="none" w:sz="0" w:space="0" w:color="auto"/>
        <w:left w:val="none" w:sz="0" w:space="0" w:color="auto"/>
        <w:bottom w:val="none" w:sz="0" w:space="0" w:color="auto"/>
        <w:right w:val="none" w:sz="0" w:space="0" w:color="auto"/>
      </w:divBdr>
    </w:div>
    <w:div w:id="1644507215">
      <w:marLeft w:val="0"/>
      <w:marRight w:val="0"/>
      <w:marTop w:val="0"/>
      <w:marBottom w:val="0"/>
      <w:divBdr>
        <w:top w:val="none" w:sz="0" w:space="0" w:color="auto"/>
        <w:left w:val="none" w:sz="0" w:space="0" w:color="auto"/>
        <w:bottom w:val="none" w:sz="0" w:space="0" w:color="auto"/>
        <w:right w:val="none" w:sz="0" w:space="0" w:color="auto"/>
      </w:divBdr>
    </w:div>
    <w:div w:id="1645892719">
      <w:marLeft w:val="0"/>
      <w:marRight w:val="0"/>
      <w:marTop w:val="100"/>
      <w:marBottom w:val="0"/>
      <w:divBdr>
        <w:top w:val="none" w:sz="0" w:space="0" w:color="auto"/>
        <w:left w:val="none" w:sz="0" w:space="0" w:color="auto"/>
        <w:bottom w:val="none" w:sz="0" w:space="0" w:color="auto"/>
        <w:right w:val="none" w:sz="0" w:space="0" w:color="auto"/>
      </w:divBdr>
    </w:div>
    <w:div w:id="1647003741">
      <w:marLeft w:val="0"/>
      <w:marRight w:val="0"/>
      <w:marTop w:val="0"/>
      <w:marBottom w:val="0"/>
      <w:divBdr>
        <w:top w:val="none" w:sz="0" w:space="0" w:color="auto"/>
        <w:left w:val="none" w:sz="0" w:space="0" w:color="auto"/>
        <w:bottom w:val="none" w:sz="0" w:space="0" w:color="auto"/>
        <w:right w:val="none" w:sz="0" w:space="0" w:color="auto"/>
      </w:divBdr>
      <w:divsChild>
        <w:div w:id="523134285">
          <w:marLeft w:val="0"/>
          <w:marRight w:val="0"/>
          <w:marTop w:val="0"/>
          <w:marBottom w:val="0"/>
          <w:divBdr>
            <w:top w:val="none" w:sz="0" w:space="0" w:color="auto"/>
            <w:left w:val="none" w:sz="0" w:space="0" w:color="auto"/>
            <w:bottom w:val="none" w:sz="0" w:space="0" w:color="auto"/>
            <w:right w:val="none" w:sz="0" w:space="0" w:color="auto"/>
          </w:divBdr>
        </w:div>
      </w:divsChild>
    </w:div>
    <w:div w:id="1647735387">
      <w:marLeft w:val="0"/>
      <w:marRight w:val="0"/>
      <w:marTop w:val="40"/>
      <w:marBottom w:val="0"/>
      <w:divBdr>
        <w:top w:val="none" w:sz="0" w:space="0" w:color="auto"/>
        <w:left w:val="none" w:sz="0" w:space="0" w:color="auto"/>
        <w:bottom w:val="none" w:sz="0" w:space="0" w:color="auto"/>
        <w:right w:val="none" w:sz="0" w:space="0" w:color="auto"/>
      </w:divBdr>
    </w:div>
    <w:div w:id="1648129386">
      <w:marLeft w:val="0"/>
      <w:marRight w:val="0"/>
      <w:marTop w:val="200"/>
      <w:marBottom w:val="0"/>
      <w:divBdr>
        <w:top w:val="none" w:sz="0" w:space="0" w:color="auto"/>
        <w:left w:val="none" w:sz="0" w:space="0" w:color="auto"/>
        <w:bottom w:val="none" w:sz="0" w:space="0" w:color="auto"/>
        <w:right w:val="none" w:sz="0" w:space="0" w:color="auto"/>
      </w:divBdr>
    </w:div>
    <w:div w:id="1651713787">
      <w:marLeft w:val="0"/>
      <w:marRight w:val="0"/>
      <w:marTop w:val="0"/>
      <w:marBottom w:val="0"/>
      <w:divBdr>
        <w:top w:val="none" w:sz="0" w:space="0" w:color="auto"/>
        <w:left w:val="none" w:sz="0" w:space="0" w:color="auto"/>
        <w:bottom w:val="none" w:sz="0" w:space="0" w:color="auto"/>
        <w:right w:val="none" w:sz="0" w:space="0" w:color="auto"/>
      </w:divBdr>
    </w:div>
    <w:div w:id="1654867375">
      <w:marLeft w:val="0"/>
      <w:marRight w:val="0"/>
      <w:marTop w:val="100"/>
      <w:marBottom w:val="0"/>
      <w:divBdr>
        <w:top w:val="none" w:sz="0" w:space="0" w:color="auto"/>
        <w:left w:val="none" w:sz="0" w:space="0" w:color="auto"/>
        <w:bottom w:val="none" w:sz="0" w:space="0" w:color="auto"/>
        <w:right w:val="none" w:sz="0" w:space="0" w:color="auto"/>
      </w:divBdr>
    </w:div>
    <w:div w:id="1655641560">
      <w:marLeft w:val="0"/>
      <w:marRight w:val="0"/>
      <w:marTop w:val="0"/>
      <w:marBottom w:val="0"/>
      <w:divBdr>
        <w:top w:val="none" w:sz="0" w:space="0" w:color="auto"/>
        <w:left w:val="none" w:sz="0" w:space="0" w:color="auto"/>
        <w:bottom w:val="none" w:sz="0" w:space="0" w:color="auto"/>
        <w:right w:val="none" w:sz="0" w:space="0" w:color="auto"/>
      </w:divBdr>
    </w:div>
    <w:div w:id="1658219012">
      <w:marLeft w:val="0"/>
      <w:marRight w:val="0"/>
      <w:marTop w:val="200"/>
      <w:marBottom w:val="0"/>
      <w:divBdr>
        <w:top w:val="none" w:sz="0" w:space="0" w:color="auto"/>
        <w:left w:val="none" w:sz="0" w:space="0" w:color="auto"/>
        <w:bottom w:val="none" w:sz="0" w:space="0" w:color="auto"/>
        <w:right w:val="none" w:sz="0" w:space="0" w:color="auto"/>
      </w:divBdr>
    </w:div>
    <w:div w:id="1659267869">
      <w:marLeft w:val="0"/>
      <w:marRight w:val="0"/>
      <w:marTop w:val="0"/>
      <w:marBottom w:val="0"/>
      <w:divBdr>
        <w:top w:val="none" w:sz="0" w:space="0" w:color="auto"/>
        <w:left w:val="none" w:sz="0" w:space="0" w:color="auto"/>
        <w:bottom w:val="none" w:sz="0" w:space="0" w:color="auto"/>
        <w:right w:val="none" w:sz="0" w:space="0" w:color="auto"/>
      </w:divBdr>
      <w:divsChild>
        <w:div w:id="2042784476">
          <w:marLeft w:val="0"/>
          <w:marRight w:val="0"/>
          <w:marTop w:val="0"/>
          <w:marBottom w:val="0"/>
          <w:divBdr>
            <w:top w:val="none" w:sz="0" w:space="0" w:color="auto"/>
            <w:left w:val="none" w:sz="0" w:space="0" w:color="auto"/>
            <w:bottom w:val="none" w:sz="0" w:space="0" w:color="auto"/>
            <w:right w:val="none" w:sz="0" w:space="0" w:color="auto"/>
          </w:divBdr>
        </w:div>
        <w:div w:id="276377215">
          <w:marLeft w:val="0"/>
          <w:marRight w:val="0"/>
          <w:marTop w:val="0"/>
          <w:marBottom w:val="0"/>
          <w:divBdr>
            <w:top w:val="none" w:sz="0" w:space="0" w:color="auto"/>
            <w:left w:val="none" w:sz="0" w:space="0" w:color="auto"/>
            <w:bottom w:val="none" w:sz="0" w:space="0" w:color="auto"/>
            <w:right w:val="none" w:sz="0" w:space="0" w:color="auto"/>
          </w:divBdr>
        </w:div>
        <w:div w:id="1144351349">
          <w:marLeft w:val="0"/>
          <w:marRight w:val="0"/>
          <w:marTop w:val="0"/>
          <w:marBottom w:val="0"/>
          <w:divBdr>
            <w:top w:val="none" w:sz="0" w:space="0" w:color="auto"/>
            <w:left w:val="none" w:sz="0" w:space="0" w:color="auto"/>
            <w:bottom w:val="none" w:sz="0" w:space="0" w:color="auto"/>
            <w:right w:val="none" w:sz="0" w:space="0" w:color="auto"/>
          </w:divBdr>
        </w:div>
        <w:div w:id="734468721">
          <w:marLeft w:val="0"/>
          <w:marRight w:val="0"/>
          <w:marTop w:val="0"/>
          <w:marBottom w:val="0"/>
          <w:divBdr>
            <w:top w:val="none" w:sz="0" w:space="0" w:color="auto"/>
            <w:left w:val="none" w:sz="0" w:space="0" w:color="auto"/>
            <w:bottom w:val="none" w:sz="0" w:space="0" w:color="auto"/>
            <w:right w:val="none" w:sz="0" w:space="0" w:color="auto"/>
          </w:divBdr>
        </w:div>
      </w:divsChild>
    </w:div>
    <w:div w:id="1660038766">
      <w:marLeft w:val="0"/>
      <w:marRight w:val="0"/>
      <w:marTop w:val="0"/>
      <w:marBottom w:val="0"/>
      <w:divBdr>
        <w:top w:val="none" w:sz="0" w:space="0" w:color="auto"/>
        <w:left w:val="none" w:sz="0" w:space="0" w:color="auto"/>
        <w:bottom w:val="none" w:sz="0" w:space="0" w:color="auto"/>
        <w:right w:val="none" w:sz="0" w:space="0" w:color="auto"/>
      </w:divBdr>
    </w:div>
    <w:div w:id="1663267572">
      <w:marLeft w:val="0"/>
      <w:marRight w:val="0"/>
      <w:marTop w:val="0"/>
      <w:marBottom w:val="0"/>
      <w:divBdr>
        <w:top w:val="none" w:sz="0" w:space="0" w:color="auto"/>
        <w:left w:val="none" w:sz="0" w:space="0" w:color="auto"/>
        <w:bottom w:val="none" w:sz="0" w:space="0" w:color="auto"/>
        <w:right w:val="none" w:sz="0" w:space="0" w:color="auto"/>
      </w:divBdr>
    </w:div>
    <w:div w:id="1669750221">
      <w:marLeft w:val="0"/>
      <w:marRight w:val="0"/>
      <w:marTop w:val="0"/>
      <w:marBottom w:val="0"/>
      <w:divBdr>
        <w:top w:val="none" w:sz="0" w:space="0" w:color="auto"/>
        <w:left w:val="none" w:sz="0" w:space="0" w:color="auto"/>
        <w:bottom w:val="none" w:sz="0" w:space="0" w:color="auto"/>
        <w:right w:val="none" w:sz="0" w:space="0" w:color="auto"/>
      </w:divBdr>
      <w:divsChild>
        <w:div w:id="1365595708">
          <w:marLeft w:val="0"/>
          <w:marRight w:val="0"/>
          <w:marTop w:val="0"/>
          <w:marBottom w:val="0"/>
          <w:divBdr>
            <w:top w:val="none" w:sz="0" w:space="0" w:color="auto"/>
            <w:left w:val="none" w:sz="0" w:space="0" w:color="auto"/>
            <w:bottom w:val="none" w:sz="0" w:space="0" w:color="auto"/>
            <w:right w:val="none" w:sz="0" w:space="0" w:color="auto"/>
          </w:divBdr>
        </w:div>
      </w:divsChild>
    </w:div>
    <w:div w:id="1670209762">
      <w:marLeft w:val="0"/>
      <w:marRight w:val="0"/>
      <w:marTop w:val="200"/>
      <w:marBottom w:val="0"/>
      <w:divBdr>
        <w:top w:val="none" w:sz="0" w:space="0" w:color="auto"/>
        <w:left w:val="none" w:sz="0" w:space="0" w:color="auto"/>
        <w:bottom w:val="none" w:sz="0" w:space="0" w:color="auto"/>
        <w:right w:val="none" w:sz="0" w:space="0" w:color="auto"/>
      </w:divBdr>
    </w:div>
    <w:div w:id="1670526785">
      <w:marLeft w:val="0"/>
      <w:marRight w:val="0"/>
      <w:marTop w:val="0"/>
      <w:marBottom w:val="0"/>
      <w:divBdr>
        <w:top w:val="none" w:sz="0" w:space="0" w:color="auto"/>
        <w:left w:val="none" w:sz="0" w:space="0" w:color="auto"/>
        <w:bottom w:val="none" w:sz="0" w:space="0" w:color="auto"/>
        <w:right w:val="none" w:sz="0" w:space="0" w:color="auto"/>
      </w:divBdr>
      <w:divsChild>
        <w:div w:id="2067097781">
          <w:marLeft w:val="0"/>
          <w:marRight w:val="0"/>
          <w:marTop w:val="0"/>
          <w:marBottom w:val="0"/>
          <w:divBdr>
            <w:top w:val="none" w:sz="0" w:space="0" w:color="auto"/>
            <w:left w:val="none" w:sz="0" w:space="0" w:color="auto"/>
            <w:bottom w:val="none" w:sz="0" w:space="0" w:color="auto"/>
            <w:right w:val="none" w:sz="0" w:space="0" w:color="auto"/>
          </w:divBdr>
        </w:div>
      </w:divsChild>
    </w:div>
    <w:div w:id="1670867619">
      <w:marLeft w:val="0"/>
      <w:marRight w:val="0"/>
      <w:marTop w:val="0"/>
      <w:marBottom w:val="0"/>
      <w:divBdr>
        <w:top w:val="none" w:sz="0" w:space="0" w:color="auto"/>
        <w:left w:val="none" w:sz="0" w:space="0" w:color="auto"/>
        <w:bottom w:val="none" w:sz="0" w:space="0" w:color="auto"/>
        <w:right w:val="none" w:sz="0" w:space="0" w:color="auto"/>
      </w:divBdr>
    </w:div>
    <w:div w:id="1674332890">
      <w:marLeft w:val="0"/>
      <w:marRight w:val="0"/>
      <w:marTop w:val="0"/>
      <w:marBottom w:val="0"/>
      <w:divBdr>
        <w:top w:val="none" w:sz="0" w:space="0" w:color="auto"/>
        <w:left w:val="none" w:sz="0" w:space="0" w:color="auto"/>
        <w:bottom w:val="none" w:sz="0" w:space="0" w:color="auto"/>
        <w:right w:val="none" w:sz="0" w:space="0" w:color="auto"/>
      </w:divBdr>
      <w:divsChild>
        <w:div w:id="853348693">
          <w:marLeft w:val="0"/>
          <w:marRight w:val="0"/>
          <w:marTop w:val="0"/>
          <w:marBottom w:val="0"/>
          <w:divBdr>
            <w:top w:val="none" w:sz="0" w:space="0" w:color="auto"/>
            <w:left w:val="none" w:sz="0" w:space="0" w:color="auto"/>
            <w:bottom w:val="none" w:sz="0" w:space="0" w:color="auto"/>
            <w:right w:val="none" w:sz="0" w:space="0" w:color="auto"/>
          </w:divBdr>
        </w:div>
      </w:divsChild>
    </w:div>
    <w:div w:id="1675184346">
      <w:marLeft w:val="0"/>
      <w:marRight w:val="0"/>
      <w:marTop w:val="0"/>
      <w:marBottom w:val="0"/>
      <w:divBdr>
        <w:top w:val="none" w:sz="0" w:space="0" w:color="auto"/>
        <w:left w:val="none" w:sz="0" w:space="0" w:color="auto"/>
        <w:bottom w:val="none" w:sz="0" w:space="0" w:color="auto"/>
        <w:right w:val="none" w:sz="0" w:space="0" w:color="auto"/>
      </w:divBdr>
      <w:divsChild>
        <w:div w:id="224294492">
          <w:marLeft w:val="0"/>
          <w:marRight w:val="0"/>
          <w:marTop w:val="0"/>
          <w:marBottom w:val="0"/>
          <w:divBdr>
            <w:top w:val="none" w:sz="0" w:space="0" w:color="auto"/>
            <w:left w:val="none" w:sz="0" w:space="0" w:color="auto"/>
            <w:bottom w:val="none" w:sz="0" w:space="0" w:color="auto"/>
            <w:right w:val="none" w:sz="0" w:space="0" w:color="auto"/>
          </w:divBdr>
        </w:div>
      </w:divsChild>
    </w:div>
    <w:div w:id="1675298286">
      <w:marLeft w:val="0"/>
      <w:marRight w:val="0"/>
      <w:marTop w:val="100"/>
      <w:marBottom w:val="0"/>
      <w:divBdr>
        <w:top w:val="none" w:sz="0" w:space="0" w:color="auto"/>
        <w:left w:val="none" w:sz="0" w:space="0" w:color="auto"/>
        <w:bottom w:val="none" w:sz="0" w:space="0" w:color="auto"/>
        <w:right w:val="none" w:sz="0" w:space="0" w:color="auto"/>
      </w:divBdr>
      <w:divsChild>
        <w:div w:id="441077995">
          <w:marLeft w:val="0"/>
          <w:marRight w:val="0"/>
          <w:marTop w:val="0"/>
          <w:marBottom w:val="240"/>
          <w:divBdr>
            <w:top w:val="none" w:sz="0" w:space="0" w:color="auto"/>
            <w:left w:val="none" w:sz="0" w:space="0" w:color="auto"/>
            <w:bottom w:val="none" w:sz="0" w:space="0" w:color="auto"/>
            <w:right w:val="none" w:sz="0" w:space="0" w:color="auto"/>
          </w:divBdr>
        </w:div>
      </w:divsChild>
    </w:div>
    <w:div w:id="1675840868">
      <w:marLeft w:val="0"/>
      <w:marRight w:val="0"/>
      <w:marTop w:val="60"/>
      <w:marBottom w:val="0"/>
      <w:divBdr>
        <w:top w:val="none" w:sz="0" w:space="0" w:color="auto"/>
        <w:left w:val="none" w:sz="0" w:space="0" w:color="auto"/>
        <w:bottom w:val="none" w:sz="0" w:space="0" w:color="auto"/>
        <w:right w:val="none" w:sz="0" w:space="0" w:color="auto"/>
      </w:divBdr>
    </w:div>
    <w:div w:id="1679429148">
      <w:marLeft w:val="0"/>
      <w:marRight w:val="0"/>
      <w:marTop w:val="200"/>
      <w:marBottom w:val="0"/>
      <w:divBdr>
        <w:top w:val="none" w:sz="0" w:space="0" w:color="auto"/>
        <w:left w:val="none" w:sz="0" w:space="0" w:color="auto"/>
        <w:bottom w:val="none" w:sz="0" w:space="0" w:color="auto"/>
        <w:right w:val="none" w:sz="0" w:space="0" w:color="auto"/>
      </w:divBdr>
    </w:div>
    <w:div w:id="1680041842">
      <w:marLeft w:val="0"/>
      <w:marRight w:val="0"/>
      <w:marTop w:val="0"/>
      <w:marBottom w:val="0"/>
      <w:divBdr>
        <w:top w:val="none" w:sz="0" w:space="0" w:color="auto"/>
        <w:left w:val="none" w:sz="0" w:space="0" w:color="auto"/>
        <w:bottom w:val="none" w:sz="0" w:space="0" w:color="auto"/>
        <w:right w:val="none" w:sz="0" w:space="0" w:color="auto"/>
      </w:divBdr>
      <w:divsChild>
        <w:div w:id="591595326">
          <w:marLeft w:val="0"/>
          <w:marRight w:val="0"/>
          <w:marTop w:val="0"/>
          <w:marBottom w:val="0"/>
          <w:divBdr>
            <w:top w:val="none" w:sz="0" w:space="0" w:color="auto"/>
            <w:left w:val="none" w:sz="0" w:space="0" w:color="auto"/>
            <w:bottom w:val="none" w:sz="0" w:space="0" w:color="auto"/>
            <w:right w:val="none" w:sz="0" w:space="0" w:color="auto"/>
          </w:divBdr>
        </w:div>
      </w:divsChild>
    </w:div>
    <w:div w:id="1680082833">
      <w:marLeft w:val="0"/>
      <w:marRight w:val="0"/>
      <w:marTop w:val="0"/>
      <w:marBottom w:val="0"/>
      <w:divBdr>
        <w:top w:val="none" w:sz="0" w:space="0" w:color="auto"/>
        <w:left w:val="none" w:sz="0" w:space="0" w:color="auto"/>
        <w:bottom w:val="none" w:sz="0" w:space="0" w:color="auto"/>
        <w:right w:val="none" w:sz="0" w:space="0" w:color="auto"/>
      </w:divBdr>
    </w:div>
    <w:div w:id="1684823666">
      <w:marLeft w:val="0"/>
      <w:marRight w:val="0"/>
      <w:marTop w:val="100"/>
      <w:marBottom w:val="0"/>
      <w:divBdr>
        <w:top w:val="none" w:sz="0" w:space="0" w:color="auto"/>
        <w:left w:val="none" w:sz="0" w:space="0" w:color="auto"/>
        <w:bottom w:val="none" w:sz="0" w:space="0" w:color="auto"/>
        <w:right w:val="none" w:sz="0" w:space="0" w:color="auto"/>
      </w:divBdr>
    </w:div>
    <w:div w:id="1689059910">
      <w:marLeft w:val="0"/>
      <w:marRight w:val="0"/>
      <w:marTop w:val="200"/>
      <w:marBottom w:val="0"/>
      <w:divBdr>
        <w:top w:val="none" w:sz="0" w:space="0" w:color="auto"/>
        <w:left w:val="none" w:sz="0" w:space="0" w:color="auto"/>
        <w:bottom w:val="none" w:sz="0" w:space="0" w:color="auto"/>
        <w:right w:val="none" w:sz="0" w:space="0" w:color="auto"/>
      </w:divBdr>
    </w:div>
    <w:div w:id="1692951306">
      <w:marLeft w:val="0"/>
      <w:marRight w:val="0"/>
      <w:marTop w:val="0"/>
      <w:marBottom w:val="0"/>
      <w:divBdr>
        <w:top w:val="none" w:sz="0" w:space="0" w:color="auto"/>
        <w:left w:val="none" w:sz="0" w:space="0" w:color="auto"/>
        <w:bottom w:val="none" w:sz="0" w:space="0" w:color="auto"/>
        <w:right w:val="none" w:sz="0" w:space="0" w:color="auto"/>
      </w:divBdr>
      <w:divsChild>
        <w:div w:id="217910005">
          <w:marLeft w:val="0"/>
          <w:marRight w:val="0"/>
          <w:marTop w:val="0"/>
          <w:marBottom w:val="0"/>
          <w:divBdr>
            <w:top w:val="none" w:sz="0" w:space="0" w:color="auto"/>
            <w:left w:val="none" w:sz="0" w:space="0" w:color="auto"/>
            <w:bottom w:val="none" w:sz="0" w:space="0" w:color="auto"/>
            <w:right w:val="none" w:sz="0" w:space="0" w:color="auto"/>
          </w:divBdr>
        </w:div>
      </w:divsChild>
    </w:div>
    <w:div w:id="1693217795">
      <w:marLeft w:val="0"/>
      <w:marRight w:val="0"/>
      <w:marTop w:val="0"/>
      <w:marBottom w:val="0"/>
      <w:divBdr>
        <w:top w:val="none" w:sz="0" w:space="0" w:color="auto"/>
        <w:left w:val="none" w:sz="0" w:space="0" w:color="auto"/>
        <w:bottom w:val="none" w:sz="0" w:space="0" w:color="auto"/>
        <w:right w:val="none" w:sz="0" w:space="0" w:color="auto"/>
      </w:divBdr>
    </w:div>
    <w:div w:id="1693413207">
      <w:marLeft w:val="0"/>
      <w:marRight w:val="0"/>
      <w:marTop w:val="0"/>
      <w:marBottom w:val="0"/>
      <w:divBdr>
        <w:top w:val="none" w:sz="0" w:space="0" w:color="auto"/>
        <w:left w:val="none" w:sz="0" w:space="0" w:color="auto"/>
        <w:bottom w:val="none" w:sz="0" w:space="0" w:color="auto"/>
        <w:right w:val="none" w:sz="0" w:space="0" w:color="auto"/>
      </w:divBdr>
      <w:divsChild>
        <w:div w:id="40793582">
          <w:marLeft w:val="0"/>
          <w:marRight w:val="0"/>
          <w:marTop w:val="0"/>
          <w:marBottom w:val="0"/>
          <w:divBdr>
            <w:top w:val="none" w:sz="0" w:space="0" w:color="auto"/>
            <w:left w:val="none" w:sz="0" w:space="0" w:color="auto"/>
            <w:bottom w:val="none" w:sz="0" w:space="0" w:color="auto"/>
            <w:right w:val="none" w:sz="0" w:space="0" w:color="auto"/>
          </w:divBdr>
        </w:div>
      </w:divsChild>
    </w:div>
    <w:div w:id="1694258995">
      <w:marLeft w:val="0"/>
      <w:marRight w:val="0"/>
      <w:marTop w:val="200"/>
      <w:marBottom w:val="0"/>
      <w:divBdr>
        <w:top w:val="none" w:sz="0" w:space="0" w:color="auto"/>
        <w:left w:val="none" w:sz="0" w:space="0" w:color="auto"/>
        <w:bottom w:val="none" w:sz="0" w:space="0" w:color="auto"/>
        <w:right w:val="none" w:sz="0" w:space="0" w:color="auto"/>
      </w:divBdr>
    </w:div>
    <w:div w:id="1695300660">
      <w:marLeft w:val="0"/>
      <w:marRight w:val="0"/>
      <w:marTop w:val="0"/>
      <w:marBottom w:val="0"/>
      <w:divBdr>
        <w:top w:val="none" w:sz="0" w:space="0" w:color="auto"/>
        <w:left w:val="none" w:sz="0" w:space="0" w:color="auto"/>
        <w:bottom w:val="none" w:sz="0" w:space="0" w:color="auto"/>
        <w:right w:val="none" w:sz="0" w:space="0" w:color="auto"/>
      </w:divBdr>
      <w:divsChild>
        <w:div w:id="763116431">
          <w:marLeft w:val="0"/>
          <w:marRight w:val="0"/>
          <w:marTop w:val="0"/>
          <w:marBottom w:val="0"/>
          <w:divBdr>
            <w:top w:val="none" w:sz="0" w:space="0" w:color="auto"/>
            <w:left w:val="none" w:sz="0" w:space="0" w:color="auto"/>
            <w:bottom w:val="none" w:sz="0" w:space="0" w:color="auto"/>
            <w:right w:val="none" w:sz="0" w:space="0" w:color="auto"/>
          </w:divBdr>
        </w:div>
      </w:divsChild>
    </w:div>
    <w:div w:id="1701124752">
      <w:marLeft w:val="0"/>
      <w:marRight w:val="0"/>
      <w:marTop w:val="200"/>
      <w:marBottom w:val="0"/>
      <w:divBdr>
        <w:top w:val="none" w:sz="0" w:space="0" w:color="auto"/>
        <w:left w:val="none" w:sz="0" w:space="0" w:color="auto"/>
        <w:bottom w:val="none" w:sz="0" w:space="0" w:color="auto"/>
        <w:right w:val="none" w:sz="0" w:space="0" w:color="auto"/>
      </w:divBdr>
    </w:div>
    <w:div w:id="1704164533">
      <w:marLeft w:val="0"/>
      <w:marRight w:val="0"/>
      <w:marTop w:val="200"/>
      <w:marBottom w:val="0"/>
      <w:divBdr>
        <w:top w:val="none" w:sz="0" w:space="0" w:color="auto"/>
        <w:left w:val="none" w:sz="0" w:space="0" w:color="auto"/>
        <w:bottom w:val="none" w:sz="0" w:space="0" w:color="auto"/>
        <w:right w:val="none" w:sz="0" w:space="0" w:color="auto"/>
      </w:divBdr>
    </w:div>
    <w:div w:id="1705790060">
      <w:marLeft w:val="0"/>
      <w:marRight w:val="0"/>
      <w:marTop w:val="200"/>
      <w:marBottom w:val="0"/>
      <w:divBdr>
        <w:top w:val="none" w:sz="0" w:space="0" w:color="auto"/>
        <w:left w:val="none" w:sz="0" w:space="0" w:color="auto"/>
        <w:bottom w:val="none" w:sz="0" w:space="0" w:color="auto"/>
        <w:right w:val="none" w:sz="0" w:space="0" w:color="auto"/>
      </w:divBdr>
    </w:div>
    <w:div w:id="1706102803">
      <w:marLeft w:val="0"/>
      <w:marRight w:val="0"/>
      <w:marTop w:val="200"/>
      <w:marBottom w:val="0"/>
      <w:divBdr>
        <w:top w:val="none" w:sz="0" w:space="0" w:color="auto"/>
        <w:left w:val="none" w:sz="0" w:space="0" w:color="auto"/>
        <w:bottom w:val="none" w:sz="0" w:space="0" w:color="auto"/>
        <w:right w:val="none" w:sz="0" w:space="0" w:color="auto"/>
      </w:divBdr>
    </w:div>
    <w:div w:id="1707830011">
      <w:marLeft w:val="0"/>
      <w:marRight w:val="0"/>
      <w:marTop w:val="200"/>
      <w:marBottom w:val="0"/>
      <w:divBdr>
        <w:top w:val="none" w:sz="0" w:space="0" w:color="auto"/>
        <w:left w:val="none" w:sz="0" w:space="0" w:color="auto"/>
        <w:bottom w:val="none" w:sz="0" w:space="0" w:color="auto"/>
        <w:right w:val="none" w:sz="0" w:space="0" w:color="auto"/>
      </w:divBdr>
    </w:div>
    <w:div w:id="1710645682">
      <w:marLeft w:val="0"/>
      <w:marRight w:val="0"/>
      <w:marTop w:val="200"/>
      <w:marBottom w:val="0"/>
      <w:divBdr>
        <w:top w:val="none" w:sz="0" w:space="0" w:color="auto"/>
        <w:left w:val="none" w:sz="0" w:space="0" w:color="auto"/>
        <w:bottom w:val="none" w:sz="0" w:space="0" w:color="auto"/>
        <w:right w:val="none" w:sz="0" w:space="0" w:color="auto"/>
      </w:divBdr>
    </w:div>
    <w:div w:id="1717390634">
      <w:marLeft w:val="0"/>
      <w:marRight w:val="0"/>
      <w:marTop w:val="0"/>
      <w:marBottom w:val="0"/>
      <w:divBdr>
        <w:top w:val="none" w:sz="0" w:space="0" w:color="auto"/>
        <w:left w:val="none" w:sz="0" w:space="0" w:color="auto"/>
        <w:bottom w:val="none" w:sz="0" w:space="0" w:color="auto"/>
        <w:right w:val="none" w:sz="0" w:space="0" w:color="auto"/>
      </w:divBdr>
      <w:divsChild>
        <w:div w:id="328219578">
          <w:marLeft w:val="0"/>
          <w:marRight w:val="0"/>
          <w:marTop w:val="0"/>
          <w:marBottom w:val="0"/>
          <w:divBdr>
            <w:top w:val="none" w:sz="0" w:space="0" w:color="auto"/>
            <w:left w:val="none" w:sz="0" w:space="0" w:color="auto"/>
            <w:bottom w:val="none" w:sz="0" w:space="0" w:color="auto"/>
            <w:right w:val="none" w:sz="0" w:space="0" w:color="auto"/>
          </w:divBdr>
        </w:div>
      </w:divsChild>
    </w:div>
    <w:div w:id="1717704396">
      <w:marLeft w:val="0"/>
      <w:marRight w:val="0"/>
      <w:marTop w:val="100"/>
      <w:marBottom w:val="0"/>
      <w:divBdr>
        <w:top w:val="none" w:sz="0" w:space="0" w:color="auto"/>
        <w:left w:val="none" w:sz="0" w:space="0" w:color="auto"/>
        <w:bottom w:val="none" w:sz="0" w:space="0" w:color="auto"/>
        <w:right w:val="none" w:sz="0" w:space="0" w:color="auto"/>
      </w:divBdr>
    </w:div>
    <w:div w:id="1720007114">
      <w:marLeft w:val="0"/>
      <w:marRight w:val="0"/>
      <w:marTop w:val="0"/>
      <w:marBottom w:val="0"/>
      <w:divBdr>
        <w:top w:val="none" w:sz="0" w:space="0" w:color="auto"/>
        <w:left w:val="none" w:sz="0" w:space="0" w:color="auto"/>
        <w:bottom w:val="none" w:sz="0" w:space="0" w:color="auto"/>
        <w:right w:val="none" w:sz="0" w:space="0" w:color="auto"/>
      </w:divBdr>
      <w:divsChild>
        <w:div w:id="2117869856">
          <w:marLeft w:val="0"/>
          <w:marRight w:val="0"/>
          <w:marTop w:val="0"/>
          <w:marBottom w:val="0"/>
          <w:divBdr>
            <w:top w:val="none" w:sz="0" w:space="0" w:color="auto"/>
            <w:left w:val="none" w:sz="0" w:space="0" w:color="auto"/>
            <w:bottom w:val="none" w:sz="0" w:space="0" w:color="auto"/>
            <w:right w:val="none" w:sz="0" w:space="0" w:color="auto"/>
          </w:divBdr>
        </w:div>
      </w:divsChild>
    </w:div>
    <w:div w:id="1720670887">
      <w:marLeft w:val="0"/>
      <w:marRight w:val="0"/>
      <w:marTop w:val="0"/>
      <w:marBottom w:val="0"/>
      <w:divBdr>
        <w:top w:val="none" w:sz="0" w:space="0" w:color="auto"/>
        <w:left w:val="none" w:sz="0" w:space="0" w:color="auto"/>
        <w:bottom w:val="none" w:sz="0" w:space="0" w:color="auto"/>
        <w:right w:val="none" w:sz="0" w:space="0" w:color="auto"/>
      </w:divBdr>
    </w:div>
    <w:div w:id="1721511490">
      <w:marLeft w:val="0"/>
      <w:marRight w:val="0"/>
      <w:marTop w:val="0"/>
      <w:marBottom w:val="0"/>
      <w:divBdr>
        <w:top w:val="none" w:sz="0" w:space="0" w:color="auto"/>
        <w:left w:val="none" w:sz="0" w:space="0" w:color="auto"/>
        <w:bottom w:val="none" w:sz="0" w:space="0" w:color="auto"/>
        <w:right w:val="none" w:sz="0" w:space="0" w:color="auto"/>
      </w:divBdr>
    </w:div>
    <w:div w:id="1723481994">
      <w:marLeft w:val="0"/>
      <w:marRight w:val="0"/>
      <w:marTop w:val="200"/>
      <w:marBottom w:val="0"/>
      <w:divBdr>
        <w:top w:val="none" w:sz="0" w:space="0" w:color="auto"/>
        <w:left w:val="none" w:sz="0" w:space="0" w:color="auto"/>
        <w:bottom w:val="none" w:sz="0" w:space="0" w:color="auto"/>
        <w:right w:val="none" w:sz="0" w:space="0" w:color="auto"/>
      </w:divBdr>
    </w:div>
    <w:div w:id="1723752360">
      <w:marLeft w:val="0"/>
      <w:marRight w:val="0"/>
      <w:marTop w:val="0"/>
      <w:marBottom w:val="0"/>
      <w:divBdr>
        <w:top w:val="none" w:sz="0" w:space="0" w:color="auto"/>
        <w:left w:val="none" w:sz="0" w:space="0" w:color="auto"/>
        <w:bottom w:val="none" w:sz="0" w:space="0" w:color="auto"/>
        <w:right w:val="none" w:sz="0" w:space="0" w:color="auto"/>
      </w:divBdr>
      <w:divsChild>
        <w:div w:id="1175339385">
          <w:marLeft w:val="0"/>
          <w:marRight w:val="0"/>
          <w:marTop w:val="0"/>
          <w:marBottom w:val="0"/>
          <w:divBdr>
            <w:top w:val="none" w:sz="0" w:space="0" w:color="auto"/>
            <w:left w:val="none" w:sz="0" w:space="0" w:color="auto"/>
            <w:bottom w:val="none" w:sz="0" w:space="0" w:color="auto"/>
            <w:right w:val="none" w:sz="0" w:space="0" w:color="auto"/>
          </w:divBdr>
        </w:div>
      </w:divsChild>
    </w:div>
    <w:div w:id="1724404433">
      <w:marLeft w:val="0"/>
      <w:marRight w:val="0"/>
      <w:marTop w:val="200"/>
      <w:marBottom w:val="0"/>
      <w:divBdr>
        <w:top w:val="none" w:sz="0" w:space="0" w:color="auto"/>
        <w:left w:val="none" w:sz="0" w:space="0" w:color="auto"/>
        <w:bottom w:val="none" w:sz="0" w:space="0" w:color="auto"/>
        <w:right w:val="none" w:sz="0" w:space="0" w:color="auto"/>
      </w:divBdr>
    </w:div>
    <w:div w:id="1724595615">
      <w:marLeft w:val="0"/>
      <w:marRight w:val="0"/>
      <w:marTop w:val="0"/>
      <w:marBottom w:val="160"/>
      <w:divBdr>
        <w:top w:val="none" w:sz="0" w:space="0" w:color="auto"/>
        <w:left w:val="none" w:sz="0" w:space="0" w:color="auto"/>
        <w:bottom w:val="none" w:sz="0" w:space="0" w:color="auto"/>
        <w:right w:val="none" w:sz="0" w:space="0" w:color="auto"/>
      </w:divBdr>
    </w:div>
    <w:div w:id="1724597385">
      <w:marLeft w:val="0"/>
      <w:marRight w:val="0"/>
      <w:marTop w:val="0"/>
      <w:marBottom w:val="0"/>
      <w:divBdr>
        <w:top w:val="none" w:sz="0" w:space="0" w:color="auto"/>
        <w:left w:val="none" w:sz="0" w:space="0" w:color="auto"/>
        <w:bottom w:val="none" w:sz="0" w:space="0" w:color="auto"/>
        <w:right w:val="none" w:sz="0" w:space="0" w:color="auto"/>
      </w:divBdr>
      <w:divsChild>
        <w:div w:id="1168211052">
          <w:marLeft w:val="0"/>
          <w:marRight w:val="0"/>
          <w:marTop w:val="0"/>
          <w:marBottom w:val="0"/>
          <w:divBdr>
            <w:top w:val="none" w:sz="0" w:space="0" w:color="auto"/>
            <w:left w:val="none" w:sz="0" w:space="0" w:color="auto"/>
            <w:bottom w:val="none" w:sz="0" w:space="0" w:color="auto"/>
            <w:right w:val="none" w:sz="0" w:space="0" w:color="auto"/>
          </w:divBdr>
        </w:div>
      </w:divsChild>
    </w:div>
    <w:div w:id="1725178756">
      <w:marLeft w:val="0"/>
      <w:marRight w:val="0"/>
      <w:marTop w:val="0"/>
      <w:marBottom w:val="0"/>
      <w:divBdr>
        <w:top w:val="none" w:sz="0" w:space="0" w:color="auto"/>
        <w:left w:val="none" w:sz="0" w:space="0" w:color="auto"/>
        <w:bottom w:val="none" w:sz="0" w:space="0" w:color="auto"/>
        <w:right w:val="none" w:sz="0" w:space="0" w:color="auto"/>
      </w:divBdr>
      <w:divsChild>
        <w:div w:id="1470854799">
          <w:marLeft w:val="0"/>
          <w:marRight w:val="0"/>
          <w:marTop w:val="0"/>
          <w:marBottom w:val="0"/>
          <w:divBdr>
            <w:top w:val="none" w:sz="0" w:space="0" w:color="auto"/>
            <w:left w:val="none" w:sz="0" w:space="0" w:color="auto"/>
            <w:bottom w:val="none" w:sz="0" w:space="0" w:color="auto"/>
            <w:right w:val="none" w:sz="0" w:space="0" w:color="auto"/>
          </w:divBdr>
        </w:div>
      </w:divsChild>
    </w:div>
    <w:div w:id="1725444015">
      <w:marLeft w:val="0"/>
      <w:marRight w:val="0"/>
      <w:marTop w:val="0"/>
      <w:marBottom w:val="0"/>
      <w:divBdr>
        <w:top w:val="none" w:sz="0" w:space="0" w:color="auto"/>
        <w:left w:val="none" w:sz="0" w:space="0" w:color="auto"/>
        <w:bottom w:val="none" w:sz="0" w:space="0" w:color="auto"/>
        <w:right w:val="none" w:sz="0" w:space="0" w:color="auto"/>
      </w:divBdr>
    </w:div>
    <w:div w:id="1725448835">
      <w:marLeft w:val="0"/>
      <w:marRight w:val="0"/>
      <w:marTop w:val="0"/>
      <w:marBottom w:val="0"/>
      <w:divBdr>
        <w:top w:val="none" w:sz="0" w:space="0" w:color="auto"/>
        <w:left w:val="none" w:sz="0" w:space="0" w:color="auto"/>
        <w:bottom w:val="none" w:sz="0" w:space="0" w:color="auto"/>
        <w:right w:val="none" w:sz="0" w:space="0" w:color="auto"/>
      </w:divBdr>
    </w:div>
    <w:div w:id="1726028644">
      <w:marLeft w:val="0"/>
      <w:marRight w:val="0"/>
      <w:marTop w:val="0"/>
      <w:marBottom w:val="0"/>
      <w:divBdr>
        <w:top w:val="none" w:sz="0" w:space="0" w:color="auto"/>
        <w:left w:val="none" w:sz="0" w:space="0" w:color="auto"/>
        <w:bottom w:val="none" w:sz="0" w:space="0" w:color="auto"/>
        <w:right w:val="none" w:sz="0" w:space="0" w:color="auto"/>
      </w:divBdr>
      <w:divsChild>
        <w:div w:id="690379735">
          <w:marLeft w:val="0"/>
          <w:marRight w:val="0"/>
          <w:marTop w:val="0"/>
          <w:marBottom w:val="0"/>
          <w:divBdr>
            <w:top w:val="none" w:sz="0" w:space="0" w:color="auto"/>
            <w:left w:val="none" w:sz="0" w:space="0" w:color="auto"/>
            <w:bottom w:val="none" w:sz="0" w:space="0" w:color="auto"/>
            <w:right w:val="none" w:sz="0" w:space="0" w:color="auto"/>
          </w:divBdr>
        </w:div>
      </w:divsChild>
    </w:div>
    <w:div w:id="1726221115">
      <w:marLeft w:val="0"/>
      <w:marRight w:val="0"/>
      <w:marTop w:val="200"/>
      <w:marBottom w:val="0"/>
      <w:divBdr>
        <w:top w:val="none" w:sz="0" w:space="0" w:color="auto"/>
        <w:left w:val="none" w:sz="0" w:space="0" w:color="auto"/>
        <w:bottom w:val="none" w:sz="0" w:space="0" w:color="auto"/>
        <w:right w:val="none" w:sz="0" w:space="0" w:color="auto"/>
      </w:divBdr>
    </w:div>
    <w:div w:id="1726638990">
      <w:marLeft w:val="0"/>
      <w:marRight w:val="0"/>
      <w:marTop w:val="200"/>
      <w:marBottom w:val="0"/>
      <w:divBdr>
        <w:top w:val="none" w:sz="0" w:space="0" w:color="auto"/>
        <w:left w:val="none" w:sz="0" w:space="0" w:color="auto"/>
        <w:bottom w:val="none" w:sz="0" w:space="0" w:color="auto"/>
        <w:right w:val="none" w:sz="0" w:space="0" w:color="auto"/>
      </w:divBdr>
    </w:div>
    <w:div w:id="1728139411">
      <w:marLeft w:val="0"/>
      <w:marRight w:val="0"/>
      <w:marTop w:val="0"/>
      <w:marBottom w:val="0"/>
      <w:divBdr>
        <w:top w:val="none" w:sz="0" w:space="0" w:color="auto"/>
        <w:left w:val="none" w:sz="0" w:space="0" w:color="auto"/>
        <w:bottom w:val="none" w:sz="0" w:space="0" w:color="auto"/>
        <w:right w:val="none" w:sz="0" w:space="0" w:color="auto"/>
      </w:divBdr>
    </w:div>
    <w:div w:id="1729955433">
      <w:marLeft w:val="0"/>
      <w:marRight w:val="0"/>
      <w:marTop w:val="200"/>
      <w:marBottom w:val="0"/>
      <w:divBdr>
        <w:top w:val="none" w:sz="0" w:space="0" w:color="auto"/>
        <w:left w:val="none" w:sz="0" w:space="0" w:color="auto"/>
        <w:bottom w:val="none" w:sz="0" w:space="0" w:color="auto"/>
        <w:right w:val="none" w:sz="0" w:space="0" w:color="auto"/>
      </w:divBdr>
    </w:div>
    <w:div w:id="1730807826">
      <w:marLeft w:val="0"/>
      <w:marRight w:val="0"/>
      <w:marTop w:val="0"/>
      <w:marBottom w:val="0"/>
      <w:divBdr>
        <w:top w:val="none" w:sz="0" w:space="0" w:color="auto"/>
        <w:left w:val="none" w:sz="0" w:space="0" w:color="auto"/>
        <w:bottom w:val="none" w:sz="0" w:space="0" w:color="auto"/>
        <w:right w:val="none" w:sz="0" w:space="0" w:color="auto"/>
      </w:divBdr>
    </w:div>
    <w:div w:id="1732386341">
      <w:marLeft w:val="0"/>
      <w:marRight w:val="0"/>
      <w:marTop w:val="0"/>
      <w:marBottom w:val="0"/>
      <w:divBdr>
        <w:top w:val="none" w:sz="0" w:space="0" w:color="auto"/>
        <w:left w:val="none" w:sz="0" w:space="0" w:color="auto"/>
        <w:bottom w:val="none" w:sz="0" w:space="0" w:color="auto"/>
        <w:right w:val="none" w:sz="0" w:space="0" w:color="auto"/>
      </w:divBdr>
    </w:div>
    <w:div w:id="1733237951">
      <w:marLeft w:val="0"/>
      <w:marRight w:val="0"/>
      <w:marTop w:val="200"/>
      <w:marBottom w:val="0"/>
      <w:divBdr>
        <w:top w:val="none" w:sz="0" w:space="0" w:color="auto"/>
        <w:left w:val="none" w:sz="0" w:space="0" w:color="auto"/>
        <w:bottom w:val="none" w:sz="0" w:space="0" w:color="auto"/>
        <w:right w:val="none" w:sz="0" w:space="0" w:color="auto"/>
      </w:divBdr>
    </w:div>
    <w:div w:id="1734156380">
      <w:marLeft w:val="0"/>
      <w:marRight w:val="0"/>
      <w:marTop w:val="0"/>
      <w:marBottom w:val="0"/>
      <w:divBdr>
        <w:top w:val="none" w:sz="0" w:space="0" w:color="auto"/>
        <w:left w:val="none" w:sz="0" w:space="0" w:color="auto"/>
        <w:bottom w:val="none" w:sz="0" w:space="0" w:color="auto"/>
        <w:right w:val="none" w:sz="0" w:space="0" w:color="auto"/>
      </w:divBdr>
    </w:div>
    <w:div w:id="1736511857">
      <w:marLeft w:val="0"/>
      <w:marRight w:val="0"/>
      <w:marTop w:val="0"/>
      <w:marBottom w:val="0"/>
      <w:divBdr>
        <w:top w:val="none" w:sz="0" w:space="0" w:color="auto"/>
        <w:left w:val="none" w:sz="0" w:space="0" w:color="auto"/>
        <w:bottom w:val="none" w:sz="0" w:space="0" w:color="auto"/>
        <w:right w:val="none" w:sz="0" w:space="0" w:color="auto"/>
      </w:divBdr>
      <w:divsChild>
        <w:div w:id="1016885125">
          <w:marLeft w:val="0"/>
          <w:marRight w:val="0"/>
          <w:marTop w:val="0"/>
          <w:marBottom w:val="0"/>
          <w:divBdr>
            <w:top w:val="none" w:sz="0" w:space="0" w:color="auto"/>
            <w:left w:val="none" w:sz="0" w:space="0" w:color="auto"/>
            <w:bottom w:val="none" w:sz="0" w:space="0" w:color="auto"/>
            <w:right w:val="none" w:sz="0" w:space="0" w:color="auto"/>
          </w:divBdr>
        </w:div>
      </w:divsChild>
    </w:div>
    <w:div w:id="1736512751">
      <w:marLeft w:val="0"/>
      <w:marRight w:val="0"/>
      <w:marTop w:val="0"/>
      <w:marBottom w:val="0"/>
      <w:divBdr>
        <w:top w:val="none" w:sz="0" w:space="0" w:color="auto"/>
        <w:left w:val="none" w:sz="0" w:space="0" w:color="auto"/>
        <w:bottom w:val="none" w:sz="0" w:space="0" w:color="auto"/>
        <w:right w:val="none" w:sz="0" w:space="0" w:color="auto"/>
      </w:divBdr>
      <w:divsChild>
        <w:div w:id="1637878554">
          <w:marLeft w:val="0"/>
          <w:marRight w:val="0"/>
          <w:marTop w:val="0"/>
          <w:marBottom w:val="0"/>
          <w:divBdr>
            <w:top w:val="none" w:sz="0" w:space="0" w:color="auto"/>
            <w:left w:val="none" w:sz="0" w:space="0" w:color="auto"/>
            <w:bottom w:val="none" w:sz="0" w:space="0" w:color="auto"/>
            <w:right w:val="none" w:sz="0" w:space="0" w:color="auto"/>
          </w:divBdr>
        </w:div>
      </w:divsChild>
    </w:div>
    <w:div w:id="1737776066">
      <w:marLeft w:val="0"/>
      <w:marRight w:val="0"/>
      <w:marTop w:val="200"/>
      <w:marBottom w:val="0"/>
      <w:divBdr>
        <w:top w:val="none" w:sz="0" w:space="0" w:color="auto"/>
        <w:left w:val="none" w:sz="0" w:space="0" w:color="auto"/>
        <w:bottom w:val="none" w:sz="0" w:space="0" w:color="auto"/>
        <w:right w:val="none" w:sz="0" w:space="0" w:color="auto"/>
      </w:divBdr>
    </w:div>
    <w:div w:id="1740905224">
      <w:marLeft w:val="0"/>
      <w:marRight w:val="0"/>
      <w:marTop w:val="100"/>
      <w:marBottom w:val="0"/>
      <w:divBdr>
        <w:top w:val="none" w:sz="0" w:space="0" w:color="auto"/>
        <w:left w:val="none" w:sz="0" w:space="0" w:color="auto"/>
        <w:bottom w:val="none" w:sz="0" w:space="0" w:color="auto"/>
        <w:right w:val="none" w:sz="0" w:space="0" w:color="auto"/>
      </w:divBdr>
    </w:div>
    <w:div w:id="1741977151">
      <w:marLeft w:val="0"/>
      <w:marRight w:val="0"/>
      <w:marTop w:val="0"/>
      <w:marBottom w:val="0"/>
      <w:divBdr>
        <w:top w:val="none" w:sz="0" w:space="0" w:color="auto"/>
        <w:left w:val="none" w:sz="0" w:space="0" w:color="auto"/>
        <w:bottom w:val="none" w:sz="0" w:space="0" w:color="auto"/>
        <w:right w:val="none" w:sz="0" w:space="0" w:color="auto"/>
      </w:divBdr>
    </w:div>
    <w:div w:id="1743405654">
      <w:marLeft w:val="0"/>
      <w:marRight w:val="0"/>
      <w:marTop w:val="0"/>
      <w:marBottom w:val="0"/>
      <w:divBdr>
        <w:top w:val="none" w:sz="0" w:space="0" w:color="auto"/>
        <w:left w:val="none" w:sz="0" w:space="0" w:color="auto"/>
        <w:bottom w:val="none" w:sz="0" w:space="0" w:color="auto"/>
        <w:right w:val="none" w:sz="0" w:space="0" w:color="auto"/>
      </w:divBdr>
    </w:div>
    <w:div w:id="1745100457">
      <w:marLeft w:val="0"/>
      <w:marRight w:val="0"/>
      <w:marTop w:val="0"/>
      <w:marBottom w:val="0"/>
      <w:divBdr>
        <w:top w:val="none" w:sz="0" w:space="0" w:color="auto"/>
        <w:left w:val="none" w:sz="0" w:space="0" w:color="auto"/>
        <w:bottom w:val="none" w:sz="0" w:space="0" w:color="auto"/>
        <w:right w:val="none" w:sz="0" w:space="0" w:color="auto"/>
      </w:divBdr>
    </w:div>
    <w:div w:id="1746495164">
      <w:marLeft w:val="0"/>
      <w:marRight w:val="0"/>
      <w:marTop w:val="200"/>
      <w:marBottom w:val="0"/>
      <w:divBdr>
        <w:top w:val="none" w:sz="0" w:space="0" w:color="auto"/>
        <w:left w:val="none" w:sz="0" w:space="0" w:color="auto"/>
        <w:bottom w:val="none" w:sz="0" w:space="0" w:color="auto"/>
        <w:right w:val="none" w:sz="0" w:space="0" w:color="auto"/>
      </w:divBdr>
    </w:div>
    <w:div w:id="1748258660">
      <w:marLeft w:val="0"/>
      <w:marRight w:val="0"/>
      <w:marTop w:val="0"/>
      <w:marBottom w:val="0"/>
      <w:divBdr>
        <w:top w:val="none" w:sz="0" w:space="0" w:color="auto"/>
        <w:left w:val="none" w:sz="0" w:space="0" w:color="auto"/>
        <w:bottom w:val="none" w:sz="0" w:space="0" w:color="auto"/>
        <w:right w:val="none" w:sz="0" w:space="0" w:color="auto"/>
      </w:divBdr>
      <w:divsChild>
        <w:div w:id="311325560">
          <w:marLeft w:val="0"/>
          <w:marRight w:val="0"/>
          <w:marTop w:val="0"/>
          <w:marBottom w:val="0"/>
          <w:divBdr>
            <w:top w:val="none" w:sz="0" w:space="0" w:color="auto"/>
            <w:left w:val="none" w:sz="0" w:space="0" w:color="auto"/>
            <w:bottom w:val="none" w:sz="0" w:space="0" w:color="auto"/>
            <w:right w:val="none" w:sz="0" w:space="0" w:color="auto"/>
          </w:divBdr>
        </w:div>
      </w:divsChild>
    </w:div>
    <w:div w:id="1753041745">
      <w:marLeft w:val="0"/>
      <w:marRight w:val="0"/>
      <w:marTop w:val="0"/>
      <w:marBottom w:val="0"/>
      <w:divBdr>
        <w:top w:val="none" w:sz="0" w:space="0" w:color="auto"/>
        <w:left w:val="none" w:sz="0" w:space="0" w:color="auto"/>
        <w:bottom w:val="none" w:sz="0" w:space="0" w:color="auto"/>
        <w:right w:val="none" w:sz="0" w:space="0" w:color="auto"/>
      </w:divBdr>
    </w:div>
    <w:div w:id="1753627163">
      <w:marLeft w:val="0"/>
      <w:marRight w:val="0"/>
      <w:marTop w:val="0"/>
      <w:marBottom w:val="0"/>
      <w:divBdr>
        <w:top w:val="none" w:sz="0" w:space="0" w:color="auto"/>
        <w:left w:val="none" w:sz="0" w:space="0" w:color="auto"/>
        <w:bottom w:val="none" w:sz="0" w:space="0" w:color="auto"/>
        <w:right w:val="none" w:sz="0" w:space="0" w:color="auto"/>
      </w:divBdr>
      <w:divsChild>
        <w:div w:id="2071688416">
          <w:marLeft w:val="0"/>
          <w:marRight w:val="0"/>
          <w:marTop w:val="0"/>
          <w:marBottom w:val="0"/>
          <w:divBdr>
            <w:top w:val="none" w:sz="0" w:space="0" w:color="auto"/>
            <w:left w:val="none" w:sz="0" w:space="0" w:color="auto"/>
            <w:bottom w:val="none" w:sz="0" w:space="0" w:color="auto"/>
            <w:right w:val="none" w:sz="0" w:space="0" w:color="auto"/>
          </w:divBdr>
        </w:div>
      </w:divsChild>
    </w:div>
    <w:div w:id="1759715398">
      <w:marLeft w:val="0"/>
      <w:marRight w:val="0"/>
      <w:marTop w:val="200"/>
      <w:marBottom w:val="0"/>
      <w:divBdr>
        <w:top w:val="none" w:sz="0" w:space="0" w:color="auto"/>
        <w:left w:val="none" w:sz="0" w:space="0" w:color="auto"/>
        <w:bottom w:val="none" w:sz="0" w:space="0" w:color="auto"/>
        <w:right w:val="none" w:sz="0" w:space="0" w:color="auto"/>
      </w:divBdr>
    </w:div>
    <w:div w:id="1761096218">
      <w:marLeft w:val="0"/>
      <w:marRight w:val="0"/>
      <w:marTop w:val="200"/>
      <w:marBottom w:val="0"/>
      <w:divBdr>
        <w:top w:val="none" w:sz="0" w:space="0" w:color="auto"/>
        <w:left w:val="none" w:sz="0" w:space="0" w:color="auto"/>
        <w:bottom w:val="none" w:sz="0" w:space="0" w:color="auto"/>
        <w:right w:val="none" w:sz="0" w:space="0" w:color="auto"/>
      </w:divBdr>
    </w:div>
    <w:div w:id="1762603240">
      <w:marLeft w:val="0"/>
      <w:marRight w:val="0"/>
      <w:marTop w:val="0"/>
      <w:marBottom w:val="0"/>
      <w:divBdr>
        <w:top w:val="none" w:sz="0" w:space="0" w:color="auto"/>
        <w:left w:val="none" w:sz="0" w:space="0" w:color="auto"/>
        <w:bottom w:val="none" w:sz="0" w:space="0" w:color="auto"/>
        <w:right w:val="none" w:sz="0" w:space="0" w:color="auto"/>
      </w:divBdr>
    </w:div>
    <w:div w:id="1762749645">
      <w:marLeft w:val="0"/>
      <w:marRight w:val="0"/>
      <w:marTop w:val="0"/>
      <w:marBottom w:val="0"/>
      <w:divBdr>
        <w:top w:val="none" w:sz="0" w:space="0" w:color="auto"/>
        <w:left w:val="none" w:sz="0" w:space="0" w:color="auto"/>
        <w:bottom w:val="none" w:sz="0" w:space="0" w:color="auto"/>
        <w:right w:val="none" w:sz="0" w:space="0" w:color="auto"/>
      </w:divBdr>
      <w:divsChild>
        <w:div w:id="610207767">
          <w:marLeft w:val="0"/>
          <w:marRight w:val="0"/>
          <w:marTop w:val="0"/>
          <w:marBottom w:val="0"/>
          <w:divBdr>
            <w:top w:val="none" w:sz="0" w:space="0" w:color="auto"/>
            <w:left w:val="none" w:sz="0" w:space="0" w:color="auto"/>
            <w:bottom w:val="none" w:sz="0" w:space="0" w:color="auto"/>
            <w:right w:val="none" w:sz="0" w:space="0" w:color="auto"/>
          </w:divBdr>
        </w:div>
      </w:divsChild>
    </w:div>
    <w:div w:id="1763450701">
      <w:marLeft w:val="0"/>
      <w:marRight w:val="0"/>
      <w:marTop w:val="100"/>
      <w:marBottom w:val="0"/>
      <w:divBdr>
        <w:top w:val="none" w:sz="0" w:space="0" w:color="auto"/>
        <w:left w:val="none" w:sz="0" w:space="0" w:color="auto"/>
        <w:bottom w:val="none" w:sz="0" w:space="0" w:color="auto"/>
        <w:right w:val="none" w:sz="0" w:space="0" w:color="auto"/>
      </w:divBdr>
    </w:div>
    <w:div w:id="1768038274">
      <w:marLeft w:val="0"/>
      <w:marRight w:val="0"/>
      <w:marTop w:val="0"/>
      <w:marBottom w:val="200"/>
      <w:divBdr>
        <w:top w:val="none" w:sz="0" w:space="0" w:color="auto"/>
        <w:left w:val="none" w:sz="0" w:space="0" w:color="auto"/>
        <w:bottom w:val="none" w:sz="0" w:space="0" w:color="auto"/>
        <w:right w:val="none" w:sz="0" w:space="0" w:color="auto"/>
      </w:divBdr>
    </w:div>
    <w:div w:id="1769111332">
      <w:marLeft w:val="0"/>
      <w:marRight w:val="0"/>
      <w:marTop w:val="0"/>
      <w:marBottom w:val="0"/>
      <w:divBdr>
        <w:top w:val="none" w:sz="0" w:space="0" w:color="auto"/>
        <w:left w:val="none" w:sz="0" w:space="0" w:color="auto"/>
        <w:bottom w:val="none" w:sz="0" w:space="0" w:color="auto"/>
        <w:right w:val="none" w:sz="0" w:space="0" w:color="auto"/>
      </w:divBdr>
    </w:div>
    <w:div w:id="1770999829">
      <w:marLeft w:val="0"/>
      <w:marRight w:val="0"/>
      <w:marTop w:val="0"/>
      <w:marBottom w:val="0"/>
      <w:divBdr>
        <w:top w:val="none" w:sz="0" w:space="0" w:color="auto"/>
        <w:left w:val="none" w:sz="0" w:space="0" w:color="auto"/>
        <w:bottom w:val="none" w:sz="0" w:space="0" w:color="auto"/>
        <w:right w:val="none" w:sz="0" w:space="0" w:color="auto"/>
      </w:divBdr>
    </w:div>
    <w:div w:id="1771929241">
      <w:marLeft w:val="0"/>
      <w:marRight w:val="0"/>
      <w:marTop w:val="0"/>
      <w:marBottom w:val="0"/>
      <w:divBdr>
        <w:top w:val="none" w:sz="0" w:space="0" w:color="auto"/>
        <w:left w:val="none" w:sz="0" w:space="0" w:color="auto"/>
        <w:bottom w:val="none" w:sz="0" w:space="0" w:color="auto"/>
        <w:right w:val="none" w:sz="0" w:space="0" w:color="auto"/>
      </w:divBdr>
    </w:div>
    <w:div w:id="1773040501">
      <w:marLeft w:val="0"/>
      <w:marRight w:val="0"/>
      <w:marTop w:val="40"/>
      <w:marBottom w:val="0"/>
      <w:divBdr>
        <w:top w:val="none" w:sz="0" w:space="0" w:color="auto"/>
        <w:left w:val="none" w:sz="0" w:space="0" w:color="auto"/>
        <w:bottom w:val="none" w:sz="0" w:space="0" w:color="auto"/>
        <w:right w:val="none" w:sz="0" w:space="0" w:color="auto"/>
      </w:divBdr>
    </w:div>
    <w:div w:id="1773085123">
      <w:marLeft w:val="0"/>
      <w:marRight w:val="0"/>
      <w:marTop w:val="0"/>
      <w:marBottom w:val="0"/>
      <w:divBdr>
        <w:top w:val="none" w:sz="0" w:space="0" w:color="auto"/>
        <w:left w:val="none" w:sz="0" w:space="0" w:color="auto"/>
        <w:bottom w:val="none" w:sz="0" w:space="0" w:color="auto"/>
        <w:right w:val="none" w:sz="0" w:space="0" w:color="auto"/>
      </w:divBdr>
    </w:div>
    <w:div w:id="1778333046">
      <w:marLeft w:val="0"/>
      <w:marRight w:val="0"/>
      <w:marTop w:val="200"/>
      <w:marBottom w:val="0"/>
      <w:divBdr>
        <w:top w:val="none" w:sz="0" w:space="0" w:color="auto"/>
        <w:left w:val="none" w:sz="0" w:space="0" w:color="auto"/>
        <w:bottom w:val="none" w:sz="0" w:space="0" w:color="auto"/>
        <w:right w:val="none" w:sz="0" w:space="0" w:color="auto"/>
      </w:divBdr>
    </w:div>
    <w:div w:id="1779057368">
      <w:marLeft w:val="0"/>
      <w:marRight w:val="0"/>
      <w:marTop w:val="0"/>
      <w:marBottom w:val="0"/>
      <w:divBdr>
        <w:top w:val="none" w:sz="0" w:space="0" w:color="auto"/>
        <w:left w:val="none" w:sz="0" w:space="0" w:color="auto"/>
        <w:bottom w:val="none" w:sz="0" w:space="0" w:color="auto"/>
        <w:right w:val="none" w:sz="0" w:space="0" w:color="auto"/>
      </w:divBdr>
      <w:divsChild>
        <w:div w:id="1753819945">
          <w:marLeft w:val="0"/>
          <w:marRight w:val="0"/>
          <w:marTop w:val="0"/>
          <w:marBottom w:val="0"/>
          <w:divBdr>
            <w:top w:val="none" w:sz="0" w:space="0" w:color="auto"/>
            <w:left w:val="none" w:sz="0" w:space="0" w:color="auto"/>
            <w:bottom w:val="none" w:sz="0" w:space="0" w:color="auto"/>
            <w:right w:val="none" w:sz="0" w:space="0" w:color="auto"/>
          </w:divBdr>
        </w:div>
      </w:divsChild>
    </w:div>
    <w:div w:id="1779988742">
      <w:marLeft w:val="0"/>
      <w:marRight w:val="0"/>
      <w:marTop w:val="0"/>
      <w:marBottom w:val="0"/>
      <w:divBdr>
        <w:top w:val="none" w:sz="0" w:space="0" w:color="auto"/>
        <w:left w:val="none" w:sz="0" w:space="0" w:color="auto"/>
        <w:bottom w:val="none" w:sz="0" w:space="0" w:color="auto"/>
        <w:right w:val="none" w:sz="0" w:space="0" w:color="auto"/>
      </w:divBdr>
      <w:divsChild>
        <w:div w:id="1598514816">
          <w:marLeft w:val="0"/>
          <w:marRight w:val="0"/>
          <w:marTop w:val="0"/>
          <w:marBottom w:val="0"/>
          <w:divBdr>
            <w:top w:val="none" w:sz="0" w:space="0" w:color="auto"/>
            <w:left w:val="none" w:sz="0" w:space="0" w:color="auto"/>
            <w:bottom w:val="none" w:sz="0" w:space="0" w:color="auto"/>
            <w:right w:val="none" w:sz="0" w:space="0" w:color="auto"/>
          </w:divBdr>
        </w:div>
      </w:divsChild>
    </w:div>
    <w:div w:id="1786188775">
      <w:marLeft w:val="0"/>
      <w:marRight w:val="0"/>
      <w:marTop w:val="0"/>
      <w:marBottom w:val="160"/>
      <w:divBdr>
        <w:top w:val="none" w:sz="0" w:space="0" w:color="auto"/>
        <w:left w:val="none" w:sz="0" w:space="0" w:color="auto"/>
        <w:bottom w:val="none" w:sz="0" w:space="0" w:color="auto"/>
        <w:right w:val="none" w:sz="0" w:space="0" w:color="auto"/>
      </w:divBdr>
    </w:div>
    <w:div w:id="1787777126">
      <w:marLeft w:val="0"/>
      <w:marRight w:val="0"/>
      <w:marTop w:val="200"/>
      <w:marBottom w:val="0"/>
      <w:divBdr>
        <w:top w:val="none" w:sz="0" w:space="0" w:color="auto"/>
        <w:left w:val="none" w:sz="0" w:space="0" w:color="auto"/>
        <w:bottom w:val="none" w:sz="0" w:space="0" w:color="auto"/>
        <w:right w:val="none" w:sz="0" w:space="0" w:color="auto"/>
      </w:divBdr>
    </w:div>
    <w:div w:id="1790054400">
      <w:marLeft w:val="0"/>
      <w:marRight w:val="0"/>
      <w:marTop w:val="0"/>
      <w:marBottom w:val="0"/>
      <w:divBdr>
        <w:top w:val="none" w:sz="0" w:space="0" w:color="auto"/>
        <w:left w:val="none" w:sz="0" w:space="0" w:color="auto"/>
        <w:bottom w:val="none" w:sz="0" w:space="0" w:color="auto"/>
        <w:right w:val="none" w:sz="0" w:space="0" w:color="auto"/>
      </w:divBdr>
    </w:div>
    <w:div w:id="1793599015">
      <w:marLeft w:val="0"/>
      <w:marRight w:val="0"/>
      <w:marTop w:val="0"/>
      <w:marBottom w:val="0"/>
      <w:divBdr>
        <w:top w:val="none" w:sz="0" w:space="0" w:color="auto"/>
        <w:left w:val="none" w:sz="0" w:space="0" w:color="auto"/>
        <w:bottom w:val="none" w:sz="0" w:space="0" w:color="auto"/>
        <w:right w:val="none" w:sz="0" w:space="0" w:color="auto"/>
      </w:divBdr>
      <w:divsChild>
        <w:div w:id="54352765">
          <w:marLeft w:val="0"/>
          <w:marRight w:val="0"/>
          <w:marTop w:val="0"/>
          <w:marBottom w:val="0"/>
          <w:divBdr>
            <w:top w:val="none" w:sz="0" w:space="0" w:color="auto"/>
            <w:left w:val="none" w:sz="0" w:space="0" w:color="auto"/>
            <w:bottom w:val="none" w:sz="0" w:space="0" w:color="auto"/>
            <w:right w:val="none" w:sz="0" w:space="0" w:color="auto"/>
          </w:divBdr>
        </w:div>
        <w:div w:id="2067561019">
          <w:marLeft w:val="0"/>
          <w:marRight w:val="0"/>
          <w:marTop w:val="0"/>
          <w:marBottom w:val="0"/>
          <w:divBdr>
            <w:top w:val="none" w:sz="0" w:space="0" w:color="auto"/>
            <w:left w:val="none" w:sz="0" w:space="0" w:color="auto"/>
            <w:bottom w:val="none" w:sz="0" w:space="0" w:color="auto"/>
            <w:right w:val="none" w:sz="0" w:space="0" w:color="auto"/>
          </w:divBdr>
        </w:div>
        <w:div w:id="1704358184">
          <w:marLeft w:val="0"/>
          <w:marRight w:val="0"/>
          <w:marTop w:val="0"/>
          <w:marBottom w:val="0"/>
          <w:divBdr>
            <w:top w:val="none" w:sz="0" w:space="0" w:color="auto"/>
            <w:left w:val="none" w:sz="0" w:space="0" w:color="auto"/>
            <w:bottom w:val="none" w:sz="0" w:space="0" w:color="auto"/>
            <w:right w:val="none" w:sz="0" w:space="0" w:color="auto"/>
          </w:divBdr>
        </w:div>
        <w:div w:id="1040862653">
          <w:marLeft w:val="0"/>
          <w:marRight w:val="0"/>
          <w:marTop w:val="0"/>
          <w:marBottom w:val="0"/>
          <w:divBdr>
            <w:top w:val="none" w:sz="0" w:space="0" w:color="auto"/>
            <w:left w:val="none" w:sz="0" w:space="0" w:color="auto"/>
            <w:bottom w:val="none" w:sz="0" w:space="0" w:color="auto"/>
            <w:right w:val="none" w:sz="0" w:space="0" w:color="auto"/>
          </w:divBdr>
        </w:div>
      </w:divsChild>
    </w:div>
    <w:div w:id="1795520071">
      <w:marLeft w:val="0"/>
      <w:marRight w:val="0"/>
      <w:marTop w:val="0"/>
      <w:marBottom w:val="0"/>
      <w:divBdr>
        <w:top w:val="none" w:sz="0" w:space="0" w:color="auto"/>
        <w:left w:val="none" w:sz="0" w:space="0" w:color="auto"/>
        <w:bottom w:val="none" w:sz="0" w:space="0" w:color="auto"/>
        <w:right w:val="none" w:sz="0" w:space="0" w:color="auto"/>
      </w:divBdr>
    </w:div>
    <w:div w:id="1796482248">
      <w:marLeft w:val="0"/>
      <w:marRight w:val="0"/>
      <w:marTop w:val="0"/>
      <w:marBottom w:val="0"/>
      <w:divBdr>
        <w:top w:val="none" w:sz="0" w:space="0" w:color="auto"/>
        <w:left w:val="none" w:sz="0" w:space="0" w:color="auto"/>
        <w:bottom w:val="none" w:sz="0" w:space="0" w:color="auto"/>
        <w:right w:val="none" w:sz="0" w:space="0" w:color="auto"/>
      </w:divBdr>
      <w:divsChild>
        <w:div w:id="1398476630">
          <w:marLeft w:val="0"/>
          <w:marRight w:val="0"/>
          <w:marTop w:val="0"/>
          <w:marBottom w:val="0"/>
          <w:divBdr>
            <w:top w:val="none" w:sz="0" w:space="0" w:color="auto"/>
            <w:left w:val="none" w:sz="0" w:space="0" w:color="auto"/>
            <w:bottom w:val="none" w:sz="0" w:space="0" w:color="auto"/>
            <w:right w:val="none" w:sz="0" w:space="0" w:color="auto"/>
          </w:divBdr>
        </w:div>
      </w:divsChild>
    </w:div>
    <w:div w:id="1797135132">
      <w:marLeft w:val="0"/>
      <w:marRight w:val="0"/>
      <w:marTop w:val="0"/>
      <w:marBottom w:val="0"/>
      <w:divBdr>
        <w:top w:val="none" w:sz="0" w:space="0" w:color="auto"/>
        <w:left w:val="none" w:sz="0" w:space="0" w:color="auto"/>
        <w:bottom w:val="none" w:sz="0" w:space="0" w:color="auto"/>
        <w:right w:val="none" w:sz="0" w:space="0" w:color="auto"/>
      </w:divBdr>
      <w:divsChild>
        <w:div w:id="1470897373">
          <w:marLeft w:val="0"/>
          <w:marRight w:val="0"/>
          <w:marTop w:val="0"/>
          <w:marBottom w:val="0"/>
          <w:divBdr>
            <w:top w:val="none" w:sz="0" w:space="0" w:color="auto"/>
            <w:left w:val="none" w:sz="0" w:space="0" w:color="auto"/>
            <w:bottom w:val="none" w:sz="0" w:space="0" w:color="auto"/>
            <w:right w:val="none" w:sz="0" w:space="0" w:color="auto"/>
          </w:divBdr>
        </w:div>
      </w:divsChild>
    </w:div>
    <w:div w:id="1797596684">
      <w:marLeft w:val="0"/>
      <w:marRight w:val="0"/>
      <w:marTop w:val="0"/>
      <w:marBottom w:val="0"/>
      <w:divBdr>
        <w:top w:val="none" w:sz="0" w:space="0" w:color="auto"/>
        <w:left w:val="none" w:sz="0" w:space="0" w:color="auto"/>
        <w:bottom w:val="none" w:sz="0" w:space="0" w:color="auto"/>
        <w:right w:val="none" w:sz="0" w:space="0" w:color="auto"/>
      </w:divBdr>
      <w:divsChild>
        <w:div w:id="261836408">
          <w:marLeft w:val="0"/>
          <w:marRight w:val="0"/>
          <w:marTop w:val="0"/>
          <w:marBottom w:val="0"/>
          <w:divBdr>
            <w:top w:val="none" w:sz="0" w:space="0" w:color="auto"/>
            <w:left w:val="none" w:sz="0" w:space="0" w:color="auto"/>
            <w:bottom w:val="none" w:sz="0" w:space="0" w:color="auto"/>
            <w:right w:val="none" w:sz="0" w:space="0" w:color="auto"/>
          </w:divBdr>
        </w:div>
      </w:divsChild>
    </w:div>
    <w:div w:id="1800148108">
      <w:marLeft w:val="0"/>
      <w:marRight w:val="0"/>
      <w:marTop w:val="0"/>
      <w:marBottom w:val="0"/>
      <w:divBdr>
        <w:top w:val="none" w:sz="0" w:space="0" w:color="auto"/>
        <w:left w:val="none" w:sz="0" w:space="0" w:color="auto"/>
        <w:bottom w:val="none" w:sz="0" w:space="0" w:color="auto"/>
        <w:right w:val="none" w:sz="0" w:space="0" w:color="auto"/>
      </w:divBdr>
    </w:div>
    <w:div w:id="1801918029">
      <w:marLeft w:val="0"/>
      <w:marRight w:val="0"/>
      <w:marTop w:val="200"/>
      <w:marBottom w:val="0"/>
      <w:divBdr>
        <w:top w:val="none" w:sz="0" w:space="0" w:color="auto"/>
        <w:left w:val="none" w:sz="0" w:space="0" w:color="auto"/>
        <w:bottom w:val="none" w:sz="0" w:space="0" w:color="auto"/>
        <w:right w:val="none" w:sz="0" w:space="0" w:color="auto"/>
      </w:divBdr>
    </w:div>
    <w:div w:id="1802458503">
      <w:marLeft w:val="0"/>
      <w:marRight w:val="0"/>
      <w:marTop w:val="0"/>
      <w:marBottom w:val="0"/>
      <w:divBdr>
        <w:top w:val="none" w:sz="0" w:space="0" w:color="auto"/>
        <w:left w:val="none" w:sz="0" w:space="0" w:color="auto"/>
        <w:bottom w:val="none" w:sz="0" w:space="0" w:color="auto"/>
        <w:right w:val="none" w:sz="0" w:space="0" w:color="auto"/>
      </w:divBdr>
      <w:divsChild>
        <w:div w:id="1016688817">
          <w:marLeft w:val="0"/>
          <w:marRight w:val="0"/>
          <w:marTop w:val="0"/>
          <w:marBottom w:val="0"/>
          <w:divBdr>
            <w:top w:val="none" w:sz="0" w:space="0" w:color="auto"/>
            <w:left w:val="none" w:sz="0" w:space="0" w:color="auto"/>
            <w:bottom w:val="none" w:sz="0" w:space="0" w:color="auto"/>
            <w:right w:val="none" w:sz="0" w:space="0" w:color="auto"/>
          </w:divBdr>
        </w:div>
      </w:divsChild>
    </w:div>
    <w:div w:id="1804153425">
      <w:marLeft w:val="0"/>
      <w:marRight w:val="0"/>
      <w:marTop w:val="0"/>
      <w:marBottom w:val="0"/>
      <w:divBdr>
        <w:top w:val="none" w:sz="0" w:space="0" w:color="auto"/>
        <w:left w:val="none" w:sz="0" w:space="0" w:color="auto"/>
        <w:bottom w:val="none" w:sz="0" w:space="0" w:color="auto"/>
        <w:right w:val="none" w:sz="0" w:space="0" w:color="auto"/>
      </w:divBdr>
    </w:div>
    <w:div w:id="1804499087">
      <w:marLeft w:val="0"/>
      <w:marRight w:val="0"/>
      <w:marTop w:val="280"/>
      <w:marBottom w:val="0"/>
      <w:divBdr>
        <w:top w:val="none" w:sz="0" w:space="0" w:color="auto"/>
        <w:left w:val="none" w:sz="0" w:space="0" w:color="auto"/>
        <w:bottom w:val="none" w:sz="0" w:space="0" w:color="auto"/>
        <w:right w:val="none" w:sz="0" w:space="0" w:color="auto"/>
      </w:divBdr>
    </w:div>
    <w:div w:id="1805007194">
      <w:marLeft w:val="0"/>
      <w:marRight w:val="0"/>
      <w:marTop w:val="200"/>
      <w:marBottom w:val="0"/>
      <w:divBdr>
        <w:top w:val="none" w:sz="0" w:space="0" w:color="auto"/>
        <w:left w:val="none" w:sz="0" w:space="0" w:color="auto"/>
        <w:bottom w:val="none" w:sz="0" w:space="0" w:color="auto"/>
        <w:right w:val="none" w:sz="0" w:space="0" w:color="auto"/>
      </w:divBdr>
    </w:div>
    <w:div w:id="1806001892">
      <w:marLeft w:val="0"/>
      <w:marRight w:val="0"/>
      <w:marTop w:val="200"/>
      <w:marBottom w:val="0"/>
      <w:divBdr>
        <w:top w:val="none" w:sz="0" w:space="0" w:color="auto"/>
        <w:left w:val="none" w:sz="0" w:space="0" w:color="auto"/>
        <w:bottom w:val="none" w:sz="0" w:space="0" w:color="auto"/>
        <w:right w:val="none" w:sz="0" w:space="0" w:color="auto"/>
      </w:divBdr>
    </w:div>
    <w:div w:id="1806194335">
      <w:marLeft w:val="0"/>
      <w:marRight w:val="0"/>
      <w:marTop w:val="0"/>
      <w:marBottom w:val="0"/>
      <w:divBdr>
        <w:top w:val="none" w:sz="0" w:space="0" w:color="auto"/>
        <w:left w:val="none" w:sz="0" w:space="0" w:color="auto"/>
        <w:bottom w:val="none" w:sz="0" w:space="0" w:color="auto"/>
        <w:right w:val="none" w:sz="0" w:space="0" w:color="auto"/>
      </w:divBdr>
    </w:div>
    <w:div w:id="1807548519">
      <w:marLeft w:val="0"/>
      <w:marRight w:val="0"/>
      <w:marTop w:val="200"/>
      <w:marBottom w:val="0"/>
      <w:divBdr>
        <w:top w:val="none" w:sz="0" w:space="0" w:color="auto"/>
        <w:left w:val="none" w:sz="0" w:space="0" w:color="auto"/>
        <w:bottom w:val="none" w:sz="0" w:space="0" w:color="auto"/>
        <w:right w:val="none" w:sz="0" w:space="0" w:color="auto"/>
      </w:divBdr>
    </w:div>
    <w:div w:id="1809400492">
      <w:marLeft w:val="0"/>
      <w:marRight w:val="0"/>
      <w:marTop w:val="0"/>
      <w:marBottom w:val="0"/>
      <w:divBdr>
        <w:top w:val="none" w:sz="0" w:space="0" w:color="auto"/>
        <w:left w:val="none" w:sz="0" w:space="0" w:color="auto"/>
        <w:bottom w:val="none" w:sz="0" w:space="0" w:color="auto"/>
        <w:right w:val="none" w:sz="0" w:space="0" w:color="auto"/>
      </w:divBdr>
    </w:div>
    <w:div w:id="1811483095">
      <w:marLeft w:val="0"/>
      <w:marRight w:val="0"/>
      <w:marTop w:val="100"/>
      <w:marBottom w:val="0"/>
      <w:divBdr>
        <w:top w:val="none" w:sz="0" w:space="0" w:color="auto"/>
        <w:left w:val="none" w:sz="0" w:space="0" w:color="auto"/>
        <w:bottom w:val="none" w:sz="0" w:space="0" w:color="auto"/>
        <w:right w:val="none" w:sz="0" w:space="0" w:color="auto"/>
      </w:divBdr>
    </w:div>
    <w:div w:id="1813062151">
      <w:marLeft w:val="0"/>
      <w:marRight w:val="0"/>
      <w:marTop w:val="40"/>
      <w:marBottom w:val="0"/>
      <w:divBdr>
        <w:top w:val="none" w:sz="0" w:space="0" w:color="auto"/>
        <w:left w:val="none" w:sz="0" w:space="0" w:color="auto"/>
        <w:bottom w:val="none" w:sz="0" w:space="0" w:color="auto"/>
        <w:right w:val="none" w:sz="0" w:space="0" w:color="auto"/>
      </w:divBdr>
    </w:div>
    <w:div w:id="1813327494">
      <w:marLeft w:val="0"/>
      <w:marRight w:val="0"/>
      <w:marTop w:val="0"/>
      <w:marBottom w:val="0"/>
      <w:divBdr>
        <w:top w:val="none" w:sz="0" w:space="0" w:color="auto"/>
        <w:left w:val="none" w:sz="0" w:space="0" w:color="auto"/>
        <w:bottom w:val="none" w:sz="0" w:space="0" w:color="auto"/>
        <w:right w:val="none" w:sz="0" w:space="0" w:color="auto"/>
      </w:divBdr>
    </w:div>
    <w:div w:id="1813791305">
      <w:marLeft w:val="0"/>
      <w:marRight w:val="0"/>
      <w:marTop w:val="0"/>
      <w:marBottom w:val="0"/>
      <w:divBdr>
        <w:top w:val="none" w:sz="0" w:space="0" w:color="auto"/>
        <w:left w:val="none" w:sz="0" w:space="0" w:color="auto"/>
        <w:bottom w:val="none" w:sz="0" w:space="0" w:color="auto"/>
        <w:right w:val="none" w:sz="0" w:space="0" w:color="auto"/>
      </w:divBdr>
    </w:div>
    <w:div w:id="1814909438">
      <w:marLeft w:val="0"/>
      <w:marRight w:val="0"/>
      <w:marTop w:val="0"/>
      <w:marBottom w:val="0"/>
      <w:divBdr>
        <w:top w:val="none" w:sz="0" w:space="0" w:color="auto"/>
        <w:left w:val="none" w:sz="0" w:space="0" w:color="auto"/>
        <w:bottom w:val="none" w:sz="0" w:space="0" w:color="auto"/>
        <w:right w:val="none" w:sz="0" w:space="0" w:color="auto"/>
      </w:divBdr>
    </w:div>
    <w:div w:id="1818494705">
      <w:marLeft w:val="0"/>
      <w:marRight w:val="0"/>
      <w:marTop w:val="0"/>
      <w:marBottom w:val="0"/>
      <w:divBdr>
        <w:top w:val="none" w:sz="0" w:space="0" w:color="auto"/>
        <w:left w:val="none" w:sz="0" w:space="0" w:color="auto"/>
        <w:bottom w:val="none" w:sz="0" w:space="0" w:color="auto"/>
        <w:right w:val="none" w:sz="0" w:space="0" w:color="auto"/>
      </w:divBdr>
      <w:divsChild>
        <w:div w:id="442768062">
          <w:marLeft w:val="0"/>
          <w:marRight w:val="0"/>
          <w:marTop w:val="0"/>
          <w:marBottom w:val="0"/>
          <w:divBdr>
            <w:top w:val="none" w:sz="0" w:space="0" w:color="auto"/>
            <w:left w:val="none" w:sz="0" w:space="0" w:color="auto"/>
            <w:bottom w:val="none" w:sz="0" w:space="0" w:color="auto"/>
            <w:right w:val="none" w:sz="0" w:space="0" w:color="auto"/>
          </w:divBdr>
        </w:div>
      </w:divsChild>
    </w:div>
    <w:div w:id="1821651853">
      <w:marLeft w:val="0"/>
      <w:marRight w:val="0"/>
      <w:marTop w:val="0"/>
      <w:marBottom w:val="0"/>
      <w:divBdr>
        <w:top w:val="none" w:sz="0" w:space="0" w:color="auto"/>
        <w:left w:val="none" w:sz="0" w:space="0" w:color="auto"/>
        <w:bottom w:val="none" w:sz="0" w:space="0" w:color="auto"/>
        <w:right w:val="none" w:sz="0" w:space="0" w:color="auto"/>
      </w:divBdr>
      <w:divsChild>
        <w:div w:id="349575663">
          <w:marLeft w:val="0"/>
          <w:marRight w:val="0"/>
          <w:marTop w:val="0"/>
          <w:marBottom w:val="0"/>
          <w:divBdr>
            <w:top w:val="none" w:sz="0" w:space="0" w:color="auto"/>
            <w:left w:val="none" w:sz="0" w:space="0" w:color="auto"/>
            <w:bottom w:val="none" w:sz="0" w:space="0" w:color="auto"/>
            <w:right w:val="none" w:sz="0" w:space="0" w:color="auto"/>
          </w:divBdr>
        </w:div>
      </w:divsChild>
    </w:div>
    <w:div w:id="1822187394">
      <w:marLeft w:val="0"/>
      <w:marRight w:val="0"/>
      <w:marTop w:val="0"/>
      <w:marBottom w:val="0"/>
      <w:divBdr>
        <w:top w:val="none" w:sz="0" w:space="0" w:color="auto"/>
        <w:left w:val="none" w:sz="0" w:space="0" w:color="auto"/>
        <w:bottom w:val="none" w:sz="0" w:space="0" w:color="auto"/>
        <w:right w:val="none" w:sz="0" w:space="0" w:color="auto"/>
      </w:divBdr>
    </w:div>
    <w:div w:id="1824347960">
      <w:marLeft w:val="0"/>
      <w:marRight w:val="0"/>
      <w:marTop w:val="0"/>
      <w:marBottom w:val="0"/>
      <w:divBdr>
        <w:top w:val="none" w:sz="0" w:space="0" w:color="auto"/>
        <w:left w:val="none" w:sz="0" w:space="0" w:color="auto"/>
        <w:bottom w:val="none" w:sz="0" w:space="0" w:color="auto"/>
        <w:right w:val="none" w:sz="0" w:space="0" w:color="auto"/>
      </w:divBdr>
    </w:div>
    <w:div w:id="1828134494">
      <w:marLeft w:val="0"/>
      <w:marRight w:val="0"/>
      <w:marTop w:val="0"/>
      <w:marBottom w:val="0"/>
      <w:divBdr>
        <w:top w:val="none" w:sz="0" w:space="0" w:color="auto"/>
        <w:left w:val="none" w:sz="0" w:space="0" w:color="auto"/>
        <w:bottom w:val="none" w:sz="0" w:space="0" w:color="auto"/>
        <w:right w:val="none" w:sz="0" w:space="0" w:color="auto"/>
      </w:divBdr>
      <w:divsChild>
        <w:div w:id="1848130624">
          <w:marLeft w:val="0"/>
          <w:marRight w:val="0"/>
          <w:marTop w:val="0"/>
          <w:marBottom w:val="0"/>
          <w:divBdr>
            <w:top w:val="none" w:sz="0" w:space="0" w:color="auto"/>
            <w:left w:val="none" w:sz="0" w:space="0" w:color="auto"/>
            <w:bottom w:val="none" w:sz="0" w:space="0" w:color="auto"/>
            <w:right w:val="none" w:sz="0" w:space="0" w:color="auto"/>
          </w:divBdr>
        </w:div>
      </w:divsChild>
    </w:div>
    <w:div w:id="1830630782">
      <w:marLeft w:val="0"/>
      <w:marRight w:val="0"/>
      <w:marTop w:val="0"/>
      <w:marBottom w:val="0"/>
      <w:divBdr>
        <w:top w:val="none" w:sz="0" w:space="0" w:color="auto"/>
        <w:left w:val="none" w:sz="0" w:space="0" w:color="auto"/>
        <w:bottom w:val="none" w:sz="0" w:space="0" w:color="auto"/>
        <w:right w:val="none" w:sz="0" w:space="0" w:color="auto"/>
      </w:divBdr>
    </w:div>
    <w:div w:id="1833989588">
      <w:marLeft w:val="0"/>
      <w:marRight w:val="0"/>
      <w:marTop w:val="0"/>
      <w:marBottom w:val="0"/>
      <w:divBdr>
        <w:top w:val="none" w:sz="0" w:space="0" w:color="auto"/>
        <w:left w:val="none" w:sz="0" w:space="0" w:color="auto"/>
        <w:bottom w:val="none" w:sz="0" w:space="0" w:color="auto"/>
        <w:right w:val="none" w:sz="0" w:space="0" w:color="auto"/>
      </w:divBdr>
      <w:divsChild>
        <w:div w:id="1565793775">
          <w:marLeft w:val="0"/>
          <w:marRight w:val="0"/>
          <w:marTop w:val="0"/>
          <w:marBottom w:val="0"/>
          <w:divBdr>
            <w:top w:val="none" w:sz="0" w:space="0" w:color="auto"/>
            <w:left w:val="none" w:sz="0" w:space="0" w:color="auto"/>
            <w:bottom w:val="none" w:sz="0" w:space="0" w:color="auto"/>
            <w:right w:val="none" w:sz="0" w:space="0" w:color="auto"/>
          </w:divBdr>
        </w:div>
      </w:divsChild>
    </w:div>
    <w:div w:id="1836799765">
      <w:marLeft w:val="0"/>
      <w:marRight w:val="0"/>
      <w:marTop w:val="60"/>
      <w:marBottom w:val="0"/>
      <w:divBdr>
        <w:top w:val="none" w:sz="0" w:space="0" w:color="auto"/>
        <w:left w:val="none" w:sz="0" w:space="0" w:color="auto"/>
        <w:bottom w:val="none" w:sz="0" w:space="0" w:color="auto"/>
        <w:right w:val="none" w:sz="0" w:space="0" w:color="auto"/>
      </w:divBdr>
    </w:div>
    <w:div w:id="1839230512">
      <w:marLeft w:val="0"/>
      <w:marRight w:val="0"/>
      <w:marTop w:val="0"/>
      <w:marBottom w:val="0"/>
      <w:divBdr>
        <w:top w:val="none" w:sz="0" w:space="0" w:color="auto"/>
        <w:left w:val="none" w:sz="0" w:space="0" w:color="auto"/>
        <w:bottom w:val="none" w:sz="0" w:space="0" w:color="auto"/>
        <w:right w:val="none" w:sz="0" w:space="0" w:color="auto"/>
      </w:divBdr>
      <w:divsChild>
        <w:div w:id="1684016552">
          <w:marLeft w:val="0"/>
          <w:marRight w:val="0"/>
          <w:marTop w:val="0"/>
          <w:marBottom w:val="0"/>
          <w:divBdr>
            <w:top w:val="none" w:sz="0" w:space="0" w:color="auto"/>
            <w:left w:val="none" w:sz="0" w:space="0" w:color="auto"/>
            <w:bottom w:val="none" w:sz="0" w:space="0" w:color="auto"/>
            <w:right w:val="none" w:sz="0" w:space="0" w:color="auto"/>
          </w:divBdr>
        </w:div>
      </w:divsChild>
    </w:div>
    <w:div w:id="1842238623">
      <w:marLeft w:val="0"/>
      <w:marRight w:val="0"/>
      <w:marTop w:val="200"/>
      <w:marBottom w:val="0"/>
      <w:divBdr>
        <w:top w:val="none" w:sz="0" w:space="0" w:color="auto"/>
        <w:left w:val="none" w:sz="0" w:space="0" w:color="auto"/>
        <w:bottom w:val="none" w:sz="0" w:space="0" w:color="auto"/>
        <w:right w:val="none" w:sz="0" w:space="0" w:color="auto"/>
      </w:divBdr>
    </w:div>
    <w:div w:id="1842498917">
      <w:marLeft w:val="0"/>
      <w:marRight w:val="0"/>
      <w:marTop w:val="0"/>
      <w:marBottom w:val="0"/>
      <w:divBdr>
        <w:top w:val="none" w:sz="0" w:space="0" w:color="auto"/>
        <w:left w:val="none" w:sz="0" w:space="0" w:color="auto"/>
        <w:bottom w:val="none" w:sz="0" w:space="0" w:color="auto"/>
        <w:right w:val="none" w:sz="0" w:space="0" w:color="auto"/>
      </w:divBdr>
      <w:divsChild>
        <w:div w:id="1261454060">
          <w:marLeft w:val="0"/>
          <w:marRight w:val="0"/>
          <w:marTop w:val="0"/>
          <w:marBottom w:val="0"/>
          <w:divBdr>
            <w:top w:val="none" w:sz="0" w:space="0" w:color="auto"/>
            <w:left w:val="none" w:sz="0" w:space="0" w:color="auto"/>
            <w:bottom w:val="none" w:sz="0" w:space="0" w:color="auto"/>
            <w:right w:val="none" w:sz="0" w:space="0" w:color="auto"/>
          </w:divBdr>
        </w:div>
      </w:divsChild>
    </w:div>
    <w:div w:id="1843280636">
      <w:marLeft w:val="0"/>
      <w:marRight w:val="0"/>
      <w:marTop w:val="0"/>
      <w:marBottom w:val="0"/>
      <w:divBdr>
        <w:top w:val="none" w:sz="0" w:space="0" w:color="auto"/>
        <w:left w:val="none" w:sz="0" w:space="0" w:color="auto"/>
        <w:bottom w:val="none" w:sz="0" w:space="0" w:color="auto"/>
        <w:right w:val="none" w:sz="0" w:space="0" w:color="auto"/>
      </w:divBdr>
      <w:divsChild>
        <w:div w:id="508642245">
          <w:marLeft w:val="0"/>
          <w:marRight w:val="0"/>
          <w:marTop w:val="0"/>
          <w:marBottom w:val="0"/>
          <w:divBdr>
            <w:top w:val="none" w:sz="0" w:space="0" w:color="auto"/>
            <w:left w:val="none" w:sz="0" w:space="0" w:color="auto"/>
            <w:bottom w:val="none" w:sz="0" w:space="0" w:color="auto"/>
            <w:right w:val="none" w:sz="0" w:space="0" w:color="auto"/>
          </w:divBdr>
        </w:div>
      </w:divsChild>
    </w:div>
    <w:div w:id="1844591995">
      <w:marLeft w:val="0"/>
      <w:marRight w:val="0"/>
      <w:marTop w:val="0"/>
      <w:marBottom w:val="0"/>
      <w:divBdr>
        <w:top w:val="none" w:sz="0" w:space="0" w:color="auto"/>
        <w:left w:val="none" w:sz="0" w:space="0" w:color="auto"/>
        <w:bottom w:val="none" w:sz="0" w:space="0" w:color="auto"/>
        <w:right w:val="none" w:sz="0" w:space="0" w:color="auto"/>
      </w:divBdr>
    </w:div>
    <w:div w:id="1845432063">
      <w:marLeft w:val="0"/>
      <w:marRight w:val="0"/>
      <w:marTop w:val="0"/>
      <w:marBottom w:val="0"/>
      <w:divBdr>
        <w:top w:val="none" w:sz="0" w:space="0" w:color="auto"/>
        <w:left w:val="none" w:sz="0" w:space="0" w:color="auto"/>
        <w:bottom w:val="none" w:sz="0" w:space="0" w:color="auto"/>
        <w:right w:val="none" w:sz="0" w:space="0" w:color="auto"/>
      </w:divBdr>
      <w:divsChild>
        <w:div w:id="1115710887">
          <w:marLeft w:val="0"/>
          <w:marRight w:val="0"/>
          <w:marTop w:val="0"/>
          <w:marBottom w:val="0"/>
          <w:divBdr>
            <w:top w:val="none" w:sz="0" w:space="0" w:color="auto"/>
            <w:left w:val="none" w:sz="0" w:space="0" w:color="auto"/>
            <w:bottom w:val="none" w:sz="0" w:space="0" w:color="auto"/>
            <w:right w:val="none" w:sz="0" w:space="0" w:color="auto"/>
          </w:divBdr>
        </w:div>
      </w:divsChild>
    </w:div>
    <w:div w:id="1847089653">
      <w:marLeft w:val="0"/>
      <w:marRight w:val="0"/>
      <w:marTop w:val="60"/>
      <w:marBottom w:val="0"/>
      <w:divBdr>
        <w:top w:val="none" w:sz="0" w:space="0" w:color="auto"/>
        <w:left w:val="none" w:sz="0" w:space="0" w:color="auto"/>
        <w:bottom w:val="none" w:sz="0" w:space="0" w:color="auto"/>
        <w:right w:val="none" w:sz="0" w:space="0" w:color="auto"/>
      </w:divBdr>
    </w:div>
    <w:div w:id="1847288506">
      <w:marLeft w:val="0"/>
      <w:marRight w:val="0"/>
      <w:marTop w:val="0"/>
      <w:marBottom w:val="0"/>
      <w:divBdr>
        <w:top w:val="none" w:sz="0" w:space="0" w:color="auto"/>
        <w:left w:val="none" w:sz="0" w:space="0" w:color="auto"/>
        <w:bottom w:val="none" w:sz="0" w:space="0" w:color="auto"/>
        <w:right w:val="none" w:sz="0" w:space="0" w:color="auto"/>
      </w:divBdr>
      <w:divsChild>
        <w:div w:id="1965110515">
          <w:marLeft w:val="0"/>
          <w:marRight w:val="0"/>
          <w:marTop w:val="0"/>
          <w:marBottom w:val="0"/>
          <w:divBdr>
            <w:top w:val="none" w:sz="0" w:space="0" w:color="auto"/>
            <w:left w:val="none" w:sz="0" w:space="0" w:color="auto"/>
            <w:bottom w:val="none" w:sz="0" w:space="0" w:color="auto"/>
            <w:right w:val="none" w:sz="0" w:space="0" w:color="auto"/>
          </w:divBdr>
        </w:div>
      </w:divsChild>
    </w:div>
    <w:div w:id="1848981566">
      <w:marLeft w:val="0"/>
      <w:marRight w:val="0"/>
      <w:marTop w:val="200"/>
      <w:marBottom w:val="0"/>
      <w:divBdr>
        <w:top w:val="none" w:sz="0" w:space="0" w:color="auto"/>
        <w:left w:val="none" w:sz="0" w:space="0" w:color="auto"/>
        <w:bottom w:val="none" w:sz="0" w:space="0" w:color="auto"/>
        <w:right w:val="none" w:sz="0" w:space="0" w:color="auto"/>
      </w:divBdr>
    </w:div>
    <w:div w:id="1852598760">
      <w:marLeft w:val="0"/>
      <w:marRight w:val="0"/>
      <w:marTop w:val="0"/>
      <w:marBottom w:val="0"/>
      <w:divBdr>
        <w:top w:val="none" w:sz="0" w:space="0" w:color="auto"/>
        <w:left w:val="none" w:sz="0" w:space="0" w:color="auto"/>
        <w:bottom w:val="none" w:sz="0" w:space="0" w:color="auto"/>
        <w:right w:val="none" w:sz="0" w:space="0" w:color="auto"/>
      </w:divBdr>
      <w:divsChild>
        <w:div w:id="377709461">
          <w:marLeft w:val="0"/>
          <w:marRight w:val="0"/>
          <w:marTop w:val="0"/>
          <w:marBottom w:val="0"/>
          <w:divBdr>
            <w:top w:val="none" w:sz="0" w:space="0" w:color="auto"/>
            <w:left w:val="none" w:sz="0" w:space="0" w:color="auto"/>
            <w:bottom w:val="none" w:sz="0" w:space="0" w:color="auto"/>
            <w:right w:val="none" w:sz="0" w:space="0" w:color="auto"/>
          </w:divBdr>
        </w:div>
      </w:divsChild>
    </w:div>
    <w:div w:id="1852917536">
      <w:marLeft w:val="0"/>
      <w:marRight w:val="0"/>
      <w:marTop w:val="0"/>
      <w:marBottom w:val="0"/>
      <w:divBdr>
        <w:top w:val="none" w:sz="0" w:space="0" w:color="auto"/>
        <w:left w:val="none" w:sz="0" w:space="0" w:color="auto"/>
        <w:bottom w:val="none" w:sz="0" w:space="0" w:color="auto"/>
        <w:right w:val="none" w:sz="0" w:space="0" w:color="auto"/>
      </w:divBdr>
    </w:div>
    <w:div w:id="1855344517">
      <w:marLeft w:val="0"/>
      <w:marRight w:val="0"/>
      <w:marTop w:val="100"/>
      <w:marBottom w:val="0"/>
      <w:divBdr>
        <w:top w:val="none" w:sz="0" w:space="0" w:color="auto"/>
        <w:left w:val="none" w:sz="0" w:space="0" w:color="auto"/>
        <w:bottom w:val="none" w:sz="0" w:space="0" w:color="auto"/>
        <w:right w:val="none" w:sz="0" w:space="0" w:color="auto"/>
      </w:divBdr>
    </w:div>
    <w:div w:id="1859269509">
      <w:marLeft w:val="0"/>
      <w:marRight w:val="0"/>
      <w:marTop w:val="0"/>
      <w:marBottom w:val="0"/>
      <w:divBdr>
        <w:top w:val="none" w:sz="0" w:space="0" w:color="auto"/>
        <w:left w:val="none" w:sz="0" w:space="0" w:color="auto"/>
        <w:bottom w:val="none" w:sz="0" w:space="0" w:color="auto"/>
        <w:right w:val="none" w:sz="0" w:space="0" w:color="auto"/>
      </w:divBdr>
    </w:div>
    <w:div w:id="1860586297">
      <w:marLeft w:val="0"/>
      <w:marRight w:val="0"/>
      <w:marTop w:val="100"/>
      <w:marBottom w:val="0"/>
      <w:divBdr>
        <w:top w:val="none" w:sz="0" w:space="0" w:color="auto"/>
        <w:left w:val="none" w:sz="0" w:space="0" w:color="auto"/>
        <w:bottom w:val="none" w:sz="0" w:space="0" w:color="auto"/>
        <w:right w:val="none" w:sz="0" w:space="0" w:color="auto"/>
      </w:divBdr>
    </w:div>
    <w:div w:id="1862089939">
      <w:marLeft w:val="0"/>
      <w:marRight w:val="0"/>
      <w:marTop w:val="0"/>
      <w:marBottom w:val="0"/>
      <w:divBdr>
        <w:top w:val="none" w:sz="0" w:space="0" w:color="auto"/>
        <w:left w:val="none" w:sz="0" w:space="0" w:color="auto"/>
        <w:bottom w:val="none" w:sz="0" w:space="0" w:color="auto"/>
        <w:right w:val="none" w:sz="0" w:space="0" w:color="auto"/>
      </w:divBdr>
    </w:div>
    <w:div w:id="1862358460">
      <w:marLeft w:val="0"/>
      <w:marRight w:val="0"/>
      <w:marTop w:val="100"/>
      <w:marBottom w:val="0"/>
      <w:divBdr>
        <w:top w:val="none" w:sz="0" w:space="0" w:color="auto"/>
        <w:left w:val="none" w:sz="0" w:space="0" w:color="auto"/>
        <w:bottom w:val="none" w:sz="0" w:space="0" w:color="auto"/>
        <w:right w:val="none" w:sz="0" w:space="0" w:color="auto"/>
      </w:divBdr>
    </w:div>
    <w:div w:id="1862932909">
      <w:marLeft w:val="0"/>
      <w:marRight w:val="0"/>
      <w:marTop w:val="100"/>
      <w:marBottom w:val="0"/>
      <w:divBdr>
        <w:top w:val="none" w:sz="0" w:space="0" w:color="auto"/>
        <w:left w:val="none" w:sz="0" w:space="0" w:color="auto"/>
        <w:bottom w:val="none" w:sz="0" w:space="0" w:color="auto"/>
        <w:right w:val="none" w:sz="0" w:space="0" w:color="auto"/>
      </w:divBdr>
    </w:div>
    <w:div w:id="1864055931">
      <w:marLeft w:val="0"/>
      <w:marRight w:val="0"/>
      <w:marTop w:val="0"/>
      <w:marBottom w:val="200"/>
      <w:divBdr>
        <w:top w:val="none" w:sz="0" w:space="0" w:color="auto"/>
        <w:left w:val="none" w:sz="0" w:space="0" w:color="auto"/>
        <w:bottom w:val="none" w:sz="0" w:space="0" w:color="auto"/>
        <w:right w:val="none" w:sz="0" w:space="0" w:color="auto"/>
      </w:divBdr>
    </w:div>
    <w:div w:id="1868178794">
      <w:marLeft w:val="0"/>
      <w:marRight w:val="0"/>
      <w:marTop w:val="0"/>
      <w:marBottom w:val="0"/>
      <w:divBdr>
        <w:top w:val="none" w:sz="0" w:space="0" w:color="auto"/>
        <w:left w:val="none" w:sz="0" w:space="0" w:color="auto"/>
        <w:bottom w:val="none" w:sz="0" w:space="0" w:color="auto"/>
        <w:right w:val="none" w:sz="0" w:space="0" w:color="auto"/>
      </w:divBdr>
      <w:divsChild>
        <w:div w:id="918946345">
          <w:marLeft w:val="0"/>
          <w:marRight w:val="0"/>
          <w:marTop w:val="0"/>
          <w:marBottom w:val="0"/>
          <w:divBdr>
            <w:top w:val="none" w:sz="0" w:space="0" w:color="auto"/>
            <w:left w:val="none" w:sz="0" w:space="0" w:color="auto"/>
            <w:bottom w:val="none" w:sz="0" w:space="0" w:color="auto"/>
            <w:right w:val="none" w:sz="0" w:space="0" w:color="auto"/>
          </w:divBdr>
        </w:div>
      </w:divsChild>
    </w:div>
    <w:div w:id="1869559186">
      <w:marLeft w:val="0"/>
      <w:marRight w:val="0"/>
      <w:marTop w:val="0"/>
      <w:marBottom w:val="0"/>
      <w:divBdr>
        <w:top w:val="none" w:sz="0" w:space="0" w:color="auto"/>
        <w:left w:val="none" w:sz="0" w:space="0" w:color="auto"/>
        <w:bottom w:val="none" w:sz="0" w:space="0" w:color="auto"/>
        <w:right w:val="none" w:sz="0" w:space="0" w:color="auto"/>
      </w:divBdr>
      <w:divsChild>
        <w:div w:id="1556315618">
          <w:marLeft w:val="0"/>
          <w:marRight w:val="0"/>
          <w:marTop w:val="0"/>
          <w:marBottom w:val="0"/>
          <w:divBdr>
            <w:top w:val="none" w:sz="0" w:space="0" w:color="auto"/>
            <w:left w:val="none" w:sz="0" w:space="0" w:color="auto"/>
            <w:bottom w:val="none" w:sz="0" w:space="0" w:color="auto"/>
            <w:right w:val="none" w:sz="0" w:space="0" w:color="auto"/>
          </w:divBdr>
        </w:div>
      </w:divsChild>
    </w:div>
    <w:div w:id="1870876296">
      <w:marLeft w:val="0"/>
      <w:marRight w:val="0"/>
      <w:marTop w:val="200"/>
      <w:marBottom w:val="0"/>
      <w:divBdr>
        <w:top w:val="none" w:sz="0" w:space="0" w:color="auto"/>
        <w:left w:val="none" w:sz="0" w:space="0" w:color="auto"/>
        <w:bottom w:val="none" w:sz="0" w:space="0" w:color="auto"/>
        <w:right w:val="none" w:sz="0" w:space="0" w:color="auto"/>
      </w:divBdr>
    </w:div>
    <w:div w:id="1873882270">
      <w:marLeft w:val="0"/>
      <w:marRight w:val="0"/>
      <w:marTop w:val="0"/>
      <w:marBottom w:val="0"/>
      <w:divBdr>
        <w:top w:val="none" w:sz="0" w:space="0" w:color="auto"/>
        <w:left w:val="none" w:sz="0" w:space="0" w:color="auto"/>
        <w:bottom w:val="none" w:sz="0" w:space="0" w:color="auto"/>
        <w:right w:val="none" w:sz="0" w:space="0" w:color="auto"/>
      </w:divBdr>
    </w:div>
    <w:div w:id="1874146396">
      <w:marLeft w:val="0"/>
      <w:marRight w:val="0"/>
      <w:marTop w:val="200"/>
      <w:marBottom w:val="0"/>
      <w:divBdr>
        <w:top w:val="none" w:sz="0" w:space="0" w:color="auto"/>
        <w:left w:val="none" w:sz="0" w:space="0" w:color="auto"/>
        <w:bottom w:val="none" w:sz="0" w:space="0" w:color="auto"/>
        <w:right w:val="none" w:sz="0" w:space="0" w:color="auto"/>
      </w:divBdr>
    </w:div>
    <w:div w:id="1877767349">
      <w:marLeft w:val="0"/>
      <w:marRight w:val="0"/>
      <w:marTop w:val="0"/>
      <w:marBottom w:val="0"/>
      <w:divBdr>
        <w:top w:val="none" w:sz="0" w:space="0" w:color="auto"/>
        <w:left w:val="none" w:sz="0" w:space="0" w:color="auto"/>
        <w:bottom w:val="none" w:sz="0" w:space="0" w:color="auto"/>
        <w:right w:val="none" w:sz="0" w:space="0" w:color="auto"/>
      </w:divBdr>
    </w:div>
    <w:div w:id="1881093116">
      <w:marLeft w:val="0"/>
      <w:marRight w:val="0"/>
      <w:marTop w:val="0"/>
      <w:marBottom w:val="0"/>
      <w:divBdr>
        <w:top w:val="none" w:sz="0" w:space="0" w:color="auto"/>
        <w:left w:val="none" w:sz="0" w:space="0" w:color="auto"/>
        <w:bottom w:val="none" w:sz="0" w:space="0" w:color="auto"/>
        <w:right w:val="none" w:sz="0" w:space="0" w:color="auto"/>
      </w:divBdr>
      <w:divsChild>
        <w:div w:id="1567833504">
          <w:marLeft w:val="0"/>
          <w:marRight w:val="0"/>
          <w:marTop w:val="0"/>
          <w:marBottom w:val="0"/>
          <w:divBdr>
            <w:top w:val="none" w:sz="0" w:space="0" w:color="auto"/>
            <w:left w:val="none" w:sz="0" w:space="0" w:color="auto"/>
            <w:bottom w:val="none" w:sz="0" w:space="0" w:color="auto"/>
            <w:right w:val="none" w:sz="0" w:space="0" w:color="auto"/>
          </w:divBdr>
        </w:div>
        <w:div w:id="1066075086">
          <w:marLeft w:val="0"/>
          <w:marRight w:val="0"/>
          <w:marTop w:val="0"/>
          <w:marBottom w:val="0"/>
          <w:divBdr>
            <w:top w:val="none" w:sz="0" w:space="0" w:color="auto"/>
            <w:left w:val="none" w:sz="0" w:space="0" w:color="auto"/>
            <w:bottom w:val="none" w:sz="0" w:space="0" w:color="auto"/>
            <w:right w:val="none" w:sz="0" w:space="0" w:color="auto"/>
          </w:divBdr>
        </w:div>
        <w:div w:id="1818306166">
          <w:marLeft w:val="0"/>
          <w:marRight w:val="0"/>
          <w:marTop w:val="0"/>
          <w:marBottom w:val="0"/>
          <w:divBdr>
            <w:top w:val="none" w:sz="0" w:space="0" w:color="auto"/>
            <w:left w:val="none" w:sz="0" w:space="0" w:color="auto"/>
            <w:bottom w:val="none" w:sz="0" w:space="0" w:color="auto"/>
            <w:right w:val="none" w:sz="0" w:space="0" w:color="auto"/>
          </w:divBdr>
        </w:div>
        <w:div w:id="470754336">
          <w:marLeft w:val="0"/>
          <w:marRight w:val="0"/>
          <w:marTop w:val="0"/>
          <w:marBottom w:val="0"/>
          <w:divBdr>
            <w:top w:val="none" w:sz="0" w:space="0" w:color="auto"/>
            <w:left w:val="none" w:sz="0" w:space="0" w:color="auto"/>
            <w:bottom w:val="none" w:sz="0" w:space="0" w:color="auto"/>
            <w:right w:val="none" w:sz="0" w:space="0" w:color="auto"/>
          </w:divBdr>
        </w:div>
      </w:divsChild>
    </w:div>
    <w:div w:id="1885487662">
      <w:marLeft w:val="0"/>
      <w:marRight w:val="0"/>
      <w:marTop w:val="0"/>
      <w:marBottom w:val="0"/>
      <w:divBdr>
        <w:top w:val="none" w:sz="0" w:space="0" w:color="auto"/>
        <w:left w:val="none" w:sz="0" w:space="0" w:color="auto"/>
        <w:bottom w:val="none" w:sz="0" w:space="0" w:color="auto"/>
        <w:right w:val="none" w:sz="0" w:space="0" w:color="auto"/>
      </w:divBdr>
      <w:divsChild>
        <w:div w:id="745566209">
          <w:marLeft w:val="0"/>
          <w:marRight w:val="0"/>
          <w:marTop w:val="0"/>
          <w:marBottom w:val="0"/>
          <w:divBdr>
            <w:top w:val="none" w:sz="0" w:space="0" w:color="auto"/>
            <w:left w:val="none" w:sz="0" w:space="0" w:color="auto"/>
            <w:bottom w:val="none" w:sz="0" w:space="0" w:color="auto"/>
            <w:right w:val="none" w:sz="0" w:space="0" w:color="auto"/>
          </w:divBdr>
        </w:div>
      </w:divsChild>
    </w:div>
    <w:div w:id="1885941402">
      <w:marLeft w:val="0"/>
      <w:marRight w:val="0"/>
      <w:marTop w:val="200"/>
      <w:marBottom w:val="0"/>
      <w:divBdr>
        <w:top w:val="none" w:sz="0" w:space="0" w:color="auto"/>
        <w:left w:val="none" w:sz="0" w:space="0" w:color="auto"/>
        <w:bottom w:val="none" w:sz="0" w:space="0" w:color="auto"/>
        <w:right w:val="none" w:sz="0" w:space="0" w:color="auto"/>
      </w:divBdr>
    </w:div>
    <w:div w:id="1887334228">
      <w:marLeft w:val="0"/>
      <w:marRight w:val="0"/>
      <w:marTop w:val="200"/>
      <w:marBottom w:val="0"/>
      <w:divBdr>
        <w:top w:val="none" w:sz="0" w:space="0" w:color="auto"/>
        <w:left w:val="none" w:sz="0" w:space="0" w:color="auto"/>
        <w:bottom w:val="none" w:sz="0" w:space="0" w:color="auto"/>
        <w:right w:val="none" w:sz="0" w:space="0" w:color="auto"/>
      </w:divBdr>
    </w:div>
    <w:div w:id="1890452067">
      <w:marLeft w:val="0"/>
      <w:marRight w:val="0"/>
      <w:marTop w:val="200"/>
      <w:marBottom w:val="0"/>
      <w:divBdr>
        <w:top w:val="none" w:sz="0" w:space="0" w:color="auto"/>
        <w:left w:val="none" w:sz="0" w:space="0" w:color="auto"/>
        <w:bottom w:val="none" w:sz="0" w:space="0" w:color="auto"/>
        <w:right w:val="none" w:sz="0" w:space="0" w:color="auto"/>
      </w:divBdr>
    </w:div>
    <w:div w:id="1900896075">
      <w:marLeft w:val="0"/>
      <w:marRight w:val="0"/>
      <w:marTop w:val="0"/>
      <w:marBottom w:val="0"/>
      <w:divBdr>
        <w:top w:val="none" w:sz="0" w:space="0" w:color="auto"/>
        <w:left w:val="none" w:sz="0" w:space="0" w:color="auto"/>
        <w:bottom w:val="none" w:sz="0" w:space="0" w:color="auto"/>
        <w:right w:val="none" w:sz="0" w:space="0" w:color="auto"/>
      </w:divBdr>
    </w:div>
    <w:div w:id="1901868988">
      <w:marLeft w:val="0"/>
      <w:marRight w:val="0"/>
      <w:marTop w:val="0"/>
      <w:marBottom w:val="0"/>
      <w:divBdr>
        <w:top w:val="none" w:sz="0" w:space="0" w:color="auto"/>
        <w:left w:val="none" w:sz="0" w:space="0" w:color="auto"/>
        <w:bottom w:val="none" w:sz="0" w:space="0" w:color="auto"/>
        <w:right w:val="none" w:sz="0" w:space="0" w:color="auto"/>
      </w:divBdr>
    </w:div>
    <w:div w:id="1903052772">
      <w:marLeft w:val="0"/>
      <w:marRight w:val="0"/>
      <w:marTop w:val="200"/>
      <w:marBottom w:val="0"/>
      <w:divBdr>
        <w:top w:val="none" w:sz="0" w:space="0" w:color="auto"/>
        <w:left w:val="none" w:sz="0" w:space="0" w:color="auto"/>
        <w:bottom w:val="none" w:sz="0" w:space="0" w:color="auto"/>
        <w:right w:val="none" w:sz="0" w:space="0" w:color="auto"/>
      </w:divBdr>
    </w:div>
    <w:div w:id="1904831597">
      <w:marLeft w:val="0"/>
      <w:marRight w:val="0"/>
      <w:marTop w:val="0"/>
      <w:marBottom w:val="0"/>
      <w:divBdr>
        <w:top w:val="none" w:sz="0" w:space="0" w:color="auto"/>
        <w:left w:val="none" w:sz="0" w:space="0" w:color="auto"/>
        <w:bottom w:val="none" w:sz="0" w:space="0" w:color="auto"/>
        <w:right w:val="none" w:sz="0" w:space="0" w:color="auto"/>
      </w:divBdr>
    </w:div>
    <w:div w:id="1906144698">
      <w:marLeft w:val="0"/>
      <w:marRight w:val="0"/>
      <w:marTop w:val="0"/>
      <w:marBottom w:val="0"/>
      <w:divBdr>
        <w:top w:val="none" w:sz="0" w:space="0" w:color="auto"/>
        <w:left w:val="none" w:sz="0" w:space="0" w:color="auto"/>
        <w:bottom w:val="none" w:sz="0" w:space="0" w:color="auto"/>
        <w:right w:val="none" w:sz="0" w:space="0" w:color="auto"/>
      </w:divBdr>
    </w:div>
    <w:div w:id="1906329961">
      <w:marLeft w:val="0"/>
      <w:marRight w:val="0"/>
      <w:marTop w:val="200"/>
      <w:marBottom w:val="0"/>
      <w:divBdr>
        <w:top w:val="none" w:sz="0" w:space="0" w:color="auto"/>
        <w:left w:val="none" w:sz="0" w:space="0" w:color="auto"/>
        <w:bottom w:val="none" w:sz="0" w:space="0" w:color="auto"/>
        <w:right w:val="none" w:sz="0" w:space="0" w:color="auto"/>
      </w:divBdr>
    </w:div>
    <w:div w:id="1906524476">
      <w:marLeft w:val="0"/>
      <w:marRight w:val="0"/>
      <w:marTop w:val="0"/>
      <w:marBottom w:val="0"/>
      <w:divBdr>
        <w:top w:val="none" w:sz="0" w:space="0" w:color="auto"/>
        <w:left w:val="none" w:sz="0" w:space="0" w:color="auto"/>
        <w:bottom w:val="none" w:sz="0" w:space="0" w:color="auto"/>
        <w:right w:val="none" w:sz="0" w:space="0" w:color="auto"/>
      </w:divBdr>
      <w:divsChild>
        <w:div w:id="2020235033">
          <w:marLeft w:val="0"/>
          <w:marRight w:val="0"/>
          <w:marTop w:val="0"/>
          <w:marBottom w:val="0"/>
          <w:divBdr>
            <w:top w:val="none" w:sz="0" w:space="0" w:color="auto"/>
            <w:left w:val="none" w:sz="0" w:space="0" w:color="auto"/>
            <w:bottom w:val="none" w:sz="0" w:space="0" w:color="auto"/>
            <w:right w:val="none" w:sz="0" w:space="0" w:color="auto"/>
          </w:divBdr>
        </w:div>
      </w:divsChild>
    </w:div>
    <w:div w:id="1909222992">
      <w:marLeft w:val="0"/>
      <w:marRight w:val="0"/>
      <w:marTop w:val="0"/>
      <w:marBottom w:val="0"/>
      <w:divBdr>
        <w:top w:val="none" w:sz="0" w:space="0" w:color="auto"/>
        <w:left w:val="none" w:sz="0" w:space="0" w:color="auto"/>
        <w:bottom w:val="none" w:sz="0" w:space="0" w:color="auto"/>
        <w:right w:val="none" w:sz="0" w:space="0" w:color="auto"/>
      </w:divBdr>
    </w:div>
    <w:div w:id="1915427105">
      <w:marLeft w:val="0"/>
      <w:marRight w:val="0"/>
      <w:marTop w:val="0"/>
      <w:marBottom w:val="0"/>
      <w:divBdr>
        <w:top w:val="none" w:sz="0" w:space="0" w:color="auto"/>
        <w:left w:val="none" w:sz="0" w:space="0" w:color="auto"/>
        <w:bottom w:val="none" w:sz="0" w:space="0" w:color="auto"/>
        <w:right w:val="none" w:sz="0" w:space="0" w:color="auto"/>
      </w:divBdr>
    </w:div>
    <w:div w:id="1916042407">
      <w:marLeft w:val="0"/>
      <w:marRight w:val="0"/>
      <w:marTop w:val="0"/>
      <w:marBottom w:val="0"/>
      <w:divBdr>
        <w:top w:val="none" w:sz="0" w:space="0" w:color="auto"/>
        <w:left w:val="none" w:sz="0" w:space="0" w:color="auto"/>
        <w:bottom w:val="none" w:sz="0" w:space="0" w:color="auto"/>
        <w:right w:val="none" w:sz="0" w:space="0" w:color="auto"/>
      </w:divBdr>
      <w:divsChild>
        <w:div w:id="1627471946">
          <w:marLeft w:val="0"/>
          <w:marRight w:val="0"/>
          <w:marTop w:val="0"/>
          <w:marBottom w:val="0"/>
          <w:divBdr>
            <w:top w:val="none" w:sz="0" w:space="0" w:color="auto"/>
            <w:left w:val="none" w:sz="0" w:space="0" w:color="auto"/>
            <w:bottom w:val="none" w:sz="0" w:space="0" w:color="auto"/>
            <w:right w:val="none" w:sz="0" w:space="0" w:color="auto"/>
          </w:divBdr>
        </w:div>
      </w:divsChild>
    </w:div>
    <w:div w:id="1920022914">
      <w:marLeft w:val="0"/>
      <w:marRight w:val="0"/>
      <w:marTop w:val="0"/>
      <w:marBottom w:val="0"/>
      <w:divBdr>
        <w:top w:val="none" w:sz="0" w:space="0" w:color="auto"/>
        <w:left w:val="none" w:sz="0" w:space="0" w:color="auto"/>
        <w:bottom w:val="none" w:sz="0" w:space="0" w:color="auto"/>
        <w:right w:val="none" w:sz="0" w:space="0" w:color="auto"/>
      </w:divBdr>
      <w:divsChild>
        <w:div w:id="1736195066">
          <w:marLeft w:val="0"/>
          <w:marRight w:val="0"/>
          <w:marTop w:val="0"/>
          <w:marBottom w:val="0"/>
          <w:divBdr>
            <w:top w:val="none" w:sz="0" w:space="0" w:color="auto"/>
            <w:left w:val="none" w:sz="0" w:space="0" w:color="auto"/>
            <w:bottom w:val="none" w:sz="0" w:space="0" w:color="auto"/>
            <w:right w:val="none" w:sz="0" w:space="0" w:color="auto"/>
          </w:divBdr>
        </w:div>
      </w:divsChild>
    </w:div>
    <w:div w:id="1920216082">
      <w:marLeft w:val="0"/>
      <w:marRight w:val="0"/>
      <w:marTop w:val="60"/>
      <w:marBottom w:val="0"/>
      <w:divBdr>
        <w:top w:val="none" w:sz="0" w:space="0" w:color="auto"/>
        <w:left w:val="none" w:sz="0" w:space="0" w:color="auto"/>
        <w:bottom w:val="none" w:sz="0" w:space="0" w:color="auto"/>
        <w:right w:val="none" w:sz="0" w:space="0" w:color="auto"/>
      </w:divBdr>
    </w:div>
    <w:div w:id="1923055554">
      <w:marLeft w:val="0"/>
      <w:marRight w:val="0"/>
      <w:marTop w:val="200"/>
      <w:marBottom w:val="0"/>
      <w:divBdr>
        <w:top w:val="none" w:sz="0" w:space="0" w:color="auto"/>
        <w:left w:val="none" w:sz="0" w:space="0" w:color="auto"/>
        <w:bottom w:val="none" w:sz="0" w:space="0" w:color="auto"/>
        <w:right w:val="none" w:sz="0" w:space="0" w:color="auto"/>
      </w:divBdr>
    </w:div>
    <w:div w:id="1924728125">
      <w:marLeft w:val="0"/>
      <w:marRight w:val="0"/>
      <w:marTop w:val="200"/>
      <w:marBottom w:val="0"/>
      <w:divBdr>
        <w:top w:val="none" w:sz="0" w:space="0" w:color="auto"/>
        <w:left w:val="none" w:sz="0" w:space="0" w:color="auto"/>
        <w:bottom w:val="none" w:sz="0" w:space="0" w:color="auto"/>
        <w:right w:val="none" w:sz="0" w:space="0" w:color="auto"/>
      </w:divBdr>
    </w:div>
    <w:div w:id="1926760162">
      <w:marLeft w:val="0"/>
      <w:marRight w:val="0"/>
      <w:marTop w:val="0"/>
      <w:marBottom w:val="0"/>
      <w:divBdr>
        <w:top w:val="none" w:sz="0" w:space="0" w:color="auto"/>
        <w:left w:val="none" w:sz="0" w:space="0" w:color="auto"/>
        <w:bottom w:val="none" w:sz="0" w:space="0" w:color="auto"/>
        <w:right w:val="none" w:sz="0" w:space="0" w:color="auto"/>
      </w:divBdr>
      <w:divsChild>
        <w:div w:id="324013820">
          <w:marLeft w:val="0"/>
          <w:marRight w:val="0"/>
          <w:marTop w:val="0"/>
          <w:marBottom w:val="0"/>
          <w:divBdr>
            <w:top w:val="none" w:sz="0" w:space="0" w:color="auto"/>
            <w:left w:val="none" w:sz="0" w:space="0" w:color="auto"/>
            <w:bottom w:val="none" w:sz="0" w:space="0" w:color="auto"/>
            <w:right w:val="none" w:sz="0" w:space="0" w:color="auto"/>
          </w:divBdr>
        </w:div>
        <w:div w:id="1577008543">
          <w:marLeft w:val="0"/>
          <w:marRight w:val="0"/>
          <w:marTop w:val="0"/>
          <w:marBottom w:val="0"/>
          <w:divBdr>
            <w:top w:val="none" w:sz="0" w:space="0" w:color="auto"/>
            <w:left w:val="none" w:sz="0" w:space="0" w:color="auto"/>
            <w:bottom w:val="none" w:sz="0" w:space="0" w:color="auto"/>
            <w:right w:val="none" w:sz="0" w:space="0" w:color="auto"/>
          </w:divBdr>
        </w:div>
        <w:div w:id="576549070">
          <w:marLeft w:val="0"/>
          <w:marRight w:val="0"/>
          <w:marTop w:val="0"/>
          <w:marBottom w:val="0"/>
          <w:divBdr>
            <w:top w:val="none" w:sz="0" w:space="0" w:color="auto"/>
            <w:left w:val="none" w:sz="0" w:space="0" w:color="auto"/>
            <w:bottom w:val="none" w:sz="0" w:space="0" w:color="auto"/>
            <w:right w:val="none" w:sz="0" w:space="0" w:color="auto"/>
          </w:divBdr>
        </w:div>
        <w:div w:id="1047679688">
          <w:marLeft w:val="0"/>
          <w:marRight w:val="0"/>
          <w:marTop w:val="0"/>
          <w:marBottom w:val="0"/>
          <w:divBdr>
            <w:top w:val="none" w:sz="0" w:space="0" w:color="auto"/>
            <w:left w:val="none" w:sz="0" w:space="0" w:color="auto"/>
            <w:bottom w:val="none" w:sz="0" w:space="0" w:color="auto"/>
            <w:right w:val="none" w:sz="0" w:space="0" w:color="auto"/>
          </w:divBdr>
        </w:div>
      </w:divsChild>
    </w:div>
    <w:div w:id="1927372986">
      <w:marLeft w:val="0"/>
      <w:marRight w:val="0"/>
      <w:marTop w:val="0"/>
      <w:marBottom w:val="0"/>
      <w:divBdr>
        <w:top w:val="none" w:sz="0" w:space="0" w:color="auto"/>
        <w:left w:val="none" w:sz="0" w:space="0" w:color="auto"/>
        <w:bottom w:val="none" w:sz="0" w:space="0" w:color="auto"/>
        <w:right w:val="none" w:sz="0" w:space="0" w:color="auto"/>
      </w:divBdr>
      <w:divsChild>
        <w:div w:id="789782183">
          <w:marLeft w:val="0"/>
          <w:marRight w:val="0"/>
          <w:marTop w:val="0"/>
          <w:marBottom w:val="0"/>
          <w:divBdr>
            <w:top w:val="none" w:sz="0" w:space="0" w:color="auto"/>
            <w:left w:val="none" w:sz="0" w:space="0" w:color="auto"/>
            <w:bottom w:val="none" w:sz="0" w:space="0" w:color="auto"/>
            <w:right w:val="none" w:sz="0" w:space="0" w:color="auto"/>
          </w:divBdr>
        </w:div>
      </w:divsChild>
    </w:div>
    <w:div w:id="1927957242">
      <w:marLeft w:val="0"/>
      <w:marRight w:val="0"/>
      <w:marTop w:val="0"/>
      <w:marBottom w:val="0"/>
      <w:divBdr>
        <w:top w:val="none" w:sz="0" w:space="0" w:color="auto"/>
        <w:left w:val="none" w:sz="0" w:space="0" w:color="auto"/>
        <w:bottom w:val="none" w:sz="0" w:space="0" w:color="auto"/>
        <w:right w:val="none" w:sz="0" w:space="0" w:color="auto"/>
      </w:divBdr>
    </w:div>
    <w:div w:id="1932471495">
      <w:marLeft w:val="0"/>
      <w:marRight w:val="0"/>
      <w:marTop w:val="0"/>
      <w:marBottom w:val="0"/>
      <w:divBdr>
        <w:top w:val="none" w:sz="0" w:space="0" w:color="auto"/>
        <w:left w:val="none" w:sz="0" w:space="0" w:color="auto"/>
        <w:bottom w:val="none" w:sz="0" w:space="0" w:color="auto"/>
        <w:right w:val="none" w:sz="0" w:space="0" w:color="auto"/>
      </w:divBdr>
    </w:div>
    <w:div w:id="1934318875">
      <w:marLeft w:val="0"/>
      <w:marRight w:val="0"/>
      <w:marTop w:val="200"/>
      <w:marBottom w:val="0"/>
      <w:divBdr>
        <w:top w:val="none" w:sz="0" w:space="0" w:color="auto"/>
        <w:left w:val="none" w:sz="0" w:space="0" w:color="auto"/>
        <w:bottom w:val="none" w:sz="0" w:space="0" w:color="auto"/>
        <w:right w:val="none" w:sz="0" w:space="0" w:color="auto"/>
      </w:divBdr>
    </w:div>
    <w:div w:id="1934972090">
      <w:marLeft w:val="0"/>
      <w:marRight w:val="0"/>
      <w:marTop w:val="0"/>
      <w:marBottom w:val="0"/>
      <w:divBdr>
        <w:top w:val="none" w:sz="0" w:space="0" w:color="auto"/>
        <w:left w:val="none" w:sz="0" w:space="0" w:color="auto"/>
        <w:bottom w:val="none" w:sz="0" w:space="0" w:color="auto"/>
        <w:right w:val="none" w:sz="0" w:space="0" w:color="auto"/>
      </w:divBdr>
    </w:div>
    <w:div w:id="1948391674">
      <w:marLeft w:val="0"/>
      <w:marRight w:val="0"/>
      <w:marTop w:val="100"/>
      <w:marBottom w:val="0"/>
      <w:divBdr>
        <w:top w:val="none" w:sz="0" w:space="0" w:color="auto"/>
        <w:left w:val="none" w:sz="0" w:space="0" w:color="auto"/>
        <w:bottom w:val="none" w:sz="0" w:space="0" w:color="auto"/>
        <w:right w:val="none" w:sz="0" w:space="0" w:color="auto"/>
      </w:divBdr>
    </w:div>
    <w:div w:id="1949045882">
      <w:marLeft w:val="0"/>
      <w:marRight w:val="0"/>
      <w:marTop w:val="0"/>
      <w:marBottom w:val="0"/>
      <w:divBdr>
        <w:top w:val="none" w:sz="0" w:space="0" w:color="auto"/>
        <w:left w:val="none" w:sz="0" w:space="0" w:color="auto"/>
        <w:bottom w:val="none" w:sz="0" w:space="0" w:color="auto"/>
        <w:right w:val="none" w:sz="0" w:space="0" w:color="auto"/>
      </w:divBdr>
      <w:divsChild>
        <w:div w:id="1291786114">
          <w:marLeft w:val="0"/>
          <w:marRight w:val="0"/>
          <w:marTop w:val="0"/>
          <w:marBottom w:val="0"/>
          <w:divBdr>
            <w:top w:val="none" w:sz="0" w:space="0" w:color="auto"/>
            <w:left w:val="none" w:sz="0" w:space="0" w:color="auto"/>
            <w:bottom w:val="none" w:sz="0" w:space="0" w:color="auto"/>
            <w:right w:val="none" w:sz="0" w:space="0" w:color="auto"/>
          </w:divBdr>
        </w:div>
      </w:divsChild>
    </w:div>
    <w:div w:id="1949194447">
      <w:marLeft w:val="0"/>
      <w:marRight w:val="0"/>
      <w:marTop w:val="0"/>
      <w:marBottom w:val="200"/>
      <w:divBdr>
        <w:top w:val="none" w:sz="0" w:space="0" w:color="auto"/>
        <w:left w:val="none" w:sz="0" w:space="0" w:color="auto"/>
        <w:bottom w:val="none" w:sz="0" w:space="0" w:color="auto"/>
        <w:right w:val="none" w:sz="0" w:space="0" w:color="auto"/>
      </w:divBdr>
    </w:div>
    <w:div w:id="1950431863">
      <w:marLeft w:val="0"/>
      <w:marRight w:val="0"/>
      <w:marTop w:val="0"/>
      <w:marBottom w:val="0"/>
      <w:divBdr>
        <w:top w:val="none" w:sz="0" w:space="0" w:color="auto"/>
        <w:left w:val="none" w:sz="0" w:space="0" w:color="auto"/>
        <w:bottom w:val="none" w:sz="0" w:space="0" w:color="auto"/>
        <w:right w:val="none" w:sz="0" w:space="0" w:color="auto"/>
      </w:divBdr>
      <w:divsChild>
        <w:div w:id="1048529658">
          <w:marLeft w:val="0"/>
          <w:marRight w:val="0"/>
          <w:marTop w:val="0"/>
          <w:marBottom w:val="0"/>
          <w:divBdr>
            <w:top w:val="none" w:sz="0" w:space="0" w:color="auto"/>
            <w:left w:val="none" w:sz="0" w:space="0" w:color="auto"/>
            <w:bottom w:val="none" w:sz="0" w:space="0" w:color="auto"/>
            <w:right w:val="none" w:sz="0" w:space="0" w:color="auto"/>
          </w:divBdr>
        </w:div>
      </w:divsChild>
    </w:div>
    <w:div w:id="1950620631">
      <w:marLeft w:val="0"/>
      <w:marRight w:val="0"/>
      <w:marTop w:val="0"/>
      <w:marBottom w:val="0"/>
      <w:divBdr>
        <w:top w:val="none" w:sz="0" w:space="0" w:color="auto"/>
        <w:left w:val="none" w:sz="0" w:space="0" w:color="auto"/>
        <w:bottom w:val="none" w:sz="0" w:space="0" w:color="auto"/>
        <w:right w:val="none" w:sz="0" w:space="0" w:color="auto"/>
      </w:divBdr>
      <w:divsChild>
        <w:div w:id="928655379">
          <w:marLeft w:val="0"/>
          <w:marRight w:val="0"/>
          <w:marTop w:val="0"/>
          <w:marBottom w:val="0"/>
          <w:divBdr>
            <w:top w:val="none" w:sz="0" w:space="0" w:color="auto"/>
            <w:left w:val="none" w:sz="0" w:space="0" w:color="auto"/>
            <w:bottom w:val="none" w:sz="0" w:space="0" w:color="auto"/>
            <w:right w:val="none" w:sz="0" w:space="0" w:color="auto"/>
          </w:divBdr>
        </w:div>
      </w:divsChild>
    </w:div>
    <w:div w:id="1952083593">
      <w:marLeft w:val="0"/>
      <w:marRight w:val="0"/>
      <w:marTop w:val="200"/>
      <w:marBottom w:val="0"/>
      <w:divBdr>
        <w:top w:val="none" w:sz="0" w:space="0" w:color="auto"/>
        <w:left w:val="none" w:sz="0" w:space="0" w:color="auto"/>
        <w:bottom w:val="none" w:sz="0" w:space="0" w:color="auto"/>
        <w:right w:val="none" w:sz="0" w:space="0" w:color="auto"/>
      </w:divBdr>
    </w:div>
    <w:div w:id="1955554449">
      <w:marLeft w:val="0"/>
      <w:marRight w:val="0"/>
      <w:marTop w:val="0"/>
      <w:marBottom w:val="0"/>
      <w:divBdr>
        <w:top w:val="none" w:sz="0" w:space="0" w:color="auto"/>
        <w:left w:val="none" w:sz="0" w:space="0" w:color="auto"/>
        <w:bottom w:val="none" w:sz="0" w:space="0" w:color="auto"/>
        <w:right w:val="none" w:sz="0" w:space="0" w:color="auto"/>
      </w:divBdr>
      <w:divsChild>
        <w:div w:id="1868525996">
          <w:marLeft w:val="0"/>
          <w:marRight w:val="0"/>
          <w:marTop w:val="0"/>
          <w:marBottom w:val="0"/>
          <w:divBdr>
            <w:top w:val="none" w:sz="0" w:space="0" w:color="auto"/>
            <w:left w:val="none" w:sz="0" w:space="0" w:color="auto"/>
            <w:bottom w:val="none" w:sz="0" w:space="0" w:color="auto"/>
            <w:right w:val="none" w:sz="0" w:space="0" w:color="auto"/>
          </w:divBdr>
        </w:div>
      </w:divsChild>
    </w:div>
    <w:div w:id="1956672831">
      <w:marLeft w:val="0"/>
      <w:marRight w:val="0"/>
      <w:marTop w:val="200"/>
      <w:marBottom w:val="0"/>
      <w:divBdr>
        <w:top w:val="none" w:sz="0" w:space="0" w:color="auto"/>
        <w:left w:val="none" w:sz="0" w:space="0" w:color="auto"/>
        <w:bottom w:val="none" w:sz="0" w:space="0" w:color="auto"/>
        <w:right w:val="none" w:sz="0" w:space="0" w:color="auto"/>
      </w:divBdr>
    </w:div>
    <w:div w:id="1957637098">
      <w:marLeft w:val="0"/>
      <w:marRight w:val="0"/>
      <w:marTop w:val="0"/>
      <w:marBottom w:val="0"/>
      <w:divBdr>
        <w:top w:val="none" w:sz="0" w:space="0" w:color="auto"/>
        <w:left w:val="none" w:sz="0" w:space="0" w:color="auto"/>
        <w:bottom w:val="none" w:sz="0" w:space="0" w:color="auto"/>
        <w:right w:val="none" w:sz="0" w:space="0" w:color="auto"/>
      </w:divBdr>
      <w:divsChild>
        <w:div w:id="1024331883">
          <w:marLeft w:val="0"/>
          <w:marRight w:val="0"/>
          <w:marTop w:val="0"/>
          <w:marBottom w:val="0"/>
          <w:divBdr>
            <w:top w:val="none" w:sz="0" w:space="0" w:color="auto"/>
            <w:left w:val="none" w:sz="0" w:space="0" w:color="auto"/>
            <w:bottom w:val="none" w:sz="0" w:space="0" w:color="auto"/>
            <w:right w:val="none" w:sz="0" w:space="0" w:color="auto"/>
          </w:divBdr>
        </w:div>
      </w:divsChild>
    </w:div>
    <w:div w:id="1958173126">
      <w:marLeft w:val="0"/>
      <w:marRight w:val="0"/>
      <w:marTop w:val="100"/>
      <w:marBottom w:val="0"/>
      <w:divBdr>
        <w:top w:val="none" w:sz="0" w:space="0" w:color="auto"/>
        <w:left w:val="none" w:sz="0" w:space="0" w:color="auto"/>
        <w:bottom w:val="none" w:sz="0" w:space="0" w:color="auto"/>
        <w:right w:val="none" w:sz="0" w:space="0" w:color="auto"/>
      </w:divBdr>
      <w:divsChild>
        <w:div w:id="1996258702">
          <w:marLeft w:val="0"/>
          <w:marRight w:val="0"/>
          <w:marTop w:val="0"/>
          <w:marBottom w:val="0"/>
          <w:divBdr>
            <w:top w:val="none" w:sz="0" w:space="0" w:color="auto"/>
            <w:left w:val="none" w:sz="0" w:space="0" w:color="auto"/>
            <w:bottom w:val="none" w:sz="0" w:space="0" w:color="auto"/>
            <w:right w:val="none" w:sz="0" w:space="0" w:color="auto"/>
          </w:divBdr>
        </w:div>
        <w:div w:id="1374884869">
          <w:marLeft w:val="0"/>
          <w:marRight w:val="0"/>
          <w:marTop w:val="0"/>
          <w:marBottom w:val="0"/>
          <w:divBdr>
            <w:top w:val="none" w:sz="0" w:space="0" w:color="auto"/>
            <w:left w:val="none" w:sz="0" w:space="0" w:color="auto"/>
            <w:bottom w:val="none" w:sz="0" w:space="0" w:color="auto"/>
            <w:right w:val="none" w:sz="0" w:space="0" w:color="auto"/>
          </w:divBdr>
        </w:div>
        <w:div w:id="446389807">
          <w:marLeft w:val="0"/>
          <w:marRight w:val="0"/>
          <w:marTop w:val="0"/>
          <w:marBottom w:val="0"/>
          <w:divBdr>
            <w:top w:val="none" w:sz="0" w:space="0" w:color="auto"/>
            <w:left w:val="none" w:sz="0" w:space="0" w:color="auto"/>
            <w:bottom w:val="none" w:sz="0" w:space="0" w:color="auto"/>
            <w:right w:val="none" w:sz="0" w:space="0" w:color="auto"/>
          </w:divBdr>
        </w:div>
      </w:divsChild>
    </w:div>
    <w:div w:id="1960642822">
      <w:marLeft w:val="0"/>
      <w:marRight w:val="0"/>
      <w:marTop w:val="0"/>
      <w:marBottom w:val="0"/>
      <w:divBdr>
        <w:top w:val="none" w:sz="0" w:space="0" w:color="auto"/>
        <w:left w:val="none" w:sz="0" w:space="0" w:color="auto"/>
        <w:bottom w:val="none" w:sz="0" w:space="0" w:color="auto"/>
        <w:right w:val="none" w:sz="0" w:space="0" w:color="auto"/>
      </w:divBdr>
    </w:div>
    <w:div w:id="1961571410">
      <w:marLeft w:val="0"/>
      <w:marRight w:val="0"/>
      <w:marTop w:val="0"/>
      <w:marBottom w:val="0"/>
      <w:divBdr>
        <w:top w:val="none" w:sz="0" w:space="0" w:color="auto"/>
        <w:left w:val="none" w:sz="0" w:space="0" w:color="auto"/>
        <w:bottom w:val="none" w:sz="0" w:space="0" w:color="auto"/>
        <w:right w:val="none" w:sz="0" w:space="0" w:color="auto"/>
      </w:divBdr>
      <w:divsChild>
        <w:div w:id="467552771">
          <w:marLeft w:val="0"/>
          <w:marRight w:val="0"/>
          <w:marTop w:val="0"/>
          <w:marBottom w:val="0"/>
          <w:divBdr>
            <w:top w:val="none" w:sz="0" w:space="0" w:color="auto"/>
            <w:left w:val="none" w:sz="0" w:space="0" w:color="auto"/>
            <w:bottom w:val="none" w:sz="0" w:space="0" w:color="auto"/>
            <w:right w:val="none" w:sz="0" w:space="0" w:color="auto"/>
          </w:divBdr>
        </w:div>
      </w:divsChild>
    </w:div>
    <w:div w:id="1964311085">
      <w:marLeft w:val="0"/>
      <w:marRight w:val="0"/>
      <w:marTop w:val="0"/>
      <w:marBottom w:val="0"/>
      <w:divBdr>
        <w:top w:val="none" w:sz="0" w:space="0" w:color="auto"/>
        <w:left w:val="none" w:sz="0" w:space="0" w:color="auto"/>
        <w:bottom w:val="none" w:sz="0" w:space="0" w:color="auto"/>
        <w:right w:val="none" w:sz="0" w:space="0" w:color="auto"/>
      </w:divBdr>
      <w:divsChild>
        <w:div w:id="485785161">
          <w:marLeft w:val="0"/>
          <w:marRight w:val="0"/>
          <w:marTop w:val="0"/>
          <w:marBottom w:val="0"/>
          <w:divBdr>
            <w:top w:val="none" w:sz="0" w:space="0" w:color="auto"/>
            <w:left w:val="none" w:sz="0" w:space="0" w:color="auto"/>
            <w:bottom w:val="none" w:sz="0" w:space="0" w:color="auto"/>
            <w:right w:val="none" w:sz="0" w:space="0" w:color="auto"/>
          </w:divBdr>
        </w:div>
      </w:divsChild>
    </w:div>
    <w:div w:id="1968008065">
      <w:marLeft w:val="0"/>
      <w:marRight w:val="0"/>
      <w:marTop w:val="0"/>
      <w:marBottom w:val="0"/>
      <w:divBdr>
        <w:top w:val="none" w:sz="0" w:space="0" w:color="auto"/>
        <w:left w:val="none" w:sz="0" w:space="0" w:color="auto"/>
        <w:bottom w:val="none" w:sz="0" w:space="0" w:color="auto"/>
        <w:right w:val="none" w:sz="0" w:space="0" w:color="auto"/>
      </w:divBdr>
    </w:div>
    <w:div w:id="1969434644">
      <w:marLeft w:val="0"/>
      <w:marRight w:val="0"/>
      <w:marTop w:val="0"/>
      <w:marBottom w:val="0"/>
      <w:divBdr>
        <w:top w:val="none" w:sz="0" w:space="0" w:color="auto"/>
        <w:left w:val="none" w:sz="0" w:space="0" w:color="auto"/>
        <w:bottom w:val="none" w:sz="0" w:space="0" w:color="auto"/>
        <w:right w:val="none" w:sz="0" w:space="0" w:color="auto"/>
      </w:divBdr>
      <w:divsChild>
        <w:div w:id="414978185">
          <w:marLeft w:val="0"/>
          <w:marRight w:val="0"/>
          <w:marTop w:val="0"/>
          <w:marBottom w:val="0"/>
          <w:divBdr>
            <w:top w:val="none" w:sz="0" w:space="0" w:color="auto"/>
            <w:left w:val="none" w:sz="0" w:space="0" w:color="auto"/>
            <w:bottom w:val="none" w:sz="0" w:space="0" w:color="auto"/>
            <w:right w:val="none" w:sz="0" w:space="0" w:color="auto"/>
          </w:divBdr>
        </w:div>
      </w:divsChild>
    </w:div>
    <w:div w:id="1970237996">
      <w:marLeft w:val="0"/>
      <w:marRight w:val="0"/>
      <w:marTop w:val="0"/>
      <w:marBottom w:val="0"/>
      <w:divBdr>
        <w:top w:val="none" w:sz="0" w:space="0" w:color="auto"/>
        <w:left w:val="none" w:sz="0" w:space="0" w:color="auto"/>
        <w:bottom w:val="none" w:sz="0" w:space="0" w:color="auto"/>
        <w:right w:val="none" w:sz="0" w:space="0" w:color="auto"/>
      </w:divBdr>
    </w:div>
    <w:div w:id="1971747286">
      <w:marLeft w:val="0"/>
      <w:marRight w:val="0"/>
      <w:marTop w:val="100"/>
      <w:marBottom w:val="0"/>
      <w:divBdr>
        <w:top w:val="none" w:sz="0" w:space="0" w:color="auto"/>
        <w:left w:val="none" w:sz="0" w:space="0" w:color="auto"/>
        <w:bottom w:val="none" w:sz="0" w:space="0" w:color="auto"/>
        <w:right w:val="none" w:sz="0" w:space="0" w:color="auto"/>
      </w:divBdr>
    </w:div>
    <w:div w:id="1974014679">
      <w:marLeft w:val="0"/>
      <w:marRight w:val="0"/>
      <w:marTop w:val="200"/>
      <w:marBottom w:val="0"/>
      <w:divBdr>
        <w:top w:val="none" w:sz="0" w:space="0" w:color="auto"/>
        <w:left w:val="none" w:sz="0" w:space="0" w:color="auto"/>
        <w:bottom w:val="none" w:sz="0" w:space="0" w:color="auto"/>
        <w:right w:val="none" w:sz="0" w:space="0" w:color="auto"/>
      </w:divBdr>
    </w:div>
    <w:div w:id="1974014930">
      <w:marLeft w:val="0"/>
      <w:marRight w:val="0"/>
      <w:marTop w:val="100"/>
      <w:marBottom w:val="0"/>
      <w:divBdr>
        <w:top w:val="none" w:sz="0" w:space="0" w:color="auto"/>
        <w:left w:val="none" w:sz="0" w:space="0" w:color="auto"/>
        <w:bottom w:val="none" w:sz="0" w:space="0" w:color="auto"/>
        <w:right w:val="none" w:sz="0" w:space="0" w:color="auto"/>
      </w:divBdr>
    </w:div>
    <w:div w:id="1977446769">
      <w:marLeft w:val="0"/>
      <w:marRight w:val="0"/>
      <w:marTop w:val="0"/>
      <w:marBottom w:val="0"/>
      <w:divBdr>
        <w:top w:val="none" w:sz="0" w:space="0" w:color="auto"/>
        <w:left w:val="none" w:sz="0" w:space="0" w:color="auto"/>
        <w:bottom w:val="none" w:sz="0" w:space="0" w:color="auto"/>
        <w:right w:val="none" w:sz="0" w:space="0" w:color="auto"/>
      </w:divBdr>
      <w:divsChild>
        <w:div w:id="1191140989">
          <w:marLeft w:val="0"/>
          <w:marRight w:val="0"/>
          <w:marTop w:val="0"/>
          <w:marBottom w:val="0"/>
          <w:divBdr>
            <w:top w:val="none" w:sz="0" w:space="0" w:color="auto"/>
            <w:left w:val="none" w:sz="0" w:space="0" w:color="auto"/>
            <w:bottom w:val="none" w:sz="0" w:space="0" w:color="auto"/>
            <w:right w:val="none" w:sz="0" w:space="0" w:color="auto"/>
          </w:divBdr>
        </w:div>
      </w:divsChild>
    </w:div>
    <w:div w:id="1978105706">
      <w:marLeft w:val="0"/>
      <w:marRight w:val="0"/>
      <w:marTop w:val="0"/>
      <w:marBottom w:val="0"/>
      <w:divBdr>
        <w:top w:val="none" w:sz="0" w:space="0" w:color="auto"/>
        <w:left w:val="none" w:sz="0" w:space="0" w:color="auto"/>
        <w:bottom w:val="none" w:sz="0" w:space="0" w:color="auto"/>
        <w:right w:val="none" w:sz="0" w:space="0" w:color="auto"/>
      </w:divBdr>
      <w:divsChild>
        <w:div w:id="393700832">
          <w:marLeft w:val="0"/>
          <w:marRight w:val="0"/>
          <w:marTop w:val="0"/>
          <w:marBottom w:val="0"/>
          <w:divBdr>
            <w:top w:val="none" w:sz="0" w:space="0" w:color="auto"/>
            <w:left w:val="none" w:sz="0" w:space="0" w:color="auto"/>
            <w:bottom w:val="none" w:sz="0" w:space="0" w:color="auto"/>
            <w:right w:val="none" w:sz="0" w:space="0" w:color="auto"/>
          </w:divBdr>
        </w:div>
      </w:divsChild>
    </w:div>
    <w:div w:id="1980303143">
      <w:marLeft w:val="0"/>
      <w:marRight w:val="0"/>
      <w:marTop w:val="0"/>
      <w:marBottom w:val="0"/>
      <w:divBdr>
        <w:top w:val="none" w:sz="0" w:space="0" w:color="auto"/>
        <w:left w:val="none" w:sz="0" w:space="0" w:color="auto"/>
        <w:bottom w:val="none" w:sz="0" w:space="0" w:color="auto"/>
        <w:right w:val="none" w:sz="0" w:space="0" w:color="auto"/>
      </w:divBdr>
      <w:divsChild>
        <w:div w:id="967784502">
          <w:marLeft w:val="0"/>
          <w:marRight w:val="0"/>
          <w:marTop w:val="0"/>
          <w:marBottom w:val="0"/>
          <w:divBdr>
            <w:top w:val="none" w:sz="0" w:space="0" w:color="auto"/>
            <w:left w:val="none" w:sz="0" w:space="0" w:color="auto"/>
            <w:bottom w:val="none" w:sz="0" w:space="0" w:color="auto"/>
            <w:right w:val="none" w:sz="0" w:space="0" w:color="auto"/>
          </w:divBdr>
        </w:div>
        <w:div w:id="190805911">
          <w:marLeft w:val="0"/>
          <w:marRight w:val="0"/>
          <w:marTop w:val="0"/>
          <w:marBottom w:val="0"/>
          <w:divBdr>
            <w:top w:val="none" w:sz="0" w:space="0" w:color="auto"/>
            <w:left w:val="none" w:sz="0" w:space="0" w:color="auto"/>
            <w:bottom w:val="none" w:sz="0" w:space="0" w:color="auto"/>
            <w:right w:val="none" w:sz="0" w:space="0" w:color="auto"/>
          </w:divBdr>
        </w:div>
        <w:div w:id="216014549">
          <w:marLeft w:val="0"/>
          <w:marRight w:val="0"/>
          <w:marTop w:val="0"/>
          <w:marBottom w:val="0"/>
          <w:divBdr>
            <w:top w:val="none" w:sz="0" w:space="0" w:color="auto"/>
            <w:left w:val="none" w:sz="0" w:space="0" w:color="auto"/>
            <w:bottom w:val="none" w:sz="0" w:space="0" w:color="auto"/>
            <w:right w:val="none" w:sz="0" w:space="0" w:color="auto"/>
          </w:divBdr>
        </w:div>
        <w:div w:id="1485854028">
          <w:marLeft w:val="0"/>
          <w:marRight w:val="0"/>
          <w:marTop w:val="0"/>
          <w:marBottom w:val="0"/>
          <w:divBdr>
            <w:top w:val="none" w:sz="0" w:space="0" w:color="auto"/>
            <w:left w:val="none" w:sz="0" w:space="0" w:color="auto"/>
            <w:bottom w:val="none" w:sz="0" w:space="0" w:color="auto"/>
            <w:right w:val="none" w:sz="0" w:space="0" w:color="auto"/>
          </w:divBdr>
        </w:div>
      </w:divsChild>
    </w:div>
    <w:div w:id="1984699027">
      <w:marLeft w:val="0"/>
      <w:marRight w:val="0"/>
      <w:marTop w:val="200"/>
      <w:marBottom w:val="0"/>
      <w:divBdr>
        <w:top w:val="none" w:sz="0" w:space="0" w:color="auto"/>
        <w:left w:val="none" w:sz="0" w:space="0" w:color="auto"/>
        <w:bottom w:val="none" w:sz="0" w:space="0" w:color="auto"/>
        <w:right w:val="none" w:sz="0" w:space="0" w:color="auto"/>
      </w:divBdr>
    </w:div>
    <w:div w:id="1985885230">
      <w:marLeft w:val="0"/>
      <w:marRight w:val="0"/>
      <w:marTop w:val="200"/>
      <w:marBottom w:val="0"/>
      <w:divBdr>
        <w:top w:val="none" w:sz="0" w:space="0" w:color="auto"/>
        <w:left w:val="none" w:sz="0" w:space="0" w:color="auto"/>
        <w:bottom w:val="none" w:sz="0" w:space="0" w:color="auto"/>
        <w:right w:val="none" w:sz="0" w:space="0" w:color="auto"/>
      </w:divBdr>
    </w:div>
    <w:div w:id="1986083518">
      <w:marLeft w:val="0"/>
      <w:marRight w:val="0"/>
      <w:marTop w:val="0"/>
      <w:marBottom w:val="0"/>
      <w:divBdr>
        <w:top w:val="none" w:sz="0" w:space="0" w:color="auto"/>
        <w:left w:val="none" w:sz="0" w:space="0" w:color="auto"/>
        <w:bottom w:val="none" w:sz="0" w:space="0" w:color="auto"/>
        <w:right w:val="none" w:sz="0" w:space="0" w:color="auto"/>
      </w:divBdr>
      <w:divsChild>
        <w:div w:id="419719405">
          <w:marLeft w:val="0"/>
          <w:marRight w:val="0"/>
          <w:marTop w:val="0"/>
          <w:marBottom w:val="0"/>
          <w:divBdr>
            <w:top w:val="none" w:sz="0" w:space="0" w:color="auto"/>
            <w:left w:val="none" w:sz="0" w:space="0" w:color="auto"/>
            <w:bottom w:val="none" w:sz="0" w:space="0" w:color="auto"/>
            <w:right w:val="none" w:sz="0" w:space="0" w:color="auto"/>
          </w:divBdr>
        </w:div>
        <w:div w:id="1975061491">
          <w:marLeft w:val="0"/>
          <w:marRight w:val="0"/>
          <w:marTop w:val="0"/>
          <w:marBottom w:val="0"/>
          <w:divBdr>
            <w:top w:val="none" w:sz="0" w:space="0" w:color="auto"/>
            <w:left w:val="none" w:sz="0" w:space="0" w:color="auto"/>
            <w:bottom w:val="none" w:sz="0" w:space="0" w:color="auto"/>
            <w:right w:val="none" w:sz="0" w:space="0" w:color="auto"/>
          </w:divBdr>
        </w:div>
        <w:div w:id="49303970">
          <w:marLeft w:val="0"/>
          <w:marRight w:val="0"/>
          <w:marTop w:val="0"/>
          <w:marBottom w:val="0"/>
          <w:divBdr>
            <w:top w:val="none" w:sz="0" w:space="0" w:color="auto"/>
            <w:left w:val="none" w:sz="0" w:space="0" w:color="auto"/>
            <w:bottom w:val="none" w:sz="0" w:space="0" w:color="auto"/>
            <w:right w:val="none" w:sz="0" w:space="0" w:color="auto"/>
          </w:divBdr>
        </w:div>
        <w:div w:id="1210800327">
          <w:marLeft w:val="0"/>
          <w:marRight w:val="0"/>
          <w:marTop w:val="0"/>
          <w:marBottom w:val="0"/>
          <w:divBdr>
            <w:top w:val="none" w:sz="0" w:space="0" w:color="auto"/>
            <w:left w:val="none" w:sz="0" w:space="0" w:color="auto"/>
            <w:bottom w:val="none" w:sz="0" w:space="0" w:color="auto"/>
            <w:right w:val="none" w:sz="0" w:space="0" w:color="auto"/>
          </w:divBdr>
        </w:div>
      </w:divsChild>
    </w:div>
    <w:div w:id="1986352306">
      <w:marLeft w:val="0"/>
      <w:marRight w:val="0"/>
      <w:marTop w:val="200"/>
      <w:marBottom w:val="0"/>
      <w:divBdr>
        <w:top w:val="none" w:sz="0" w:space="0" w:color="auto"/>
        <w:left w:val="none" w:sz="0" w:space="0" w:color="auto"/>
        <w:bottom w:val="none" w:sz="0" w:space="0" w:color="auto"/>
        <w:right w:val="none" w:sz="0" w:space="0" w:color="auto"/>
      </w:divBdr>
    </w:div>
    <w:div w:id="1987319479">
      <w:marLeft w:val="0"/>
      <w:marRight w:val="0"/>
      <w:marTop w:val="0"/>
      <w:marBottom w:val="0"/>
      <w:divBdr>
        <w:top w:val="none" w:sz="0" w:space="0" w:color="auto"/>
        <w:left w:val="none" w:sz="0" w:space="0" w:color="auto"/>
        <w:bottom w:val="none" w:sz="0" w:space="0" w:color="auto"/>
        <w:right w:val="none" w:sz="0" w:space="0" w:color="auto"/>
      </w:divBdr>
      <w:divsChild>
        <w:div w:id="110713312">
          <w:marLeft w:val="0"/>
          <w:marRight w:val="0"/>
          <w:marTop w:val="0"/>
          <w:marBottom w:val="0"/>
          <w:divBdr>
            <w:top w:val="none" w:sz="0" w:space="0" w:color="auto"/>
            <w:left w:val="none" w:sz="0" w:space="0" w:color="auto"/>
            <w:bottom w:val="none" w:sz="0" w:space="0" w:color="auto"/>
            <w:right w:val="none" w:sz="0" w:space="0" w:color="auto"/>
          </w:divBdr>
        </w:div>
      </w:divsChild>
    </w:div>
    <w:div w:id="1990396729">
      <w:marLeft w:val="0"/>
      <w:marRight w:val="0"/>
      <w:marTop w:val="0"/>
      <w:marBottom w:val="0"/>
      <w:divBdr>
        <w:top w:val="none" w:sz="0" w:space="0" w:color="auto"/>
        <w:left w:val="none" w:sz="0" w:space="0" w:color="auto"/>
        <w:bottom w:val="none" w:sz="0" w:space="0" w:color="auto"/>
        <w:right w:val="none" w:sz="0" w:space="0" w:color="auto"/>
      </w:divBdr>
      <w:divsChild>
        <w:div w:id="1465582949">
          <w:marLeft w:val="0"/>
          <w:marRight w:val="0"/>
          <w:marTop w:val="0"/>
          <w:marBottom w:val="0"/>
          <w:divBdr>
            <w:top w:val="none" w:sz="0" w:space="0" w:color="auto"/>
            <w:left w:val="none" w:sz="0" w:space="0" w:color="auto"/>
            <w:bottom w:val="none" w:sz="0" w:space="0" w:color="auto"/>
            <w:right w:val="none" w:sz="0" w:space="0" w:color="auto"/>
          </w:divBdr>
        </w:div>
      </w:divsChild>
    </w:div>
    <w:div w:id="1992324148">
      <w:marLeft w:val="0"/>
      <w:marRight w:val="0"/>
      <w:marTop w:val="0"/>
      <w:marBottom w:val="0"/>
      <w:divBdr>
        <w:top w:val="none" w:sz="0" w:space="0" w:color="auto"/>
        <w:left w:val="none" w:sz="0" w:space="0" w:color="auto"/>
        <w:bottom w:val="none" w:sz="0" w:space="0" w:color="auto"/>
        <w:right w:val="none" w:sz="0" w:space="0" w:color="auto"/>
      </w:divBdr>
    </w:div>
    <w:div w:id="1993631394">
      <w:marLeft w:val="0"/>
      <w:marRight w:val="0"/>
      <w:marTop w:val="200"/>
      <w:marBottom w:val="0"/>
      <w:divBdr>
        <w:top w:val="none" w:sz="0" w:space="0" w:color="auto"/>
        <w:left w:val="none" w:sz="0" w:space="0" w:color="auto"/>
        <w:bottom w:val="none" w:sz="0" w:space="0" w:color="auto"/>
        <w:right w:val="none" w:sz="0" w:space="0" w:color="auto"/>
      </w:divBdr>
    </w:div>
    <w:div w:id="1998026098">
      <w:marLeft w:val="0"/>
      <w:marRight w:val="0"/>
      <w:marTop w:val="200"/>
      <w:marBottom w:val="0"/>
      <w:divBdr>
        <w:top w:val="none" w:sz="0" w:space="0" w:color="auto"/>
        <w:left w:val="none" w:sz="0" w:space="0" w:color="auto"/>
        <w:bottom w:val="none" w:sz="0" w:space="0" w:color="auto"/>
        <w:right w:val="none" w:sz="0" w:space="0" w:color="auto"/>
      </w:divBdr>
    </w:div>
    <w:div w:id="1998607757">
      <w:marLeft w:val="0"/>
      <w:marRight w:val="0"/>
      <w:marTop w:val="200"/>
      <w:marBottom w:val="0"/>
      <w:divBdr>
        <w:top w:val="none" w:sz="0" w:space="0" w:color="auto"/>
        <w:left w:val="none" w:sz="0" w:space="0" w:color="auto"/>
        <w:bottom w:val="none" w:sz="0" w:space="0" w:color="auto"/>
        <w:right w:val="none" w:sz="0" w:space="0" w:color="auto"/>
      </w:divBdr>
    </w:div>
    <w:div w:id="1999377798">
      <w:marLeft w:val="0"/>
      <w:marRight w:val="0"/>
      <w:marTop w:val="0"/>
      <w:marBottom w:val="0"/>
      <w:divBdr>
        <w:top w:val="none" w:sz="0" w:space="0" w:color="auto"/>
        <w:left w:val="none" w:sz="0" w:space="0" w:color="auto"/>
        <w:bottom w:val="none" w:sz="0" w:space="0" w:color="auto"/>
        <w:right w:val="none" w:sz="0" w:space="0" w:color="auto"/>
      </w:divBdr>
    </w:div>
    <w:div w:id="1999769552">
      <w:marLeft w:val="0"/>
      <w:marRight w:val="0"/>
      <w:marTop w:val="0"/>
      <w:marBottom w:val="0"/>
      <w:divBdr>
        <w:top w:val="none" w:sz="0" w:space="0" w:color="auto"/>
        <w:left w:val="none" w:sz="0" w:space="0" w:color="auto"/>
        <w:bottom w:val="none" w:sz="0" w:space="0" w:color="auto"/>
        <w:right w:val="none" w:sz="0" w:space="0" w:color="auto"/>
      </w:divBdr>
      <w:divsChild>
        <w:div w:id="1747725081">
          <w:marLeft w:val="0"/>
          <w:marRight w:val="0"/>
          <w:marTop w:val="0"/>
          <w:marBottom w:val="0"/>
          <w:divBdr>
            <w:top w:val="none" w:sz="0" w:space="0" w:color="auto"/>
            <w:left w:val="none" w:sz="0" w:space="0" w:color="auto"/>
            <w:bottom w:val="none" w:sz="0" w:space="0" w:color="auto"/>
            <w:right w:val="none" w:sz="0" w:space="0" w:color="auto"/>
          </w:divBdr>
        </w:div>
      </w:divsChild>
    </w:div>
    <w:div w:id="2000618899">
      <w:marLeft w:val="0"/>
      <w:marRight w:val="0"/>
      <w:marTop w:val="40"/>
      <w:marBottom w:val="0"/>
      <w:divBdr>
        <w:top w:val="none" w:sz="0" w:space="0" w:color="auto"/>
        <w:left w:val="none" w:sz="0" w:space="0" w:color="auto"/>
        <w:bottom w:val="none" w:sz="0" w:space="0" w:color="auto"/>
        <w:right w:val="none" w:sz="0" w:space="0" w:color="auto"/>
      </w:divBdr>
    </w:div>
    <w:div w:id="2002615838">
      <w:marLeft w:val="0"/>
      <w:marRight w:val="0"/>
      <w:marTop w:val="0"/>
      <w:marBottom w:val="0"/>
      <w:divBdr>
        <w:top w:val="none" w:sz="0" w:space="0" w:color="auto"/>
        <w:left w:val="none" w:sz="0" w:space="0" w:color="auto"/>
        <w:bottom w:val="none" w:sz="0" w:space="0" w:color="auto"/>
        <w:right w:val="none" w:sz="0" w:space="0" w:color="auto"/>
      </w:divBdr>
    </w:div>
    <w:div w:id="2004552193">
      <w:marLeft w:val="0"/>
      <w:marRight w:val="0"/>
      <w:marTop w:val="200"/>
      <w:marBottom w:val="0"/>
      <w:divBdr>
        <w:top w:val="none" w:sz="0" w:space="0" w:color="auto"/>
        <w:left w:val="none" w:sz="0" w:space="0" w:color="auto"/>
        <w:bottom w:val="none" w:sz="0" w:space="0" w:color="auto"/>
        <w:right w:val="none" w:sz="0" w:space="0" w:color="auto"/>
      </w:divBdr>
    </w:div>
    <w:div w:id="2007173259">
      <w:marLeft w:val="0"/>
      <w:marRight w:val="0"/>
      <w:marTop w:val="0"/>
      <w:marBottom w:val="0"/>
      <w:divBdr>
        <w:top w:val="none" w:sz="0" w:space="0" w:color="auto"/>
        <w:left w:val="none" w:sz="0" w:space="0" w:color="auto"/>
        <w:bottom w:val="none" w:sz="0" w:space="0" w:color="auto"/>
        <w:right w:val="none" w:sz="0" w:space="0" w:color="auto"/>
      </w:divBdr>
    </w:div>
    <w:div w:id="2009214933">
      <w:marLeft w:val="0"/>
      <w:marRight w:val="0"/>
      <w:marTop w:val="200"/>
      <w:marBottom w:val="0"/>
      <w:divBdr>
        <w:top w:val="none" w:sz="0" w:space="0" w:color="auto"/>
        <w:left w:val="none" w:sz="0" w:space="0" w:color="auto"/>
        <w:bottom w:val="none" w:sz="0" w:space="0" w:color="auto"/>
        <w:right w:val="none" w:sz="0" w:space="0" w:color="auto"/>
      </w:divBdr>
    </w:div>
    <w:div w:id="2011716195">
      <w:marLeft w:val="0"/>
      <w:marRight w:val="0"/>
      <w:marTop w:val="0"/>
      <w:marBottom w:val="0"/>
      <w:divBdr>
        <w:top w:val="none" w:sz="0" w:space="0" w:color="auto"/>
        <w:left w:val="none" w:sz="0" w:space="0" w:color="auto"/>
        <w:bottom w:val="none" w:sz="0" w:space="0" w:color="auto"/>
        <w:right w:val="none" w:sz="0" w:space="0" w:color="auto"/>
      </w:divBdr>
    </w:div>
    <w:div w:id="2014644323">
      <w:marLeft w:val="0"/>
      <w:marRight w:val="0"/>
      <w:marTop w:val="0"/>
      <w:marBottom w:val="0"/>
      <w:divBdr>
        <w:top w:val="none" w:sz="0" w:space="0" w:color="auto"/>
        <w:left w:val="none" w:sz="0" w:space="0" w:color="auto"/>
        <w:bottom w:val="none" w:sz="0" w:space="0" w:color="auto"/>
        <w:right w:val="none" w:sz="0" w:space="0" w:color="auto"/>
      </w:divBdr>
    </w:div>
    <w:div w:id="2020738727">
      <w:marLeft w:val="0"/>
      <w:marRight w:val="0"/>
      <w:marTop w:val="0"/>
      <w:marBottom w:val="0"/>
      <w:divBdr>
        <w:top w:val="none" w:sz="0" w:space="0" w:color="auto"/>
        <w:left w:val="none" w:sz="0" w:space="0" w:color="auto"/>
        <w:bottom w:val="none" w:sz="0" w:space="0" w:color="auto"/>
        <w:right w:val="none" w:sz="0" w:space="0" w:color="auto"/>
      </w:divBdr>
      <w:divsChild>
        <w:div w:id="149638172">
          <w:marLeft w:val="0"/>
          <w:marRight w:val="0"/>
          <w:marTop w:val="0"/>
          <w:marBottom w:val="0"/>
          <w:divBdr>
            <w:top w:val="none" w:sz="0" w:space="0" w:color="auto"/>
            <w:left w:val="none" w:sz="0" w:space="0" w:color="auto"/>
            <w:bottom w:val="none" w:sz="0" w:space="0" w:color="auto"/>
            <w:right w:val="none" w:sz="0" w:space="0" w:color="auto"/>
          </w:divBdr>
        </w:div>
      </w:divsChild>
    </w:div>
    <w:div w:id="2021736057">
      <w:marLeft w:val="0"/>
      <w:marRight w:val="0"/>
      <w:marTop w:val="0"/>
      <w:marBottom w:val="200"/>
      <w:divBdr>
        <w:top w:val="none" w:sz="0" w:space="0" w:color="auto"/>
        <w:left w:val="none" w:sz="0" w:space="0" w:color="auto"/>
        <w:bottom w:val="none" w:sz="0" w:space="0" w:color="auto"/>
        <w:right w:val="none" w:sz="0" w:space="0" w:color="auto"/>
      </w:divBdr>
    </w:div>
    <w:div w:id="2023777854">
      <w:marLeft w:val="0"/>
      <w:marRight w:val="0"/>
      <w:marTop w:val="0"/>
      <w:marBottom w:val="0"/>
      <w:divBdr>
        <w:top w:val="none" w:sz="0" w:space="0" w:color="auto"/>
        <w:left w:val="none" w:sz="0" w:space="0" w:color="auto"/>
        <w:bottom w:val="none" w:sz="0" w:space="0" w:color="auto"/>
        <w:right w:val="none" w:sz="0" w:space="0" w:color="auto"/>
      </w:divBdr>
      <w:divsChild>
        <w:div w:id="700209602">
          <w:marLeft w:val="0"/>
          <w:marRight w:val="0"/>
          <w:marTop w:val="0"/>
          <w:marBottom w:val="0"/>
          <w:divBdr>
            <w:top w:val="none" w:sz="0" w:space="0" w:color="auto"/>
            <w:left w:val="none" w:sz="0" w:space="0" w:color="auto"/>
            <w:bottom w:val="none" w:sz="0" w:space="0" w:color="auto"/>
            <w:right w:val="none" w:sz="0" w:space="0" w:color="auto"/>
          </w:divBdr>
        </w:div>
      </w:divsChild>
    </w:div>
    <w:div w:id="2028209927">
      <w:marLeft w:val="0"/>
      <w:marRight w:val="0"/>
      <w:marTop w:val="0"/>
      <w:marBottom w:val="0"/>
      <w:divBdr>
        <w:top w:val="none" w:sz="0" w:space="0" w:color="auto"/>
        <w:left w:val="none" w:sz="0" w:space="0" w:color="auto"/>
        <w:bottom w:val="none" w:sz="0" w:space="0" w:color="auto"/>
        <w:right w:val="none" w:sz="0" w:space="0" w:color="auto"/>
      </w:divBdr>
    </w:div>
    <w:div w:id="2030401024">
      <w:marLeft w:val="0"/>
      <w:marRight w:val="0"/>
      <w:marTop w:val="0"/>
      <w:marBottom w:val="0"/>
      <w:divBdr>
        <w:top w:val="none" w:sz="0" w:space="0" w:color="auto"/>
        <w:left w:val="none" w:sz="0" w:space="0" w:color="auto"/>
        <w:bottom w:val="none" w:sz="0" w:space="0" w:color="auto"/>
        <w:right w:val="none" w:sz="0" w:space="0" w:color="auto"/>
      </w:divBdr>
      <w:divsChild>
        <w:div w:id="3440361">
          <w:marLeft w:val="0"/>
          <w:marRight w:val="0"/>
          <w:marTop w:val="0"/>
          <w:marBottom w:val="0"/>
          <w:divBdr>
            <w:top w:val="none" w:sz="0" w:space="0" w:color="auto"/>
            <w:left w:val="none" w:sz="0" w:space="0" w:color="auto"/>
            <w:bottom w:val="none" w:sz="0" w:space="0" w:color="auto"/>
            <w:right w:val="none" w:sz="0" w:space="0" w:color="auto"/>
          </w:divBdr>
        </w:div>
        <w:div w:id="1559634860">
          <w:marLeft w:val="0"/>
          <w:marRight w:val="0"/>
          <w:marTop w:val="0"/>
          <w:marBottom w:val="0"/>
          <w:divBdr>
            <w:top w:val="none" w:sz="0" w:space="0" w:color="auto"/>
            <w:left w:val="none" w:sz="0" w:space="0" w:color="auto"/>
            <w:bottom w:val="none" w:sz="0" w:space="0" w:color="auto"/>
            <w:right w:val="none" w:sz="0" w:space="0" w:color="auto"/>
          </w:divBdr>
        </w:div>
        <w:div w:id="41100922">
          <w:marLeft w:val="0"/>
          <w:marRight w:val="0"/>
          <w:marTop w:val="0"/>
          <w:marBottom w:val="0"/>
          <w:divBdr>
            <w:top w:val="none" w:sz="0" w:space="0" w:color="auto"/>
            <w:left w:val="none" w:sz="0" w:space="0" w:color="auto"/>
            <w:bottom w:val="none" w:sz="0" w:space="0" w:color="auto"/>
            <w:right w:val="none" w:sz="0" w:space="0" w:color="auto"/>
          </w:divBdr>
        </w:div>
        <w:div w:id="854924216">
          <w:marLeft w:val="0"/>
          <w:marRight w:val="0"/>
          <w:marTop w:val="0"/>
          <w:marBottom w:val="0"/>
          <w:divBdr>
            <w:top w:val="none" w:sz="0" w:space="0" w:color="auto"/>
            <w:left w:val="none" w:sz="0" w:space="0" w:color="auto"/>
            <w:bottom w:val="none" w:sz="0" w:space="0" w:color="auto"/>
            <w:right w:val="none" w:sz="0" w:space="0" w:color="auto"/>
          </w:divBdr>
        </w:div>
      </w:divsChild>
    </w:div>
    <w:div w:id="2037998841">
      <w:marLeft w:val="0"/>
      <w:marRight w:val="0"/>
      <w:marTop w:val="0"/>
      <w:marBottom w:val="0"/>
      <w:divBdr>
        <w:top w:val="none" w:sz="0" w:space="0" w:color="auto"/>
        <w:left w:val="none" w:sz="0" w:space="0" w:color="auto"/>
        <w:bottom w:val="none" w:sz="0" w:space="0" w:color="auto"/>
        <w:right w:val="none" w:sz="0" w:space="0" w:color="auto"/>
      </w:divBdr>
    </w:div>
    <w:div w:id="2038504731">
      <w:marLeft w:val="0"/>
      <w:marRight w:val="0"/>
      <w:marTop w:val="200"/>
      <w:marBottom w:val="0"/>
      <w:divBdr>
        <w:top w:val="none" w:sz="0" w:space="0" w:color="auto"/>
        <w:left w:val="none" w:sz="0" w:space="0" w:color="auto"/>
        <w:bottom w:val="none" w:sz="0" w:space="0" w:color="auto"/>
        <w:right w:val="none" w:sz="0" w:space="0" w:color="auto"/>
      </w:divBdr>
    </w:div>
    <w:div w:id="2038921010">
      <w:marLeft w:val="0"/>
      <w:marRight w:val="0"/>
      <w:marTop w:val="0"/>
      <w:marBottom w:val="0"/>
      <w:divBdr>
        <w:top w:val="none" w:sz="0" w:space="0" w:color="auto"/>
        <w:left w:val="none" w:sz="0" w:space="0" w:color="auto"/>
        <w:bottom w:val="none" w:sz="0" w:space="0" w:color="auto"/>
        <w:right w:val="none" w:sz="0" w:space="0" w:color="auto"/>
      </w:divBdr>
      <w:divsChild>
        <w:div w:id="1130634872">
          <w:marLeft w:val="0"/>
          <w:marRight w:val="0"/>
          <w:marTop w:val="0"/>
          <w:marBottom w:val="0"/>
          <w:divBdr>
            <w:top w:val="none" w:sz="0" w:space="0" w:color="auto"/>
            <w:left w:val="none" w:sz="0" w:space="0" w:color="auto"/>
            <w:bottom w:val="none" w:sz="0" w:space="0" w:color="auto"/>
            <w:right w:val="none" w:sz="0" w:space="0" w:color="auto"/>
          </w:divBdr>
        </w:div>
      </w:divsChild>
    </w:div>
    <w:div w:id="2041008065">
      <w:marLeft w:val="0"/>
      <w:marRight w:val="0"/>
      <w:marTop w:val="200"/>
      <w:marBottom w:val="0"/>
      <w:divBdr>
        <w:top w:val="none" w:sz="0" w:space="0" w:color="auto"/>
        <w:left w:val="none" w:sz="0" w:space="0" w:color="auto"/>
        <w:bottom w:val="none" w:sz="0" w:space="0" w:color="auto"/>
        <w:right w:val="none" w:sz="0" w:space="0" w:color="auto"/>
      </w:divBdr>
    </w:div>
    <w:div w:id="2041853845">
      <w:marLeft w:val="0"/>
      <w:marRight w:val="0"/>
      <w:marTop w:val="200"/>
      <w:marBottom w:val="0"/>
      <w:divBdr>
        <w:top w:val="none" w:sz="0" w:space="0" w:color="auto"/>
        <w:left w:val="none" w:sz="0" w:space="0" w:color="auto"/>
        <w:bottom w:val="none" w:sz="0" w:space="0" w:color="auto"/>
        <w:right w:val="none" w:sz="0" w:space="0" w:color="auto"/>
      </w:divBdr>
    </w:div>
    <w:div w:id="2045052533">
      <w:marLeft w:val="0"/>
      <w:marRight w:val="0"/>
      <w:marTop w:val="200"/>
      <w:marBottom w:val="0"/>
      <w:divBdr>
        <w:top w:val="none" w:sz="0" w:space="0" w:color="auto"/>
        <w:left w:val="none" w:sz="0" w:space="0" w:color="auto"/>
        <w:bottom w:val="none" w:sz="0" w:space="0" w:color="auto"/>
        <w:right w:val="none" w:sz="0" w:space="0" w:color="auto"/>
      </w:divBdr>
      <w:divsChild>
        <w:div w:id="2104453132">
          <w:marLeft w:val="0"/>
          <w:marRight w:val="0"/>
          <w:marTop w:val="0"/>
          <w:marBottom w:val="0"/>
          <w:divBdr>
            <w:top w:val="none" w:sz="0" w:space="0" w:color="auto"/>
            <w:left w:val="none" w:sz="0" w:space="0" w:color="auto"/>
            <w:bottom w:val="none" w:sz="0" w:space="0" w:color="auto"/>
            <w:right w:val="none" w:sz="0" w:space="0" w:color="auto"/>
          </w:divBdr>
        </w:div>
        <w:div w:id="730661074">
          <w:marLeft w:val="0"/>
          <w:marRight w:val="0"/>
          <w:marTop w:val="0"/>
          <w:marBottom w:val="0"/>
          <w:divBdr>
            <w:top w:val="none" w:sz="0" w:space="0" w:color="auto"/>
            <w:left w:val="none" w:sz="0" w:space="0" w:color="auto"/>
            <w:bottom w:val="none" w:sz="0" w:space="0" w:color="auto"/>
            <w:right w:val="none" w:sz="0" w:space="0" w:color="auto"/>
          </w:divBdr>
        </w:div>
        <w:div w:id="135882648">
          <w:marLeft w:val="0"/>
          <w:marRight w:val="0"/>
          <w:marTop w:val="0"/>
          <w:marBottom w:val="0"/>
          <w:divBdr>
            <w:top w:val="none" w:sz="0" w:space="0" w:color="auto"/>
            <w:left w:val="none" w:sz="0" w:space="0" w:color="auto"/>
            <w:bottom w:val="none" w:sz="0" w:space="0" w:color="auto"/>
            <w:right w:val="none" w:sz="0" w:space="0" w:color="auto"/>
          </w:divBdr>
        </w:div>
        <w:div w:id="1677267242">
          <w:marLeft w:val="0"/>
          <w:marRight w:val="0"/>
          <w:marTop w:val="0"/>
          <w:marBottom w:val="0"/>
          <w:divBdr>
            <w:top w:val="none" w:sz="0" w:space="0" w:color="auto"/>
            <w:left w:val="none" w:sz="0" w:space="0" w:color="auto"/>
            <w:bottom w:val="none" w:sz="0" w:space="0" w:color="auto"/>
            <w:right w:val="none" w:sz="0" w:space="0" w:color="auto"/>
          </w:divBdr>
        </w:div>
        <w:div w:id="2047679646">
          <w:marLeft w:val="0"/>
          <w:marRight w:val="0"/>
          <w:marTop w:val="0"/>
          <w:marBottom w:val="0"/>
          <w:divBdr>
            <w:top w:val="none" w:sz="0" w:space="0" w:color="auto"/>
            <w:left w:val="none" w:sz="0" w:space="0" w:color="auto"/>
            <w:bottom w:val="none" w:sz="0" w:space="0" w:color="auto"/>
            <w:right w:val="none" w:sz="0" w:space="0" w:color="auto"/>
          </w:divBdr>
        </w:div>
        <w:div w:id="1574703544">
          <w:marLeft w:val="0"/>
          <w:marRight w:val="0"/>
          <w:marTop w:val="0"/>
          <w:marBottom w:val="0"/>
          <w:divBdr>
            <w:top w:val="none" w:sz="0" w:space="0" w:color="auto"/>
            <w:left w:val="none" w:sz="0" w:space="0" w:color="auto"/>
            <w:bottom w:val="none" w:sz="0" w:space="0" w:color="auto"/>
            <w:right w:val="none" w:sz="0" w:space="0" w:color="auto"/>
          </w:divBdr>
        </w:div>
        <w:div w:id="1284071908">
          <w:marLeft w:val="0"/>
          <w:marRight w:val="0"/>
          <w:marTop w:val="0"/>
          <w:marBottom w:val="0"/>
          <w:divBdr>
            <w:top w:val="none" w:sz="0" w:space="0" w:color="auto"/>
            <w:left w:val="none" w:sz="0" w:space="0" w:color="auto"/>
            <w:bottom w:val="none" w:sz="0" w:space="0" w:color="auto"/>
            <w:right w:val="none" w:sz="0" w:space="0" w:color="auto"/>
          </w:divBdr>
        </w:div>
        <w:div w:id="398215973">
          <w:marLeft w:val="0"/>
          <w:marRight w:val="0"/>
          <w:marTop w:val="0"/>
          <w:marBottom w:val="0"/>
          <w:divBdr>
            <w:top w:val="none" w:sz="0" w:space="0" w:color="auto"/>
            <w:left w:val="none" w:sz="0" w:space="0" w:color="auto"/>
            <w:bottom w:val="none" w:sz="0" w:space="0" w:color="auto"/>
            <w:right w:val="none" w:sz="0" w:space="0" w:color="auto"/>
          </w:divBdr>
        </w:div>
        <w:div w:id="1823960680">
          <w:marLeft w:val="0"/>
          <w:marRight w:val="0"/>
          <w:marTop w:val="0"/>
          <w:marBottom w:val="0"/>
          <w:divBdr>
            <w:top w:val="none" w:sz="0" w:space="0" w:color="auto"/>
            <w:left w:val="none" w:sz="0" w:space="0" w:color="auto"/>
            <w:bottom w:val="none" w:sz="0" w:space="0" w:color="auto"/>
            <w:right w:val="none" w:sz="0" w:space="0" w:color="auto"/>
          </w:divBdr>
        </w:div>
        <w:div w:id="1017346545">
          <w:marLeft w:val="0"/>
          <w:marRight w:val="0"/>
          <w:marTop w:val="0"/>
          <w:marBottom w:val="0"/>
          <w:divBdr>
            <w:top w:val="none" w:sz="0" w:space="0" w:color="auto"/>
            <w:left w:val="none" w:sz="0" w:space="0" w:color="auto"/>
            <w:bottom w:val="none" w:sz="0" w:space="0" w:color="auto"/>
            <w:right w:val="none" w:sz="0" w:space="0" w:color="auto"/>
          </w:divBdr>
        </w:div>
        <w:div w:id="1030303062">
          <w:marLeft w:val="0"/>
          <w:marRight w:val="0"/>
          <w:marTop w:val="0"/>
          <w:marBottom w:val="0"/>
          <w:divBdr>
            <w:top w:val="none" w:sz="0" w:space="0" w:color="auto"/>
            <w:left w:val="none" w:sz="0" w:space="0" w:color="auto"/>
            <w:bottom w:val="none" w:sz="0" w:space="0" w:color="auto"/>
            <w:right w:val="none" w:sz="0" w:space="0" w:color="auto"/>
          </w:divBdr>
        </w:div>
      </w:divsChild>
    </w:div>
    <w:div w:id="2046054542">
      <w:marLeft w:val="0"/>
      <w:marRight w:val="0"/>
      <w:marTop w:val="0"/>
      <w:marBottom w:val="0"/>
      <w:divBdr>
        <w:top w:val="none" w:sz="0" w:space="0" w:color="auto"/>
        <w:left w:val="none" w:sz="0" w:space="0" w:color="auto"/>
        <w:bottom w:val="none" w:sz="0" w:space="0" w:color="auto"/>
        <w:right w:val="none" w:sz="0" w:space="0" w:color="auto"/>
      </w:divBdr>
    </w:div>
    <w:div w:id="2046366381">
      <w:marLeft w:val="0"/>
      <w:marRight w:val="0"/>
      <w:marTop w:val="200"/>
      <w:marBottom w:val="0"/>
      <w:divBdr>
        <w:top w:val="none" w:sz="0" w:space="0" w:color="auto"/>
        <w:left w:val="none" w:sz="0" w:space="0" w:color="auto"/>
        <w:bottom w:val="none" w:sz="0" w:space="0" w:color="auto"/>
        <w:right w:val="none" w:sz="0" w:space="0" w:color="auto"/>
      </w:divBdr>
    </w:div>
    <w:div w:id="2048531556">
      <w:marLeft w:val="0"/>
      <w:marRight w:val="0"/>
      <w:marTop w:val="0"/>
      <w:marBottom w:val="0"/>
      <w:divBdr>
        <w:top w:val="none" w:sz="0" w:space="0" w:color="auto"/>
        <w:left w:val="none" w:sz="0" w:space="0" w:color="auto"/>
        <w:bottom w:val="none" w:sz="0" w:space="0" w:color="auto"/>
        <w:right w:val="none" w:sz="0" w:space="0" w:color="auto"/>
      </w:divBdr>
      <w:divsChild>
        <w:div w:id="1530291877">
          <w:marLeft w:val="0"/>
          <w:marRight w:val="0"/>
          <w:marTop w:val="0"/>
          <w:marBottom w:val="0"/>
          <w:divBdr>
            <w:top w:val="none" w:sz="0" w:space="0" w:color="auto"/>
            <w:left w:val="none" w:sz="0" w:space="0" w:color="auto"/>
            <w:bottom w:val="none" w:sz="0" w:space="0" w:color="auto"/>
            <w:right w:val="none" w:sz="0" w:space="0" w:color="auto"/>
          </w:divBdr>
        </w:div>
      </w:divsChild>
    </w:div>
    <w:div w:id="2049791565">
      <w:marLeft w:val="0"/>
      <w:marRight w:val="0"/>
      <w:marTop w:val="0"/>
      <w:marBottom w:val="0"/>
      <w:divBdr>
        <w:top w:val="none" w:sz="0" w:space="0" w:color="auto"/>
        <w:left w:val="none" w:sz="0" w:space="0" w:color="auto"/>
        <w:bottom w:val="none" w:sz="0" w:space="0" w:color="auto"/>
        <w:right w:val="none" w:sz="0" w:space="0" w:color="auto"/>
      </w:divBdr>
      <w:divsChild>
        <w:div w:id="325715661">
          <w:marLeft w:val="0"/>
          <w:marRight w:val="0"/>
          <w:marTop w:val="0"/>
          <w:marBottom w:val="0"/>
          <w:divBdr>
            <w:top w:val="none" w:sz="0" w:space="0" w:color="auto"/>
            <w:left w:val="none" w:sz="0" w:space="0" w:color="auto"/>
            <w:bottom w:val="none" w:sz="0" w:space="0" w:color="auto"/>
            <w:right w:val="none" w:sz="0" w:space="0" w:color="auto"/>
          </w:divBdr>
        </w:div>
      </w:divsChild>
    </w:div>
    <w:div w:id="2050911788">
      <w:marLeft w:val="0"/>
      <w:marRight w:val="0"/>
      <w:marTop w:val="40"/>
      <w:marBottom w:val="0"/>
      <w:divBdr>
        <w:top w:val="none" w:sz="0" w:space="0" w:color="auto"/>
        <w:left w:val="none" w:sz="0" w:space="0" w:color="auto"/>
        <w:bottom w:val="none" w:sz="0" w:space="0" w:color="auto"/>
        <w:right w:val="none" w:sz="0" w:space="0" w:color="auto"/>
      </w:divBdr>
    </w:div>
    <w:div w:id="2051227354">
      <w:marLeft w:val="0"/>
      <w:marRight w:val="0"/>
      <w:marTop w:val="200"/>
      <w:marBottom w:val="0"/>
      <w:divBdr>
        <w:top w:val="none" w:sz="0" w:space="0" w:color="auto"/>
        <w:left w:val="none" w:sz="0" w:space="0" w:color="auto"/>
        <w:bottom w:val="none" w:sz="0" w:space="0" w:color="auto"/>
        <w:right w:val="none" w:sz="0" w:space="0" w:color="auto"/>
      </w:divBdr>
    </w:div>
    <w:div w:id="2052611052">
      <w:marLeft w:val="0"/>
      <w:marRight w:val="0"/>
      <w:marTop w:val="20"/>
      <w:marBottom w:val="0"/>
      <w:divBdr>
        <w:top w:val="none" w:sz="0" w:space="0" w:color="auto"/>
        <w:left w:val="none" w:sz="0" w:space="0" w:color="auto"/>
        <w:bottom w:val="none" w:sz="0" w:space="0" w:color="auto"/>
        <w:right w:val="none" w:sz="0" w:space="0" w:color="auto"/>
      </w:divBdr>
    </w:div>
    <w:div w:id="2057273194">
      <w:marLeft w:val="0"/>
      <w:marRight w:val="0"/>
      <w:marTop w:val="0"/>
      <w:marBottom w:val="0"/>
      <w:divBdr>
        <w:top w:val="none" w:sz="0" w:space="0" w:color="auto"/>
        <w:left w:val="none" w:sz="0" w:space="0" w:color="auto"/>
        <w:bottom w:val="none" w:sz="0" w:space="0" w:color="auto"/>
        <w:right w:val="none" w:sz="0" w:space="0" w:color="auto"/>
      </w:divBdr>
    </w:div>
    <w:div w:id="2063477178">
      <w:marLeft w:val="0"/>
      <w:marRight w:val="0"/>
      <w:marTop w:val="225"/>
      <w:marBottom w:val="0"/>
      <w:divBdr>
        <w:top w:val="none" w:sz="0" w:space="0" w:color="auto"/>
        <w:left w:val="none" w:sz="0" w:space="0" w:color="auto"/>
        <w:bottom w:val="none" w:sz="0" w:space="0" w:color="auto"/>
        <w:right w:val="none" w:sz="0" w:space="0" w:color="auto"/>
      </w:divBdr>
      <w:divsChild>
        <w:div w:id="868643675">
          <w:marLeft w:val="0"/>
          <w:marRight w:val="0"/>
          <w:marTop w:val="0"/>
          <w:marBottom w:val="0"/>
          <w:divBdr>
            <w:top w:val="none" w:sz="0" w:space="0" w:color="auto"/>
            <w:left w:val="none" w:sz="0" w:space="0" w:color="auto"/>
            <w:bottom w:val="none" w:sz="0" w:space="0" w:color="auto"/>
            <w:right w:val="none" w:sz="0" w:space="0" w:color="auto"/>
          </w:divBdr>
        </w:div>
        <w:div w:id="612132295">
          <w:marLeft w:val="0"/>
          <w:marRight w:val="0"/>
          <w:marTop w:val="0"/>
          <w:marBottom w:val="0"/>
          <w:divBdr>
            <w:top w:val="none" w:sz="0" w:space="0" w:color="auto"/>
            <w:left w:val="none" w:sz="0" w:space="0" w:color="auto"/>
            <w:bottom w:val="none" w:sz="0" w:space="0" w:color="auto"/>
            <w:right w:val="none" w:sz="0" w:space="0" w:color="auto"/>
          </w:divBdr>
        </w:div>
        <w:div w:id="849369300">
          <w:marLeft w:val="0"/>
          <w:marRight w:val="0"/>
          <w:marTop w:val="0"/>
          <w:marBottom w:val="0"/>
          <w:divBdr>
            <w:top w:val="none" w:sz="0" w:space="0" w:color="auto"/>
            <w:left w:val="none" w:sz="0" w:space="0" w:color="auto"/>
            <w:bottom w:val="none" w:sz="0" w:space="0" w:color="auto"/>
            <w:right w:val="none" w:sz="0" w:space="0" w:color="auto"/>
          </w:divBdr>
        </w:div>
        <w:div w:id="1616517493">
          <w:marLeft w:val="0"/>
          <w:marRight w:val="0"/>
          <w:marTop w:val="0"/>
          <w:marBottom w:val="0"/>
          <w:divBdr>
            <w:top w:val="none" w:sz="0" w:space="0" w:color="auto"/>
            <w:left w:val="none" w:sz="0" w:space="0" w:color="auto"/>
            <w:bottom w:val="none" w:sz="0" w:space="0" w:color="auto"/>
            <w:right w:val="none" w:sz="0" w:space="0" w:color="auto"/>
          </w:divBdr>
        </w:div>
      </w:divsChild>
    </w:div>
    <w:div w:id="2066028195">
      <w:marLeft w:val="0"/>
      <w:marRight w:val="0"/>
      <w:marTop w:val="0"/>
      <w:marBottom w:val="0"/>
      <w:divBdr>
        <w:top w:val="none" w:sz="0" w:space="0" w:color="auto"/>
        <w:left w:val="none" w:sz="0" w:space="0" w:color="auto"/>
        <w:bottom w:val="none" w:sz="0" w:space="0" w:color="auto"/>
        <w:right w:val="none" w:sz="0" w:space="0" w:color="auto"/>
      </w:divBdr>
    </w:div>
    <w:div w:id="2066367540">
      <w:marLeft w:val="0"/>
      <w:marRight w:val="0"/>
      <w:marTop w:val="200"/>
      <w:marBottom w:val="0"/>
      <w:divBdr>
        <w:top w:val="none" w:sz="0" w:space="0" w:color="auto"/>
        <w:left w:val="none" w:sz="0" w:space="0" w:color="auto"/>
        <w:bottom w:val="none" w:sz="0" w:space="0" w:color="auto"/>
        <w:right w:val="none" w:sz="0" w:space="0" w:color="auto"/>
      </w:divBdr>
    </w:div>
    <w:div w:id="2068529248">
      <w:marLeft w:val="0"/>
      <w:marRight w:val="0"/>
      <w:marTop w:val="200"/>
      <w:marBottom w:val="0"/>
      <w:divBdr>
        <w:top w:val="none" w:sz="0" w:space="0" w:color="auto"/>
        <w:left w:val="none" w:sz="0" w:space="0" w:color="auto"/>
        <w:bottom w:val="none" w:sz="0" w:space="0" w:color="auto"/>
        <w:right w:val="none" w:sz="0" w:space="0" w:color="auto"/>
      </w:divBdr>
    </w:div>
    <w:div w:id="2068717427">
      <w:marLeft w:val="0"/>
      <w:marRight w:val="0"/>
      <w:marTop w:val="200"/>
      <w:marBottom w:val="0"/>
      <w:divBdr>
        <w:top w:val="none" w:sz="0" w:space="0" w:color="auto"/>
        <w:left w:val="none" w:sz="0" w:space="0" w:color="auto"/>
        <w:bottom w:val="none" w:sz="0" w:space="0" w:color="auto"/>
        <w:right w:val="none" w:sz="0" w:space="0" w:color="auto"/>
      </w:divBdr>
    </w:div>
    <w:div w:id="2070108650">
      <w:marLeft w:val="0"/>
      <w:marRight w:val="0"/>
      <w:marTop w:val="0"/>
      <w:marBottom w:val="0"/>
      <w:divBdr>
        <w:top w:val="none" w:sz="0" w:space="0" w:color="auto"/>
        <w:left w:val="none" w:sz="0" w:space="0" w:color="auto"/>
        <w:bottom w:val="none" w:sz="0" w:space="0" w:color="auto"/>
        <w:right w:val="none" w:sz="0" w:space="0" w:color="auto"/>
      </w:divBdr>
      <w:divsChild>
        <w:div w:id="1195384103">
          <w:marLeft w:val="0"/>
          <w:marRight w:val="0"/>
          <w:marTop w:val="0"/>
          <w:marBottom w:val="0"/>
          <w:divBdr>
            <w:top w:val="none" w:sz="0" w:space="0" w:color="auto"/>
            <w:left w:val="none" w:sz="0" w:space="0" w:color="auto"/>
            <w:bottom w:val="none" w:sz="0" w:space="0" w:color="auto"/>
            <w:right w:val="none" w:sz="0" w:space="0" w:color="auto"/>
          </w:divBdr>
        </w:div>
      </w:divsChild>
    </w:div>
    <w:div w:id="2070569451">
      <w:marLeft w:val="0"/>
      <w:marRight w:val="0"/>
      <w:marTop w:val="0"/>
      <w:marBottom w:val="0"/>
      <w:divBdr>
        <w:top w:val="none" w:sz="0" w:space="0" w:color="auto"/>
        <w:left w:val="none" w:sz="0" w:space="0" w:color="auto"/>
        <w:bottom w:val="none" w:sz="0" w:space="0" w:color="auto"/>
        <w:right w:val="none" w:sz="0" w:space="0" w:color="auto"/>
      </w:divBdr>
      <w:divsChild>
        <w:div w:id="893350366">
          <w:marLeft w:val="0"/>
          <w:marRight w:val="0"/>
          <w:marTop w:val="0"/>
          <w:marBottom w:val="0"/>
          <w:divBdr>
            <w:top w:val="none" w:sz="0" w:space="0" w:color="auto"/>
            <w:left w:val="none" w:sz="0" w:space="0" w:color="auto"/>
            <w:bottom w:val="none" w:sz="0" w:space="0" w:color="auto"/>
            <w:right w:val="none" w:sz="0" w:space="0" w:color="auto"/>
          </w:divBdr>
        </w:div>
      </w:divsChild>
    </w:div>
    <w:div w:id="2071952783">
      <w:marLeft w:val="0"/>
      <w:marRight w:val="0"/>
      <w:marTop w:val="0"/>
      <w:marBottom w:val="0"/>
      <w:divBdr>
        <w:top w:val="none" w:sz="0" w:space="0" w:color="auto"/>
        <w:left w:val="none" w:sz="0" w:space="0" w:color="auto"/>
        <w:bottom w:val="none" w:sz="0" w:space="0" w:color="auto"/>
        <w:right w:val="none" w:sz="0" w:space="0" w:color="auto"/>
      </w:divBdr>
    </w:div>
    <w:div w:id="2073507237">
      <w:marLeft w:val="0"/>
      <w:marRight w:val="0"/>
      <w:marTop w:val="200"/>
      <w:marBottom w:val="0"/>
      <w:divBdr>
        <w:top w:val="none" w:sz="0" w:space="0" w:color="auto"/>
        <w:left w:val="none" w:sz="0" w:space="0" w:color="auto"/>
        <w:bottom w:val="none" w:sz="0" w:space="0" w:color="auto"/>
        <w:right w:val="none" w:sz="0" w:space="0" w:color="auto"/>
      </w:divBdr>
    </w:div>
    <w:div w:id="2075084224">
      <w:marLeft w:val="0"/>
      <w:marRight w:val="0"/>
      <w:marTop w:val="100"/>
      <w:marBottom w:val="0"/>
      <w:divBdr>
        <w:top w:val="none" w:sz="0" w:space="0" w:color="auto"/>
        <w:left w:val="none" w:sz="0" w:space="0" w:color="auto"/>
        <w:bottom w:val="none" w:sz="0" w:space="0" w:color="auto"/>
        <w:right w:val="none" w:sz="0" w:space="0" w:color="auto"/>
      </w:divBdr>
    </w:div>
    <w:div w:id="2075350055">
      <w:marLeft w:val="0"/>
      <w:marRight w:val="0"/>
      <w:marTop w:val="0"/>
      <w:marBottom w:val="0"/>
      <w:divBdr>
        <w:top w:val="none" w:sz="0" w:space="0" w:color="auto"/>
        <w:left w:val="none" w:sz="0" w:space="0" w:color="auto"/>
        <w:bottom w:val="none" w:sz="0" w:space="0" w:color="auto"/>
        <w:right w:val="none" w:sz="0" w:space="0" w:color="auto"/>
      </w:divBdr>
      <w:divsChild>
        <w:div w:id="303974181">
          <w:marLeft w:val="0"/>
          <w:marRight w:val="0"/>
          <w:marTop w:val="0"/>
          <w:marBottom w:val="0"/>
          <w:divBdr>
            <w:top w:val="none" w:sz="0" w:space="0" w:color="auto"/>
            <w:left w:val="none" w:sz="0" w:space="0" w:color="auto"/>
            <w:bottom w:val="none" w:sz="0" w:space="0" w:color="auto"/>
            <w:right w:val="none" w:sz="0" w:space="0" w:color="auto"/>
          </w:divBdr>
        </w:div>
      </w:divsChild>
    </w:div>
    <w:div w:id="2080441450">
      <w:marLeft w:val="0"/>
      <w:marRight w:val="0"/>
      <w:marTop w:val="0"/>
      <w:marBottom w:val="0"/>
      <w:divBdr>
        <w:top w:val="none" w:sz="0" w:space="0" w:color="auto"/>
        <w:left w:val="none" w:sz="0" w:space="0" w:color="auto"/>
        <w:bottom w:val="none" w:sz="0" w:space="0" w:color="auto"/>
        <w:right w:val="none" w:sz="0" w:space="0" w:color="auto"/>
      </w:divBdr>
    </w:div>
    <w:div w:id="2081128038">
      <w:marLeft w:val="0"/>
      <w:marRight w:val="0"/>
      <w:marTop w:val="100"/>
      <w:marBottom w:val="0"/>
      <w:divBdr>
        <w:top w:val="none" w:sz="0" w:space="0" w:color="auto"/>
        <w:left w:val="none" w:sz="0" w:space="0" w:color="auto"/>
        <w:bottom w:val="none" w:sz="0" w:space="0" w:color="auto"/>
        <w:right w:val="none" w:sz="0" w:space="0" w:color="auto"/>
      </w:divBdr>
    </w:div>
    <w:div w:id="2081512287">
      <w:marLeft w:val="0"/>
      <w:marRight w:val="0"/>
      <w:marTop w:val="0"/>
      <w:marBottom w:val="0"/>
      <w:divBdr>
        <w:top w:val="none" w:sz="0" w:space="0" w:color="auto"/>
        <w:left w:val="none" w:sz="0" w:space="0" w:color="auto"/>
        <w:bottom w:val="none" w:sz="0" w:space="0" w:color="auto"/>
        <w:right w:val="none" w:sz="0" w:space="0" w:color="auto"/>
      </w:divBdr>
    </w:div>
    <w:div w:id="2082367354">
      <w:marLeft w:val="0"/>
      <w:marRight w:val="0"/>
      <w:marTop w:val="0"/>
      <w:marBottom w:val="0"/>
      <w:divBdr>
        <w:top w:val="none" w:sz="0" w:space="0" w:color="auto"/>
        <w:left w:val="none" w:sz="0" w:space="0" w:color="auto"/>
        <w:bottom w:val="none" w:sz="0" w:space="0" w:color="auto"/>
        <w:right w:val="none" w:sz="0" w:space="0" w:color="auto"/>
      </w:divBdr>
      <w:divsChild>
        <w:div w:id="709305149">
          <w:marLeft w:val="0"/>
          <w:marRight w:val="0"/>
          <w:marTop w:val="0"/>
          <w:marBottom w:val="0"/>
          <w:divBdr>
            <w:top w:val="none" w:sz="0" w:space="0" w:color="auto"/>
            <w:left w:val="none" w:sz="0" w:space="0" w:color="auto"/>
            <w:bottom w:val="none" w:sz="0" w:space="0" w:color="auto"/>
            <w:right w:val="none" w:sz="0" w:space="0" w:color="auto"/>
          </w:divBdr>
        </w:div>
      </w:divsChild>
    </w:div>
    <w:div w:id="2082554732">
      <w:marLeft w:val="0"/>
      <w:marRight w:val="0"/>
      <w:marTop w:val="200"/>
      <w:marBottom w:val="0"/>
      <w:divBdr>
        <w:top w:val="none" w:sz="0" w:space="0" w:color="auto"/>
        <w:left w:val="none" w:sz="0" w:space="0" w:color="auto"/>
        <w:bottom w:val="none" w:sz="0" w:space="0" w:color="auto"/>
        <w:right w:val="none" w:sz="0" w:space="0" w:color="auto"/>
      </w:divBdr>
    </w:div>
    <w:div w:id="2085564444">
      <w:marLeft w:val="0"/>
      <w:marRight w:val="0"/>
      <w:marTop w:val="0"/>
      <w:marBottom w:val="0"/>
      <w:divBdr>
        <w:top w:val="none" w:sz="0" w:space="0" w:color="auto"/>
        <w:left w:val="none" w:sz="0" w:space="0" w:color="auto"/>
        <w:bottom w:val="none" w:sz="0" w:space="0" w:color="auto"/>
        <w:right w:val="none" w:sz="0" w:space="0" w:color="auto"/>
      </w:divBdr>
      <w:divsChild>
        <w:div w:id="502361059">
          <w:marLeft w:val="0"/>
          <w:marRight w:val="0"/>
          <w:marTop w:val="0"/>
          <w:marBottom w:val="0"/>
          <w:divBdr>
            <w:top w:val="none" w:sz="0" w:space="0" w:color="auto"/>
            <w:left w:val="none" w:sz="0" w:space="0" w:color="auto"/>
            <w:bottom w:val="none" w:sz="0" w:space="0" w:color="auto"/>
            <w:right w:val="none" w:sz="0" w:space="0" w:color="auto"/>
          </w:divBdr>
        </w:div>
      </w:divsChild>
    </w:div>
    <w:div w:id="2092966510">
      <w:marLeft w:val="0"/>
      <w:marRight w:val="0"/>
      <w:marTop w:val="200"/>
      <w:marBottom w:val="0"/>
      <w:divBdr>
        <w:top w:val="none" w:sz="0" w:space="0" w:color="auto"/>
        <w:left w:val="none" w:sz="0" w:space="0" w:color="auto"/>
        <w:bottom w:val="none" w:sz="0" w:space="0" w:color="auto"/>
        <w:right w:val="none" w:sz="0" w:space="0" w:color="auto"/>
      </w:divBdr>
    </w:div>
    <w:div w:id="2097482003">
      <w:marLeft w:val="0"/>
      <w:marRight w:val="0"/>
      <w:marTop w:val="200"/>
      <w:marBottom w:val="0"/>
      <w:divBdr>
        <w:top w:val="none" w:sz="0" w:space="0" w:color="auto"/>
        <w:left w:val="none" w:sz="0" w:space="0" w:color="auto"/>
        <w:bottom w:val="none" w:sz="0" w:space="0" w:color="auto"/>
        <w:right w:val="none" w:sz="0" w:space="0" w:color="auto"/>
      </w:divBdr>
    </w:div>
    <w:div w:id="2097552686">
      <w:marLeft w:val="0"/>
      <w:marRight w:val="0"/>
      <w:marTop w:val="0"/>
      <w:marBottom w:val="0"/>
      <w:divBdr>
        <w:top w:val="none" w:sz="0" w:space="0" w:color="auto"/>
        <w:left w:val="none" w:sz="0" w:space="0" w:color="auto"/>
        <w:bottom w:val="none" w:sz="0" w:space="0" w:color="auto"/>
        <w:right w:val="none" w:sz="0" w:space="0" w:color="auto"/>
      </w:divBdr>
    </w:div>
    <w:div w:id="2097708220">
      <w:marLeft w:val="0"/>
      <w:marRight w:val="0"/>
      <w:marTop w:val="0"/>
      <w:marBottom w:val="0"/>
      <w:divBdr>
        <w:top w:val="none" w:sz="0" w:space="0" w:color="auto"/>
        <w:left w:val="none" w:sz="0" w:space="0" w:color="auto"/>
        <w:bottom w:val="none" w:sz="0" w:space="0" w:color="auto"/>
        <w:right w:val="none" w:sz="0" w:space="0" w:color="auto"/>
      </w:divBdr>
    </w:div>
    <w:div w:id="2098165458">
      <w:marLeft w:val="0"/>
      <w:marRight w:val="0"/>
      <w:marTop w:val="0"/>
      <w:marBottom w:val="0"/>
      <w:divBdr>
        <w:top w:val="none" w:sz="0" w:space="0" w:color="auto"/>
        <w:left w:val="none" w:sz="0" w:space="0" w:color="auto"/>
        <w:bottom w:val="none" w:sz="0" w:space="0" w:color="auto"/>
        <w:right w:val="none" w:sz="0" w:space="0" w:color="auto"/>
      </w:divBdr>
      <w:divsChild>
        <w:div w:id="1950157791">
          <w:marLeft w:val="0"/>
          <w:marRight w:val="0"/>
          <w:marTop w:val="0"/>
          <w:marBottom w:val="0"/>
          <w:divBdr>
            <w:top w:val="none" w:sz="0" w:space="0" w:color="auto"/>
            <w:left w:val="none" w:sz="0" w:space="0" w:color="auto"/>
            <w:bottom w:val="none" w:sz="0" w:space="0" w:color="auto"/>
            <w:right w:val="none" w:sz="0" w:space="0" w:color="auto"/>
          </w:divBdr>
        </w:div>
      </w:divsChild>
    </w:div>
    <w:div w:id="2102068222">
      <w:marLeft w:val="0"/>
      <w:marRight w:val="0"/>
      <w:marTop w:val="200"/>
      <w:marBottom w:val="0"/>
      <w:divBdr>
        <w:top w:val="none" w:sz="0" w:space="0" w:color="auto"/>
        <w:left w:val="none" w:sz="0" w:space="0" w:color="auto"/>
        <w:bottom w:val="none" w:sz="0" w:space="0" w:color="auto"/>
        <w:right w:val="none" w:sz="0" w:space="0" w:color="auto"/>
      </w:divBdr>
    </w:div>
    <w:div w:id="2102724877">
      <w:marLeft w:val="0"/>
      <w:marRight w:val="0"/>
      <w:marTop w:val="0"/>
      <w:marBottom w:val="0"/>
      <w:divBdr>
        <w:top w:val="none" w:sz="0" w:space="0" w:color="auto"/>
        <w:left w:val="none" w:sz="0" w:space="0" w:color="auto"/>
        <w:bottom w:val="none" w:sz="0" w:space="0" w:color="auto"/>
        <w:right w:val="none" w:sz="0" w:space="0" w:color="auto"/>
      </w:divBdr>
      <w:divsChild>
        <w:div w:id="893858559">
          <w:marLeft w:val="0"/>
          <w:marRight w:val="0"/>
          <w:marTop w:val="0"/>
          <w:marBottom w:val="0"/>
          <w:divBdr>
            <w:top w:val="none" w:sz="0" w:space="0" w:color="auto"/>
            <w:left w:val="none" w:sz="0" w:space="0" w:color="auto"/>
            <w:bottom w:val="none" w:sz="0" w:space="0" w:color="auto"/>
            <w:right w:val="none" w:sz="0" w:space="0" w:color="auto"/>
          </w:divBdr>
        </w:div>
      </w:divsChild>
    </w:div>
    <w:div w:id="2103602184">
      <w:marLeft w:val="0"/>
      <w:marRight w:val="0"/>
      <w:marTop w:val="200"/>
      <w:marBottom w:val="0"/>
      <w:divBdr>
        <w:top w:val="none" w:sz="0" w:space="0" w:color="auto"/>
        <w:left w:val="none" w:sz="0" w:space="0" w:color="auto"/>
        <w:bottom w:val="none" w:sz="0" w:space="0" w:color="auto"/>
        <w:right w:val="none" w:sz="0" w:space="0" w:color="auto"/>
      </w:divBdr>
    </w:div>
    <w:div w:id="2103715559">
      <w:marLeft w:val="0"/>
      <w:marRight w:val="0"/>
      <w:marTop w:val="200"/>
      <w:marBottom w:val="0"/>
      <w:divBdr>
        <w:top w:val="none" w:sz="0" w:space="0" w:color="auto"/>
        <w:left w:val="none" w:sz="0" w:space="0" w:color="auto"/>
        <w:bottom w:val="none" w:sz="0" w:space="0" w:color="auto"/>
        <w:right w:val="none" w:sz="0" w:space="0" w:color="auto"/>
      </w:divBdr>
    </w:div>
    <w:div w:id="2106462749">
      <w:marLeft w:val="0"/>
      <w:marRight w:val="0"/>
      <w:marTop w:val="0"/>
      <w:marBottom w:val="0"/>
      <w:divBdr>
        <w:top w:val="none" w:sz="0" w:space="0" w:color="auto"/>
        <w:left w:val="none" w:sz="0" w:space="0" w:color="auto"/>
        <w:bottom w:val="none" w:sz="0" w:space="0" w:color="auto"/>
        <w:right w:val="none" w:sz="0" w:space="0" w:color="auto"/>
      </w:divBdr>
      <w:divsChild>
        <w:div w:id="2095081496">
          <w:marLeft w:val="0"/>
          <w:marRight w:val="0"/>
          <w:marTop w:val="0"/>
          <w:marBottom w:val="0"/>
          <w:divBdr>
            <w:top w:val="none" w:sz="0" w:space="0" w:color="auto"/>
            <w:left w:val="none" w:sz="0" w:space="0" w:color="auto"/>
            <w:bottom w:val="none" w:sz="0" w:space="0" w:color="auto"/>
            <w:right w:val="none" w:sz="0" w:space="0" w:color="auto"/>
          </w:divBdr>
        </w:div>
      </w:divsChild>
    </w:div>
    <w:div w:id="2107652658">
      <w:marLeft w:val="0"/>
      <w:marRight w:val="0"/>
      <w:marTop w:val="0"/>
      <w:marBottom w:val="0"/>
      <w:divBdr>
        <w:top w:val="none" w:sz="0" w:space="0" w:color="auto"/>
        <w:left w:val="none" w:sz="0" w:space="0" w:color="auto"/>
        <w:bottom w:val="none" w:sz="0" w:space="0" w:color="auto"/>
        <w:right w:val="none" w:sz="0" w:space="0" w:color="auto"/>
      </w:divBdr>
      <w:divsChild>
        <w:div w:id="1164275527">
          <w:marLeft w:val="0"/>
          <w:marRight w:val="0"/>
          <w:marTop w:val="0"/>
          <w:marBottom w:val="0"/>
          <w:divBdr>
            <w:top w:val="none" w:sz="0" w:space="0" w:color="auto"/>
            <w:left w:val="none" w:sz="0" w:space="0" w:color="auto"/>
            <w:bottom w:val="none" w:sz="0" w:space="0" w:color="auto"/>
            <w:right w:val="none" w:sz="0" w:space="0" w:color="auto"/>
          </w:divBdr>
        </w:div>
        <w:div w:id="688603897">
          <w:marLeft w:val="0"/>
          <w:marRight w:val="0"/>
          <w:marTop w:val="0"/>
          <w:marBottom w:val="0"/>
          <w:divBdr>
            <w:top w:val="none" w:sz="0" w:space="0" w:color="auto"/>
            <w:left w:val="none" w:sz="0" w:space="0" w:color="auto"/>
            <w:bottom w:val="none" w:sz="0" w:space="0" w:color="auto"/>
            <w:right w:val="none" w:sz="0" w:space="0" w:color="auto"/>
          </w:divBdr>
        </w:div>
        <w:div w:id="1864399437">
          <w:marLeft w:val="0"/>
          <w:marRight w:val="0"/>
          <w:marTop w:val="0"/>
          <w:marBottom w:val="0"/>
          <w:divBdr>
            <w:top w:val="none" w:sz="0" w:space="0" w:color="auto"/>
            <w:left w:val="none" w:sz="0" w:space="0" w:color="auto"/>
            <w:bottom w:val="none" w:sz="0" w:space="0" w:color="auto"/>
            <w:right w:val="none" w:sz="0" w:space="0" w:color="auto"/>
          </w:divBdr>
        </w:div>
        <w:div w:id="126046570">
          <w:marLeft w:val="0"/>
          <w:marRight w:val="0"/>
          <w:marTop w:val="0"/>
          <w:marBottom w:val="0"/>
          <w:divBdr>
            <w:top w:val="none" w:sz="0" w:space="0" w:color="auto"/>
            <w:left w:val="none" w:sz="0" w:space="0" w:color="auto"/>
            <w:bottom w:val="none" w:sz="0" w:space="0" w:color="auto"/>
            <w:right w:val="none" w:sz="0" w:space="0" w:color="auto"/>
          </w:divBdr>
        </w:div>
      </w:divsChild>
    </w:div>
    <w:div w:id="2107799579">
      <w:marLeft w:val="0"/>
      <w:marRight w:val="0"/>
      <w:marTop w:val="0"/>
      <w:marBottom w:val="0"/>
      <w:divBdr>
        <w:top w:val="none" w:sz="0" w:space="0" w:color="auto"/>
        <w:left w:val="none" w:sz="0" w:space="0" w:color="auto"/>
        <w:bottom w:val="none" w:sz="0" w:space="0" w:color="auto"/>
        <w:right w:val="none" w:sz="0" w:space="0" w:color="auto"/>
      </w:divBdr>
      <w:divsChild>
        <w:div w:id="1584292767">
          <w:marLeft w:val="0"/>
          <w:marRight w:val="0"/>
          <w:marTop w:val="0"/>
          <w:marBottom w:val="0"/>
          <w:divBdr>
            <w:top w:val="none" w:sz="0" w:space="0" w:color="auto"/>
            <w:left w:val="none" w:sz="0" w:space="0" w:color="auto"/>
            <w:bottom w:val="none" w:sz="0" w:space="0" w:color="auto"/>
            <w:right w:val="none" w:sz="0" w:space="0" w:color="auto"/>
          </w:divBdr>
        </w:div>
      </w:divsChild>
    </w:div>
    <w:div w:id="2109739056">
      <w:marLeft w:val="0"/>
      <w:marRight w:val="0"/>
      <w:marTop w:val="0"/>
      <w:marBottom w:val="0"/>
      <w:divBdr>
        <w:top w:val="none" w:sz="0" w:space="0" w:color="auto"/>
        <w:left w:val="none" w:sz="0" w:space="0" w:color="auto"/>
        <w:bottom w:val="none" w:sz="0" w:space="0" w:color="auto"/>
        <w:right w:val="none" w:sz="0" w:space="0" w:color="auto"/>
      </w:divBdr>
      <w:divsChild>
        <w:div w:id="1413309860">
          <w:marLeft w:val="0"/>
          <w:marRight w:val="0"/>
          <w:marTop w:val="0"/>
          <w:marBottom w:val="0"/>
          <w:divBdr>
            <w:top w:val="none" w:sz="0" w:space="0" w:color="auto"/>
            <w:left w:val="none" w:sz="0" w:space="0" w:color="auto"/>
            <w:bottom w:val="none" w:sz="0" w:space="0" w:color="auto"/>
            <w:right w:val="none" w:sz="0" w:space="0" w:color="auto"/>
          </w:divBdr>
        </w:div>
      </w:divsChild>
    </w:div>
    <w:div w:id="2110930336">
      <w:marLeft w:val="0"/>
      <w:marRight w:val="0"/>
      <w:marTop w:val="200"/>
      <w:marBottom w:val="0"/>
      <w:divBdr>
        <w:top w:val="none" w:sz="0" w:space="0" w:color="auto"/>
        <w:left w:val="none" w:sz="0" w:space="0" w:color="auto"/>
        <w:bottom w:val="none" w:sz="0" w:space="0" w:color="auto"/>
        <w:right w:val="none" w:sz="0" w:space="0" w:color="auto"/>
      </w:divBdr>
    </w:div>
    <w:div w:id="2113039855">
      <w:marLeft w:val="0"/>
      <w:marRight w:val="0"/>
      <w:marTop w:val="0"/>
      <w:marBottom w:val="0"/>
      <w:divBdr>
        <w:top w:val="none" w:sz="0" w:space="0" w:color="auto"/>
        <w:left w:val="none" w:sz="0" w:space="0" w:color="auto"/>
        <w:bottom w:val="none" w:sz="0" w:space="0" w:color="auto"/>
        <w:right w:val="none" w:sz="0" w:space="0" w:color="auto"/>
      </w:divBdr>
      <w:divsChild>
        <w:div w:id="1660767454">
          <w:marLeft w:val="0"/>
          <w:marRight w:val="0"/>
          <w:marTop w:val="0"/>
          <w:marBottom w:val="0"/>
          <w:divBdr>
            <w:top w:val="none" w:sz="0" w:space="0" w:color="auto"/>
            <w:left w:val="none" w:sz="0" w:space="0" w:color="auto"/>
            <w:bottom w:val="none" w:sz="0" w:space="0" w:color="auto"/>
            <w:right w:val="none" w:sz="0" w:space="0" w:color="auto"/>
          </w:divBdr>
        </w:div>
      </w:divsChild>
    </w:div>
    <w:div w:id="2114323968">
      <w:marLeft w:val="0"/>
      <w:marRight w:val="0"/>
      <w:marTop w:val="0"/>
      <w:marBottom w:val="0"/>
      <w:divBdr>
        <w:top w:val="none" w:sz="0" w:space="0" w:color="auto"/>
        <w:left w:val="none" w:sz="0" w:space="0" w:color="auto"/>
        <w:bottom w:val="none" w:sz="0" w:space="0" w:color="auto"/>
        <w:right w:val="none" w:sz="0" w:space="0" w:color="auto"/>
      </w:divBdr>
    </w:div>
    <w:div w:id="2115902890">
      <w:marLeft w:val="0"/>
      <w:marRight w:val="0"/>
      <w:marTop w:val="0"/>
      <w:marBottom w:val="0"/>
      <w:divBdr>
        <w:top w:val="none" w:sz="0" w:space="0" w:color="auto"/>
        <w:left w:val="none" w:sz="0" w:space="0" w:color="auto"/>
        <w:bottom w:val="none" w:sz="0" w:space="0" w:color="auto"/>
        <w:right w:val="none" w:sz="0" w:space="0" w:color="auto"/>
      </w:divBdr>
    </w:div>
    <w:div w:id="2119640563">
      <w:marLeft w:val="0"/>
      <w:marRight w:val="0"/>
      <w:marTop w:val="200"/>
      <w:marBottom w:val="0"/>
      <w:divBdr>
        <w:top w:val="none" w:sz="0" w:space="0" w:color="auto"/>
        <w:left w:val="none" w:sz="0" w:space="0" w:color="auto"/>
        <w:bottom w:val="none" w:sz="0" w:space="0" w:color="auto"/>
        <w:right w:val="none" w:sz="0" w:space="0" w:color="auto"/>
      </w:divBdr>
    </w:div>
    <w:div w:id="2120685737">
      <w:marLeft w:val="0"/>
      <w:marRight w:val="0"/>
      <w:marTop w:val="200"/>
      <w:marBottom w:val="0"/>
      <w:divBdr>
        <w:top w:val="none" w:sz="0" w:space="0" w:color="auto"/>
        <w:left w:val="none" w:sz="0" w:space="0" w:color="auto"/>
        <w:bottom w:val="none" w:sz="0" w:space="0" w:color="auto"/>
        <w:right w:val="none" w:sz="0" w:space="0" w:color="auto"/>
      </w:divBdr>
    </w:div>
    <w:div w:id="2121794192">
      <w:marLeft w:val="0"/>
      <w:marRight w:val="0"/>
      <w:marTop w:val="0"/>
      <w:marBottom w:val="0"/>
      <w:divBdr>
        <w:top w:val="none" w:sz="0" w:space="0" w:color="auto"/>
        <w:left w:val="none" w:sz="0" w:space="0" w:color="auto"/>
        <w:bottom w:val="none" w:sz="0" w:space="0" w:color="auto"/>
        <w:right w:val="none" w:sz="0" w:space="0" w:color="auto"/>
      </w:divBdr>
      <w:divsChild>
        <w:div w:id="226771742">
          <w:marLeft w:val="0"/>
          <w:marRight w:val="0"/>
          <w:marTop w:val="0"/>
          <w:marBottom w:val="0"/>
          <w:divBdr>
            <w:top w:val="none" w:sz="0" w:space="0" w:color="auto"/>
            <w:left w:val="none" w:sz="0" w:space="0" w:color="auto"/>
            <w:bottom w:val="none" w:sz="0" w:space="0" w:color="auto"/>
            <w:right w:val="none" w:sz="0" w:space="0" w:color="auto"/>
          </w:divBdr>
        </w:div>
      </w:divsChild>
    </w:div>
    <w:div w:id="2125608371">
      <w:marLeft w:val="0"/>
      <w:marRight w:val="0"/>
      <w:marTop w:val="0"/>
      <w:marBottom w:val="0"/>
      <w:divBdr>
        <w:top w:val="none" w:sz="0" w:space="0" w:color="auto"/>
        <w:left w:val="none" w:sz="0" w:space="0" w:color="auto"/>
        <w:bottom w:val="none" w:sz="0" w:space="0" w:color="auto"/>
        <w:right w:val="none" w:sz="0" w:space="0" w:color="auto"/>
      </w:divBdr>
    </w:div>
    <w:div w:id="2129086405">
      <w:marLeft w:val="0"/>
      <w:marRight w:val="0"/>
      <w:marTop w:val="0"/>
      <w:marBottom w:val="0"/>
      <w:divBdr>
        <w:top w:val="none" w:sz="0" w:space="0" w:color="auto"/>
        <w:left w:val="none" w:sz="0" w:space="0" w:color="auto"/>
        <w:bottom w:val="none" w:sz="0" w:space="0" w:color="auto"/>
        <w:right w:val="none" w:sz="0" w:space="0" w:color="auto"/>
      </w:divBdr>
      <w:divsChild>
        <w:div w:id="1408846927">
          <w:marLeft w:val="0"/>
          <w:marRight w:val="0"/>
          <w:marTop w:val="0"/>
          <w:marBottom w:val="0"/>
          <w:divBdr>
            <w:top w:val="none" w:sz="0" w:space="0" w:color="auto"/>
            <w:left w:val="none" w:sz="0" w:space="0" w:color="auto"/>
            <w:bottom w:val="none" w:sz="0" w:space="0" w:color="auto"/>
            <w:right w:val="none" w:sz="0" w:space="0" w:color="auto"/>
          </w:divBdr>
        </w:div>
      </w:divsChild>
    </w:div>
    <w:div w:id="2131049214">
      <w:marLeft w:val="0"/>
      <w:marRight w:val="0"/>
      <w:marTop w:val="0"/>
      <w:marBottom w:val="0"/>
      <w:divBdr>
        <w:top w:val="none" w:sz="0" w:space="0" w:color="auto"/>
        <w:left w:val="none" w:sz="0" w:space="0" w:color="auto"/>
        <w:bottom w:val="none" w:sz="0" w:space="0" w:color="auto"/>
        <w:right w:val="none" w:sz="0" w:space="0" w:color="auto"/>
      </w:divBdr>
    </w:div>
    <w:div w:id="2131317824">
      <w:marLeft w:val="0"/>
      <w:marRight w:val="0"/>
      <w:marTop w:val="180"/>
      <w:marBottom w:val="0"/>
      <w:divBdr>
        <w:top w:val="none" w:sz="0" w:space="0" w:color="auto"/>
        <w:left w:val="none" w:sz="0" w:space="0" w:color="auto"/>
        <w:bottom w:val="none" w:sz="0" w:space="0" w:color="auto"/>
        <w:right w:val="none" w:sz="0" w:space="0" w:color="auto"/>
      </w:divBdr>
    </w:div>
    <w:div w:id="2131588626">
      <w:marLeft w:val="0"/>
      <w:marRight w:val="0"/>
      <w:marTop w:val="0"/>
      <w:marBottom w:val="0"/>
      <w:divBdr>
        <w:top w:val="none" w:sz="0" w:space="0" w:color="auto"/>
        <w:left w:val="none" w:sz="0" w:space="0" w:color="auto"/>
        <w:bottom w:val="none" w:sz="0" w:space="0" w:color="auto"/>
        <w:right w:val="none" w:sz="0" w:space="0" w:color="auto"/>
      </w:divBdr>
    </w:div>
    <w:div w:id="2132237229">
      <w:marLeft w:val="0"/>
      <w:marRight w:val="0"/>
      <w:marTop w:val="0"/>
      <w:marBottom w:val="0"/>
      <w:divBdr>
        <w:top w:val="none" w:sz="0" w:space="0" w:color="auto"/>
        <w:left w:val="none" w:sz="0" w:space="0" w:color="auto"/>
        <w:bottom w:val="none" w:sz="0" w:space="0" w:color="auto"/>
        <w:right w:val="none" w:sz="0" w:space="0" w:color="auto"/>
      </w:divBdr>
      <w:divsChild>
        <w:div w:id="431821178">
          <w:marLeft w:val="0"/>
          <w:marRight w:val="0"/>
          <w:marTop w:val="0"/>
          <w:marBottom w:val="0"/>
          <w:divBdr>
            <w:top w:val="none" w:sz="0" w:space="0" w:color="auto"/>
            <w:left w:val="none" w:sz="0" w:space="0" w:color="auto"/>
            <w:bottom w:val="none" w:sz="0" w:space="0" w:color="auto"/>
            <w:right w:val="none" w:sz="0" w:space="0" w:color="auto"/>
          </w:divBdr>
        </w:div>
      </w:divsChild>
    </w:div>
    <w:div w:id="2133085470">
      <w:marLeft w:val="0"/>
      <w:marRight w:val="0"/>
      <w:marTop w:val="200"/>
      <w:marBottom w:val="0"/>
      <w:divBdr>
        <w:top w:val="none" w:sz="0" w:space="0" w:color="auto"/>
        <w:left w:val="none" w:sz="0" w:space="0" w:color="auto"/>
        <w:bottom w:val="none" w:sz="0" w:space="0" w:color="auto"/>
        <w:right w:val="none" w:sz="0" w:space="0" w:color="auto"/>
      </w:divBdr>
    </w:div>
    <w:div w:id="2136948673">
      <w:marLeft w:val="0"/>
      <w:marRight w:val="0"/>
      <w:marTop w:val="0"/>
      <w:marBottom w:val="0"/>
      <w:divBdr>
        <w:top w:val="none" w:sz="0" w:space="0" w:color="auto"/>
        <w:left w:val="none" w:sz="0" w:space="0" w:color="auto"/>
        <w:bottom w:val="none" w:sz="0" w:space="0" w:color="auto"/>
        <w:right w:val="none" w:sz="0" w:space="0" w:color="auto"/>
      </w:divBdr>
    </w:div>
    <w:div w:id="2138641738">
      <w:marLeft w:val="0"/>
      <w:marRight w:val="0"/>
      <w:marTop w:val="0"/>
      <w:marBottom w:val="200"/>
      <w:divBdr>
        <w:top w:val="none" w:sz="0" w:space="0" w:color="auto"/>
        <w:left w:val="none" w:sz="0" w:space="0" w:color="auto"/>
        <w:bottom w:val="none" w:sz="0" w:space="0" w:color="auto"/>
        <w:right w:val="none" w:sz="0" w:space="0" w:color="auto"/>
      </w:divBdr>
    </w:div>
    <w:div w:id="2140563838">
      <w:marLeft w:val="0"/>
      <w:marRight w:val="0"/>
      <w:marTop w:val="0"/>
      <w:marBottom w:val="0"/>
      <w:divBdr>
        <w:top w:val="none" w:sz="0" w:space="0" w:color="auto"/>
        <w:left w:val="none" w:sz="0" w:space="0" w:color="auto"/>
        <w:bottom w:val="none" w:sz="0" w:space="0" w:color="auto"/>
        <w:right w:val="none" w:sz="0" w:space="0" w:color="auto"/>
      </w:divBdr>
    </w:div>
    <w:div w:id="2140683105">
      <w:marLeft w:val="0"/>
      <w:marRight w:val="0"/>
      <w:marTop w:val="0"/>
      <w:marBottom w:val="0"/>
      <w:divBdr>
        <w:top w:val="none" w:sz="0" w:space="0" w:color="auto"/>
        <w:left w:val="none" w:sz="0" w:space="0" w:color="auto"/>
        <w:bottom w:val="none" w:sz="0" w:space="0" w:color="auto"/>
        <w:right w:val="none" w:sz="0" w:space="0" w:color="auto"/>
      </w:divBdr>
    </w:div>
    <w:div w:id="2141486626">
      <w:marLeft w:val="0"/>
      <w:marRight w:val="0"/>
      <w:marTop w:val="0"/>
      <w:marBottom w:val="0"/>
      <w:divBdr>
        <w:top w:val="none" w:sz="0" w:space="0" w:color="auto"/>
        <w:left w:val="none" w:sz="0" w:space="0" w:color="auto"/>
        <w:bottom w:val="none" w:sz="0" w:space="0" w:color="auto"/>
        <w:right w:val="none" w:sz="0" w:space="0" w:color="auto"/>
      </w:divBdr>
    </w:div>
    <w:div w:id="2142141870">
      <w:marLeft w:val="0"/>
      <w:marRight w:val="0"/>
      <w:marTop w:val="0"/>
      <w:marBottom w:val="0"/>
      <w:divBdr>
        <w:top w:val="none" w:sz="0" w:space="0" w:color="auto"/>
        <w:left w:val="none" w:sz="0" w:space="0" w:color="auto"/>
        <w:bottom w:val="none" w:sz="0" w:space="0" w:color="auto"/>
        <w:right w:val="none" w:sz="0" w:space="0" w:color="auto"/>
      </w:divBdr>
    </w:div>
    <w:div w:id="2145585544">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ex420-mountaineeracknowled.htm" TargetMode="External"/><Relationship Id="rId117" Type="http://schemas.openxmlformats.org/officeDocument/2006/relationships/hyperlink" Target="ex420-mountaineeracknowled.htm" TargetMode="External"/><Relationship Id="rId21" Type="http://schemas.openxmlformats.org/officeDocument/2006/relationships/hyperlink" Target="http://www.sec.gov/Archives/edgar/data/100548/000156459018031504/ugi-ex41_6.htm" TargetMode="External"/><Relationship Id="rId42" Type="http://schemas.openxmlformats.org/officeDocument/2006/relationships/hyperlink" Target="https://www.sec.gov/Archives/edgar/data/0000884614/000119312521172483/d186296dex46.htm" TargetMode="External"/><Relationship Id="rId47" Type="http://schemas.openxmlformats.org/officeDocument/2006/relationships/hyperlink" Target="http://www.sec.gov/Archives/edgar/data/884614/000088461417000023/ugicorpq363017ex101.htm" TargetMode="External"/><Relationship Id="rId63" Type="http://schemas.openxmlformats.org/officeDocument/2006/relationships/hyperlink" Target="https://www.sec.gov/Archives/edgar/data/884614/000088461421000048/ex102formofugiperformanceu.htm" TargetMode="External"/><Relationship Id="rId68" Type="http://schemas.openxmlformats.org/officeDocument/2006/relationships/hyperlink" Target="https://www.sec.gov/Archives/edgar/data/884614/000088461423000025/formof-noncompetexbeardex1.htm" TargetMode="External"/><Relationship Id="rId84" Type="http://schemas.openxmlformats.org/officeDocument/2006/relationships/hyperlink" Target="https://www.sec.gov/Archives/edgar/data/884614/000119312521311261/d251656dex101.htm" TargetMode="External"/><Relationship Id="rId89" Type="http://schemas.openxmlformats.org/officeDocument/2006/relationships/hyperlink" Target="https://www.sec.gov/Archives/edgar/data/884614/000088461419000059/a2019ugicorp10kex1041.htm" TargetMode="External"/><Relationship Id="rId112" Type="http://schemas.openxmlformats.org/officeDocument/2006/relationships/hyperlink" Target="a2023ugicorp10kex311.htm" TargetMode="External"/><Relationship Id="rId16" Type="http://schemas.openxmlformats.org/officeDocument/2006/relationships/hyperlink" Target="http://www.sec.gov/Archives/edgar/data/932628/000119312516804811/d262286dex41.htm" TargetMode="External"/><Relationship Id="rId107" Type="http://schemas.openxmlformats.org/officeDocument/2006/relationships/hyperlink" Target="https://www.sec.gov/Archives/edgar/data/884614/000088461423000033/ex101march72023.htm" TargetMode="External"/><Relationship Id="rId11" Type="http://schemas.openxmlformats.org/officeDocument/2006/relationships/hyperlink" Target="http://www.sec.gov/Archives/edgar/data/100548/000129993306006020/exhibit1.htm" TargetMode="External"/><Relationship Id="rId32" Type="http://schemas.openxmlformats.org/officeDocument/2006/relationships/hyperlink" Target="https://www.sec.gov/Archives/edgar/data/0000884614/000119312521172483/d186296dex41.htm" TargetMode="External"/><Relationship Id="rId37" Type="http://schemas.openxmlformats.org/officeDocument/2006/relationships/hyperlink" Target="https://www.sec.gov/Archives/edgar/data/0000884614/000119312521172483/d186296dex41.htm" TargetMode="External"/><Relationship Id="rId53" Type="http://schemas.openxmlformats.org/officeDocument/2006/relationships/hyperlink" Target="https://www.sec.gov/Archives/edgar/data/884614/000088461422000061/ex1010ugicorporationtermsa.htm" TargetMode="External"/><Relationship Id="rId58" Type="http://schemas.openxmlformats.org/officeDocument/2006/relationships/hyperlink" Target="https://www.sec.gov/Archives/edgar/data/884614/000088461421000026/exhibit104-nonxemployeedir.htm" TargetMode="External"/><Relationship Id="rId74" Type="http://schemas.openxmlformats.org/officeDocument/2006/relationships/hyperlink" Target="https://www.sec.gov/Archives/edgar/data/884614/000088461421000065/ex1032ciczagorski.htm" TargetMode="External"/><Relationship Id="rId79" Type="http://schemas.openxmlformats.org/officeDocument/2006/relationships/hyperlink" Target="https://www.sec.gov/Archives/edgar/data/884614/000088461421000065/ex1032ciczagorski.htm" TargetMode="External"/><Relationship Id="rId102" Type="http://schemas.openxmlformats.org/officeDocument/2006/relationships/hyperlink" Target="https://www.sec.gov/Archives/edgar/data/884614/000088461423000052/ex101.htm" TargetMode="External"/><Relationship Id="rId123" Type="http://schemas.openxmlformats.org/officeDocument/2006/relationships/hyperlink" Target="a2023ugicorp10kex32.htm" TargetMode="External"/><Relationship Id="rId5" Type="http://schemas.openxmlformats.org/officeDocument/2006/relationships/image" Target="file:///E:\projects\LLMs\new_data_collection\data_new\htm\UGI%20CORP\ugi-20230930_g2.jpg" TargetMode="External"/><Relationship Id="rId90" Type="http://schemas.openxmlformats.org/officeDocument/2006/relationships/hyperlink" Target="http://www.sec.gov/Archives/edgar/data/100548/000010054816000045/ex10192016ugiutilities10-k.htm" TargetMode="External"/><Relationship Id="rId95" Type="http://schemas.openxmlformats.org/officeDocument/2006/relationships/hyperlink" Target="https://www.sec.gov/Archives/edgar/data/884614/000088461422000037/ex10.htm" TargetMode="External"/><Relationship Id="rId22" Type="http://schemas.openxmlformats.org/officeDocument/2006/relationships/hyperlink" Target="https://www.sec.gov/Archives/edgar/data/884614/000088461420000018/ex41npa.htm" TargetMode="External"/><Relationship Id="rId27" Type="http://schemas.openxmlformats.org/officeDocument/2006/relationships/hyperlink" Target="https://www.sec.gov/Archives/edgar/data/0000884614/000119312521172483/d186296dex41.htm" TargetMode="External"/><Relationship Id="rId43" Type="http://schemas.openxmlformats.org/officeDocument/2006/relationships/hyperlink" Target="https://www.sec.gov/Archives/edgar/data/884614/000088461421000065/exhibit422-descriptionofse.htm" TargetMode="External"/><Relationship Id="rId48" Type="http://schemas.openxmlformats.org/officeDocument/2006/relationships/hyperlink" Target="http://www.sec.gov/Archives/edgar/data/884614/000088461416000067/a2016ugicorp10kex1030.htm" TargetMode="External"/><Relationship Id="rId64" Type="http://schemas.openxmlformats.org/officeDocument/2006/relationships/hyperlink" Target="https://www.sec.gov/Archives/edgar/data/884614/000088461421000048/ex103formofugiannualrestri.htm" TargetMode="External"/><Relationship Id="rId69" Type="http://schemas.openxmlformats.org/officeDocument/2006/relationships/hyperlink" Target="https://www.sec.gov/Archives/edgar/data/884614/000088461421000065/ex1031ndazagorski.htm" TargetMode="External"/><Relationship Id="rId113" Type="http://schemas.openxmlformats.org/officeDocument/2006/relationships/hyperlink" Target="a2023ugicorp10kex312.htm" TargetMode="External"/><Relationship Id="rId118" Type="http://schemas.openxmlformats.org/officeDocument/2006/relationships/hyperlink" Target="ex1028-koerwernonxcompete.htm" TargetMode="External"/><Relationship Id="rId80" Type="http://schemas.openxmlformats.org/officeDocument/2006/relationships/hyperlink" Target="http://www.sec.gov/Archives/edgar/data/884614/000088461417000029/a2017ugicorp10kex1038.htm" TargetMode="External"/><Relationship Id="rId85" Type="http://schemas.openxmlformats.org/officeDocument/2006/relationships/hyperlink" Target="https://www.sec.gov/Archives/edgar/data/884614/000088461422000053/exhibit102.htm" TargetMode="External"/><Relationship Id="rId12" Type="http://schemas.openxmlformats.org/officeDocument/2006/relationships/hyperlink" Target="http://www.sec.gov/Archives/edgar/data/100548/000010054813000013/exhibit41.htm" TargetMode="External"/><Relationship Id="rId17" Type="http://schemas.openxmlformats.org/officeDocument/2006/relationships/hyperlink" Target="http://www.sec.gov/Archives/edgar/data/932628/000119312517040517/d315984dex41.htm" TargetMode="External"/><Relationship Id="rId33" Type="http://schemas.openxmlformats.org/officeDocument/2006/relationships/hyperlink" Target="https://www.sec.gov/Archives/edgar/data/0000884614/000119312521172483/d186296dex41.htm" TargetMode="External"/><Relationship Id="rId38" Type="http://schemas.openxmlformats.org/officeDocument/2006/relationships/hyperlink" Target="https://www.sec.gov/Archives/edgar/data/0000884614/000119312521172483/d186296dex41.htm" TargetMode="External"/><Relationship Id="rId59" Type="http://schemas.openxmlformats.org/officeDocument/2006/relationships/hyperlink" Target="https://www.sec.gov/Archives/edgar/data/884614/000088461421000026/exhibit105-nonxemployeedir.htm" TargetMode="External"/><Relationship Id="rId103" Type="http://schemas.openxmlformats.org/officeDocument/2006/relationships/hyperlink" Target="https://www.sec.gov/Archives/edgar/data/884614/000088461423000082/ex10192023.htm" TargetMode="External"/><Relationship Id="rId108" Type="http://schemas.openxmlformats.org/officeDocument/2006/relationships/hyperlink" Target="https://www.sec.gov/Archives/edgar/data/884614/000114036123053439/ef20014720_ex10-1.htm" TargetMode="External"/><Relationship Id="rId124" Type="http://schemas.openxmlformats.org/officeDocument/2006/relationships/hyperlink" Target="ex971ugicorporationclawbac.htm" TargetMode="External"/><Relationship Id="rId54" Type="http://schemas.openxmlformats.org/officeDocument/2006/relationships/hyperlink" Target="https://www.sec.gov/Archives/edgar/data/884614/000088461421000056/exhibit101-executivesevera.htm" TargetMode="External"/><Relationship Id="rId70" Type="http://schemas.openxmlformats.org/officeDocument/2006/relationships/hyperlink" Target="https://www.sec.gov/Archives/edgar/data/884614/000088461423000046/ex102formofnon-competexobr.htm" TargetMode="External"/><Relationship Id="rId75" Type="http://schemas.openxmlformats.org/officeDocument/2006/relationships/hyperlink" Target="https://www.sec.gov/Archives/edgar/data/884614/000088461421000065/ex1032ciczagorski.htm" TargetMode="External"/><Relationship Id="rId91" Type="http://schemas.openxmlformats.org/officeDocument/2006/relationships/hyperlink" Target="https://www.sec.gov/Archives/edgar/data/884614/000088461420000052/ugiex10xxamendmenttoga.htm" TargetMode="External"/><Relationship Id="rId96" Type="http://schemas.openxmlformats.org/officeDocument/2006/relationships/hyperlink" Target="http://www.sec.gov/Archives/edgar/data/884614/000119312519220456/d764256dex101.htm" TargetMode="External"/><Relationship Id="rId1" Type="http://schemas.openxmlformats.org/officeDocument/2006/relationships/styles" Target="styles.xml"/><Relationship Id="rId6" Type="http://schemas.openxmlformats.org/officeDocument/2006/relationships/hyperlink" Target="http://www.sec.gov/Archives/edgar/data/884614/000089322005001873/w11244exv3w1.txt" TargetMode="External"/><Relationship Id="rId23" Type="http://schemas.openxmlformats.org/officeDocument/2006/relationships/hyperlink" Target="https://www.sec.gov/Archives/edgar/data/0000884614/000119312521155082/d95230dex41.htm" TargetMode="External"/><Relationship Id="rId28" Type="http://schemas.openxmlformats.org/officeDocument/2006/relationships/hyperlink" Target="https://www.sec.gov/Archives/edgar/data/0000884614/000119312521172483/d186296dex41.htm" TargetMode="External"/><Relationship Id="rId49" Type="http://schemas.openxmlformats.org/officeDocument/2006/relationships/hyperlink" Target="http://www.sec.gov/Archives/edgar/data/884614/000088461419000016/ugicorpex106.htm" TargetMode="External"/><Relationship Id="rId114" Type="http://schemas.openxmlformats.org/officeDocument/2006/relationships/hyperlink" Target="a2023ugicorp10kex32.htm" TargetMode="External"/><Relationship Id="rId119" Type="http://schemas.openxmlformats.org/officeDocument/2006/relationships/hyperlink" Target="a2023ugicorp10kex21.htm" TargetMode="External"/><Relationship Id="rId44" Type="http://schemas.openxmlformats.org/officeDocument/2006/relationships/hyperlink" Target="http://www.sec.gov/Archives/edgar/data/884614/000088461416000067/a2016ugicorp10kex1025.htm" TargetMode="External"/><Relationship Id="rId60" Type="http://schemas.openxmlformats.org/officeDocument/2006/relationships/hyperlink" Target="https://www.sec.gov/Archives/edgar/data/884614/000088461422000061/ex1017incentiveawardplanno.htm" TargetMode="External"/><Relationship Id="rId65" Type="http://schemas.openxmlformats.org/officeDocument/2006/relationships/hyperlink" Target="https://www.sec.gov/Archives/edgar/data/884614/000088461423000046/ex103formof2023psuepselt.htm" TargetMode="External"/><Relationship Id="rId81" Type="http://schemas.openxmlformats.org/officeDocument/2006/relationships/hyperlink" Target="http://www.sec.gov/Archives/edgar/data/884614/000156459018026267/ugi-ex101_6.htm" TargetMode="External"/><Relationship Id="rId86" Type="http://schemas.openxmlformats.org/officeDocument/2006/relationships/hyperlink" Target="https://www.sec.gov/Archives/edgar/data/884614/000088461423000088/exhibit101.htm" TargetMode="External"/><Relationship Id="rId13" Type="http://schemas.openxmlformats.org/officeDocument/2006/relationships/hyperlink" Target="http://www.sec.gov/Archives/edgar/data/100548/000129993316002367/exhibit1.htm" TargetMode="External"/><Relationship Id="rId18" Type="http://schemas.openxmlformats.org/officeDocument/2006/relationships/hyperlink" Target="http://www.sec.gov/Archives/edgar/data/884614/000110465918063953/a18-36615_3ex4d1.htm" TargetMode="External"/><Relationship Id="rId39" Type="http://schemas.openxmlformats.org/officeDocument/2006/relationships/hyperlink" Target="https://www.sec.gov/Archives/edgar/data/0000884614/000119312521172483/d186296dex41.htm" TargetMode="External"/><Relationship Id="rId109" Type="http://schemas.openxmlformats.org/officeDocument/2006/relationships/hyperlink" Target="https://www.sec.gov/Archives/edgar/data/884614/000088461421000065/a2021ugicorp10kex14.htm" TargetMode="External"/><Relationship Id="rId34" Type="http://schemas.openxmlformats.org/officeDocument/2006/relationships/hyperlink" Target="https://www.sec.gov/Archives/edgar/data/0000884614/000119312521172483/d186296dex41.htm" TargetMode="External"/><Relationship Id="rId50" Type="http://schemas.openxmlformats.org/officeDocument/2006/relationships/hyperlink" Target="http://www.sec.gov/Archives/edgar/data/884614/000088461417000029/a2017ugicorp10kex1026.htm" TargetMode="External"/><Relationship Id="rId55" Type="http://schemas.openxmlformats.org/officeDocument/2006/relationships/hyperlink" Target="https://www.sec.gov/Archives/edgar/data/884614/000088461421000026/exhibit101-formof21usoeas.htm" TargetMode="External"/><Relationship Id="rId76" Type="http://schemas.openxmlformats.org/officeDocument/2006/relationships/hyperlink" Target="https://www.sec.gov/Archives/edgar/data/884614/000088461421000065/ex1032ciczagorski.htm" TargetMode="External"/><Relationship Id="rId97" Type="http://schemas.openxmlformats.org/officeDocument/2006/relationships/hyperlink" Target="https://www.sec.gov/Archives/edgar/data/884614/000088461423000031/ex101feb232023.htm" TargetMode="External"/><Relationship Id="rId104" Type="http://schemas.openxmlformats.org/officeDocument/2006/relationships/hyperlink" Target="https://www.sec.gov/Archives/edgar/data/884614/000088461422000051/exhibit101.htm" TargetMode="External"/><Relationship Id="rId120" Type="http://schemas.openxmlformats.org/officeDocument/2006/relationships/hyperlink" Target="a2023ugicorp10kex23.htm" TargetMode="External"/><Relationship Id="rId125" Type="http://schemas.openxmlformats.org/officeDocument/2006/relationships/fontTable" Target="fontTable.xml"/><Relationship Id="rId7" Type="http://schemas.openxmlformats.org/officeDocument/2006/relationships/hyperlink" Target="http://www.sec.gov/Archives/edgar/data/884614/000129993314001194/exhibit1.htm" TargetMode="External"/><Relationship Id="rId71" Type="http://schemas.openxmlformats.org/officeDocument/2006/relationships/hyperlink" Target="ex1028-koerwernonxcompete.htm" TargetMode="External"/><Relationship Id="rId92" Type="http://schemas.openxmlformats.org/officeDocument/2006/relationships/hyperlink" Target="https://www.sec.gov/Archives/edgar/data/884614/000088461420000052/ugiex1042gassupply.htm" TargetMode="External"/><Relationship Id="rId2" Type="http://schemas.openxmlformats.org/officeDocument/2006/relationships/settings" Target="settings.xml"/><Relationship Id="rId29" Type="http://schemas.openxmlformats.org/officeDocument/2006/relationships/hyperlink" Target="https://www.sec.gov/Archives/edgar/data/0000884614/000119312521172483/d186296dex41.htm" TargetMode="External"/><Relationship Id="rId24" Type="http://schemas.openxmlformats.org/officeDocument/2006/relationships/hyperlink" Target="https://www.sec.gov/Archives/edgar/data/884614/000088461422000035/uginpaexhibit.htm" TargetMode="External"/><Relationship Id="rId40" Type="http://schemas.openxmlformats.org/officeDocument/2006/relationships/hyperlink" Target="https://www.sec.gov/Archives/edgar/data/0000884614/000119312521172483/d186296dex41.htm" TargetMode="External"/><Relationship Id="rId45" Type="http://schemas.openxmlformats.org/officeDocument/2006/relationships/hyperlink" Target="http://www.sec.gov/Archives/edgar/data/884614/000088461416000067/a2016ugicorp10kex1026.htm" TargetMode="External"/><Relationship Id="rId66" Type="http://schemas.openxmlformats.org/officeDocument/2006/relationships/hyperlink" Target="https://www.sec.gov/Archives/edgar/data/884614/000088461423000046/ex104formof2023uspsu-tsr.htm" TargetMode="External"/><Relationship Id="rId87" Type="http://schemas.openxmlformats.org/officeDocument/2006/relationships/hyperlink" Target="http://www.sec.gov/Archives/edgar/data/884614/000088461417000029/a2017ugicorp10kex1039.htm" TargetMode="External"/><Relationship Id="rId110" Type="http://schemas.openxmlformats.org/officeDocument/2006/relationships/hyperlink" Target="a2023ugicorp10kex21.htm" TargetMode="External"/><Relationship Id="rId115" Type="http://schemas.openxmlformats.org/officeDocument/2006/relationships/hyperlink" Target="ex971ugicorporationclawbac.htm" TargetMode="External"/><Relationship Id="rId61" Type="http://schemas.openxmlformats.org/officeDocument/2006/relationships/hyperlink" Target="https://www.sec.gov/Archives/edgar/data/884614/000088461422000061/ex1018restrictedstockunita.htm" TargetMode="External"/><Relationship Id="rId82" Type="http://schemas.openxmlformats.org/officeDocument/2006/relationships/hyperlink" Target="http://www.sec.gov/Archives/edgar/data/884614/000088461419000042/exhibit101-2019rpa.htm" TargetMode="External"/><Relationship Id="rId19" Type="http://schemas.openxmlformats.org/officeDocument/2006/relationships/hyperlink" Target="https://www.sec.gov/Archives/edgar/data/884614/000088461421000072/exhibit41.htm" TargetMode="External"/><Relationship Id="rId14" Type="http://schemas.openxmlformats.org/officeDocument/2006/relationships/hyperlink" Target="http://www.sec.gov/Archives/edgar/data/932628/000119312516633096/d340712dex41.htm" TargetMode="External"/><Relationship Id="rId30" Type="http://schemas.openxmlformats.org/officeDocument/2006/relationships/hyperlink" Target="https://www.sec.gov/Archives/edgar/data/0000884614/000119312521172483/d186296dex41.htm" TargetMode="External"/><Relationship Id="rId35" Type="http://schemas.openxmlformats.org/officeDocument/2006/relationships/hyperlink" Target="https://www.sec.gov/Archives/edgar/data/0000884614/000119312521172483/d186296dex41.htm" TargetMode="External"/><Relationship Id="rId56" Type="http://schemas.openxmlformats.org/officeDocument/2006/relationships/hyperlink" Target="https://www.sec.gov/Archives/edgar/data/884614/000088461421000026/exhibit102-formof21uspeas.htm" TargetMode="External"/><Relationship Id="rId77" Type="http://schemas.openxmlformats.org/officeDocument/2006/relationships/hyperlink" Target="https://www.sec.gov/Archives/edgar/data/884614/000088461421000065/ex1032ciczagorski.htm" TargetMode="External"/><Relationship Id="rId100" Type="http://schemas.openxmlformats.org/officeDocument/2006/relationships/hyperlink" Target="https://www.sec.gov/Archives/edgar/data/0000884614/000119312521155082/d95230dex101.htm" TargetMode="External"/><Relationship Id="rId105" Type="http://schemas.openxmlformats.org/officeDocument/2006/relationships/hyperlink" Target="https://www.sec.gov/Archives/edgar/data/884614/000088461423000097/ex101wellsfargo-amerigasxf.htm" TargetMode="External"/><Relationship Id="rId126" Type="http://schemas.openxmlformats.org/officeDocument/2006/relationships/theme" Target="theme/theme1.xml"/><Relationship Id="rId8" Type="http://schemas.openxmlformats.org/officeDocument/2006/relationships/hyperlink" Target="https://www.sec.gov/Archives/edgar/data/884614/000088461423000048/ex31.htm" TargetMode="External"/><Relationship Id="rId51" Type="http://schemas.openxmlformats.org/officeDocument/2006/relationships/hyperlink" Target="http://www.sec.gov/Archives/edgar/data/884614/000088461419000016/ugicorpex107.htm" TargetMode="External"/><Relationship Id="rId72" Type="http://schemas.openxmlformats.org/officeDocument/2006/relationships/hyperlink" Target="https://www.sec.gov/Archives/edgar/data/884614/000088461421000065/ex1032ciczagorski.htm" TargetMode="External"/><Relationship Id="rId93" Type="http://schemas.openxmlformats.org/officeDocument/2006/relationships/hyperlink" Target="https://www.sec.gov/Archives/edgar/data/884614/000088461421000065/ex1047gassupplyanddelivery.htm" TargetMode="External"/><Relationship Id="rId98" Type="http://schemas.openxmlformats.org/officeDocument/2006/relationships/hyperlink" Target="https://www.sec.gov/Archives/edgar/data/884614/000088461420000015/ex101ugiescreditagree.htm" TargetMode="External"/><Relationship Id="rId121" Type="http://schemas.openxmlformats.org/officeDocument/2006/relationships/hyperlink" Target="a2023ugicorp10kex311.htm" TargetMode="External"/><Relationship Id="rId3" Type="http://schemas.openxmlformats.org/officeDocument/2006/relationships/webSettings" Target="webSettings.xml"/><Relationship Id="rId25" Type="http://schemas.openxmlformats.org/officeDocument/2006/relationships/hyperlink" Target="https://www.sec.gov/Archives/edgar/data/884614/000088461422000035/mountainnpaexhibit.htm" TargetMode="External"/><Relationship Id="rId46" Type="http://schemas.openxmlformats.org/officeDocument/2006/relationships/hyperlink" Target="http://www.sec.gov/Archives/edgar/data/884614/000088461417000023/ugicorpq363017ex106.htm" TargetMode="External"/><Relationship Id="rId67" Type="http://schemas.openxmlformats.org/officeDocument/2006/relationships/hyperlink" Target="https://www.sec.gov/Archives/edgar/data/884614/000088461421000048/ex104formofrpnda.htm" TargetMode="External"/><Relationship Id="rId116" Type="http://schemas.openxmlformats.org/officeDocument/2006/relationships/hyperlink" Target="ex971ugicorporationclawbac.htm" TargetMode="External"/><Relationship Id="rId20" Type="http://schemas.openxmlformats.org/officeDocument/2006/relationships/hyperlink" Target="https://www.sec.gov/Archives/edgar/data/884614/000114036123027903/brhc20053880_ex4-1.htm" TargetMode="External"/><Relationship Id="rId41" Type="http://schemas.openxmlformats.org/officeDocument/2006/relationships/hyperlink" Target="https://www.sec.gov/Archives/edgar/data/0000884614/000119312521172483/d186296dex45.htm" TargetMode="External"/><Relationship Id="rId62" Type="http://schemas.openxmlformats.org/officeDocument/2006/relationships/hyperlink" Target="https://www.sec.gov/Archives/edgar/data/884614/000088461421000048/ex101formofnqsoagmtforallu.htm" TargetMode="External"/><Relationship Id="rId83" Type="http://schemas.openxmlformats.org/officeDocument/2006/relationships/hyperlink" Target="https://www.sec.gov/Archives/edgar/data/884614/000119312520281049/d83991dex101.htm" TargetMode="External"/><Relationship Id="rId88" Type="http://schemas.openxmlformats.org/officeDocument/2006/relationships/hyperlink" Target="https://www.sec.gov/Archives/edgar/data/884614/000088461419000059/a2019ugicorp10kex1040.htm" TargetMode="External"/><Relationship Id="rId111" Type="http://schemas.openxmlformats.org/officeDocument/2006/relationships/hyperlink" Target="a2023ugicorp10kex23.htm" TargetMode="External"/><Relationship Id="rId15" Type="http://schemas.openxmlformats.org/officeDocument/2006/relationships/hyperlink" Target="http://www.sec.gov/Archives/edgar/data/932628/000119312516633096/d340712dex42.htm" TargetMode="External"/><Relationship Id="rId36" Type="http://schemas.openxmlformats.org/officeDocument/2006/relationships/hyperlink" Target="https://www.sec.gov/Archives/edgar/data/0000884614/000119312521172483/d186296dex41.htm" TargetMode="External"/><Relationship Id="rId57" Type="http://schemas.openxmlformats.org/officeDocument/2006/relationships/hyperlink" Target="https://www.sec.gov/Archives/edgar/data/884614/000088461421000026/exhibit103-formof21usreas.htm" TargetMode="External"/><Relationship Id="rId106" Type="http://schemas.openxmlformats.org/officeDocument/2006/relationships/hyperlink" Target="https://www.sec.gov/Archives/edgar/data/884614/000088461422000053/exhibit101.htm" TargetMode="External"/><Relationship Id="rId10" Type="http://schemas.openxmlformats.org/officeDocument/2006/relationships/hyperlink" Target="https://www.sec.gov/Archives/edgar/data/0000884614/000119312521172483/d186296dex32.htm" TargetMode="External"/><Relationship Id="rId31" Type="http://schemas.openxmlformats.org/officeDocument/2006/relationships/hyperlink" Target="https://www.sec.gov/Archives/edgar/data/0000884614/000119312521172483/d186296dex41.htm" TargetMode="External"/><Relationship Id="rId52" Type="http://schemas.openxmlformats.org/officeDocument/2006/relationships/hyperlink" Target="https://www.sec.gov/Archives/edgar/data/0000884614/000119312521028892/d12597dex44.htm" TargetMode="External"/><Relationship Id="rId73" Type="http://schemas.openxmlformats.org/officeDocument/2006/relationships/hyperlink" Target="https://www.sec.gov/Archives/edgar/data/884614/000088461421000065/ex1032ciczagorski.htm" TargetMode="External"/><Relationship Id="rId78" Type="http://schemas.openxmlformats.org/officeDocument/2006/relationships/hyperlink" Target="https://www.sec.gov/Archives/edgar/data/884614/000088461421000065/ex1032ciczagorski.htm" TargetMode="External"/><Relationship Id="rId94" Type="http://schemas.openxmlformats.org/officeDocument/2006/relationships/hyperlink" Target="https://www.sec.gov/Archives/edgar/data/100548/000129993317001116/exhibit1.htm" TargetMode="External"/><Relationship Id="rId99" Type="http://schemas.openxmlformats.org/officeDocument/2006/relationships/hyperlink" Target="https://www.sec.gov/Archives/edgar/data/884614/000088461423000052/ex102.htm" TargetMode="External"/><Relationship Id="rId101" Type="http://schemas.openxmlformats.org/officeDocument/2006/relationships/hyperlink" Target="https://www.sec.gov/Archives/edgar/data/884614/000088461421000048/ex106conformedugi2021first.htm" TargetMode="External"/><Relationship Id="rId122" Type="http://schemas.openxmlformats.org/officeDocument/2006/relationships/hyperlink" Target="a2023ugicorp10kex312.htm" TargetMode="External"/><Relationship Id="rId4" Type="http://schemas.openxmlformats.org/officeDocument/2006/relationships/image" Target="file:///E:\projects\LLMs\new_data_collection\data_new\htm\UGI%20CORP\ugi-20230930_g1.jpg" TargetMode="External"/><Relationship Id="rId9" Type="http://schemas.openxmlformats.org/officeDocument/2006/relationships/hyperlink" Target="https://www.sec.gov/Archives/edgar/data/0000884614/000119312521172483/d186296dex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111551</Words>
  <Characters>635847</Characters>
  <Application>Microsoft Office Word</Application>
  <DocSecurity>0</DocSecurity>
  <Lines>5298</Lines>
  <Paragraphs>1491</Paragraphs>
  <ScaleCrop>false</ScaleCrop>
  <Company/>
  <LinksUpToDate>false</LinksUpToDate>
  <CharactersWithSpaces>745907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ugi-20230930</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