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667E7">
      <w:pPr>
        <w:pStyle w:val="a3"/>
        <w:spacing w:before="0" w:beforeAutospacing="0" w:after="0" w:afterAutospacing="0"/>
        <w:jc w:val="center"/>
        <w:rPr>
          <w:sz w:val="20"/>
          <w:szCs w:val="20"/>
        </w:rPr>
      </w:pPr>
      <w:r>
        <w:rPr>
          <w:sz w:val="20"/>
          <w:szCs w:val="20"/>
        </w:rPr>
        <w:t> </w:t>
      </w:r>
    </w:p>
    <w:p w:rsidR="00000000" w:rsidRDefault="005667E7">
      <w:pPr>
        <w:divId w:val="735858128"/>
        <w:rPr>
          <w:rFonts w:eastAsia="Times New Roman"/>
          <w:sz w:val="2"/>
          <w:szCs w:val="2"/>
        </w:rPr>
      </w:pPr>
      <w:r>
        <w:rPr>
          <w:rFonts w:eastAsia="Times New Roman"/>
          <w:sz w:val="2"/>
          <w:szCs w:val="2"/>
        </w:rPr>
        <w:t> </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36"/>
          <w:szCs w:val="36"/>
        </w:rPr>
        <w:t>UNITED STATES</w:t>
      </w:r>
    </w:p>
    <w:p w:rsidR="00000000" w:rsidRDefault="005667E7">
      <w:pPr>
        <w:pStyle w:val="a3"/>
        <w:spacing w:before="0" w:beforeAutospacing="0" w:after="0" w:afterAutospacing="0"/>
        <w:jc w:val="center"/>
        <w:rPr>
          <w:sz w:val="20"/>
          <w:szCs w:val="20"/>
        </w:rPr>
      </w:pPr>
      <w:r>
        <w:rPr>
          <w:b/>
          <w:bCs/>
          <w:sz w:val="36"/>
          <w:szCs w:val="36"/>
        </w:rPr>
        <w:t>SECURITIES AND EXCHANGE COMMISSION</w:t>
      </w:r>
    </w:p>
    <w:p w:rsidR="00000000" w:rsidRDefault="005667E7">
      <w:pPr>
        <w:pStyle w:val="a3"/>
        <w:spacing w:before="0" w:beforeAutospacing="0" w:after="0" w:afterAutospacing="0"/>
        <w:jc w:val="center"/>
        <w:rPr>
          <w:sz w:val="20"/>
          <w:szCs w:val="20"/>
        </w:rPr>
      </w:pPr>
      <w:r>
        <w:rPr>
          <w:b/>
          <w:bCs/>
        </w:rPr>
        <w:t>WASHINGTON, D.C. 20549</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36"/>
          <w:szCs w:val="36"/>
        </w:rPr>
        <w:t>Form 10-Q</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(Mark One)</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xml:space="preserve">[X] </w:t>
      </w:r>
      <w:r>
        <w:rPr>
          <w:sz w:val="20"/>
          <w:szCs w:val="20"/>
        </w:rPr>
        <w:t>QUARTERLY REPORT PURSUANT TO SECTION 13 OR 15(d) OF THE SECURITIES EXCHANGE ACT OF 1934</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FOR THE QUARTERLY PERIOD ENDED: March 31, 2020</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OR</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 TRANSITION REPORT UNDER SECTION 13 OR 15(d) OF THE SECURITIES EXCHANGE ACT OF 1934</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FOR THE TRANSITION PER</w:t>
      </w:r>
      <w:r>
        <w:rPr>
          <w:sz w:val="20"/>
          <w:szCs w:val="20"/>
        </w:rPr>
        <w:t>IOD FROM __________ TO __________</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36"/>
          <w:szCs w:val="36"/>
        </w:rPr>
        <w:t>VIVOS INC</w:t>
      </w:r>
    </w:p>
    <w:p w:rsidR="00000000" w:rsidRDefault="005667E7">
      <w:pPr>
        <w:pStyle w:val="a3"/>
        <w:spacing w:before="0" w:beforeAutospacing="0" w:after="0" w:afterAutospacing="0"/>
        <w:jc w:val="center"/>
        <w:rPr>
          <w:sz w:val="20"/>
          <w:szCs w:val="20"/>
        </w:rPr>
      </w:pPr>
      <w:r>
        <w:rPr>
          <w:sz w:val="20"/>
          <w:szCs w:val="20"/>
        </w:rPr>
        <w:t>(Exact name of registrant as specified in its charter)</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5667E7">
            <w:pPr>
              <w:jc w:val="center"/>
              <w:rPr>
                <w:rFonts w:eastAsia="Times New Roman"/>
                <w:sz w:val="20"/>
                <w:szCs w:val="20"/>
              </w:rPr>
            </w:pPr>
            <w:r>
              <w:rPr>
                <w:rFonts w:eastAsia="Times New Roman"/>
                <w:b/>
                <w:bCs/>
                <w:sz w:val="20"/>
                <w:szCs w:val="20"/>
              </w:rPr>
              <w:t>Delaware</w:t>
            </w:r>
          </w:p>
        </w:tc>
        <w:tc>
          <w:tcPr>
            <w:tcW w:w="100" w:type="pct"/>
            <w:hideMark/>
          </w:tcPr>
          <w:p w:rsidR="00000000" w:rsidRDefault="005667E7">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5667E7">
            <w:pPr>
              <w:jc w:val="center"/>
              <w:rPr>
                <w:rFonts w:eastAsia="Times New Roman"/>
                <w:sz w:val="20"/>
                <w:szCs w:val="20"/>
              </w:rPr>
            </w:pPr>
            <w:r>
              <w:rPr>
                <w:rFonts w:eastAsia="Times New Roman"/>
                <w:b/>
                <w:bCs/>
                <w:sz w:val="20"/>
                <w:szCs w:val="20"/>
              </w:rPr>
              <w:t>80-0138937</w:t>
            </w:r>
          </w:p>
        </w:tc>
      </w:tr>
      <w:tr w:rsidR="00000000">
        <w:tc>
          <w:tcPr>
            <w:tcW w:w="0" w:type="auto"/>
            <w:hideMark/>
          </w:tcPr>
          <w:p w:rsidR="00000000" w:rsidRDefault="005667E7">
            <w:pPr>
              <w:pStyle w:val="a3"/>
              <w:spacing w:before="0" w:beforeAutospacing="0" w:after="0" w:afterAutospacing="0"/>
              <w:jc w:val="center"/>
              <w:rPr>
                <w:sz w:val="20"/>
                <w:szCs w:val="20"/>
              </w:rPr>
            </w:pPr>
            <w:r>
              <w:rPr>
                <w:sz w:val="20"/>
                <w:szCs w:val="20"/>
              </w:rPr>
              <w:t>(State or other jurisdiction of</w:t>
            </w:r>
          </w:p>
          <w:p w:rsidR="00000000" w:rsidRDefault="005667E7">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pStyle w:val="a3"/>
              <w:spacing w:before="0" w:beforeAutospacing="0" w:after="0" w:afterAutospacing="0"/>
              <w:jc w:val="center"/>
              <w:rPr>
                <w:sz w:val="20"/>
                <w:szCs w:val="20"/>
              </w:rPr>
            </w:pPr>
            <w:r>
              <w:rPr>
                <w:sz w:val="20"/>
                <w:szCs w:val="20"/>
              </w:rPr>
              <w:t>(I.R.S. Employer</w:t>
            </w:r>
          </w:p>
          <w:p w:rsidR="00000000" w:rsidRDefault="005667E7">
            <w:pPr>
              <w:pStyle w:val="a3"/>
              <w:spacing w:before="0" w:beforeAutospacing="0" w:after="0" w:afterAutospacing="0"/>
              <w:jc w:val="center"/>
              <w:rPr>
                <w:sz w:val="20"/>
                <w:szCs w:val="20"/>
              </w:rPr>
            </w:pPr>
            <w:r>
              <w:rPr>
                <w:sz w:val="20"/>
                <w:szCs w:val="20"/>
              </w:rPr>
              <w:t>Identification No.)</w:t>
            </w:r>
          </w:p>
        </w:tc>
      </w:tr>
    </w:tbl>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20"/>
          <w:szCs w:val="20"/>
        </w:rPr>
        <w:t>719 Jadwin Avenue,</w:t>
      </w:r>
    </w:p>
    <w:p w:rsidR="00000000" w:rsidRDefault="005667E7">
      <w:pPr>
        <w:pStyle w:val="a3"/>
        <w:spacing w:before="0" w:beforeAutospacing="0" w:after="0" w:afterAutospacing="0"/>
        <w:jc w:val="center"/>
        <w:rPr>
          <w:sz w:val="20"/>
          <w:szCs w:val="20"/>
        </w:rPr>
      </w:pPr>
      <w:r>
        <w:rPr>
          <w:b/>
          <w:bCs/>
          <w:sz w:val="20"/>
          <w:szCs w:val="20"/>
        </w:rPr>
        <w:t>Richland, WA 99352</w:t>
      </w:r>
    </w:p>
    <w:p w:rsidR="00000000" w:rsidRDefault="005667E7">
      <w:pPr>
        <w:pStyle w:val="a3"/>
        <w:spacing w:before="0" w:beforeAutospacing="0" w:after="0" w:afterAutospacing="0"/>
        <w:jc w:val="center"/>
        <w:rPr>
          <w:sz w:val="20"/>
          <w:szCs w:val="20"/>
        </w:rPr>
      </w:pPr>
      <w:r>
        <w:rPr>
          <w:sz w:val="20"/>
          <w:szCs w:val="20"/>
        </w:rPr>
        <w:t>(Address of principal executive offices, Zip Code)</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20"/>
          <w:szCs w:val="20"/>
        </w:rPr>
        <w:t>(509) 736-4000</w:t>
      </w:r>
    </w:p>
    <w:p w:rsidR="00000000" w:rsidRDefault="005667E7">
      <w:pPr>
        <w:pStyle w:val="a3"/>
        <w:spacing w:before="0" w:beforeAutospacing="0" w:after="0" w:afterAutospacing="0"/>
        <w:jc w:val="center"/>
        <w:rPr>
          <w:sz w:val="20"/>
          <w:szCs w:val="20"/>
        </w:rPr>
      </w:pPr>
      <w:r>
        <w:rPr>
          <w:sz w:val="20"/>
          <w:szCs w:val="20"/>
        </w:rPr>
        <w:t>(Registrant’s telephone number, including area code)</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Indicate by check mark whether the registrant has submitted electronically and posted on its corporate Web site, if any, every Interactive Data File required </w:t>
      </w:r>
      <w:r>
        <w:rPr>
          <w:sz w:val="20"/>
          <w:szCs w:val="20"/>
        </w:rPr>
        <w:t>to be submitted and posted pursuant to Rule 405 of Regulation S-T during the preceding 12 months (or for such shorter period that the registrant was required to submit and post such files). Yes [X] No [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Indicate by check mark whether the registrant is</w:t>
      </w:r>
      <w:r>
        <w:rPr>
          <w:sz w:val="20"/>
          <w:szCs w:val="20"/>
        </w:rPr>
        <w:t xml:space="preserve"> a large accelerated filer, an accelerated filer, a non-accelerated filer, or a smaller reporting company. See the definitions of “large accelerated filer,” “accelerated filer”, “smaller reporting company”, and “emerging growth company” in Rule 12b-2 of th</w:t>
      </w:r>
      <w:r>
        <w:rPr>
          <w:sz w:val="20"/>
          <w:szCs w:val="20"/>
        </w:rPr>
        <w:t>e Exchange Act. (Check one):</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5667E7">
            <w:pPr>
              <w:rPr>
                <w:rFonts w:eastAsia="Times New Roman"/>
                <w:sz w:val="20"/>
                <w:szCs w:val="20"/>
              </w:rPr>
            </w:pPr>
            <w:r>
              <w:rPr>
                <w:rFonts w:eastAsia="Times New Roman"/>
                <w:sz w:val="20"/>
                <w:szCs w:val="20"/>
              </w:rPr>
              <w:t> </w:t>
            </w:r>
          </w:p>
        </w:tc>
        <w:tc>
          <w:tcPr>
            <w:tcW w:w="1750" w:type="pct"/>
            <w:hideMark/>
          </w:tcPr>
          <w:p w:rsidR="00000000" w:rsidRDefault="005667E7">
            <w:pPr>
              <w:rPr>
                <w:rFonts w:eastAsia="Times New Roman"/>
                <w:sz w:val="20"/>
                <w:szCs w:val="20"/>
              </w:rPr>
            </w:pPr>
            <w:r>
              <w:rPr>
                <w:rFonts w:eastAsia="Times New Roman"/>
                <w:sz w:val="20"/>
                <w:szCs w:val="20"/>
              </w:rPr>
              <w:t>Large accelerated filer [  ]</w:t>
            </w:r>
          </w:p>
        </w:tc>
        <w:tc>
          <w:tcPr>
            <w:tcW w:w="1750" w:type="pct"/>
            <w:hideMark/>
          </w:tcPr>
          <w:p w:rsidR="00000000" w:rsidRDefault="005667E7">
            <w:pPr>
              <w:rPr>
                <w:rFonts w:eastAsia="Times New Roman"/>
                <w:sz w:val="20"/>
                <w:szCs w:val="20"/>
              </w:rPr>
            </w:pPr>
            <w:r>
              <w:rPr>
                <w:rFonts w:eastAsia="Times New Roman"/>
                <w:sz w:val="20"/>
                <w:szCs w:val="20"/>
              </w:rPr>
              <w:t>Accelerated filer [  ]</w:t>
            </w:r>
          </w:p>
        </w:tc>
        <w:tc>
          <w:tcPr>
            <w:tcW w:w="750" w:type="pct"/>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Non-accelerated filer [X]</w:t>
            </w:r>
          </w:p>
        </w:tc>
        <w:tc>
          <w:tcPr>
            <w:tcW w:w="0" w:type="auto"/>
            <w:hideMark/>
          </w:tcPr>
          <w:p w:rsidR="00000000" w:rsidRDefault="005667E7">
            <w:pPr>
              <w:rPr>
                <w:rFonts w:eastAsia="Times New Roman"/>
                <w:sz w:val="20"/>
                <w:szCs w:val="20"/>
              </w:rPr>
            </w:pPr>
            <w:r>
              <w:rPr>
                <w:rFonts w:eastAsia="Times New Roman"/>
                <w:sz w:val="20"/>
                <w:szCs w:val="20"/>
              </w:rPr>
              <w:t>Smaller reporting company [X]</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rPr>
                <w:rFonts w:eastAsia="Times New Roman"/>
                <w:sz w:val="20"/>
                <w:szCs w:val="20"/>
              </w:rPr>
            </w:pPr>
            <w:r>
              <w:rPr>
                <w:rFonts w:eastAsia="Times New Roman"/>
                <w:sz w:val="20"/>
                <w:szCs w:val="20"/>
              </w:rPr>
              <w:lastRenderedPageBreak/>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Emerging growth company [  ]</w:t>
            </w:r>
          </w:p>
        </w:tc>
        <w:tc>
          <w:tcPr>
            <w:tcW w:w="0" w:type="auto"/>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company has elected not to use the extended transition period for complying with any new or revised financial accounting standards provided pursuant to Section 13(a) of the Exchange Act. [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Exchange Act). Yes [  ] No [X]</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5667E7">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58"/>
        <w:gridCol w:w="166"/>
        <w:gridCol w:w="1329"/>
        <w:gridCol w:w="166"/>
        <w:gridCol w:w="3987"/>
      </w:tblGrid>
      <w:tr w:rsidR="00000000">
        <w:trPr>
          <w:tblCellSpacing w:w="0" w:type="dxa"/>
        </w:trPr>
        <w:tc>
          <w:tcPr>
            <w:tcW w:w="1600" w:type="pct"/>
            <w:tcBorders>
              <w:bottom w:val="single" w:sz="12" w:space="0" w:color="000000"/>
            </w:tcBorders>
            <w:hideMark/>
          </w:tcPr>
          <w:p w:rsidR="00000000" w:rsidRDefault="005667E7">
            <w:pPr>
              <w:jc w:val="both"/>
              <w:rPr>
                <w:rFonts w:eastAsia="Times New Roman"/>
                <w:sz w:val="20"/>
                <w:szCs w:val="20"/>
              </w:rPr>
            </w:pPr>
            <w:r>
              <w:rPr>
                <w:rFonts w:eastAsia="Times New Roman"/>
                <w:b/>
                <w:bCs/>
                <w:sz w:val="20"/>
                <w:szCs w:val="20"/>
              </w:rPr>
              <w:t>Title of Each Class</w:t>
            </w:r>
          </w:p>
        </w:tc>
        <w:tc>
          <w:tcPr>
            <w:tcW w:w="100" w:type="pct"/>
            <w:hideMark/>
          </w:tcPr>
          <w:p w:rsidR="00000000" w:rsidRDefault="005667E7">
            <w:pPr>
              <w:rPr>
                <w:rFonts w:eastAsia="Times New Roman"/>
                <w:sz w:val="20"/>
                <w:szCs w:val="20"/>
              </w:rPr>
            </w:pPr>
            <w:r>
              <w:rPr>
                <w:rFonts w:eastAsia="Times New Roman"/>
                <w:sz w:val="20"/>
                <w:szCs w:val="20"/>
              </w:rPr>
              <w:t> </w:t>
            </w:r>
          </w:p>
        </w:tc>
        <w:tc>
          <w:tcPr>
            <w:tcW w:w="800" w:type="pct"/>
            <w:tcBorders>
              <w:bottom w:val="single" w:sz="12" w:space="0" w:color="000000"/>
            </w:tcBorders>
            <w:hideMark/>
          </w:tcPr>
          <w:p w:rsidR="00000000" w:rsidRDefault="005667E7">
            <w:pPr>
              <w:jc w:val="both"/>
              <w:rPr>
                <w:rFonts w:eastAsia="Times New Roman"/>
                <w:sz w:val="20"/>
                <w:szCs w:val="20"/>
              </w:rPr>
            </w:pPr>
            <w:r>
              <w:rPr>
                <w:rFonts w:eastAsia="Times New Roman"/>
                <w:b/>
                <w:bCs/>
                <w:sz w:val="20"/>
                <w:szCs w:val="20"/>
              </w:rPr>
              <w:t>Trading Symbol</w:t>
            </w:r>
          </w:p>
        </w:tc>
        <w:tc>
          <w:tcPr>
            <w:tcW w:w="100" w:type="pct"/>
            <w:hideMark/>
          </w:tcPr>
          <w:p w:rsidR="00000000" w:rsidRDefault="005667E7">
            <w:pPr>
              <w:rPr>
                <w:rFonts w:eastAsia="Times New Roman"/>
                <w:sz w:val="20"/>
                <w:szCs w:val="20"/>
              </w:rPr>
            </w:pPr>
            <w:r>
              <w:rPr>
                <w:rFonts w:eastAsia="Times New Roman"/>
                <w:sz w:val="20"/>
                <w:szCs w:val="20"/>
              </w:rPr>
              <w:t> </w:t>
            </w:r>
          </w:p>
        </w:tc>
        <w:tc>
          <w:tcPr>
            <w:tcW w:w="2400" w:type="pct"/>
            <w:tcBorders>
              <w:bottom w:val="single" w:sz="12" w:space="0" w:color="000000"/>
            </w:tcBorders>
            <w:hideMark/>
          </w:tcPr>
          <w:p w:rsidR="00000000" w:rsidRDefault="005667E7">
            <w:pP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tblCellSpacing w:w="0" w:type="dxa"/>
        </w:trPr>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As of June 29, 2020, there were 228,221,302 shares of the registrant’s common stock outstanding, 2,552,642 shares of the registrant’s Series A Convertible Preferred Stock outstanding, 1,013,245 of the regi</w:t>
      </w:r>
      <w:r>
        <w:rPr>
          <w:sz w:val="20"/>
          <w:szCs w:val="20"/>
        </w:rPr>
        <w:t>strant’s Series B Convertible Preferred Stock outstanding and 385,302 of the registrant’s Series C Convertible Preferred Stock outstanding.</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divId w:val="836728673"/>
        <w:rPr>
          <w:rFonts w:eastAsia="Times New Roman"/>
          <w:sz w:val="2"/>
          <w:szCs w:val="2"/>
        </w:rPr>
      </w:pPr>
      <w:r>
        <w:rPr>
          <w:rFonts w:eastAsia="Times New Roman"/>
          <w:sz w:val="2"/>
          <w:szCs w:val="2"/>
        </w:rPr>
        <w:t> </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66254951"/>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 </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964386932"/>
        <w:rPr>
          <w:sz w:val="20"/>
          <w:szCs w:val="20"/>
        </w:rPr>
      </w:pPr>
      <w:r>
        <w:rPr>
          <w:sz w:val="20"/>
          <w:szCs w:val="20"/>
        </w:rPr>
        <w:lastRenderedPageBreak/>
        <w:t> </w:t>
      </w:r>
    </w:p>
    <w:p w:rsidR="00000000" w:rsidRDefault="005667E7">
      <w:pPr>
        <w:pStyle w:val="a3"/>
        <w:spacing w:before="0" w:beforeAutospacing="0" w:after="0" w:afterAutospacing="0"/>
        <w:jc w:val="center"/>
        <w:rPr>
          <w:sz w:val="20"/>
          <w:szCs w:val="20"/>
        </w:rPr>
      </w:pPr>
      <w:r>
        <w:rPr>
          <w:b/>
          <w:bCs/>
          <w:sz w:val="20"/>
          <w:szCs w:val="20"/>
        </w:rPr>
        <w:t> </w:t>
      </w:r>
    </w:p>
    <w:p w:rsidR="00000000" w:rsidRDefault="005667E7">
      <w:pPr>
        <w:pStyle w:val="a3"/>
        <w:spacing w:before="0" w:beforeAutospacing="0" w:after="0" w:afterAutospacing="0"/>
        <w:jc w:val="center"/>
        <w:rPr>
          <w:sz w:val="20"/>
          <w:szCs w:val="20"/>
        </w:rPr>
      </w:pPr>
      <w:r>
        <w:rPr>
          <w:b/>
          <w:bCs/>
          <w:sz w:val="20"/>
          <w:szCs w:val="20"/>
        </w:rPr>
        <w:t>TABLE OF CONTENTS</w:t>
      </w:r>
    </w:p>
    <w:p w:rsidR="00000000" w:rsidRDefault="005667E7">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6506"/>
        <w:gridCol w:w="720"/>
      </w:tblGrid>
      <w:tr w:rsidR="00000000">
        <w:trPr>
          <w:tblCellSpacing w:w="0" w:type="dxa"/>
        </w:trPr>
        <w:tc>
          <w:tcPr>
            <w:tcW w:w="1080" w:type="dxa"/>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5667E7">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center"/>
              <w:rPr>
                <w:rFonts w:eastAsia="Times New Roman"/>
                <w:sz w:val="20"/>
                <w:szCs w:val="20"/>
              </w:rPr>
            </w:pPr>
            <w:hyperlink w:anchor="Cj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5667E7">
            <w:pPr>
              <w:rPr>
                <w:rFonts w:eastAsia="Times New Roman"/>
                <w:sz w:val="20"/>
                <w:szCs w:val="20"/>
              </w:rPr>
            </w:pPr>
            <w:hyperlink w:anchor="Cj_002"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hyperlink w:anchor="Cj_003" w:history="1">
              <w:r>
                <w:rPr>
                  <w:rStyle w:val="a4"/>
                  <w:rFonts w:eastAsia="Times New Roman"/>
                  <w:sz w:val="20"/>
                  <w:szCs w:val="20"/>
                </w:rPr>
                <w:t xml:space="preserve">Condensed </w:t>
              </w:r>
              <w:r>
                <w:rPr>
                  <w:rStyle w:val="a4"/>
                  <w:rFonts w:eastAsia="Times New Roman"/>
                  <w:sz w:val="20"/>
                  <w:szCs w:val="20"/>
                </w:rPr>
                <w:t>Balance Sheets as of March 31, 2020 (unaudited) and December 31, 2019</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hyperlink w:anchor="Cj_004" w:history="1">
              <w:r>
                <w:rPr>
                  <w:rStyle w:val="a4"/>
                  <w:rFonts w:eastAsia="Times New Roman"/>
                  <w:sz w:val="20"/>
                  <w:szCs w:val="20"/>
                </w:rPr>
                <w:t>Condensed Statements of Operations for the Three Months ended March 31, 2020 and 2019 (unaudited)</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hyperlink w:anchor="Cj_005" w:history="1">
              <w:r>
                <w:rPr>
                  <w:rStyle w:val="a4"/>
                  <w:rFonts w:eastAsia="Times New Roman"/>
                  <w:sz w:val="20"/>
                  <w:szCs w:val="20"/>
                </w:rPr>
                <w:t>Condensed Statement of Changes in Stockholders’ Deficit for the Three Months Ended March 31, 2020 (unaudited) and Year Ended December 31, 2019</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5667E7">
            <w:pPr>
              <w:rPr>
                <w:rFonts w:eastAsia="Times New Roman"/>
                <w:sz w:val="20"/>
                <w:szCs w:val="20"/>
              </w:rPr>
            </w:pPr>
            <w:hyperlink w:anchor="Cj_006" w:history="1">
              <w:r>
                <w:rPr>
                  <w:rStyle w:val="a4"/>
                  <w:rFonts w:eastAsia="Times New Roman"/>
                  <w:sz w:val="20"/>
                  <w:szCs w:val="20"/>
                </w:rPr>
                <w:t>Condensed Statements of Cash Flow for the T</w:t>
              </w:r>
              <w:r>
                <w:rPr>
                  <w:rStyle w:val="a4"/>
                  <w:rFonts w:eastAsia="Times New Roman"/>
                  <w:sz w:val="20"/>
                  <w:szCs w:val="20"/>
                </w:rPr>
                <w:t>hree Months ended March 31, 2020 and 2019 (unaudited)</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hyperlink w:anchor="Cj_007"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5667E7">
            <w:pPr>
              <w:rPr>
                <w:rFonts w:eastAsia="Times New Roman"/>
                <w:sz w:val="20"/>
                <w:szCs w:val="20"/>
              </w:rPr>
            </w:pPr>
            <w:hyperlink w:anchor="h_001" w:history="1">
              <w:r>
                <w:rPr>
                  <w:rStyle w:val="a4"/>
                  <w:rFonts w:eastAsia="Times New Roman"/>
                  <w:sz w:val="20"/>
                  <w:szCs w:val="20"/>
                </w:rPr>
                <w:t xml:space="preserve">Management’s </w:t>
              </w:r>
              <w:r>
                <w:rPr>
                  <w:rStyle w:val="a4"/>
                  <w:rFonts w:eastAsia="Times New Roman"/>
                  <w:sz w:val="20"/>
                  <w:szCs w:val="20"/>
                </w:rPr>
                <w:t>Discussion and Analysis of Financial Condition and Results of Operations</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28</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5667E7">
            <w:pPr>
              <w:rPr>
                <w:rFonts w:eastAsia="Times New Roman"/>
                <w:sz w:val="20"/>
                <w:szCs w:val="20"/>
              </w:rPr>
            </w:pPr>
            <w:hyperlink w:anchor="h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35</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5667E7">
            <w:pPr>
              <w:rPr>
                <w:rFonts w:eastAsia="Times New Roman"/>
                <w:sz w:val="20"/>
                <w:szCs w:val="20"/>
              </w:rPr>
            </w:pPr>
            <w:hyperlink w:anchor="h_003"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35</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center"/>
              <w:rPr>
                <w:rFonts w:eastAsia="Times New Roman"/>
                <w:sz w:val="20"/>
                <w:szCs w:val="20"/>
              </w:rPr>
            </w:pPr>
            <w:hyperlink w:anchor="h_004"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5667E7">
            <w:pPr>
              <w:rPr>
                <w:rFonts w:eastAsia="Times New Roman"/>
                <w:sz w:val="20"/>
                <w:szCs w:val="20"/>
              </w:rPr>
            </w:pPr>
            <w:hyperlink w:anchor="h_005"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36</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5667E7">
            <w:pPr>
              <w:rPr>
                <w:rFonts w:eastAsia="Times New Roman"/>
                <w:sz w:val="20"/>
                <w:szCs w:val="20"/>
              </w:rPr>
            </w:pPr>
            <w:hyperlink w:anchor="h_006" w:history="1">
              <w:r>
                <w:rPr>
                  <w:rStyle w:val="a4"/>
                  <w:rFonts w:eastAsia="Times New Roman"/>
                  <w:sz w:val="20"/>
                  <w:szCs w:val="20"/>
                </w:rPr>
                <w:t>Exhibits</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37</w:t>
            </w:r>
          </w:p>
        </w:tc>
      </w:tr>
      <w:tr w:rsidR="00000000">
        <w:trPr>
          <w:tblCellSpacing w:w="0" w:type="dxa"/>
        </w:trPr>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5667E7">
            <w:pPr>
              <w:rPr>
                <w:rFonts w:eastAsia="Times New Roman"/>
                <w:sz w:val="20"/>
                <w:szCs w:val="20"/>
              </w:rPr>
            </w:pPr>
            <w:hyperlink w:anchor="Cj_008" w:history="1">
              <w:r>
                <w:rPr>
                  <w:rStyle w:val="a4"/>
                  <w:rFonts w:eastAsia="Times New Roman"/>
                  <w:b/>
                  <w:bCs/>
                  <w:sz w:val="20"/>
                  <w:szCs w:val="20"/>
                </w:rPr>
                <w:t>SIGNATURES</w:t>
              </w:r>
            </w:hyperlink>
          </w:p>
        </w:tc>
        <w:tc>
          <w:tcPr>
            <w:tcW w:w="0" w:type="auto"/>
            <w:shd w:val="clear" w:color="auto" w:fill="CCEEFF"/>
            <w:vAlign w:val="bottom"/>
            <w:hideMark/>
          </w:tcPr>
          <w:p w:rsidR="00000000" w:rsidRDefault="005667E7">
            <w:pPr>
              <w:jc w:val="center"/>
              <w:rPr>
                <w:rFonts w:eastAsia="Times New Roman"/>
                <w:sz w:val="20"/>
                <w:szCs w:val="20"/>
              </w:rPr>
            </w:pPr>
            <w:r>
              <w:rPr>
                <w:rFonts w:eastAsia="Times New Roman"/>
                <w:sz w:val="20"/>
                <w:szCs w:val="20"/>
              </w:rPr>
              <w:t>38</w:t>
            </w:r>
          </w:p>
        </w:tc>
      </w:tr>
    </w:tbl>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44762485"/>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535997478"/>
        <w:rPr>
          <w:sz w:val="20"/>
          <w:szCs w:val="20"/>
        </w:rPr>
      </w:pPr>
      <w:r>
        <w:rPr>
          <w:sz w:val="20"/>
          <w:szCs w:val="20"/>
        </w:rPr>
        <w:lastRenderedPageBreak/>
        <w:t> </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0" w:name="Cj_001"/>
      <w:bookmarkEnd w:id="0"/>
      <w:r>
        <w:rPr>
          <w:b/>
          <w:bCs/>
          <w:sz w:val="20"/>
          <w:szCs w:val="20"/>
        </w:rPr>
        <w:t>PART I – FINANCIAL INFORMATION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1" w:name="Cj_002"/>
      <w:bookmarkEnd w:id="1"/>
      <w:r>
        <w:rPr>
          <w:b/>
          <w:bCs/>
          <w:sz w:val="20"/>
          <w:szCs w:val="20"/>
        </w:rPr>
        <w:t>Item 1. Financial Statements.</w:t>
      </w:r>
      <w:r>
        <w:rPr>
          <w:sz w:val="20"/>
          <w:szCs w:val="20"/>
        </w:rPr>
        <w:t> </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20"/>
          <w:szCs w:val="20"/>
        </w:rPr>
        <w:t>VIVOS INC</w:t>
      </w:r>
    </w:p>
    <w:p w:rsidR="00000000" w:rsidRDefault="005667E7">
      <w:pPr>
        <w:pStyle w:val="a3"/>
        <w:spacing w:before="0" w:beforeAutospacing="0" w:after="0" w:afterAutospacing="0"/>
        <w:jc w:val="center"/>
        <w:rPr>
          <w:sz w:val="20"/>
          <w:szCs w:val="20"/>
        </w:rPr>
      </w:pPr>
      <w:bookmarkStart w:id="2" w:name="Cj_003"/>
      <w:bookmarkEnd w:id="2"/>
      <w:r>
        <w:rPr>
          <w:b/>
          <w:bCs/>
          <w:sz w:val="20"/>
          <w:szCs w:val="20"/>
        </w:rPr>
        <w:t>BALANCE SHEETS</w:t>
      </w:r>
    </w:p>
    <w:p w:rsidR="00000000" w:rsidRDefault="005667E7">
      <w:pPr>
        <w:pStyle w:val="a3"/>
        <w:spacing w:before="0" w:beforeAutospacing="0" w:after="0" w:afterAutospacing="0"/>
        <w:jc w:val="center"/>
        <w:rPr>
          <w:sz w:val="20"/>
          <w:szCs w:val="20"/>
        </w:rPr>
      </w:pPr>
      <w:r>
        <w:rPr>
          <w:b/>
          <w:bCs/>
          <w:sz w:val="20"/>
          <w:szCs w:val="20"/>
        </w:rPr>
        <w:t>MARCH 31, 2020 (UNAUDITED) AND DECEMBER 31, 2019</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667E7">
            <w:pPr>
              <w:jc w:val="center"/>
              <w:rPr>
                <w:rFonts w:eastAsia="Times New Roman"/>
                <w:b/>
                <w:bCs/>
                <w:sz w:val="20"/>
                <w:szCs w:val="20"/>
              </w:rPr>
            </w:pPr>
            <w:r>
              <w:rPr>
                <w:rFonts w:eastAsia="Times New Roman"/>
                <w:b/>
                <w:bCs/>
                <w:sz w:val="20"/>
                <w:szCs w:val="20"/>
              </w:rPr>
              <w:t>MARCH 31,</w:t>
            </w:r>
          </w:p>
        </w:tc>
        <w:tc>
          <w:tcPr>
            <w:tcW w:w="0" w:type="auto"/>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667E7">
            <w:pPr>
              <w:jc w:val="center"/>
              <w:rPr>
                <w:rFonts w:eastAsia="Times New Roman"/>
                <w:b/>
                <w:bCs/>
                <w:sz w:val="20"/>
                <w:szCs w:val="20"/>
              </w:rPr>
            </w:pPr>
            <w:r>
              <w:rPr>
                <w:rFonts w:eastAsia="Times New Roman"/>
                <w:b/>
                <w:bCs/>
                <w:sz w:val="20"/>
                <w:szCs w:val="20"/>
              </w:rPr>
              <w:t>DECEMBER 31,</w:t>
            </w:r>
          </w:p>
        </w:tc>
        <w:tc>
          <w:tcPr>
            <w:tcW w:w="0" w:type="auto"/>
            <w:vAlign w:val="bottom"/>
            <w:hideMark/>
          </w:tcPr>
          <w:p w:rsidR="00000000" w:rsidRDefault="005667E7">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5667E7">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center"/>
              <w:rPr>
                <w:rFonts w:eastAsia="Times New Roman"/>
                <w:sz w:val="20"/>
                <w:szCs w:val="20"/>
              </w:rPr>
            </w:pPr>
            <w:r>
              <w:rPr>
                <w:rFonts w:eastAsia="Times New Roman"/>
                <w:b/>
                <w:bCs/>
                <w:sz w:val="20"/>
                <w:szCs w:val="20"/>
                <w:u w:val="single"/>
              </w:rPr>
              <w:t>ASSETS</w:t>
            </w:r>
          </w:p>
        </w:tc>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shd w:val="clear" w:color="auto" w:fill="CCEEFF"/>
            <w:vAlign w:val="bottom"/>
            <w:hideMark/>
          </w:tcPr>
          <w:p w:rsidR="00000000" w:rsidRDefault="005667E7">
            <w:pPr>
              <w:jc w:val="cente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5,004</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20,381</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7,098</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23,492</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12,102</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43,873</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jc w:val="both"/>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12,102</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43,873</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cente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both"/>
              <w:rPr>
                <w:rFonts w:eastAsia="Times New Roman"/>
                <w:b/>
                <w:bCs/>
                <w:sz w:val="20"/>
                <w:szCs w:val="20"/>
              </w:rPr>
            </w:pPr>
            <w:r>
              <w:rPr>
                <w:rFonts w:eastAsia="Times New Roman"/>
                <w:b/>
                <w:bCs/>
                <w:sz w:val="20"/>
                <w:szCs w:val="20"/>
              </w:rPr>
              <w:t>LIABILITIES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 xml:space="preserve">Accounts </w:t>
            </w:r>
            <w:r>
              <w:rPr>
                <w:rFonts w:eastAsia="Times New Roman"/>
                <w:sz w:val="20"/>
                <w:szCs w:val="20"/>
              </w:rPr>
              <w:t>payable and accrued expenses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506,476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511,817</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Related party accounts payable</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32,110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Accrued interest payable</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86,022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93,249</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Payroll liabilities payable</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130,000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 xml:space="preserve">Related </w:t>
            </w:r>
            <w:r>
              <w:rPr>
                <w:rFonts w:eastAsia="Times New Roman"/>
                <w:sz w:val="20"/>
                <w:szCs w:val="20"/>
              </w:rPr>
              <w:t>party advances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Convertible notes payable, related party, net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14,500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Convertible notes payable, net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156,066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434,886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Promissory notes payable, net of discount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 xml:space="preserve">Related </w:t>
            </w:r>
            <w:r>
              <w:rPr>
                <w:rFonts w:eastAsia="Times New Roman"/>
                <w:sz w:val="20"/>
                <w:szCs w:val="20"/>
              </w:rPr>
              <w:t>party promissory note</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1,262,674</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1,523,562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667E7">
            <w:pPr>
              <w:jc w:val="both"/>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1,262,674</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1,523,562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both"/>
              <w:rPr>
                <w:rFonts w:eastAsia="Times New Roman"/>
                <w:sz w:val="20"/>
                <w:szCs w:val="20"/>
              </w:rPr>
            </w:pPr>
            <w:r>
              <w:rPr>
                <w:rFonts w:eastAsia="Times New Roman"/>
                <w:sz w:val="20"/>
                <w:szCs w:val="20"/>
              </w:rPr>
              <w:t xml:space="preserve">Commitments </w:t>
            </w:r>
            <w:r>
              <w:rPr>
                <w:rFonts w:eastAsia="Times New Roman"/>
                <w:sz w:val="20"/>
                <w:szCs w:val="20"/>
              </w:rPr>
              <w:t>and contingencies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both"/>
              <w:rPr>
                <w:rFonts w:eastAsia="Times New Roman"/>
                <w:b/>
                <w:bCs/>
                <w:sz w:val="20"/>
                <w:szCs w:val="20"/>
              </w:rPr>
            </w:pPr>
            <w:r>
              <w:rPr>
                <w:rFonts w:eastAsia="Times New Roman"/>
                <w:b/>
                <w:bCs/>
                <w:sz w:val="20"/>
                <w:szCs w:val="20"/>
              </w:rPr>
              <w:t>STOCKHOLDERS’ DEFICIT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 xml:space="preserve">Preferred </w:t>
            </w:r>
            <w:r>
              <w:rPr>
                <w:rFonts w:eastAsia="Times New Roman"/>
                <w:sz w:val="20"/>
                <w:szCs w:val="20"/>
              </w:rPr>
              <w:t>stock, par value, $0.001, 20,000,000 shares authorized, Series A Convertible Preferred, 5,000,000 shares authorized, 2,552,642 shares issued and outstanding, respectively</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2,553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 xml:space="preserve">Additional </w:t>
            </w:r>
            <w:r>
              <w:rPr>
                <w:rFonts w:eastAsia="Times New Roman"/>
                <w:sz w:val="20"/>
                <w:szCs w:val="20"/>
              </w:rPr>
              <w:t>paid in capital - Series A Convertible preferred stock</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8,870,626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Series B Convertible Preferred, 5,000,000 shares authorized, 1,013,245 and 1,113,245 shares issued and outstanding, respectively</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1,013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1,113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615,295</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665,195</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Series C Convertible Preferred, 5,000,000 shares authorized, 385,302 and 821,292 shares issued and outstanding, respectively</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385</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821</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lastRenderedPageBreak/>
              <w:t>Additional paid in capital - Series C Convertible preferred stock</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500,507</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674,457</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Common stock, par value, $0.001, 950,000,000 shares authorized, 190,295,634 and 184,845,821 issued and outstanding, respectively</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190,295</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184,846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Add</w:t>
            </w:r>
            <w:r>
              <w:rPr>
                <w:rFonts w:eastAsia="Times New Roman"/>
                <w:sz w:val="20"/>
                <w:szCs w:val="20"/>
              </w:rPr>
              <w:t>itional paid in capital - common stock</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61,997,111</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61,721,809</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jc w:val="both"/>
              <w:rPr>
                <w:rFonts w:eastAsia="Times New Roman"/>
                <w:sz w:val="20"/>
                <w:szCs w:val="20"/>
              </w:rPr>
            </w:pPr>
            <w:r>
              <w:rPr>
                <w:rFonts w:eastAsia="Times New Roman"/>
                <w:sz w:val="20"/>
                <w:szCs w:val="20"/>
              </w:rPr>
              <w:t>Shares to be issued</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532,983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(73,961,340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(73,601,109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667E7">
            <w:pPr>
              <w:jc w:val="both"/>
              <w:rPr>
                <w:rFonts w:eastAsia="Times New Roman"/>
                <w:b/>
                <w:bCs/>
                <w:sz w:val="20"/>
                <w:szCs w:val="20"/>
              </w:rPr>
            </w:pPr>
            <w:r>
              <w:rPr>
                <w:rFonts w:eastAsia="Times New Roman"/>
                <w:b/>
                <w:bCs/>
                <w:sz w:val="20"/>
                <w:szCs w:val="20"/>
              </w:rPr>
              <w:t>Total Stockholders’ Deficit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(1,250,572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(1,479,689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jc w:val="both"/>
              <w:rPr>
                <w:rFonts w:eastAsia="Times New Roman"/>
                <w:b/>
                <w:bCs/>
                <w:sz w:val="20"/>
                <w:szCs w:val="20"/>
              </w:rPr>
            </w:pPr>
            <w:r>
              <w:rPr>
                <w:rFonts w:eastAsia="Times New Roman"/>
                <w:b/>
                <w:bCs/>
                <w:sz w:val="20"/>
                <w:szCs w:val="20"/>
              </w:rPr>
              <w:t>TOTAL LIABILITIES AND STOCKHOLDERS’ DEFICIT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12,102</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43,873</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28339333"/>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266889656"/>
        <w:rPr>
          <w:sz w:val="20"/>
          <w:szCs w:val="20"/>
        </w:rPr>
      </w:pPr>
      <w:r>
        <w:rPr>
          <w:sz w:val="20"/>
          <w:szCs w:val="20"/>
        </w:rPr>
        <w:lastRenderedPageBreak/>
        <w:t> </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20"/>
          <w:szCs w:val="20"/>
        </w:rPr>
        <w:t>VIVOS INC</w:t>
      </w:r>
    </w:p>
    <w:p w:rsidR="00000000" w:rsidRDefault="005667E7">
      <w:pPr>
        <w:pStyle w:val="a3"/>
        <w:spacing w:before="0" w:beforeAutospacing="0" w:after="0" w:afterAutospacing="0"/>
        <w:jc w:val="center"/>
        <w:rPr>
          <w:sz w:val="20"/>
          <w:szCs w:val="20"/>
        </w:rPr>
      </w:pPr>
      <w:bookmarkStart w:id="3" w:name="Cj_004"/>
      <w:bookmarkEnd w:id="3"/>
      <w:r>
        <w:rPr>
          <w:b/>
          <w:bCs/>
          <w:sz w:val="20"/>
          <w:szCs w:val="20"/>
        </w:rPr>
        <w:t xml:space="preserve">STATEMENTS OF OPERATIONS </w:t>
      </w:r>
    </w:p>
    <w:p w:rsidR="00000000" w:rsidRDefault="005667E7">
      <w:pPr>
        <w:pStyle w:val="a3"/>
        <w:spacing w:before="0" w:beforeAutospacing="0" w:after="0" w:afterAutospacing="0"/>
        <w:jc w:val="center"/>
        <w:rPr>
          <w:sz w:val="20"/>
          <w:szCs w:val="20"/>
        </w:rPr>
      </w:pPr>
      <w:r>
        <w:rPr>
          <w:b/>
          <w:bCs/>
          <w:sz w:val="20"/>
          <w:szCs w:val="20"/>
        </w:rPr>
        <w:t>FOR THE THREE MONTHS ENDED MARCH 31, 2020 AND 2019 (UNAUDITED)</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Revenues, net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b/>
                <w:bCs/>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Sales and marketing expenses</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4,233</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Professional fees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53,992</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166,535</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3,792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1,028</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23,686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31,120</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1,190</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xml:space="preserve">Total </w:t>
            </w: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120,373</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225,203</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(120,373</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(225,203</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(239,858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(11,179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xml:space="preserve">Total </w:t>
            </w:r>
            <w:r>
              <w:rPr>
                <w:rFonts w:eastAsia="Times New Roman"/>
                <w:sz w:val="20"/>
                <w:szCs w:val="20"/>
              </w:rPr>
              <w:t>Non-Operating Income (Expenses)</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(239,858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(11,179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NET LOSS BEFORE PROVISION FOR INCOME TAXES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(360,231</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(236,382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(360,231</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(236,382</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b/>
                <w:bCs/>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189,097,921</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166,151,246</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03469851"/>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074358721"/>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18"/>
          <w:szCs w:val="18"/>
        </w:rPr>
        <w:t> </w:t>
      </w:r>
    </w:p>
    <w:p w:rsidR="00000000" w:rsidRDefault="005667E7">
      <w:pPr>
        <w:pStyle w:val="a3"/>
        <w:spacing w:before="0" w:beforeAutospacing="0" w:after="0" w:afterAutospacing="0"/>
        <w:jc w:val="center"/>
        <w:rPr>
          <w:sz w:val="20"/>
          <w:szCs w:val="20"/>
        </w:rPr>
      </w:pPr>
      <w:r>
        <w:rPr>
          <w:b/>
          <w:bCs/>
          <w:sz w:val="18"/>
          <w:szCs w:val="18"/>
        </w:rPr>
        <w:t>VIVOS INC</w:t>
      </w:r>
    </w:p>
    <w:p w:rsidR="00000000" w:rsidRDefault="005667E7">
      <w:pPr>
        <w:pStyle w:val="a3"/>
        <w:spacing w:before="0" w:beforeAutospacing="0" w:after="0" w:afterAutospacing="0"/>
        <w:jc w:val="center"/>
        <w:rPr>
          <w:sz w:val="20"/>
          <w:szCs w:val="20"/>
        </w:rPr>
      </w:pPr>
      <w:bookmarkStart w:id="4" w:name="Cj_005"/>
      <w:bookmarkEnd w:id="4"/>
      <w:r>
        <w:rPr>
          <w:b/>
          <w:bCs/>
          <w:sz w:val="18"/>
          <w:szCs w:val="18"/>
        </w:rPr>
        <w:t>STATEMENT OF CHANGES IN STOCKHOLDERS’ DEFICIT</w:t>
      </w:r>
    </w:p>
    <w:p w:rsidR="00000000" w:rsidRDefault="005667E7">
      <w:pPr>
        <w:pStyle w:val="a3"/>
        <w:spacing w:before="0" w:beforeAutospacing="0" w:after="0" w:afterAutospacing="0"/>
        <w:jc w:val="center"/>
        <w:rPr>
          <w:sz w:val="20"/>
          <w:szCs w:val="20"/>
        </w:rPr>
      </w:pPr>
      <w:r>
        <w:rPr>
          <w:b/>
          <w:bCs/>
          <w:sz w:val="18"/>
          <w:szCs w:val="18"/>
        </w:rPr>
        <w:t>FOR THE THREE MONTHS ENDED MARCH 31, 2020 (UNAUDITED) AND DECEMBER 31, 2019</w:t>
      </w:r>
    </w:p>
    <w:p w:rsidR="00000000" w:rsidRDefault="005667E7">
      <w:pPr>
        <w:pStyle w:val="a3"/>
        <w:spacing w:before="0" w:beforeAutospacing="0" w:after="0" w:afterAutospacing="0"/>
        <w:jc w:val="center"/>
        <w:rPr>
          <w:sz w:val="20"/>
          <w:szCs w:val="20"/>
        </w:rPr>
      </w:pPr>
      <w:r>
        <w:rPr>
          <w:sz w:val="18"/>
          <w:szCs w:val="18"/>
        </w:rPr>
        <w:t> </w:t>
      </w:r>
    </w:p>
    <w:tbl>
      <w:tblPr>
        <w:tblW w:w="5000" w:type="pct"/>
        <w:tblCellMar>
          <w:left w:w="0" w:type="dxa"/>
          <w:right w:w="0" w:type="dxa"/>
        </w:tblCellMar>
        <w:tblLook w:val="04A0" w:firstRow="1" w:lastRow="0" w:firstColumn="1" w:lastColumn="0" w:noHBand="0" w:noVBand="1"/>
      </w:tblPr>
      <w:tblGrid>
        <w:gridCol w:w="869"/>
        <w:gridCol w:w="35"/>
        <w:gridCol w:w="35"/>
        <w:gridCol w:w="560"/>
        <w:gridCol w:w="35"/>
        <w:gridCol w:w="35"/>
        <w:gridCol w:w="246"/>
        <w:gridCol w:w="315"/>
        <w:gridCol w:w="35"/>
        <w:gridCol w:w="35"/>
        <w:gridCol w:w="319"/>
        <w:gridCol w:w="560"/>
        <w:gridCol w:w="35"/>
        <w:gridCol w:w="35"/>
        <w:gridCol w:w="35"/>
        <w:gridCol w:w="560"/>
        <w:gridCol w:w="47"/>
        <w:gridCol w:w="35"/>
        <w:gridCol w:w="246"/>
        <w:gridCol w:w="315"/>
        <w:gridCol w:w="47"/>
        <w:gridCol w:w="35"/>
        <w:gridCol w:w="319"/>
        <w:gridCol w:w="560"/>
        <w:gridCol w:w="47"/>
        <w:gridCol w:w="35"/>
        <w:gridCol w:w="35"/>
        <w:gridCol w:w="502"/>
        <w:gridCol w:w="47"/>
        <w:gridCol w:w="35"/>
        <w:gridCol w:w="246"/>
        <w:gridCol w:w="257"/>
        <w:gridCol w:w="47"/>
        <w:gridCol w:w="35"/>
        <w:gridCol w:w="319"/>
        <w:gridCol w:w="502"/>
        <w:gridCol w:w="47"/>
        <w:gridCol w:w="35"/>
        <w:gridCol w:w="35"/>
        <w:gridCol w:w="700"/>
        <w:gridCol w:w="47"/>
        <w:gridCol w:w="35"/>
        <w:gridCol w:w="70"/>
        <w:gridCol w:w="455"/>
        <w:gridCol w:w="35"/>
        <w:gridCol w:w="35"/>
        <w:gridCol w:w="70"/>
        <w:gridCol w:w="630"/>
        <w:gridCol w:w="47"/>
        <w:gridCol w:w="35"/>
        <w:gridCol w:w="70"/>
        <w:gridCol w:w="455"/>
        <w:gridCol w:w="35"/>
        <w:gridCol w:w="35"/>
        <w:gridCol w:w="397"/>
        <w:gridCol w:w="677"/>
        <w:gridCol w:w="47"/>
        <w:gridCol w:w="35"/>
        <w:gridCol w:w="70"/>
        <w:gridCol w:w="607"/>
        <w:gridCol w:w="47"/>
      </w:tblGrid>
      <w:tr w:rsidR="00000000">
        <w:tc>
          <w:tcPr>
            <w:tcW w:w="0" w:type="auto"/>
            <w:vAlign w:val="bottom"/>
            <w:hideMark/>
          </w:tcPr>
          <w:p w:rsidR="00000000" w:rsidRDefault="005667E7">
            <w:pPr>
              <w:jc w:val="right"/>
              <w:rPr>
                <w:rFonts w:eastAsia="Times New Roman"/>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5667E7">
            <w:pPr>
              <w:jc w:val="center"/>
              <w:rPr>
                <w:rFonts w:eastAsia="Times New Roman"/>
                <w:b/>
                <w:bCs/>
                <w:sz w:val="14"/>
                <w:szCs w:val="14"/>
              </w:rPr>
            </w:pPr>
            <w:r>
              <w:rPr>
                <w:rFonts w:eastAsia="Times New Roman"/>
                <w:b/>
                <w:bCs/>
                <w:sz w:val="14"/>
                <w:szCs w:val="14"/>
              </w:rPr>
              <w:t xml:space="preserve">Series </w:t>
            </w:r>
            <w:r>
              <w:rPr>
                <w:rFonts w:eastAsia="Times New Roman"/>
                <w:b/>
                <w:bCs/>
                <w:sz w:val="14"/>
                <w:szCs w:val="14"/>
              </w:rPr>
              <w:t>A Preferred</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Additional</w:t>
            </w:r>
            <w:r>
              <w:rPr>
                <w:rFonts w:eastAsia="Times New Roman"/>
                <w:b/>
                <w:bCs/>
                <w:sz w:val="14"/>
                <w:szCs w:val="14"/>
              </w:rPr>
              <w:br/>
              <w:t>Paid-In</w:t>
            </w:r>
            <w:r>
              <w:rPr>
                <w:rFonts w:eastAsia="Times New Roman"/>
                <w:b/>
                <w:bCs/>
                <w:sz w:val="14"/>
                <w:szCs w:val="14"/>
              </w:rPr>
              <w:br/>
              <w:t>Capital -</w:t>
            </w:r>
            <w:r>
              <w:rPr>
                <w:rFonts w:eastAsia="Times New Roman"/>
                <w:b/>
                <w:bCs/>
                <w:sz w:val="14"/>
                <w:szCs w:val="14"/>
              </w:rPr>
              <w:br/>
              <w:t>Series A</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5667E7">
            <w:pPr>
              <w:jc w:val="center"/>
              <w:rPr>
                <w:rFonts w:eastAsia="Times New Roman"/>
                <w:b/>
                <w:bCs/>
                <w:sz w:val="14"/>
                <w:szCs w:val="14"/>
              </w:rPr>
            </w:pPr>
            <w:r>
              <w:rPr>
                <w:rFonts w:eastAsia="Times New Roman"/>
                <w:b/>
                <w:bCs/>
                <w:sz w:val="14"/>
                <w:szCs w:val="14"/>
              </w:rPr>
              <w:t>Series B Preferred</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Additional</w:t>
            </w:r>
            <w:r>
              <w:rPr>
                <w:rFonts w:eastAsia="Times New Roman"/>
                <w:b/>
                <w:bCs/>
                <w:sz w:val="14"/>
                <w:szCs w:val="14"/>
              </w:rPr>
              <w:br/>
              <w:t>Paid-In</w:t>
            </w:r>
            <w:r>
              <w:rPr>
                <w:rFonts w:eastAsia="Times New Roman"/>
                <w:b/>
                <w:bCs/>
                <w:sz w:val="14"/>
                <w:szCs w:val="14"/>
              </w:rPr>
              <w:br/>
              <w:t xml:space="preserve">Capital - </w:t>
            </w:r>
            <w:r>
              <w:rPr>
                <w:rFonts w:eastAsia="Times New Roman"/>
                <w:b/>
                <w:bCs/>
                <w:sz w:val="14"/>
                <w:szCs w:val="14"/>
              </w:rPr>
              <w:br/>
              <w:t>Series B</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5667E7">
            <w:pPr>
              <w:jc w:val="center"/>
              <w:rPr>
                <w:rFonts w:eastAsia="Times New Roman"/>
                <w:b/>
                <w:bCs/>
                <w:sz w:val="14"/>
                <w:szCs w:val="14"/>
              </w:rPr>
            </w:pPr>
            <w:r>
              <w:rPr>
                <w:rFonts w:eastAsia="Times New Roman"/>
                <w:b/>
                <w:bCs/>
                <w:sz w:val="14"/>
                <w:szCs w:val="14"/>
              </w:rPr>
              <w:t>Series C Preferred</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Additional</w:t>
            </w:r>
            <w:r>
              <w:rPr>
                <w:rFonts w:eastAsia="Times New Roman"/>
                <w:b/>
                <w:bCs/>
                <w:sz w:val="14"/>
                <w:szCs w:val="14"/>
              </w:rPr>
              <w:br/>
              <w:t>Paid-In</w:t>
            </w:r>
            <w:r>
              <w:rPr>
                <w:rFonts w:eastAsia="Times New Roman"/>
                <w:b/>
                <w:bCs/>
                <w:sz w:val="14"/>
                <w:szCs w:val="14"/>
              </w:rPr>
              <w:br/>
              <w:t xml:space="preserve">Capital - </w:t>
            </w:r>
            <w:r>
              <w:rPr>
                <w:rFonts w:eastAsia="Times New Roman"/>
                <w:b/>
                <w:bCs/>
                <w:sz w:val="14"/>
                <w:szCs w:val="14"/>
              </w:rPr>
              <w:br/>
              <w:t>Series C</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5667E7">
            <w:pPr>
              <w:jc w:val="center"/>
              <w:rPr>
                <w:rFonts w:eastAsia="Times New Roman"/>
                <w:b/>
                <w:bCs/>
                <w:sz w:val="14"/>
                <w:szCs w:val="14"/>
              </w:rPr>
            </w:pPr>
            <w:r>
              <w:rPr>
                <w:rFonts w:eastAsia="Times New Roman"/>
                <w:b/>
                <w:bCs/>
                <w:sz w:val="14"/>
                <w:szCs w:val="14"/>
              </w:rPr>
              <w:t>Common Stock</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Additional</w:t>
            </w:r>
            <w:r>
              <w:rPr>
                <w:rFonts w:eastAsia="Times New Roman"/>
                <w:b/>
                <w:bCs/>
                <w:sz w:val="14"/>
                <w:szCs w:val="14"/>
              </w:rPr>
              <w:br/>
              <w:t>Paid-In</w:t>
            </w:r>
            <w:r>
              <w:rPr>
                <w:rFonts w:eastAsia="Times New Roman"/>
                <w:b/>
                <w:bCs/>
                <w:sz w:val="14"/>
                <w:szCs w:val="14"/>
              </w:rPr>
              <w:br/>
            </w:r>
            <w:r>
              <w:rPr>
                <w:rFonts w:eastAsia="Times New Roman"/>
                <w:b/>
                <w:bCs/>
                <w:sz w:val="14"/>
                <w:szCs w:val="14"/>
              </w:rPr>
              <w:t>Capital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Shares to be</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Accumulated</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sz w:val="14"/>
                <w:szCs w:val="14"/>
              </w:rPr>
            </w:pPr>
            <w:r>
              <w:rPr>
                <w:rFonts w:eastAsia="Times New Roman"/>
                <w:b/>
                <w:bCs/>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b/>
                <w:bCs/>
                <w:sz w:val="14"/>
                <w:szCs w:val="14"/>
              </w:rPr>
              <w:t> </w:t>
            </w:r>
          </w:p>
        </w:tc>
        <w:tc>
          <w:tcPr>
            <w:tcW w:w="0" w:type="auto"/>
            <w:vAlign w:val="bottom"/>
            <w:hideMark/>
          </w:tcPr>
          <w:p w:rsidR="00000000" w:rsidRDefault="005667E7">
            <w:pPr>
              <w:rPr>
                <w:rFonts w:eastAsia="Times New Roman"/>
                <w:sz w:val="14"/>
                <w:szCs w:val="14"/>
              </w:rPr>
            </w:pPr>
            <w:r>
              <w:rPr>
                <w:rFonts w:eastAsia="Times New Roman"/>
                <w:b/>
                <w:bCs/>
                <w:sz w:val="14"/>
                <w:szCs w:val="14"/>
              </w:rPr>
              <w:t> </w:t>
            </w:r>
          </w:p>
        </w:tc>
      </w:tr>
      <w:tr w:rsidR="00000000">
        <w:tc>
          <w:tcPr>
            <w:tcW w:w="0" w:type="auto"/>
            <w:vAlign w:val="bottom"/>
            <w:hideMark/>
          </w:tcPr>
          <w:p w:rsidR="00000000" w:rsidRDefault="005667E7">
            <w:pPr>
              <w:jc w:val="right"/>
              <w:rPr>
                <w:rFonts w:eastAsia="Times New Roman"/>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Common</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Issued</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Deficit</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14"/>
                <w:szCs w:val="14"/>
              </w:rPr>
            </w:pPr>
            <w:r>
              <w:rPr>
                <w:rFonts w:eastAsia="Times New Roman"/>
                <w:b/>
                <w:bCs/>
                <w:sz w:val="14"/>
                <w:szCs w:val="14"/>
              </w:rPr>
              <w:t>Total</w:t>
            </w:r>
          </w:p>
        </w:tc>
        <w:tc>
          <w:tcPr>
            <w:tcW w:w="0" w:type="auto"/>
            <w:tcMar>
              <w:top w:w="0" w:type="dxa"/>
              <w:left w:w="0" w:type="dxa"/>
              <w:bottom w:w="30" w:type="dxa"/>
              <w:right w:w="0" w:type="dxa"/>
            </w:tcMar>
            <w:vAlign w:val="bottom"/>
            <w:hideMark/>
          </w:tcPr>
          <w:p w:rsidR="00000000" w:rsidRDefault="005667E7">
            <w:pP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5667E7">
            <w:pPr>
              <w:jc w:val="cente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b/>
                <w:bCs/>
                <w:sz w:val="14"/>
                <w:szCs w:val="14"/>
              </w:rPr>
            </w:pPr>
            <w:r>
              <w:rPr>
                <w:rFonts w:eastAsia="Times New Roman"/>
                <w:b/>
                <w:bCs/>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c>
          <w:tcPr>
            <w:tcW w:w="0" w:type="auto"/>
            <w:gridSpan w:val="2"/>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vAlign w:val="bottom"/>
            <w:hideMark/>
          </w:tcPr>
          <w:p w:rsidR="00000000" w:rsidRDefault="005667E7">
            <w:pPr>
              <w:rPr>
                <w:rFonts w:eastAsia="Times New Roman"/>
                <w:sz w:val="14"/>
                <w:szCs w:val="14"/>
              </w:rPr>
            </w:pPr>
            <w:r>
              <w:rPr>
                <w:rFonts w:eastAsia="Times New Roman"/>
                <w:sz w:val="14"/>
                <w:szCs w:val="14"/>
              </w:rPr>
              <w:t> </w:t>
            </w:r>
          </w:p>
        </w:tc>
      </w:tr>
      <w:tr w:rsidR="005667E7">
        <w:tc>
          <w:tcPr>
            <w:tcW w:w="2000" w:type="pct"/>
            <w:shd w:val="clear" w:color="auto" w:fill="CCEEFF"/>
            <w:vAlign w:val="bottom"/>
            <w:hideMark/>
          </w:tcPr>
          <w:p w:rsidR="00000000" w:rsidRDefault="005667E7">
            <w:pPr>
              <w:rPr>
                <w:rFonts w:eastAsia="Times New Roman"/>
                <w:sz w:val="14"/>
                <w:szCs w:val="14"/>
              </w:rPr>
            </w:pPr>
            <w:r>
              <w:rPr>
                <w:rFonts w:eastAsia="Times New Roman"/>
                <w:sz w:val="14"/>
                <w:szCs w:val="14"/>
              </w:rPr>
              <w:t>Balance - December 31, 2018</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2,552,642</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2,553</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8,870,626</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3,305,755</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3,306</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1,876,768</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163,445,736</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163,446</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60,132,139</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(71,991,012</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5667E7">
            <w:pPr>
              <w:jc w:val="right"/>
              <w:rPr>
                <w:rFonts w:eastAsia="Times New Roman"/>
                <w:sz w:val="14"/>
                <w:szCs w:val="14"/>
              </w:rPr>
            </w:pPr>
            <w:r>
              <w:rPr>
                <w:rFonts w:eastAsia="Times New Roman"/>
                <w:sz w:val="14"/>
                <w:szCs w:val="14"/>
              </w:rPr>
              <w:t>(942,174</w:t>
            </w:r>
          </w:p>
        </w:tc>
        <w:tc>
          <w:tcPr>
            <w:tcW w:w="50" w:type="pct"/>
            <w:shd w:val="clear" w:color="auto" w:fill="CCEEFF"/>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14"/>
                <w:szCs w:val="14"/>
              </w:rPr>
            </w:pPr>
            <w:r>
              <w:rPr>
                <w:rFonts w:eastAsia="Times New Roman"/>
                <w:sz w:val="14"/>
                <w:szCs w:val="14"/>
              </w:rPr>
              <w:t>Cash</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100,000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49,900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1,250,000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1,250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48,750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100,000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(524,218</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(525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(209,163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6,552,725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6,553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203,135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xml:space="preserve">Conversion </w:t>
            </w:r>
            <w:r>
              <w:rPr>
                <w:rFonts w:eastAsia="Times New Roman"/>
                <w:sz w:val="14"/>
                <w:szCs w:val="14"/>
              </w:rPr>
              <w:t>of Series B Preferred into Series C Preferred</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xml:space="preserve">Warrants </w:t>
            </w:r>
            <w:r>
              <w:rPr>
                <w:rFonts w:eastAsia="Times New Roman"/>
                <w:sz w:val="14"/>
                <w:szCs w:val="14"/>
              </w:rPr>
              <w:t>issued with notes payable (discount)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28,721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28,721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3,792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3,792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(236,382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(236,382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Balance - March 31, 2019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2,552,642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8,870,626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2,060,245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2,060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1,043,048</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171,248,461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171,249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60,416,537</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(72,227,394</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(1,046,043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(517,000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(517</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(206,283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6,462,500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6,462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200,338</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xml:space="preserve">Adjustment </w:t>
            </w:r>
            <w:r>
              <w:rPr>
                <w:rFonts w:eastAsia="Times New Roman"/>
                <w:sz w:val="14"/>
                <w:szCs w:val="14"/>
              </w:rPr>
              <w:t>for fractional shares in reverse split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(140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Warrants issued with notes payable (discount)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12,592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12,592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2,176</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2,176</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(200,305</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(200,305</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Balance - June 30, 2019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2,552,642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8,870,626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1,543,245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1,543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836,765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177,710,821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177,711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60,631,643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(72,427,699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(1,231,580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14"/>
                <w:szCs w:val="14"/>
              </w:rPr>
            </w:pPr>
            <w:r>
              <w:rPr>
                <w:rFonts w:eastAsia="Times New Roman"/>
                <w:sz w:val="14"/>
                <w:szCs w:val="14"/>
              </w:rPr>
              <w:t>Accounts payable</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562,500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563</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21,937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22,500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14"/>
                <w:szCs w:val="14"/>
              </w:rPr>
            </w:pPr>
            <w:r>
              <w:rPr>
                <w:rFonts w:eastAsia="Times New Roman"/>
                <w:sz w:val="14"/>
                <w:szCs w:val="14"/>
              </w:rPr>
              <w:t>Services</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312,500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312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12,188</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12,500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95,437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95,437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Warrants issued for extension of notes payable</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25,656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25,656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xml:space="preserve">Options </w:t>
            </w:r>
            <w:r>
              <w:rPr>
                <w:rFonts w:eastAsia="Times New Roman"/>
                <w:sz w:val="14"/>
                <w:szCs w:val="14"/>
              </w:rPr>
              <w:t>issued for settlement of accounts payable</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33,829</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33,829</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457,949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457,949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BCF recognized on convertible notes</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59,957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59,957</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(669,372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(669,372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Balance - September 30, 2019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2,552,642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8,870,626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1,543,245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1,543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836,765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178,585,821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178,586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61,338,596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(73,097,071</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(1,193,124</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14"/>
                <w:szCs w:val="14"/>
              </w:rPr>
            </w:pPr>
            <w:r>
              <w:rPr>
                <w:rFonts w:eastAsia="Times New Roman"/>
                <w:sz w:val="14"/>
                <w:szCs w:val="14"/>
              </w:rPr>
              <w:t>Accounts payable</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500,000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20,900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21,400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(430,000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(430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(171,570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5,375,000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5,375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166,625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xml:space="preserve">Conversion </w:t>
            </w:r>
            <w:r>
              <w:rPr>
                <w:rFonts w:eastAsia="Times New Roman"/>
                <w:sz w:val="14"/>
                <w:szCs w:val="14"/>
              </w:rPr>
              <w:t>of restricted stock units into common stock</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385,000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385</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(385</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xml:space="preserve">Warrants </w:t>
            </w:r>
            <w:r>
              <w:rPr>
                <w:rFonts w:eastAsia="Times New Roman"/>
                <w:sz w:val="14"/>
                <w:szCs w:val="14"/>
              </w:rPr>
              <w:t>issued with notes payable (discount)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14,299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14,299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Warrants issued in settlement of litigation</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18,500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18,500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Options issued for settlement of payables</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14,812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14,812</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148,462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148,462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(504,038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(504,038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xml:space="preserve">Balance </w:t>
            </w:r>
            <w:r>
              <w:rPr>
                <w:rFonts w:eastAsia="Times New Roman"/>
                <w:sz w:val="14"/>
                <w:szCs w:val="14"/>
              </w:rPr>
              <w:t>- December 31, 2019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2,552,642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2,553</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8,870,626</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1,113,245</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1,113</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665,195</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821,292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821</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674,457</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184,845,821</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184,846</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61,721,809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(73,601,109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(1,479,689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14"/>
                <w:szCs w:val="14"/>
              </w:rPr>
            </w:pPr>
            <w:r>
              <w:rPr>
                <w:rFonts w:eastAsia="Times New Roman"/>
                <w:sz w:val="14"/>
                <w:szCs w:val="14"/>
              </w:rPr>
              <w:t>Cash</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6,870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6,870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14"/>
                <w:szCs w:val="14"/>
              </w:rPr>
            </w:pPr>
            <w:r>
              <w:rPr>
                <w:rFonts w:eastAsia="Times New Roman"/>
                <w:sz w:val="14"/>
                <w:szCs w:val="14"/>
              </w:rPr>
              <w:t>Note conversions</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526,113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526,113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Redemption of preferred stock in convertible note agreement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(100,000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(100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(49,900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(50,000</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(435,990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(436</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(173,950</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5,449,875</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5,449</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168,937</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xml:space="preserve">Warrants </w:t>
            </w:r>
            <w:r>
              <w:rPr>
                <w:rFonts w:eastAsia="Times New Roman"/>
                <w:sz w:val="14"/>
                <w:szCs w:val="14"/>
              </w:rPr>
              <w:t>issued with notes payable (discount)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28,482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28,482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77,883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5667E7">
            <w:pPr>
              <w:jc w:val="right"/>
              <w:rPr>
                <w:rFonts w:eastAsia="Times New Roman"/>
                <w:sz w:val="14"/>
                <w:szCs w:val="14"/>
              </w:rPr>
            </w:pPr>
            <w:r>
              <w:rPr>
                <w:rFonts w:eastAsia="Times New Roman"/>
                <w:sz w:val="14"/>
                <w:szCs w:val="14"/>
              </w:rPr>
              <w:t>77,883</w:t>
            </w:r>
          </w:p>
        </w:tc>
        <w:tc>
          <w:tcPr>
            <w:tcW w:w="0" w:type="auto"/>
            <w:shd w:val="clear" w:color="auto" w:fill="CCEE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Share adjustment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(62</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5667E7">
            <w:pPr>
              <w:rPr>
                <w:rFonts w:eastAsia="Times New Roman"/>
                <w:sz w:val="14"/>
                <w:szCs w:val="14"/>
              </w:rPr>
            </w:pPr>
            <w:r>
              <w:rPr>
                <w:rFonts w:eastAsia="Times New Roman"/>
                <w:sz w:val="14"/>
                <w:szCs w:val="14"/>
              </w:rPr>
              <w:t> </w:t>
            </w:r>
          </w:p>
        </w:tc>
      </w:tr>
      <w:tr w:rsidR="005667E7">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xml:space="preserve">Net </w:t>
            </w:r>
            <w:r>
              <w:rPr>
                <w:rFonts w:eastAsia="Times New Roman"/>
                <w:sz w:val="14"/>
                <w:szCs w:val="14"/>
              </w:rPr>
              <w:t>loss for the period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(360,231</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14"/>
                <w:szCs w:val="14"/>
              </w:rPr>
            </w:pPr>
            <w:r>
              <w:rPr>
                <w:rFonts w:eastAsia="Times New Roman"/>
                <w:sz w:val="14"/>
                <w:szCs w:val="14"/>
              </w:rPr>
              <w:t>(360,231</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r w:rsidR="005667E7">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Balance - March 31, 2020</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2,552,642</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2,553</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8,870,626</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1,013,245</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1,013</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615,295</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385,302</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385</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500,507</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190,295,634</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190,295</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61,997,111</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532,983</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(73,961,340</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14"/>
                <w:szCs w:val="14"/>
              </w:rPr>
            </w:pPr>
            <w:r>
              <w:rPr>
                <w:rFonts w:eastAsia="Times New Roman"/>
                <w:sz w:val="14"/>
                <w:szCs w:val="14"/>
              </w:rPr>
              <w:t>(1,250,572</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14"/>
                <w:szCs w:val="14"/>
              </w:rPr>
            </w:pPr>
            <w:r>
              <w:rPr>
                <w:rFonts w:eastAsia="Times New Roman"/>
                <w:sz w:val="14"/>
                <w:szCs w:val="14"/>
              </w:rPr>
              <w:t>)</w:t>
            </w:r>
          </w:p>
        </w:tc>
      </w:tr>
    </w:tbl>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83817147"/>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109929425"/>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20"/>
          <w:szCs w:val="20"/>
        </w:rPr>
        <w:t>VIVOS INC</w:t>
      </w:r>
    </w:p>
    <w:p w:rsidR="00000000" w:rsidRDefault="005667E7">
      <w:pPr>
        <w:pStyle w:val="a3"/>
        <w:spacing w:before="0" w:beforeAutospacing="0" w:after="0" w:afterAutospacing="0"/>
        <w:jc w:val="center"/>
        <w:rPr>
          <w:sz w:val="20"/>
          <w:szCs w:val="20"/>
        </w:rPr>
      </w:pPr>
      <w:bookmarkStart w:id="5" w:name="Cj_006"/>
      <w:bookmarkEnd w:id="5"/>
      <w:r>
        <w:rPr>
          <w:b/>
          <w:bCs/>
          <w:sz w:val="20"/>
          <w:szCs w:val="20"/>
        </w:rPr>
        <w:t xml:space="preserve">STATEMENTS OF CASH FLOWS </w:t>
      </w:r>
    </w:p>
    <w:p w:rsidR="00000000" w:rsidRDefault="005667E7">
      <w:pPr>
        <w:pStyle w:val="a3"/>
        <w:spacing w:before="0" w:beforeAutospacing="0" w:after="0" w:afterAutospacing="0"/>
        <w:jc w:val="center"/>
        <w:rPr>
          <w:sz w:val="20"/>
          <w:szCs w:val="20"/>
        </w:rPr>
      </w:pPr>
      <w:r>
        <w:rPr>
          <w:b/>
          <w:bCs/>
          <w:sz w:val="20"/>
          <w:szCs w:val="20"/>
        </w:rPr>
        <w:t>FOR THE THREE MONTHS ENDED MARCH 31, 2020 AND 2019 (UNAUDITED)</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 xml:space="preserve">CASH </w:t>
            </w:r>
            <w:r>
              <w:rPr>
                <w:rFonts w:eastAsia="Times New Roman"/>
                <w:b/>
                <w:bCs/>
                <w:sz w:val="20"/>
                <w:szCs w:val="20"/>
              </w:rPr>
              <w:t>FLOW FROM OPERTING ACTIVIITES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(360,231</w:t>
            </w:r>
          </w:p>
        </w:tc>
        <w:tc>
          <w:tcPr>
            <w:tcW w:w="5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(236,382</w:t>
            </w:r>
          </w:p>
        </w:tc>
        <w:tc>
          <w:tcPr>
            <w:tcW w:w="5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Adjustments to reconcile net loss to net cash</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used in operating activities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 xml:space="preserve">Amortization </w:t>
            </w:r>
            <w:r>
              <w:rPr>
                <w:rFonts w:eastAsia="Times New Roman"/>
                <w:sz w:val="20"/>
                <w:szCs w:val="20"/>
              </w:rPr>
              <w:t>of convertible debt discount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53,527</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6,706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Amortization of BCF discount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6,187</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Stock options and warrants for services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3,792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Warrants issued for interest expense</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77,883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 xml:space="preserve">Exchange </w:t>
            </w:r>
            <w:r>
              <w:rPr>
                <w:rFonts w:eastAsia="Times New Roman"/>
                <w:sz w:val="20"/>
                <w:szCs w:val="20"/>
              </w:rPr>
              <w:t>premium in conversion of notes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77,683</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Prepaid expenses and other assets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16,394</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(4,538</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(5,341</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(56,420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 xml:space="preserve">Accounts </w:t>
            </w:r>
            <w:r>
              <w:rPr>
                <w:rFonts w:eastAsia="Times New Roman"/>
                <w:sz w:val="20"/>
                <w:szCs w:val="20"/>
              </w:rPr>
              <w:t>payable and accrued expenses from related party</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3,500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8,549</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16,651</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3,088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270,830</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(35,323</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667E7">
            <w:pPr>
              <w:rPr>
                <w:rFonts w:eastAsia="Times New Roman"/>
                <w:sz w:val="20"/>
                <w:szCs w:val="20"/>
              </w:rPr>
            </w:pPr>
            <w:r>
              <w:rPr>
                <w:rFonts w:eastAsia="Times New Roman"/>
                <w:b/>
                <w:bCs/>
                <w:sz w:val="20"/>
                <w:szCs w:val="20"/>
              </w:rPr>
              <w:t xml:space="preserve">Net </w:t>
            </w:r>
            <w:r>
              <w:rPr>
                <w:rFonts w:eastAsia="Times New Roman"/>
                <w:b/>
                <w:bCs/>
                <w:sz w:val="20"/>
                <w:szCs w:val="20"/>
              </w:rPr>
              <w:t>cash used in operating activities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(87,247</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(271,705</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Proceeds from related party notes payable</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108,000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Redemption of preferred stock</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Proceeds from sale of preferred stock</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Proceeds from sale of common stock</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Proceeds from sale of common stock to be issued</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6,870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 xml:space="preserve">Proceeds </w:t>
            </w:r>
            <w:r>
              <w:rPr>
                <w:rFonts w:eastAsia="Times New Roman"/>
                <w:sz w:val="20"/>
                <w:szCs w:val="20"/>
              </w:rPr>
              <w:t>from promissory notes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Proceeds from related party advances</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667E7">
            <w:pPr>
              <w:rPr>
                <w:rFonts w:eastAsia="Times New Roman"/>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71,870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308,000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NET INCREASE (DECREASE) IN CASH</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(15,377</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36,295</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CASH - BEGINNING OF PERIOD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20,381</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5,494</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5,004</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41,789</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b/>
                <w:bCs/>
                <w:sz w:val="20"/>
                <w:szCs w:val="20"/>
              </w:rPr>
            </w:pPr>
            <w:r>
              <w:rPr>
                <w:rFonts w:eastAsia="Times New Roman"/>
                <w:b/>
                <w:bCs/>
                <w:sz w:val="20"/>
                <w:szCs w:val="20"/>
              </w:rPr>
              <w:t>CASH PAID DURING THE PERIOD FOR:</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7,500</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Conversion of preferred stock into common stock</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174,386</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209,687</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675,278</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28,482</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28,721</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xml:space="preserve">Conversion </w:t>
            </w:r>
            <w:r>
              <w:rPr>
                <w:rFonts w:eastAsia="Times New Roman"/>
                <w:sz w:val="20"/>
                <w:szCs w:val="20"/>
              </w:rPr>
              <w:t>of notes payable and accrued interest into common stock to be issued</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526,113</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5667E7">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26522216"/>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4</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820614823"/>
        <w:rPr>
          <w:sz w:val="20"/>
          <w:szCs w:val="20"/>
        </w:rPr>
      </w:pPr>
      <w:r>
        <w:rPr>
          <w:sz w:val="20"/>
          <w:szCs w:val="20"/>
        </w:rPr>
        <w:t> </w:t>
      </w:r>
    </w:p>
    <w:p w:rsidR="00000000" w:rsidRDefault="005667E7">
      <w:pPr>
        <w:pStyle w:val="a3"/>
        <w:spacing w:before="0" w:beforeAutospacing="0" w:after="0" w:afterAutospacing="0"/>
        <w:jc w:val="center"/>
        <w:rPr>
          <w:sz w:val="20"/>
          <w:szCs w:val="20"/>
        </w:rPr>
      </w:pPr>
      <w:r>
        <w:rPr>
          <w:b/>
          <w:bCs/>
          <w:sz w:val="20"/>
          <w:szCs w:val="20"/>
        </w:rPr>
        <w:t> </w:t>
      </w:r>
    </w:p>
    <w:p w:rsidR="00000000" w:rsidRDefault="005667E7">
      <w:pPr>
        <w:pStyle w:val="a3"/>
        <w:spacing w:before="0" w:beforeAutospacing="0" w:after="0" w:afterAutospacing="0"/>
        <w:jc w:val="center"/>
        <w:rPr>
          <w:sz w:val="20"/>
          <w:szCs w:val="20"/>
        </w:rPr>
      </w:pPr>
      <w:r>
        <w:rPr>
          <w:b/>
          <w:bCs/>
          <w:sz w:val="20"/>
          <w:szCs w:val="20"/>
        </w:rPr>
        <w:t>Vivos Inc.</w:t>
      </w:r>
    </w:p>
    <w:p w:rsidR="00000000" w:rsidRDefault="005667E7">
      <w:pPr>
        <w:pStyle w:val="a3"/>
        <w:spacing w:before="0" w:beforeAutospacing="0" w:after="0" w:afterAutospacing="0"/>
        <w:jc w:val="center"/>
        <w:rPr>
          <w:sz w:val="20"/>
          <w:szCs w:val="20"/>
        </w:rPr>
      </w:pPr>
      <w:bookmarkStart w:id="6" w:name="Cj_007"/>
      <w:bookmarkEnd w:id="6"/>
      <w:r>
        <w:rPr>
          <w:b/>
          <w:bCs/>
          <w:sz w:val="20"/>
          <w:szCs w:val="20"/>
        </w:rPr>
        <w:t>Notes to Condensed Financial Statements</w:t>
      </w:r>
    </w:p>
    <w:p w:rsidR="00000000" w:rsidRDefault="005667E7">
      <w:pPr>
        <w:pStyle w:val="a3"/>
        <w:spacing w:before="0" w:beforeAutospacing="0" w:after="0" w:afterAutospacing="0"/>
        <w:jc w:val="center"/>
        <w:rPr>
          <w:sz w:val="20"/>
          <w:szCs w:val="20"/>
        </w:rPr>
      </w:pPr>
      <w:r>
        <w:rPr>
          <w:b/>
          <w:bCs/>
          <w:sz w:val="20"/>
          <w:szCs w:val="20"/>
        </w:rPr>
        <w:t>(Unaudited)</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three months ended March 31, 2020, are not necessarily indicative of the results that may be expected</w:t>
      </w:r>
      <w:r>
        <w:rPr>
          <w:sz w:val="20"/>
          <w:szCs w:val="20"/>
        </w:rPr>
        <w:t xml:space="preserve"> for any future period or the fiscal year ending December 31, 2020 and should be read in conjunction with the Company’s Annual Report on Form 10-K for the year ended December 31, 2019, filed with the Securities and Exchange Commission on April 28,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Effective June 28, 2019, FINRA approved the Company’s reverse 1 for 8 stock-split. The reverse stock split will enable the Company to issue additional shares now that there is availability to do so. All share and per-share figures herein have been restated</w:t>
      </w:r>
      <w:r>
        <w:rPr>
          <w:sz w:val="20"/>
          <w:szCs w:val="20"/>
        </w:rPr>
        <w:t xml:space="preserve"> to take effect for this reverse stock-split.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April of 2017, the Company filed a Certificate of Merger with the Delaware Division of Corporations in order to merge the Company’s wholly-owned subsidiary, IsoPet Solutions Corporation, with and into the </w:t>
      </w:r>
      <w:r>
        <w:rPr>
          <w:sz w:val="20"/>
          <w:szCs w:val="20"/>
        </w:rPr>
        <w:t>Company. The Company therefore no longer prepares Consolidated Financial Statements.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 non-res</w:t>
      </w:r>
      <w:r>
        <w:rPr>
          <w:sz w:val="20"/>
          <w:szCs w:val="20"/>
        </w:rPr>
        <w:t>ectable tumors. A prominent team of radiochemists, scientists and engineers, collaborating with strategic partners, including national laboratories, universities and private corporations, lead the Company’s development efforts. The Company’s overall vision</w:t>
      </w:r>
      <w:r>
        <w:rPr>
          <w:sz w:val="20"/>
          <w:szCs w:val="20"/>
        </w:rPr>
        <w:t xml:space="preserve"> is to globally empower physicians, medical researchers and patients by providing them with new isotope technologies that offer safe and effective treatments for cancer.</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Company’s current focus is on the development of its RadioGel™ device. RadioGel™</w:t>
      </w:r>
      <w:r>
        <w:rPr>
          <w:sz w:val="20"/>
          <w:szCs w:val="20"/>
        </w:rPr>
        <w:t xml:space="preserve"> is an injectable particle-gel, for brachytherapy radiation treatment of cancerous tumors in people and animals. RadioGel™ is comprised of a hydrogel, or a substance that is liquid at room temperature and then gels when reaching body temperature after inje</w:t>
      </w:r>
      <w:r>
        <w:rPr>
          <w:sz w:val="20"/>
          <w:szCs w:val="20"/>
        </w:rPr>
        <w:t>ction into a tumor. In the gel are small, one micron, yttrium-90 phosphate particles (“</w:t>
      </w:r>
      <w:r>
        <w:rPr>
          <w:i/>
          <w:iCs/>
          <w:sz w:val="20"/>
          <w:szCs w:val="20"/>
        </w:rPr>
        <w:t>Y-90</w:t>
      </w:r>
      <w:r>
        <w:rPr>
          <w:sz w:val="20"/>
          <w:szCs w:val="20"/>
        </w:rPr>
        <w:t xml:space="preserve">”). Once injected, these inert particles are </w:t>
      </w:r>
      <w:r>
        <w:rPr>
          <w:sz w:val="20"/>
          <w:szCs w:val="20"/>
        </w:rPr>
        <w:t>locked in place inside the tumor by the gel, delivering a very high local radiation dose. The radiation is beta, consisting of high-speed electrons. These electrons only travel a short distance so the device can deliver high radiation to the tumor with min</w:t>
      </w:r>
      <w:r>
        <w:rPr>
          <w:sz w:val="20"/>
          <w:szCs w:val="20"/>
        </w:rPr>
        <w:t>imal dose to the surrounding tissue. Optimally, patients can go home immediately following treatment without the risk of radiation exposure to family members. Since Y-90 has a half-life of 2.7 days, the radioactively drops to 5% of its original value after</w:t>
      </w:r>
      <w:r>
        <w:rPr>
          <w:sz w:val="20"/>
          <w:szCs w:val="20"/>
        </w:rPr>
        <w:t xml:space="preserve"> ten days.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97661392"/>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5</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526263284"/>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w:t>
      </w:r>
      <w:r>
        <w:rPr>
          <w:sz w:val="20"/>
          <w:szCs w:val="20"/>
        </w:rPr>
        <w:t>) at Pacific Northwest National Laboratory, a leading research institute for government and commercial customers. Battelle has granted the Company an exclusive license to patents covering the manufacturing, processing and applications of RadioGel™ (the “</w:t>
      </w:r>
      <w:r>
        <w:rPr>
          <w:i/>
          <w:iCs/>
          <w:sz w:val="20"/>
          <w:szCs w:val="20"/>
        </w:rPr>
        <w:t>Ba</w:t>
      </w:r>
      <w:r>
        <w:rPr>
          <w:i/>
          <w:iCs/>
          <w:sz w:val="20"/>
          <w:szCs w:val="20"/>
        </w:rPr>
        <w:t>ttelle License</w:t>
      </w:r>
      <w:r>
        <w:rPr>
          <w:sz w:val="20"/>
          <w:szCs w:val="20"/>
        </w:rPr>
        <w:t>”). Other intellectual property protection includes proprietary production processes and trademark protection in 17 countries. The Company plans to continue efforts to develop new refinements on the production process, and the product and app</w:t>
      </w:r>
      <w:r>
        <w:rPr>
          <w:sz w:val="20"/>
          <w:szCs w:val="20"/>
        </w:rPr>
        <w:t>lication hardware, as a basis for future patents.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 currently focusing on obtaining approval from the Food and Drug Administration (</w:t>
      </w:r>
      <w:r>
        <w:rPr>
          <w:i/>
          <w:iCs/>
          <w:sz w:val="20"/>
          <w:szCs w:val="20"/>
        </w:rPr>
        <w:t>“FDA”</w:t>
      </w:r>
      <w:r>
        <w:rPr>
          <w:sz w:val="20"/>
          <w:szCs w:val="20"/>
        </w:rPr>
        <w:t>) to market and sell RadioGel™ as a Class II medical device. The Company first requested FDA approval of</w:t>
      </w:r>
      <w:r>
        <w:rPr>
          <w:sz w:val="20"/>
          <w:szCs w:val="20"/>
        </w:rPr>
        <w:t xml:space="preserve"> RadioGel™ in June 2013, at which time the FDA classified RadioGel™ as a medical device. The Company then followed with a 510(k) submission which the FDA responded, in turn, with a request for a physician letter of substantial equivalence and a reformatted</w:t>
      </w:r>
      <w:r>
        <w:rPr>
          <w:sz w:val="20"/>
          <w:szCs w:val="20"/>
        </w:rPr>
        <w:t xml:space="preserve"> 510(k) summary, which the Company provided in January 2014.</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February 2014, the FDA ruled the device as not substantially equivalent due to a lack of a predicate device and it was therefore classified as a Class III device. Class III devices are gener</w:t>
      </w:r>
      <w:r>
        <w:rPr>
          <w:sz w:val="20"/>
          <w:szCs w:val="20"/>
        </w:rPr>
        <w:t>ally the highest risk devices and are therefore subject to the highest level of regulatory review, control and oversight. Class III devices must typically be approved by the FDA before they are marketed. Class II devices represent lower risk devices than C</w:t>
      </w:r>
      <w:r>
        <w:rPr>
          <w:sz w:val="20"/>
          <w:szCs w:val="20"/>
        </w:rPr>
        <w:t>lass III and require fewer regulatory controls to provide reasonable assurance of the device’s safety and effectiveness. In contrast, Class I devices are deemed to be lower risk than Class II or III and are therefore subject to the least regulatory control</w:t>
      </w:r>
      <w:r>
        <w:rPr>
          <w:sz w:val="20"/>
          <w:szCs w:val="20"/>
        </w:rPr>
        <w: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 is currently developing test plans to address issues raised by the FDA in connection with the Company’s previous submissions regarding RadioGel™, including developing specific test plans and specific indication of use. The Company intends </w:t>
      </w:r>
      <w:r>
        <w:rPr>
          <w:sz w:val="20"/>
          <w:szCs w:val="20"/>
        </w:rPr>
        <w:t xml:space="preserve">to request that the FDA grant approval to re-apply for </w:t>
      </w:r>
      <w:r>
        <w:rPr>
          <w:i/>
          <w:iCs/>
          <w:sz w:val="20"/>
          <w:szCs w:val="20"/>
        </w:rPr>
        <w:t xml:space="preserve">de novo </w:t>
      </w:r>
      <w:r>
        <w:rPr>
          <w:sz w:val="20"/>
          <w:szCs w:val="20"/>
        </w:rPr>
        <w:t>classification of RadioGel™, which would reclassify the device from a Class III device to a Class II device, further simplifying the path to FDA approval. In the event the FDA denies the Compan</w:t>
      </w:r>
      <w:r>
        <w:rPr>
          <w:sz w:val="20"/>
          <w:szCs w:val="20"/>
        </w:rPr>
        <w:t>y’s application and subsequently determines during the de novo review that RadioGel™ cannot be classified as a Class I or Class I1 device, the Company will then need to submit a pre-market approval application to obtain the necessary regulatory approval as</w:t>
      </w:r>
      <w:r>
        <w:rPr>
          <w:sz w:val="20"/>
          <w:szCs w:val="20"/>
        </w:rPr>
        <w:t xml:space="preserve"> a Class III device. </w:t>
      </w:r>
      <w:r>
        <w:rPr>
          <w:i/>
          <w:iCs/>
          <w:sz w:val="20"/>
          <w:szCs w:val="20"/>
        </w:rPr>
        <w:t>See also</w:t>
      </w:r>
      <w:r>
        <w:rPr>
          <w:sz w:val="20"/>
          <w:szCs w:val="20"/>
        </w:rPr>
        <w:t xml:space="preserve"> Business – Regulatory History in Part I of this Annual Report on Form 10-K (“</w:t>
      </w:r>
      <w:r>
        <w:rPr>
          <w:i/>
          <w:iCs/>
          <w:sz w:val="20"/>
          <w:szCs w:val="20"/>
        </w:rPr>
        <w:t>Annual Report</w:t>
      </w:r>
      <w:r>
        <w:rPr>
          <w:sz w:val="20"/>
          <w:szCs w:val="20"/>
        </w:rPr>
        <w:t>”) for a discussion regarding the Company’s application for FDA approval of RadioGel™.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IsoPet Solutions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Company’s IsoPet Solutio</w:t>
      </w:r>
      <w:r>
        <w:rPr>
          <w:sz w:val="20"/>
          <w:szCs w:val="20"/>
        </w:rPr>
        <w:t>ns division was established in May 2016 to focus on the veterinary oncology market, namely engagement of university veterinarian hospital to develop the detailed therapy procedures to treat animal tumors and ultimately use of the technology in private clin</w:t>
      </w:r>
      <w:r>
        <w:rPr>
          <w:sz w:val="20"/>
          <w:szCs w:val="20"/>
        </w:rPr>
        <w:t>ics. The Company has worked with three different university veterinarian hospitals on IsoPet® testing and therapy. Washington State University treated five cats for feline sarcoma and served to develop the procedures which are incorporated in our label. Th</w:t>
      </w:r>
      <w:r>
        <w:rPr>
          <w:sz w:val="20"/>
          <w:szCs w:val="20"/>
        </w:rPr>
        <w:t>ey concluded that the product was safe and effective in killing cancer cells. Colorado State University demonstrated the CT and PET-CT imaging of IsoPet®. A contract was signed with University of Missouri to treat canine sarcomas and equine sarcoids starti</w:t>
      </w:r>
      <w:r>
        <w:rPr>
          <w:sz w:val="20"/>
          <w:szCs w:val="20"/>
        </w:rPr>
        <w:t>ng in November 2017.</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w:t>
      </w:r>
      <w:r>
        <w:rPr>
          <w:sz w:val="20"/>
          <w:szCs w:val="20"/>
        </w:rPr>
        <w:t>sen (progress) during treatment. The criteria were published by an international collaboration including the European Organisation for Research and Treatment of Cancer (EORTC), National Cancer Institute of the United States, and the National Cancer Institu</w:t>
      </w:r>
      <w:r>
        <w:rPr>
          <w:sz w:val="20"/>
          <w:szCs w:val="20"/>
        </w:rPr>
        <w:t>te of Canada Clinical Trials Group.</w:t>
      </w:r>
    </w:p>
    <w:p w:rsidR="00000000" w:rsidRDefault="005667E7">
      <w:pPr>
        <w:pStyle w:val="a3"/>
        <w:shd w:val="clear" w:color="auto" w:fill="FFFFFF"/>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testing at the University of Missouri met its objective to demonstrate the safety of IsoPet®. Using its advanced CT and PET </w:t>
      </w:r>
      <w:r>
        <w:rPr>
          <w:sz w:val="20"/>
          <w:szCs w:val="20"/>
        </w:rPr>
        <w:t>equipment it was able to demonstrate that the dose calculations were accurate and that the injections perfused into the cell interstices and did not stay concentrated in a bolus. This results in a more homogeneous dose distribution. There was insignificant</w:t>
      </w:r>
      <w:r>
        <w:rPr>
          <w:sz w:val="20"/>
          <w:szCs w:val="20"/>
        </w:rPr>
        <w:t xml:space="preserve"> spread of Y-90 outside the points of injection demonstrating the effectiveness of the particles and the gel to localize the radiation with no spreading to the blood or other organs nor to urine or fecal material. This confirms that IsoPet® is safe for sam</w:t>
      </w:r>
      <w:r>
        <w:rPr>
          <w:sz w:val="20"/>
          <w:szCs w:val="20"/>
        </w:rPr>
        <w:t>e day therapy.</w:t>
      </w:r>
    </w:p>
    <w:p w:rsidR="00000000" w:rsidRDefault="005667E7">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04887737"/>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6</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968316418"/>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effectiveness of IsoPet® for life extension was not the prime objective, but it resulted in valuable insights. Of the cases one is still cancer-free but the others eventually recurred since there was not a strong focus on tr</w:t>
      </w:r>
      <w:r>
        <w:rPr>
          <w:sz w:val="20"/>
          <w:szCs w:val="20"/>
        </w:rPr>
        <w:t>eating the margins. The University of Missouri has agreed to become a regional center to administer IsoPet® therapy and will incorporate the improvements suggested by the testing program.</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jc w:val="both"/>
        <w:rPr>
          <w:sz w:val="20"/>
          <w:szCs w:val="20"/>
        </w:rPr>
      </w:pPr>
      <w:r>
        <w:rPr>
          <w:sz w:val="20"/>
          <w:szCs w:val="20"/>
        </w:rPr>
        <w:t>The Company anticipates that future profits, if any, will be deriv</w:t>
      </w:r>
      <w:r>
        <w:rPr>
          <w:sz w:val="20"/>
          <w:szCs w:val="20"/>
        </w:rPr>
        <w:t xml:space="preserve">ed from direct sales of RadioGel™ (under the name IsoPet®) and related services, and from licensing to private medical and veterinary clinics in the U.S. and internationally. The Company intends to report the results from the IsoPet® Solutions division as </w:t>
      </w:r>
      <w:r>
        <w:rPr>
          <w:sz w:val="20"/>
          <w:szCs w:val="20"/>
        </w:rPr>
        <w:t>a separate operating segment in accordance with GAAP.</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Commencing in July 2019, the Company recognized its first commercial sale of IsoPet®. </w:t>
      </w:r>
      <w:r>
        <w:rPr>
          <w:sz w:val="20"/>
          <w:szCs w:val="20"/>
          <w:shd w:val="clear" w:color="auto" w:fill="FFFFFF"/>
        </w:rPr>
        <w:t>A doctor brought his cat with a re-occurrent spindle cell sarcoma tumor on his face. The cat had previously receiv</w:t>
      </w:r>
      <w:r>
        <w:rPr>
          <w:sz w:val="20"/>
          <w:szCs w:val="20"/>
          <w:shd w:val="clear" w:color="auto" w:fill="FFFFFF"/>
        </w:rPr>
        <w:t xml:space="preserve">ed external beam therapy, but now the tumor was growing rapidly. He was given a high dose of 400Gy with heavy therapy at the margins. This sale met the revenue recognition requirements under ASC 606 as the performance obligation was satisfied. The Company </w:t>
      </w:r>
      <w:r>
        <w:rPr>
          <w:sz w:val="20"/>
          <w:szCs w:val="20"/>
          <w:shd w:val="clear" w:color="auto" w:fill="FFFFFF"/>
        </w:rPr>
        <w:t xml:space="preserve">completed sales for an additional four animals that received </w:t>
      </w:r>
      <w:r>
        <w:rPr>
          <w:sz w:val="20"/>
          <w:szCs w:val="20"/>
        </w:rPr>
        <w:t>the IsoPet® during 2019.</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Our plan is to incorporate the data assembled from our work with Isopet® in animal therapy to support the Company’s efforts </w:t>
      </w:r>
      <w:r>
        <w:rPr>
          <w:sz w:val="20"/>
          <w:szCs w:val="20"/>
        </w:rPr>
        <w:t xml:space="preserve">in the development of our RadioGel™ device candidate, including obtaining approval from the </w:t>
      </w:r>
      <w:r>
        <w:rPr>
          <w:i/>
          <w:iCs/>
          <w:sz w:val="20"/>
          <w:szCs w:val="20"/>
        </w:rPr>
        <w:t>FDA</w:t>
      </w:r>
      <w:r>
        <w:rPr>
          <w:sz w:val="20"/>
          <w:szCs w:val="20"/>
        </w:rPr>
        <w:t xml:space="preserve"> to market and sell RadioGel™ as a Class II medical device. RadioGel™ is an injectable particle-gel for brachytherapy radiation treatment of cancerous tumors in </w:t>
      </w:r>
      <w:r>
        <w:rPr>
          <w:sz w:val="20"/>
          <w:szCs w:val="20"/>
        </w:rPr>
        <w:t>people and animals. RadioGel™ is comprised of a hydrogel, or a substance that is liquid at room temperature and then gels when reaching body temperature after injection into a tumor. In the gel are small, one micron, yttrium-90 phosphate particles (“</w:t>
      </w:r>
      <w:r>
        <w:rPr>
          <w:i/>
          <w:iCs/>
          <w:sz w:val="20"/>
          <w:szCs w:val="20"/>
        </w:rPr>
        <w:t>Y-90</w:t>
      </w:r>
      <w:r>
        <w:rPr>
          <w:sz w:val="20"/>
          <w:szCs w:val="20"/>
        </w:rPr>
        <w:t>”)</w:t>
      </w:r>
      <w:r>
        <w:rPr>
          <w:sz w:val="20"/>
          <w:szCs w:val="20"/>
        </w:rPr>
        <w:t>. Once injected, these inert particles are locked in place inside the tumor by the gel, delivering a very high local radiation dose. The radiation is beta, consisting of high-speed electrons. These electrons only travel a short distance so the device can d</w:t>
      </w:r>
      <w:r>
        <w:rPr>
          <w:sz w:val="20"/>
          <w:szCs w:val="20"/>
        </w:rPr>
        <w:t>eliver high radiation to the tumor with minimal dose to the surrounding tissue. Optimally, patients can go home immediately following treatment without the risk of radiation exposure to family members. Since Y-90 has a half-life of 2.7 days, the radioactiv</w:t>
      </w:r>
      <w:r>
        <w:rPr>
          <w:sz w:val="20"/>
          <w:szCs w:val="20"/>
        </w:rPr>
        <w:t>ity drops to 5% of its original value after ten days.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at Pacific Northwest National Laboratory, a leadi</w:t>
      </w:r>
      <w:r>
        <w:rPr>
          <w:sz w:val="20"/>
          <w:szCs w:val="20"/>
        </w:rPr>
        <w:t>ng research institute for government and commercial customers. Battelle has granted the Company an exclusive license to patents covering the manufacturing, processing and applications of RadioGel™ (the “</w:t>
      </w:r>
      <w:r>
        <w:rPr>
          <w:i/>
          <w:iCs/>
          <w:sz w:val="20"/>
          <w:szCs w:val="20"/>
        </w:rPr>
        <w:t>Battelle License</w:t>
      </w:r>
      <w:r>
        <w:rPr>
          <w:sz w:val="20"/>
          <w:szCs w:val="20"/>
        </w:rPr>
        <w:t>”). This exclusive license is to term</w:t>
      </w:r>
      <w:r>
        <w:rPr>
          <w:sz w:val="20"/>
          <w:szCs w:val="20"/>
        </w:rPr>
        <w:t>inate upon the expiration of the last patent included in this agreement (January 2022). Other intellectual property protection includes proprietary production processes and trademark protection in 17 countries. The Company plans to continue efforts to deve</w:t>
      </w:r>
      <w:r>
        <w:rPr>
          <w:sz w:val="20"/>
          <w:szCs w:val="20"/>
        </w:rPr>
        <w:t>lop new refinements on the production process, and the product and application hardware, as a basis for future patents.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Use of Estimates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preparation of financial statements in accordance with generally accepted accounting principles requires manage</w:t>
      </w:r>
      <w:r>
        <w:rPr>
          <w:sz w:val="20"/>
          <w:szCs w:val="20"/>
        </w:rPr>
        <w:t>ment to make estimates and assumptions that affect the reported amounts of assets and liabilities and the disclosure of contingent assets and liabilities at the date of financial statements and the reported amounts of revenues and expenses during the repor</w:t>
      </w:r>
      <w:r>
        <w:rPr>
          <w:sz w:val="20"/>
          <w:szCs w:val="20"/>
        </w:rPr>
        <w:t>ting period. Estimates the Company considers include criteria for stock-based compensation expense, and valuation allowances on deferred tax assets. Actual results could differ from those estimates.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Financial Statement Reclassification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Certain account </w:t>
      </w:r>
      <w:r>
        <w:rPr>
          <w:sz w:val="20"/>
          <w:szCs w:val="20"/>
        </w:rPr>
        <w:t>balances from prior periods have been reclassified in these financial statements so as to conform to current period classifications.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Cash Equivalents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For the purposes of the statement of cash flows, the Company considers all highly liquid debt instrume</w:t>
      </w:r>
      <w:r>
        <w:rPr>
          <w:sz w:val="20"/>
          <w:szCs w:val="20"/>
        </w:rPr>
        <w:t>nts purchased with an original maturity of three months or less to be cash equivalents.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38927379"/>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7</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319236894"/>
        <w:rPr>
          <w:sz w:val="20"/>
          <w:szCs w:val="20"/>
        </w:rPr>
      </w:pPr>
      <w:r>
        <w:rPr>
          <w:sz w:val="20"/>
          <w:szCs w:val="20"/>
        </w:rPr>
        <w:t> </w:t>
      </w:r>
    </w:p>
    <w:p w:rsidR="00000000" w:rsidRDefault="005667E7">
      <w:pPr>
        <w:pStyle w:val="a3"/>
        <w:spacing w:before="0" w:beforeAutospacing="0" w:after="0" w:afterAutospacing="0"/>
        <w:rPr>
          <w:sz w:val="20"/>
          <w:szCs w:val="20"/>
        </w:rPr>
      </w:pPr>
      <w:r>
        <w:rPr>
          <w:b/>
          <w:bCs/>
          <w:sz w:val="20"/>
          <w:szCs w:val="20"/>
        </w:rPr>
        <w:t> </w:t>
      </w:r>
    </w:p>
    <w:p w:rsidR="00000000" w:rsidRDefault="005667E7">
      <w:pPr>
        <w:pStyle w:val="a3"/>
        <w:spacing w:before="0" w:beforeAutospacing="0" w:after="0" w:afterAutospacing="0"/>
        <w:jc w:val="both"/>
        <w:rPr>
          <w:sz w:val="20"/>
          <w:szCs w:val="20"/>
        </w:rPr>
      </w:pPr>
      <w:r>
        <w:rPr>
          <w:b/>
          <w:bCs/>
          <w:sz w:val="20"/>
          <w:szCs w:val="20"/>
        </w:rPr>
        <w:t>Inventory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Inventory </w:t>
      </w:r>
      <w:r>
        <w:rPr>
          <w:sz w:val="20"/>
          <w:szCs w:val="20"/>
        </w:rPr>
        <w:t xml:space="preserve">is reported at the lower of cost or market, determined using the first-in, first-out basis, or net realizable value. All inventories consisted of finished goods. The Company has no inventory for the three-months ended March 31, 2020 and for the year ended </w:t>
      </w:r>
      <w:r>
        <w:rPr>
          <w:sz w:val="20"/>
          <w:szCs w:val="20"/>
        </w:rPr>
        <w:t>December 31, 2019.</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Fair Value of Financial Instruments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Fair value of financial instruments requires disclosure of the fair value information, whether or not recognized in the balance sheet, where it is practicable to estimate that value. As of March 31</w:t>
      </w:r>
      <w:r>
        <w:rPr>
          <w:sz w:val="20"/>
          <w:szCs w:val="20"/>
        </w:rPr>
        <w:t>, 2020 and December 31, 2019, the balances reported for cash, prepaid expenses, accounts receivable, accounts payable, and accrued expenses, approximate the fair value because of their short maturities.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Fair value is defined as the price that would be re</w:t>
      </w:r>
      <w:r>
        <w:rPr>
          <w:sz w:val="20"/>
          <w:szCs w:val="20"/>
        </w:rPr>
        <w:t>ceived to sell an asset or paid to transfer a liability in an orderly transaction between market participants at the measurement date. Accounting Standards Codification (“</w:t>
      </w:r>
      <w:r>
        <w:rPr>
          <w:i/>
          <w:iCs/>
          <w:sz w:val="20"/>
          <w:szCs w:val="20"/>
        </w:rPr>
        <w:t>ASC</w:t>
      </w:r>
      <w:r>
        <w:rPr>
          <w:sz w:val="20"/>
          <w:szCs w:val="20"/>
        </w:rPr>
        <w:t>”) Topic 820 established a three-tier fair value hierarchy which prioritizes the i</w:t>
      </w:r>
      <w:r>
        <w:rPr>
          <w:sz w:val="20"/>
          <w:szCs w:val="20"/>
        </w:rPr>
        <w:t>nputs used in measuring fair value. The hierarchy gives the highest priority to unadjusted quoted prices in active markets for identical assets or liabilities (level 1 measurements) and the lowest priority to unobservable inputs (level 3 measurements). The</w:t>
      </w:r>
      <w:r>
        <w:rPr>
          <w:sz w:val="20"/>
          <w:szCs w:val="20"/>
        </w:rPr>
        <w:t>se tiers include: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Level 2, defined as inputs other than quoted prices in active markets that are either directly or indirectly observable such as q</w:t>
      </w:r>
      <w:r>
        <w:rPr>
          <w:sz w:val="20"/>
          <w:szCs w:val="20"/>
        </w:rPr>
        <w:t>uoted prices for similar instruments in active markets or quoted prices for identical or similar instruments in markets that are not active; and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w:t>
      </w:r>
      <w:r>
        <w:rPr>
          <w:sz w:val="20"/>
          <w:szCs w:val="20"/>
        </w:rPr>
        <w:t>ty to develop its own assumptions, such as valuations derived from valuation techniques in which one or more significant inputs or significant value drivers are unobservable.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measures certain financial instruments including options and warran</w:t>
      </w:r>
      <w:r>
        <w:rPr>
          <w:sz w:val="20"/>
          <w:szCs w:val="20"/>
        </w:rPr>
        <w:t>ts issued during the period at fair value on a recurring basis.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Derivative Liabilities and Beneficial Conversion Feature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w:t>
      </w:r>
      <w:r>
        <w:rPr>
          <w:sz w:val="20"/>
          <w:szCs w:val="20"/>
        </w:rPr>
        <w:t>Company evaluates its convertible debt, options, warrants or other contracts, if any, to determine if those contracts or embedded components of those contracts qualify as derivatives to be separately accounted for in accordance with ASC Topic 815, Accounti</w:t>
      </w:r>
      <w:r>
        <w:rPr>
          <w:sz w:val="20"/>
          <w:szCs w:val="20"/>
        </w:rPr>
        <w:t>ng for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w:t>
      </w:r>
      <w:r>
        <w:rPr>
          <w:sz w:val="20"/>
          <w:szCs w:val="20"/>
        </w:rPr>
        <w:t>vative instruments are recognized as either assets or liabilities in the balance sheet and are measured at fair values with gains or losses recognized in earnings. Embedded derivatives that are not clearly and closely related to the host contract are bifur</w:t>
      </w:r>
      <w:r>
        <w:rPr>
          <w:sz w:val="20"/>
          <w:szCs w:val="20"/>
        </w:rPr>
        <w:t>cated and are recognized at fair value with changes in fair value recognized as either a gain or loss in earnings.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result of this accounting treatment is that the fair value of the derivative instrument is marked-to-market each balance sheet date and</w:t>
      </w:r>
      <w:r>
        <w:rPr>
          <w:sz w:val="20"/>
          <w:szCs w:val="20"/>
        </w:rPr>
        <w:t xml:space="preserve"> with the change in fair value recognized in the statement of operations as other income or expense.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Upon conversion, exercise or cancellation of a derivative instrument, the instrument is marked to fair value at the date of conversion, exercise or cance</w:t>
      </w:r>
      <w:r>
        <w:rPr>
          <w:sz w:val="20"/>
          <w:szCs w:val="20"/>
        </w:rPr>
        <w:t xml:space="preserve">llation than that the related fair value is removed from the books. Gains or losses on debt extinguishment are recognized in the statement of operations upon conversion, exercise or cancellation of a derivative instrument after any shares issued in such a </w:t>
      </w:r>
      <w:r>
        <w:rPr>
          <w:sz w:val="20"/>
          <w:szCs w:val="20"/>
        </w:rPr>
        <w:t>transaction are recorded at market value.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 each reporting period. Equity instruments that are ini</w:t>
      </w:r>
      <w:r>
        <w:rPr>
          <w:sz w:val="20"/>
          <w:szCs w:val="20"/>
        </w:rPr>
        <w:t>tially classified as equity that become subject to reclassification are reclassified to liability at the fair value of the instrument on the reclassification date. Instruments that become a derivative after inception are recognized as a derivative on the d</w:t>
      </w:r>
      <w:r>
        <w:rPr>
          <w:sz w:val="20"/>
          <w:szCs w:val="20"/>
        </w:rPr>
        <w:t>ate they become a derivative with the offsetting entry recorded in earnings.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18889894"/>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8</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516843078"/>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rights and obligations of each instrument, based on ava</w:t>
      </w:r>
      <w:r>
        <w:rPr>
          <w:sz w:val="20"/>
          <w:szCs w:val="20"/>
        </w:rPr>
        <w:t>ilable market data using a binomial model, adjusted for the effect of dilution, because it embodies all of the requisite assumptions (including trading volatility, estimated terms, dilution and risk-free rates) necessary to fair value these instruments. Fo</w:t>
      </w:r>
      <w:r>
        <w:rPr>
          <w:sz w:val="20"/>
          <w:szCs w:val="20"/>
        </w:rPr>
        <w:t>r instruments in default with no remaining time to maturity the Company uses a one-year term for their years to maturity estimate unless a sooner conversion date can be estimated or is known. Estimating fair values of derivative financial instruments requi</w:t>
      </w:r>
      <w:r>
        <w:rPr>
          <w:sz w:val="20"/>
          <w:szCs w:val="20"/>
        </w:rPr>
        <w:t>res the development of significant and subjective estimates that may, and are likely to, change over the duration of the instrument with related changes in internal and external market factors. In addition, option-based techniques (such as Black-Scholes mo</w:t>
      </w:r>
      <w:r>
        <w:rPr>
          <w:sz w:val="20"/>
          <w:szCs w:val="20"/>
        </w:rPr>
        <w:t>del) are highly volatile and sensitive to changes in the trading market price of our common stock.</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w:t>
      </w:r>
      <w:r>
        <w:rPr>
          <w:sz w:val="20"/>
          <w:szCs w:val="20"/>
        </w:rPr>
        <w:t>Company accounts for the beneficial conversion feature on its convertible instruments in accordance with ASC 470-20. The Beneficial Conversion Feature (“BCF”) is normally characterized as the convertible portion or feature that provides a rate of conversio</w:t>
      </w:r>
      <w:r>
        <w:rPr>
          <w:sz w:val="20"/>
          <w:szCs w:val="20"/>
        </w:rPr>
        <w:t>n that is below market value or in the money when issued. The Company records a BCF when these criteria exist, when issued. BCFs that are contingent upon the occurrence of a future event are recorded when the contingency is resolved.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To determine the eff</w:t>
      </w:r>
      <w:r>
        <w:rPr>
          <w:sz w:val="20"/>
          <w:szCs w:val="20"/>
        </w:rPr>
        <w:t>ective conversion price, the Company first allocates the proceeds received to the convertible instrument, and then use those allocated proceeds to determine the effective conversion price. The intrinsic value of the conversion option should be measured usi</w:t>
      </w:r>
      <w:r>
        <w:rPr>
          <w:sz w:val="20"/>
          <w:szCs w:val="20"/>
        </w:rPr>
        <w:t>ng the effective conversion price for the convertible instrument on the proceeds allocated to that instrument.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w:t>
      </w:r>
      <w:r>
        <w:rPr>
          <w:sz w:val="20"/>
          <w:szCs w:val="20"/>
        </w:rPr>
        <w:t>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with a cost of $1,500 or greater are capitalized. Major betterments that extend the useful lives of asse</w:t>
      </w:r>
      <w:r>
        <w:rPr>
          <w:sz w:val="20"/>
          <w:szCs w:val="20"/>
        </w:rPr>
        <w:t>ts are also capitalized. Normal maintenance and repairs are charged to expense as incurred. When assets are sold or otherwise disposed of, the cost and accumulated depreciation are removed from the accounts and any resulting gain or loss is recognized in o</w:t>
      </w:r>
      <w:r>
        <w:rPr>
          <w:sz w:val="20"/>
          <w:szCs w:val="20"/>
        </w:rPr>
        <w:t>perations.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5667E7">
      <w:pPr>
        <w:pStyle w:val="a3"/>
        <w:spacing w:before="0" w:beforeAutospacing="0" w:after="0" w:afterAutospacing="0"/>
        <w:ind w:firstLine="720"/>
        <w:rPr>
          <w:sz w:val="20"/>
          <w:szCs w:val="20"/>
        </w:rPr>
      </w:pPr>
      <w:r>
        <w:rPr>
          <w:sz w:val="20"/>
          <w:szCs w:val="20"/>
        </w:rPr>
        <w:t> </w:t>
      </w:r>
    </w:p>
    <w:tbl>
      <w:tblPr>
        <w:tblW w:w="4250" w:type="pct"/>
        <w:jc w:val="center"/>
        <w:tblCellMar>
          <w:left w:w="0" w:type="dxa"/>
          <w:right w:w="0" w:type="dxa"/>
        </w:tblCellMar>
        <w:tblLook w:val="04A0" w:firstRow="1" w:lastRow="0" w:firstColumn="1" w:lastColumn="0" w:noHBand="0" w:noVBand="1"/>
      </w:tblPr>
      <w:tblGrid>
        <w:gridCol w:w="3530"/>
        <w:gridCol w:w="3530"/>
      </w:tblGrid>
      <w:tr w:rsidR="00000000">
        <w:trPr>
          <w:jc w:val="center"/>
        </w:trPr>
        <w:tc>
          <w:tcPr>
            <w:tcW w:w="2500" w:type="pct"/>
            <w:hideMark/>
          </w:tcPr>
          <w:p w:rsidR="00000000" w:rsidRDefault="005667E7">
            <w:pPr>
              <w:rPr>
                <w:rFonts w:eastAsia="Times New Roman"/>
                <w:sz w:val="20"/>
                <w:szCs w:val="20"/>
              </w:rPr>
            </w:pPr>
            <w:r>
              <w:rPr>
                <w:rFonts w:eastAsia="Times New Roman"/>
                <w:sz w:val="20"/>
                <w:szCs w:val="20"/>
              </w:rPr>
              <w:t>Production equipment:</w:t>
            </w:r>
          </w:p>
        </w:tc>
        <w:tc>
          <w:tcPr>
            <w:tcW w:w="2500" w:type="pct"/>
            <w:hideMark/>
          </w:tcPr>
          <w:p w:rsidR="00000000" w:rsidRDefault="005667E7">
            <w:pPr>
              <w:rPr>
                <w:rFonts w:eastAsia="Times New Roman"/>
                <w:sz w:val="20"/>
                <w:szCs w:val="20"/>
              </w:rPr>
            </w:pPr>
            <w:r>
              <w:rPr>
                <w:rFonts w:eastAsia="Times New Roman"/>
                <w:sz w:val="20"/>
                <w:szCs w:val="20"/>
              </w:rPr>
              <w:t>3 to 7 years</w:t>
            </w:r>
          </w:p>
        </w:tc>
      </w:tr>
      <w:tr w:rsidR="00000000">
        <w:trPr>
          <w:jc w:val="center"/>
        </w:trPr>
        <w:tc>
          <w:tcPr>
            <w:tcW w:w="0" w:type="auto"/>
            <w:hideMark/>
          </w:tcPr>
          <w:p w:rsidR="00000000" w:rsidRDefault="005667E7">
            <w:pPr>
              <w:rPr>
                <w:rFonts w:eastAsia="Times New Roman"/>
                <w:sz w:val="20"/>
                <w:szCs w:val="20"/>
              </w:rPr>
            </w:pPr>
            <w:r>
              <w:rPr>
                <w:rFonts w:eastAsia="Times New Roman"/>
                <w:sz w:val="20"/>
                <w:szCs w:val="20"/>
              </w:rPr>
              <w:t>Office equipment:</w:t>
            </w:r>
          </w:p>
        </w:tc>
        <w:tc>
          <w:tcPr>
            <w:tcW w:w="0" w:type="auto"/>
            <w:hideMark/>
          </w:tcPr>
          <w:p w:rsidR="00000000" w:rsidRDefault="005667E7">
            <w:pPr>
              <w:rPr>
                <w:rFonts w:eastAsia="Times New Roman"/>
                <w:sz w:val="20"/>
                <w:szCs w:val="20"/>
              </w:rPr>
            </w:pPr>
            <w:r>
              <w:rPr>
                <w:rFonts w:eastAsia="Times New Roman"/>
                <w:sz w:val="20"/>
                <w:szCs w:val="20"/>
              </w:rPr>
              <w:t>2 to 5 years</w:t>
            </w:r>
          </w:p>
        </w:tc>
      </w:tr>
      <w:tr w:rsidR="00000000">
        <w:trPr>
          <w:jc w:val="center"/>
        </w:trPr>
        <w:tc>
          <w:tcPr>
            <w:tcW w:w="0" w:type="auto"/>
            <w:hideMark/>
          </w:tcPr>
          <w:p w:rsidR="00000000" w:rsidRDefault="005667E7">
            <w:pPr>
              <w:rPr>
                <w:rFonts w:eastAsia="Times New Roman"/>
                <w:sz w:val="20"/>
                <w:szCs w:val="20"/>
              </w:rPr>
            </w:pPr>
            <w:r>
              <w:rPr>
                <w:rFonts w:eastAsia="Times New Roman"/>
                <w:sz w:val="20"/>
                <w:szCs w:val="20"/>
              </w:rPr>
              <w:t>Furniture and fixtures:</w:t>
            </w:r>
          </w:p>
        </w:tc>
        <w:tc>
          <w:tcPr>
            <w:tcW w:w="0" w:type="auto"/>
            <w:hideMark/>
          </w:tcPr>
          <w:p w:rsidR="00000000" w:rsidRDefault="005667E7">
            <w:pPr>
              <w:rPr>
                <w:rFonts w:eastAsia="Times New Roman"/>
                <w:sz w:val="20"/>
                <w:szCs w:val="20"/>
              </w:rPr>
            </w:pPr>
            <w:r>
              <w:rPr>
                <w:rFonts w:eastAsia="Times New Roman"/>
                <w:sz w:val="20"/>
                <w:szCs w:val="20"/>
              </w:rPr>
              <w:t>2 to 5 years</w:t>
            </w:r>
          </w:p>
        </w:tc>
      </w:tr>
    </w:tbl>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License Fees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License fees are stated at cost, less accumulated amortization. Amortization of license fees is computed using the straight-line method over the estimated economic useful life of the as</w:t>
      </w:r>
      <w:r>
        <w:rPr>
          <w:sz w:val="20"/>
          <w:szCs w:val="20"/>
        </w:rPr>
        <w:t>sets.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532182881"/>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9</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040665206"/>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Effective </w:t>
      </w:r>
      <w:r>
        <w:rPr>
          <w:sz w:val="20"/>
          <w:szCs w:val="20"/>
        </w:rPr>
        <w:t>March 2012, the Company entered into an exclusive license agreement with Battelle Memorial Institute regarding the use of its patented RadioGel™ technology. This license agreement originally called for a $17,500 nonrefundable license fee and a royalty base</w:t>
      </w:r>
      <w:r>
        <w:rPr>
          <w:sz w:val="20"/>
          <w:szCs w:val="20"/>
        </w:rPr>
        <w:t>d on a percent of gross sales for licensed products sold; the license agreement also contains a minimum royalty amount to be paid each year starting with 2013. The license agreement was most recently amended on December 20, 2018, and pursuant to the amendm</w:t>
      </w:r>
      <w:r>
        <w:rPr>
          <w:sz w:val="20"/>
          <w:szCs w:val="20"/>
        </w:rPr>
        <w:t>ent the maintenance fee schedule was updated for minimum royalties, as well as the increase in royalties from one percent (1%) to two percent (2%), then on October 8, 2019 to reduce the fee back to one percent (1%).</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Future minimum royalties for the years</w:t>
      </w:r>
      <w:r>
        <w:rPr>
          <w:sz w:val="20"/>
          <w:szCs w:val="20"/>
        </w:rPr>
        <w:t xml:space="preserve"> ended December 31 are noted below:</w:t>
      </w:r>
    </w:p>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tc>
          <w:tcPr>
            <w:tcW w:w="0" w:type="auto"/>
            <w:tcBorders>
              <w:bottom w:val="single" w:sz="12" w:space="0" w:color="000000"/>
            </w:tcBorders>
            <w:vAlign w:val="bottom"/>
            <w:hideMark/>
          </w:tcPr>
          <w:p w:rsidR="00000000" w:rsidRDefault="005667E7">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667E7">
            <w:pPr>
              <w:pStyle w:val="a3"/>
              <w:spacing w:before="0" w:beforeAutospacing="0" w:after="0" w:afterAutospacing="0"/>
              <w:jc w:val="center"/>
              <w:rPr>
                <w:b/>
                <w:bCs/>
                <w:sz w:val="20"/>
                <w:szCs w:val="20"/>
              </w:rPr>
            </w:pPr>
            <w:r>
              <w:rPr>
                <w:b/>
                <w:bCs/>
                <w:sz w:val="20"/>
                <w:szCs w:val="20"/>
              </w:rPr>
              <w:t>Minimum</w:t>
            </w:r>
          </w:p>
          <w:p w:rsidR="00000000" w:rsidRDefault="005667E7">
            <w:pPr>
              <w:pStyle w:val="a3"/>
              <w:spacing w:before="0" w:beforeAutospacing="0" w:after="0" w:afterAutospacing="0"/>
              <w:jc w:val="center"/>
              <w:rPr>
                <w:b/>
                <w:bCs/>
                <w:sz w:val="20"/>
                <w:szCs w:val="20"/>
              </w:rPr>
            </w:pPr>
            <w:r>
              <w:rPr>
                <w:b/>
                <w:bCs/>
                <w:sz w:val="20"/>
                <w:szCs w:val="20"/>
              </w:rPr>
              <w:t>Royalties per</w:t>
            </w:r>
          </w:p>
          <w:p w:rsidR="00000000" w:rsidRDefault="005667E7">
            <w:pPr>
              <w:pStyle w:val="a3"/>
              <w:spacing w:before="0" w:beforeAutospacing="0" w:after="0" w:afterAutospacing="0"/>
              <w:jc w:val="center"/>
              <w:rPr>
                <w:b/>
                <w:bCs/>
                <w:sz w:val="20"/>
                <w:szCs w:val="20"/>
              </w:rPr>
            </w:pPr>
            <w:r>
              <w:rPr>
                <w:b/>
                <w:bCs/>
                <w:sz w:val="20"/>
                <w:szCs w:val="20"/>
              </w:rPr>
              <w:t>Calendar Year</w:t>
            </w:r>
          </w:p>
        </w:tc>
        <w:tc>
          <w:tcPr>
            <w:tcW w:w="0" w:type="auto"/>
            <w:tcMar>
              <w:top w:w="0" w:type="dxa"/>
              <w:left w:w="0" w:type="dxa"/>
              <w:bottom w:w="30" w:type="dxa"/>
              <w:right w:w="0" w:type="dxa"/>
            </w:tcMar>
            <w:vAlign w:val="bottom"/>
            <w:hideMark/>
          </w:tcPr>
          <w:p w:rsidR="00000000" w:rsidRDefault="005667E7">
            <w:pPr>
              <w:rPr>
                <w:rFonts w:eastAsia="Times New Roman"/>
                <w:b/>
                <w:bCs/>
                <w:sz w:val="20"/>
                <w:szCs w:val="20"/>
              </w:rPr>
            </w:pPr>
            <w:r>
              <w:rPr>
                <w:rFonts w:eastAsia="Times New Roman"/>
                <w:b/>
                <w:bCs/>
                <w:sz w:val="20"/>
                <w:szCs w:val="20"/>
              </w:rPr>
              <w:t> </w:t>
            </w:r>
          </w:p>
        </w:tc>
      </w:tr>
      <w:tr w:rsidR="00000000">
        <w:tc>
          <w:tcPr>
            <w:tcW w:w="3900" w:type="pct"/>
            <w:shd w:val="clear" w:color="auto" w:fill="CCEEFF"/>
            <w:vAlign w:val="bottom"/>
            <w:hideMark/>
          </w:tcPr>
          <w:p w:rsidR="00000000" w:rsidRDefault="005667E7">
            <w:pPr>
              <w:rPr>
                <w:rFonts w:eastAsia="Times New Roman"/>
                <w:sz w:val="20"/>
                <w:szCs w:val="20"/>
              </w:rPr>
            </w:pPr>
            <w:r>
              <w:rPr>
                <w:rFonts w:eastAsia="Times New Roman"/>
                <w:sz w:val="20"/>
                <w:szCs w:val="20"/>
              </w:rPr>
              <w:t>2020</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2021</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2022</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24,000</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2020 fee was paid in Janu</w:t>
      </w:r>
      <w:r>
        <w:rPr>
          <w:sz w:val="20"/>
          <w:szCs w:val="20"/>
        </w:rPr>
        <w:t>ary 2020.</w:t>
      </w:r>
    </w:p>
    <w:p w:rsidR="00000000" w:rsidRDefault="005667E7">
      <w:pPr>
        <w:pStyle w:val="a3"/>
        <w:spacing w:before="0" w:beforeAutospacing="0" w:after="0" w:afterAutospacing="0"/>
        <w:jc w:val="both"/>
        <w:rPr>
          <w:sz w:val="20"/>
          <w:szCs w:val="20"/>
        </w:rPr>
      </w:pPr>
      <w:r>
        <w:rPr>
          <w:b/>
          <w:bCs/>
          <w:sz w:val="20"/>
          <w:szCs w:val="20"/>
        </w:rPr>
        <w:t> </w:t>
      </w:r>
    </w:p>
    <w:p w:rsidR="00000000" w:rsidRDefault="005667E7">
      <w:pPr>
        <w:pStyle w:val="a3"/>
        <w:spacing w:before="0" w:beforeAutospacing="0" w:after="0" w:afterAutospacing="0"/>
        <w:jc w:val="both"/>
        <w:rPr>
          <w:sz w:val="20"/>
          <w:szCs w:val="20"/>
        </w:rPr>
      </w:pPr>
      <w:r>
        <w:rPr>
          <w:b/>
          <w:bCs/>
          <w:sz w:val="20"/>
          <w:szCs w:val="20"/>
        </w:rPr>
        <w:t>Patents and Intellectual Property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While patents are being developed or pending, they are not being amortized. Management has determined that the economic life of the patents to be ten years and amortization, over such 10-year period and on a </w:t>
      </w:r>
      <w:r>
        <w:rPr>
          <w:sz w:val="20"/>
          <w:szCs w:val="20"/>
        </w:rPr>
        <w:t>straight-line basis will begin once the patents have been issued and the Company begins utilization of the patents through production and sales, resulting in revenues.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evaluates the recoverability of intangible assets, including patents and i</w:t>
      </w:r>
      <w:r>
        <w:rPr>
          <w:sz w:val="20"/>
          <w:szCs w:val="20"/>
        </w:rPr>
        <w:t>ntellectual property on a continual basis. Several factors are used to evaluate intangibles, including, but not limited to, management’s plans for future operations, recent operating results and projected and expected undiscounted future cash flows.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Ther</w:t>
      </w:r>
      <w:r>
        <w:rPr>
          <w:sz w:val="20"/>
          <w:szCs w:val="20"/>
        </w:rPr>
        <w:t>e have been no such capitalized costs in the three-months ended March 31, 2020 and 2019, respectively. However, a patent was filed on July 1, 2019 (No. 1811.191) filed by Michael Korenko and David Swanberg and assigned to the Company based on the Company’s</w:t>
      </w:r>
      <w:r>
        <w:rPr>
          <w:sz w:val="20"/>
          <w:szCs w:val="20"/>
        </w:rPr>
        <w:t xml:space="preserve"> proprietary particle manufacturing process. The timing of this filing was important given the Company’s plans to make IsoPet® commercially available, which it did on or about July 9, 2019. This additional patent protection will strengthen the Company’s co</w:t>
      </w:r>
      <w:r>
        <w:rPr>
          <w:sz w:val="20"/>
          <w:szCs w:val="20"/>
        </w:rPr>
        <w:t>mpetitive position. It is the Company’s intention to further extend this patent protection to several key countries within one year, as permitted under international patent laws and treaties.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Revenue Recognition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May 2014, the Financial Accounting St</w:t>
      </w:r>
      <w:r>
        <w:rPr>
          <w:sz w:val="20"/>
          <w:szCs w:val="20"/>
        </w:rPr>
        <w:t>andards Board (“F</w:t>
      </w:r>
      <w:r>
        <w:rPr>
          <w:i/>
          <w:iCs/>
          <w:sz w:val="20"/>
          <w:szCs w:val="20"/>
        </w:rPr>
        <w:t>ASB</w:t>
      </w:r>
      <w:r>
        <w:rPr>
          <w:sz w:val="20"/>
          <w:szCs w:val="20"/>
        </w:rPr>
        <w:t>”) issued Accounting Standard Update (“</w:t>
      </w:r>
      <w:r>
        <w:rPr>
          <w:i/>
          <w:iCs/>
          <w:sz w:val="20"/>
          <w:szCs w:val="20"/>
        </w:rPr>
        <w:t>ASU</w:t>
      </w:r>
      <w:r>
        <w:rPr>
          <w:sz w:val="20"/>
          <w:szCs w:val="20"/>
        </w:rPr>
        <w:t>”) No. 2014-09, Revenue from Contracts with Customers (Topic 606). This standard provides a single set of guidelines for revenue recognition to be used across all industries and requires additio</w:t>
      </w:r>
      <w:r>
        <w:rPr>
          <w:sz w:val="20"/>
          <w:szCs w:val="20"/>
        </w:rPr>
        <w:t>nal disclosures. The updated guidance introduces a five-step model to achieve its core principal of the entity recognizing revenue to depict the transfer of goods or services to customers at an amount that reflects the consideration to which the entity exp</w:t>
      </w:r>
      <w:r>
        <w:rPr>
          <w:sz w:val="20"/>
          <w:szCs w:val="20"/>
        </w:rPr>
        <w:t>ects to be entitled in exchange for those goods or services. The Company adopted the updated guidance effective January 1, 2018 using the full retrospective method.</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73161015"/>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222067425"/>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Under </w:t>
      </w:r>
      <w:r>
        <w:rPr>
          <w:sz w:val="20"/>
          <w:szCs w:val="20"/>
        </w:rPr>
        <w:t>ASC 606, in order to recognize revenue, the Company is required to identify an approved contract with commitments to preform respective obligations, identify rights of each party in the transaction regarding goods to be transferred, identify the payment te</w:t>
      </w:r>
      <w:r>
        <w:rPr>
          <w:sz w:val="20"/>
          <w:szCs w:val="20"/>
        </w:rPr>
        <w:t>rms for the goods transferred, verify that the contract has commercial substance and verify that collection of substantially all consideration is probable. The adoption of ASC 606 did not have an impact on the Company’s operations or cash flows.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w:t>
      </w:r>
      <w:r>
        <w:rPr>
          <w:sz w:val="20"/>
          <w:szCs w:val="20"/>
        </w:rPr>
        <w:t>any recognized revenue as they (i) identified the contracts with ach customer; (ii) identified the performance obligation in each contract; (iii) determined the transaction price in each contract; (iv) were able to allocate the transaction price to the per</w:t>
      </w:r>
      <w:r>
        <w:rPr>
          <w:sz w:val="20"/>
          <w:szCs w:val="20"/>
        </w:rPr>
        <w:t>formance obligations in the contract; and (v) recognized revenue upon the satisfaction of the performance obligation. Upon the sales of the product to complete the procedures on the animals, the Company recognized revenue as that was considered the perform</w:t>
      </w:r>
      <w:r>
        <w:rPr>
          <w:sz w:val="20"/>
          <w:szCs w:val="20"/>
        </w:rPr>
        <w:t>ance obligation.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All revenue generated during the year ended December 31, 2019 related to sales of product.</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Loss Per Share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accounts for its loss per common share by replacing primary and fully diluted earnings per share with basic and dil</w:t>
      </w:r>
      <w:r>
        <w:rPr>
          <w:sz w:val="20"/>
          <w:szCs w:val="20"/>
        </w:rPr>
        <w:t>uted earnings per share. Basic loss per share is computed by dividing loss available to common stockholders (the numerator) by the weighted-average number of common shares outstanding (the denominator) for the period, and does not include the impact of any</w:t>
      </w:r>
      <w:r>
        <w:rPr>
          <w:sz w:val="20"/>
          <w:szCs w:val="20"/>
        </w:rPr>
        <w:t xml:space="preserve"> potentially dilutive common stock equivalents since the impact would be anti-dilutive. The computation of diluted earnings per share is similar to basic earnings per share, except that the denominator is increased to include the number of additional commo</w:t>
      </w:r>
      <w:r>
        <w:rPr>
          <w:sz w:val="20"/>
          <w:szCs w:val="20"/>
        </w:rPr>
        <w:t>n shares that would have been outstanding if potentially dilutive common shares had been issued. For the given periods of loss, of the periods ended in the three months ended March 31, 2020 and 2019, the basic earnings per share equals the diluted earnings</w:t>
      </w:r>
      <w:r>
        <w:rPr>
          <w:sz w:val="20"/>
          <w:szCs w:val="20"/>
        </w:rPr>
        <w:t xml:space="preserve"> per share.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following represent common stock equivalents that could be dilutive in the future as of March 31, 2020 and December 31, 2019, which include the following:</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1329"/>
        <w:gridCol w:w="83"/>
        <w:gridCol w:w="166"/>
        <w:gridCol w:w="83"/>
        <w:gridCol w:w="1329"/>
        <w:gridCol w:w="83"/>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667E7">
            <w:pPr>
              <w:jc w:val="both"/>
              <w:rPr>
                <w:rFonts w:eastAsia="Times New Roman"/>
                <w:sz w:val="20"/>
                <w:szCs w:val="20"/>
              </w:rPr>
            </w:pPr>
            <w:r>
              <w:rPr>
                <w:rFonts w:eastAsia="Times New Roman"/>
                <w:sz w:val="20"/>
                <w:szCs w:val="20"/>
              </w:rPr>
              <w:t>Convertible debt</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2,552,073</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10,914,782</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Common shares to be issued</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24,125,668</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jc w:val="both"/>
              <w:rPr>
                <w:rFonts w:eastAsia="Times New Roman"/>
                <w:sz w:val="20"/>
                <w:szCs w:val="20"/>
              </w:rPr>
            </w:pPr>
            <w:r>
              <w:rPr>
                <w:rFonts w:eastAsia="Times New Roman"/>
                <w:sz w:val="20"/>
                <w:szCs w:val="20"/>
              </w:rPr>
              <w:t>Preferred stock</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20,672,640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27,372,515</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jc w:val="both"/>
              <w:rPr>
                <w:rFonts w:eastAsia="Times New Roman"/>
                <w:sz w:val="20"/>
                <w:szCs w:val="20"/>
              </w:rPr>
            </w:pPr>
            <w:r>
              <w:rPr>
                <w:rFonts w:eastAsia="Times New Roman"/>
                <w:sz w:val="20"/>
                <w:szCs w:val="20"/>
              </w:rPr>
              <w:t>Common stock options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34,524,580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34,524,580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Common stock warrants</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36,956,847</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31,286,847</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jc w:val="both"/>
              <w:rPr>
                <w:rFonts w:eastAsia="Times New Roman"/>
                <w:sz w:val="20"/>
                <w:szCs w:val="20"/>
              </w:rPr>
            </w:pPr>
            <w:r>
              <w:rPr>
                <w:rFonts w:eastAsia="Times New Roman"/>
                <w:sz w:val="20"/>
                <w:szCs w:val="20"/>
              </w:rPr>
              <w:t>Total potential dilutive securities</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118,831,808</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104,098,724</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Research and Development Costs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incurred $1,0</w:t>
      </w:r>
      <w:r>
        <w:rPr>
          <w:sz w:val="20"/>
          <w:szCs w:val="20"/>
        </w:rPr>
        <w:t>28 and $23,686 research and development costs for the three-months ended March 31, 2020, and 2019, respectively, all of which were recorded in the Company’s operating expenses noted on the statements of operations for the three months then ended.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Advertising and Marketing Costs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There were no tradeshow expenses incurred and not expensed for the three months ende</w:t>
      </w:r>
      <w:r>
        <w:rPr>
          <w:sz w:val="20"/>
          <w:szCs w:val="20"/>
        </w:rPr>
        <w:t>d March 31, 2020, and 2019, respectively. During the three months ended March 31, 2020 and 2019, the Company incurred $4,233 and $0, respectively, in advertising and marketing costs.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49112688"/>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553542338"/>
        <w:rPr>
          <w:sz w:val="20"/>
          <w:szCs w:val="20"/>
        </w:rPr>
      </w:pPr>
      <w:r>
        <w:rPr>
          <w:sz w:val="20"/>
          <w:szCs w:val="20"/>
        </w:rPr>
        <w:t> </w:t>
      </w:r>
    </w:p>
    <w:p w:rsidR="00000000" w:rsidRDefault="005667E7">
      <w:pPr>
        <w:pStyle w:val="a3"/>
        <w:spacing w:before="0" w:beforeAutospacing="0" w:after="0" w:afterAutospacing="0"/>
        <w:rPr>
          <w:sz w:val="20"/>
          <w:szCs w:val="20"/>
        </w:rPr>
      </w:pPr>
      <w:r>
        <w:rPr>
          <w:b/>
          <w:bCs/>
          <w:sz w:val="20"/>
          <w:szCs w:val="20"/>
        </w:rPr>
        <w:t> </w:t>
      </w:r>
    </w:p>
    <w:p w:rsidR="00000000" w:rsidRDefault="005667E7">
      <w:pPr>
        <w:pStyle w:val="a3"/>
        <w:spacing w:before="0" w:beforeAutospacing="0" w:after="0" w:afterAutospacing="0"/>
        <w:jc w:val="both"/>
        <w:rPr>
          <w:sz w:val="20"/>
          <w:szCs w:val="20"/>
        </w:rPr>
      </w:pPr>
      <w:r>
        <w:rPr>
          <w:b/>
          <w:bCs/>
          <w:sz w:val="20"/>
          <w:szCs w:val="20"/>
        </w:rPr>
        <w:t>Shipping and Handling Costs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Shipping and handling costs a</w:t>
      </w:r>
      <w:r>
        <w:rPr>
          <w:sz w:val="20"/>
          <w:szCs w:val="20"/>
        </w:rPr>
        <w:t>re expensed as incurred and included in cost of materials.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Contingencies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 patent rights, and a</w:t>
      </w:r>
      <w:r>
        <w:rPr>
          <w:sz w:val="20"/>
          <w:szCs w:val="20"/>
        </w:rPr>
        <w:t xml:space="preserve"> variety of other matters. The Company records contingent liabilities resulting from asserted and unasserted claims against it, when it is probable that a liability has been incurred and the amount of the loss is reasonably estimable. The Company discloses</w:t>
      </w:r>
      <w:r>
        <w:rPr>
          <w:sz w:val="20"/>
          <w:szCs w:val="20"/>
        </w:rPr>
        <w:t xml:space="preserve"> contingent liabilities when there is a reasonable possibility that the ultimate loss will exceed the recorded liability. Estimated probable losses require analysis of multiple factors, in some cases including judgments about the potential actions of third</w:t>
      </w:r>
      <w:r>
        <w:rPr>
          <w:sz w:val="20"/>
          <w:szCs w:val="20"/>
        </w:rPr>
        <w:t>-party claimants and courts. Therefore, actual losses in any future period are inherently uncertain. The Company has entered into various agreements that require them to pay certain fees to consultants and/or employees that have been fully accrued for as o</w:t>
      </w:r>
      <w:r>
        <w:rPr>
          <w:sz w:val="20"/>
          <w:szCs w:val="20"/>
        </w:rPr>
        <w:t>f March 31, 2020 and December 31, 2019.</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Income Taxes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To </w:t>
      </w:r>
      <w:r>
        <w:rPr>
          <w:sz w:val="20"/>
          <w:szCs w:val="20"/>
        </w:rPr>
        <w:t>address accounting for uncertainty in tax positions, the Company clarifies the accounting for income taxes by prescribing a minimum recognition threshold that a tax position is required to meet before being recognized in the financial statements. The Compa</w:t>
      </w:r>
      <w:r>
        <w:rPr>
          <w:sz w:val="20"/>
          <w:szCs w:val="20"/>
        </w:rPr>
        <w:t>ny also provides guidance on de-recognition, measurement, classification, interest, and penalties, accounting in interim periods, disclosure and transition.</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files income tax returns in the U.S. federal jurisdiction. The Company did not have a</w:t>
      </w:r>
      <w:r>
        <w:rPr>
          <w:sz w:val="20"/>
          <w:szCs w:val="20"/>
        </w:rPr>
        <w:t>ny tax expense for the three months ended March 31, 2020 and 2019. The Company did not have any deferred tax liability or asset on its balance sheet on March 31, 2020 and December 31, 2019.</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Interest costs and penalties related to income taxes, if any, wi</w:t>
      </w:r>
      <w:r>
        <w:rPr>
          <w:sz w:val="20"/>
          <w:szCs w:val="20"/>
        </w:rPr>
        <w:t>ll be classified as interest expense and general and administrative costs, respectively, in the Company’s financial statements. For the three months ended March 31, 2020 and 2019, the Company did not recognize any interest or penalty expense related to inc</w:t>
      </w:r>
      <w:r>
        <w:rPr>
          <w:sz w:val="20"/>
          <w:szCs w:val="20"/>
        </w:rPr>
        <w:t>ome taxes. The Company believes that it is not reasonably possible for the amounts of unrecognized tax benefits to significantly increase or decrease within the next twelve months.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Tax Cuts and Jobs Act (the “</w:t>
      </w:r>
      <w:r>
        <w:rPr>
          <w:i/>
          <w:iCs/>
          <w:sz w:val="20"/>
          <w:szCs w:val="20"/>
        </w:rPr>
        <w:t>Act</w:t>
      </w:r>
      <w:r>
        <w:rPr>
          <w:sz w:val="20"/>
          <w:szCs w:val="20"/>
        </w:rPr>
        <w:t>”) was enacted on December 22, 2017. T</w:t>
      </w:r>
      <w:r>
        <w:rPr>
          <w:sz w:val="20"/>
          <w:szCs w:val="20"/>
        </w:rPr>
        <w:t>he Act reduces the U.S. federal corporate tax rate from 35% to 21%, requires companies to pay a one-time transition tax on earnings of certain foreign subsidiaries that were previously tax deferred and creates new taxes on certain foreign sourced earnings.</w:t>
      </w:r>
      <w:r>
        <w:rPr>
          <w:sz w:val="20"/>
          <w:szCs w:val="20"/>
        </w:rPr>
        <w:t xml:space="preserve"> These amounts are provisional and subject to change. The most significant impact of the legislation for the Company was a $3,300,000 reduction of the value of net deferred tax assets (which represent future tax benefits) as a result of lowering the U.S. c</w:t>
      </w:r>
      <w:r>
        <w:rPr>
          <w:sz w:val="20"/>
          <w:szCs w:val="20"/>
        </w:rPr>
        <w:t>orporate income tax rate from 35% to 21%. The Act also includes a requirement to pay a one-time transition tax on the cumulative value of earnings and profits that were previously not repatriated for U.S. income tax purposes. The Company has no earnings an</w:t>
      </w:r>
      <w:r>
        <w:rPr>
          <w:sz w:val="20"/>
          <w:szCs w:val="20"/>
        </w:rPr>
        <w:t>d profits that were previously not repatriated for U.S. income tax purposes.</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Stock-Based Compensation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recognizes compensation costs to employees under FASB ASC Topic 718, Compensation – Stock Compensation. Under FASB ASC Topic. 718, compani</w:t>
      </w:r>
      <w:r>
        <w:rPr>
          <w:sz w:val="20"/>
          <w:szCs w:val="20"/>
        </w:rPr>
        <w:t>es are required to measure the compensation costs of share-based compensation arrangements based on the grant-date fair value and recognize the costs in the financial statements over the period during which employees are required to provide services. Share</w:t>
      </w:r>
      <w:r>
        <w:rPr>
          <w:sz w:val="20"/>
          <w:szCs w:val="20"/>
        </w:rPr>
        <w:t xml:space="preserve"> based compensation arrangements include stock options, restricted share plans, performance-based awards, share appreciation rights and employee share purchase plans. As such, compensation cost is measured on the date of grant at their fair value. Such com</w:t>
      </w:r>
      <w:r>
        <w:rPr>
          <w:sz w:val="20"/>
          <w:szCs w:val="20"/>
        </w:rPr>
        <w:t>pensation amounts, if any, are amortized over the respective vesting periods of the option grant.</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28148721"/>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584073049"/>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May 2017, the FASB issued ASU 2017-09, “Compensation - Stock Compensation.” </w:t>
      </w:r>
      <w:r>
        <w:rPr>
          <w:sz w:val="20"/>
          <w:szCs w:val="20"/>
        </w:rPr>
        <w:t>The update provides guidance about which changes to the terms or conditions of a share-based payment award require an entity to apply modification accounting in ASC Topic 718. An entity shall account for the effects of a modification described in ASC parag</w:t>
      </w:r>
      <w:r>
        <w:rPr>
          <w:sz w:val="20"/>
          <w:szCs w:val="20"/>
        </w:rPr>
        <w:t>raphs 718-20-35-3 through 35-9, unless all the following are met: (1) The fair value of the modified award is the same as the fair value of the original award immediately before the original award is modified; (2) The vesting conditions of the modified awa</w:t>
      </w:r>
      <w:r>
        <w:rPr>
          <w:sz w:val="20"/>
          <w:szCs w:val="20"/>
        </w:rPr>
        <w:t>rd are the same as the vesting conditions of the original award immediately before the original award is modified; and (3) The classification of the modified award as an equity instrument or a liability instrument is the same as the classification of the o</w:t>
      </w:r>
      <w:r>
        <w:rPr>
          <w:sz w:val="20"/>
          <w:szCs w:val="20"/>
        </w:rPr>
        <w:t>riginal award immediately before the original award is modified. The provisions of this update become effective for annual periods and interim periods within those annual periods beginning after December 15, 2017. The Company’s adoption of this guidance on</w:t>
      </w:r>
      <w:r>
        <w:rPr>
          <w:sz w:val="20"/>
          <w:szCs w:val="20"/>
        </w:rPr>
        <w:t xml:space="preserve"> January 1, 2018 did not have a material impact on the Company’s results of operations, financial position and related disclosures.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June 2018, the FASB issued ASU No. 2018-07 “Compensation - Stock Compensation (Topic 718): Improvements to Nonemployee </w:t>
      </w:r>
      <w:r>
        <w:rPr>
          <w:sz w:val="20"/>
          <w:szCs w:val="20"/>
        </w:rPr>
        <w:t>Share-Based Payment Accounting.” These amendments expand the scope of Topic 718, Compensation - Stock Compensation (which currently only includes share-based payments to employees) to include share-based payments issued to nonemployees for goods or service</w:t>
      </w:r>
      <w:r>
        <w:rPr>
          <w:sz w:val="20"/>
          <w:szCs w:val="20"/>
        </w:rPr>
        <w:t>s. Consequently, the accounting for share-based payments to nonemployees and employees will be substantially aligned. The ASU supersedes Subtopic 505-50, Equity - Equity-Based Payments to Non-Employees. The guidance is effective for public companies for fi</w:t>
      </w:r>
      <w:r>
        <w:rPr>
          <w:sz w:val="20"/>
          <w:szCs w:val="20"/>
        </w:rPr>
        <w:t>scal years, and interim fiscal periods within those fiscal years, beginning after December 15, 2018. Early adoption is permitted, but no earlier than a company’s adoption date of Topic 606, Revenue from Contracts with Customers. The adoption of this standa</w:t>
      </w:r>
      <w:r>
        <w:rPr>
          <w:sz w:val="20"/>
          <w:szCs w:val="20"/>
        </w:rPr>
        <w:t>rd did not have a material impact on its financial statements. The Company has determined that no amounts had to be revalued upon adoption of this amendment.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Recent Accounting Pronouncements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Accounting standards that have been issued or proposed by FAS</w:t>
      </w:r>
      <w:r>
        <w:rPr>
          <w:sz w:val="20"/>
          <w:szCs w:val="20"/>
        </w:rPr>
        <w:t>B that do not require adoption until a future date are not expected to have a material impact on the consolidated financial statements upon adoption. The Company does not discuss recent pronouncements that are not anticipated to have an impact on or are un</w:t>
      </w:r>
      <w:r>
        <w:rPr>
          <w:sz w:val="20"/>
          <w:szCs w:val="20"/>
        </w:rPr>
        <w:t>related to its financial condition, results of operations, cash flows or disclosures.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2: GOING CONCERN</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accompanying financial statements have been prepared on a going concern basis, which contemplates the realization of assets and satisfaction</w:t>
      </w:r>
      <w:r>
        <w:rPr>
          <w:sz w:val="20"/>
          <w:szCs w:val="20"/>
        </w:rPr>
        <w:t xml:space="preserve"> of liabilities in the normal course of business. As shown in the accompanying financial statements, the Company has suffered recurring losses and used significant cash in support of its operating activities and the Company’s cash position is not sufficien</w:t>
      </w:r>
      <w:r>
        <w:rPr>
          <w:sz w:val="20"/>
          <w:szCs w:val="20"/>
        </w:rPr>
        <w:t>t to support the Company’s operations. Research and development of the Company’s brachytherapy product line has been funded with proceeds from the sale of equity and debt securities as well as a series of grants. The Company requires funding of approximate</w:t>
      </w:r>
      <w:r>
        <w:rPr>
          <w:sz w:val="20"/>
          <w:szCs w:val="20"/>
        </w:rPr>
        <w:t>ly $1.5 to $2.0 million annually to maintain current operating activities.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jc w:val="both"/>
        <w:rPr>
          <w:sz w:val="20"/>
          <w:szCs w:val="20"/>
        </w:rPr>
      </w:pPr>
      <w:r>
        <w:rPr>
          <w:sz w:val="20"/>
          <w:szCs w:val="20"/>
        </w:rPr>
        <w:t xml:space="preserve">The Company’s stock offering under Regulation A+ was qualified by the Securities and Exchange Commission (“SEC”) on June 3, 2020 and have issued the first tranche of shares under </w:t>
      </w:r>
      <w:r>
        <w:rPr>
          <w:sz w:val="20"/>
          <w:szCs w:val="20"/>
        </w:rPr>
        <w:t>the Regulation A+ on June 10, 2020.</w:t>
      </w:r>
    </w:p>
    <w:p w:rsidR="00000000" w:rsidRDefault="005667E7">
      <w:pPr>
        <w:pStyle w:val="a3"/>
        <w:spacing w:before="0" w:beforeAutospacing="0" w:after="0" w:afterAutospacing="0"/>
        <w:jc w:val="both"/>
        <w:rPr>
          <w:sz w:val="20"/>
          <w:szCs w:val="20"/>
        </w:rPr>
      </w:pPr>
      <w:r>
        <w:rPr>
          <w:sz w:val="20"/>
          <w:szCs w:val="20"/>
        </w:rPr>
        <w:t>The intent is to raise up to $4,050,000 over the next 12-18 months, which may be completed in separate closings.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intends to use the proceeds generated from the sale of shares under Regulation A+ as follows: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For the animal therapy market:</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667E7">
            <w:pPr>
              <w:jc w:val="both"/>
              <w:rPr>
                <w:rFonts w:eastAsia="Times New Roman"/>
                <w:sz w:val="20"/>
                <w:szCs w:val="20"/>
              </w:rPr>
            </w:pPr>
            <w:r>
              <w:rPr>
                <w:rFonts w:eastAsia="Times New Roman"/>
                <w:sz w:val="20"/>
                <w:szCs w:val="20"/>
              </w:rPr>
              <w:t> </w:t>
            </w:r>
          </w:p>
        </w:tc>
        <w:tc>
          <w:tcPr>
            <w:tcW w:w="360" w:type="dxa"/>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Fund 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 xml:space="preserve">Conduct </w:t>
            </w:r>
            <w:r>
              <w:rPr>
                <w:rFonts w:eastAsia="Times New Roman"/>
                <w:sz w:val="20"/>
                <w:szCs w:val="20"/>
              </w:rPr>
              <w:t>additional clinical studies to generate more data for the veterinary community</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therapies, if necessary, to ensure that all viable candidates are treated.</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Assist a new regional clinic with their license and certification tra</w:t>
            </w:r>
            <w:r>
              <w:rPr>
                <w:rFonts w:eastAsia="Times New Roman"/>
                <w:sz w:val="20"/>
                <w:szCs w:val="20"/>
              </w:rPr>
              <w:t>ining.</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For the human market:</w:t>
      </w:r>
    </w:p>
    <w:p w:rsidR="00000000" w:rsidRDefault="005667E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667E7">
            <w:pPr>
              <w:jc w:val="both"/>
              <w:rPr>
                <w:rFonts w:eastAsia="Times New Roman"/>
                <w:sz w:val="20"/>
                <w:szCs w:val="20"/>
              </w:rPr>
            </w:pPr>
            <w:r>
              <w:rPr>
                <w:rFonts w:eastAsia="Times New Roman"/>
                <w:sz w:val="20"/>
                <w:szCs w:val="20"/>
              </w:rPr>
              <w:t> </w:t>
            </w:r>
          </w:p>
        </w:tc>
        <w:tc>
          <w:tcPr>
            <w:tcW w:w="360" w:type="dxa"/>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 xml:space="preserve">Complete </w:t>
            </w:r>
            <w:r>
              <w:rPr>
                <w:rFonts w:eastAsia="Times New Roman"/>
                <w:sz w:val="20"/>
                <w:szCs w:val="20"/>
              </w:rPr>
              <w:t>the pre-clinical testing that has been previously defined and report the bulk of the results to the FDA in a pre-submission meeting.</w:t>
            </w:r>
          </w:p>
        </w:tc>
      </w:tr>
      <w:tr w:rsidR="00000000">
        <w:tc>
          <w:tcPr>
            <w:tcW w:w="360" w:type="dxa"/>
            <w:hideMark/>
          </w:tcPr>
          <w:p w:rsidR="00000000" w:rsidRDefault="005667E7">
            <w:pPr>
              <w:jc w:val="both"/>
              <w:rPr>
                <w:rFonts w:eastAsia="Times New Roman"/>
                <w:sz w:val="20"/>
                <w:szCs w:val="20"/>
              </w:rPr>
            </w:pPr>
            <w:r>
              <w:rPr>
                <w:rFonts w:eastAsia="Times New Roman"/>
                <w:sz w:val="20"/>
                <w:szCs w:val="20"/>
              </w:rPr>
              <w:t> </w:t>
            </w:r>
          </w:p>
        </w:tc>
        <w:tc>
          <w:tcPr>
            <w:tcW w:w="360" w:type="dxa"/>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 xml:space="preserve">Use the feedback from that meeting to write the IDE (Investigational Device Exemption), which is required to initiate </w:t>
            </w:r>
            <w:r>
              <w:rPr>
                <w:rFonts w:eastAsia="Times New Roman"/>
                <w:sz w:val="20"/>
                <w:szCs w:val="20"/>
              </w:rPr>
              <w:t>clinical trials.</w:t>
            </w:r>
          </w:p>
        </w:tc>
      </w:tr>
    </w:tbl>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67247544"/>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928928552"/>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 received advances of $125,280 which were deposited into the Company’s accounts in April 2020. Following the clearance </w:t>
      </w:r>
      <w:r>
        <w:rPr>
          <w:sz w:val="20"/>
          <w:szCs w:val="20"/>
        </w:rPr>
        <w:t>of the Regulation A+ offering by the SEC on June 3, 2020, the common shares for these proceeds were issued. In addition, the Company exchanged their outstanding convertible notes payable of $425,000, $23,430 in accrued interest and $77,683 in an exchange p</w:t>
      </w:r>
      <w:r>
        <w:rPr>
          <w:sz w:val="20"/>
          <w:szCs w:val="20"/>
        </w:rPr>
        <w:t>remium stipulated in the note agreements into shares of common stock effective March 31, 2020. The shares from the exchange of the outstanding notes payable were issued in June 2020, with an effective date of March 31, 2020. The Company exchanged this debt</w:t>
      </w:r>
      <w:r>
        <w:rPr>
          <w:sz w:val="20"/>
          <w:szCs w:val="20"/>
        </w:rPr>
        <w:t xml:space="preserve"> into shares to be issued of $532,983 as of March 31, 2020 as the remaining funds of $118,410 were not collected until April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Over the next 12 to 24 months, the Company believes it will cost approximately $5.0 million to $10.0 million to: (1) fund t</w:t>
      </w:r>
      <w:r>
        <w:rPr>
          <w:sz w:val="20"/>
          <w:szCs w:val="20"/>
        </w:rPr>
        <w:t>he FDA approval process and initial deployment of the brachytherapy products, and (2) initiate regulatory approval processes outside of the United States. The continued deployment of the brachytherapy products and a worldwide regulatory approval effort wil</w:t>
      </w:r>
      <w:r>
        <w:rPr>
          <w:sz w:val="20"/>
          <w:szCs w:val="20"/>
        </w:rPr>
        <w:t>l require additional resources and personnel. The principal variables in the timing and amount of spending for the brachytherapy products in the next 12 to 24 months will be the FDA’s classification of the Company’s brachytherapy products as Class II or Cl</w:t>
      </w:r>
      <w:r>
        <w:rPr>
          <w:sz w:val="20"/>
          <w:szCs w:val="20"/>
        </w:rPr>
        <w:t>ass III devices (or otherwise) and any requirements for additional studies which may possibly include clinical studies. Thereafter, the principal variables in the amount of the Company’s spending and its financing requirements would be the timing of any ap</w:t>
      </w:r>
      <w:r>
        <w:rPr>
          <w:sz w:val="20"/>
          <w:szCs w:val="20"/>
        </w:rPr>
        <w:t>provals and the nature of the Company’s arrangements with third parties for manufacturing, sales, distribution and licensing of those products and the products’ success in the U.S. and elsewhere. The Company intends to fund its activities through strategic</w:t>
      </w:r>
      <w:r>
        <w:rPr>
          <w:sz w:val="20"/>
          <w:szCs w:val="20"/>
        </w:rPr>
        <w:t xml:space="preserve"> transactions such as licensing and partnership agreements or additional capital raises.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Following receipt of required regulatory approvals and financing, in the U.S., the Company intends to outsource material aspects of manufacturing, distribution, sale</w:t>
      </w:r>
      <w:r>
        <w:rPr>
          <w:sz w:val="20"/>
          <w:szCs w:val="20"/>
        </w:rPr>
        <w:t>s and marketing. Outside of the U.S., the Company intends to pursue licensing arrangements and/or partnerships to facilitate its global commercialization strategy.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the longer-term, subject to the Company receiving adequate funding, regulatory approval</w:t>
      </w:r>
      <w:r>
        <w:rPr>
          <w:sz w:val="20"/>
          <w:szCs w:val="20"/>
        </w:rPr>
        <w:t xml:space="preserve"> for RadioGel™ and other brachytherapy products, and thereafter being able to successfully commercialize its brachytherapy products, the Company intends to consider resuming research efforts with respect to other products and technologies intended to help </w:t>
      </w:r>
      <w:r>
        <w:rPr>
          <w:sz w:val="20"/>
          <w:szCs w:val="20"/>
        </w:rPr>
        <w:t>improve the diagnosis and treatment of cancer and other illnesses.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Based on the Company’s financial history since inception, the Company’s independent registered public accounting firm has expressed substantial doubt as to the Company’s ability to contin</w:t>
      </w:r>
      <w:r>
        <w:rPr>
          <w:sz w:val="20"/>
          <w:szCs w:val="20"/>
        </w:rPr>
        <w:t>ue as a going concern. The Company has limited revenue, nominal cash, and has accumulated deficits since inception. If the Company cannot obtain sufficient additional capital, the Company will be required to delay the implementation of its business strateg</w:t>
      </w:r>
      <w:r>
        <w:rPr>
          <w:sz w:val="20"/>
          <w:szCs w:val="20"/>
        </w:rPr>
        <w:t>y and may not be able to continue operations.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has been impacted from the effects of COVID-19. The Company’s headquarters are in Northeast Washington however there focus of the animal therapy market has been the Northwestern sector of the Unit</w:t>
      </w:r>
      <w:r>
        <w:rPr>
          <w:sz w:val="20"/>
          <w:szCs w:val="20"/>
        </w:rPr>
        <w:t>ed States, the initial epicenter of the COVID-19 outbreak in the United States. In addition to a slow down in the marketing of the services, the volatility of the stock market has contributed to a lack of funds that ordinarily may have been available to th</w:t>
      </w:r>
      <w:r>
        <w:rPr>
          <w:sz w:val="20"/>
          <w:szCs w:val="20"/>
        </w:rPr>
        <w:t>e Company. The Company is hopeful that by the end of the third quarter of 2020, they will be allowed to continue their marketing to the animal therapy market and attempt to increase the exposure to their product and generate revenue accordingly.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fina</w:t>
      </w:r>
      <w:r>
        <w:rPr>
          <w:sz w:val="20"/>
          <w:szCs w:val="20"/>
        </w:rPr>
        <w:t>ncial statements do not include any adjustments relating to the recoverability and classification of liabilities that might be necessary should the Company be unable to continue as a going concern. The Company’s continuation as a going concern is dependent</w:t>
      </w:r>
      <w:r>
        <w:rPr>
          <w:sz w:val="20"/>
          <w:szCs w:val="20"/>
        </w:rPr>
        <w:t xml:space="preserve"> upon its ability to generate sufficient cash flow to meet its obligations on a timely basis and ultimately to attain profitability. The Company plans to seek additional funding to maintain its operations through debt and equity financing and to improve op</w:t>
      </w:r>
      <w:r>
        <w:rPr>
          <w:sz w:val="20"/>
          <w:szCs w:val="20"/>
        </w:rPr>
        <w:t xml:space="preserve">erating performance through a focus on strategic products and increased efficiencies in business processes and improvements to the cost structure. There is no assurance that the Company will be successful in its efforts to raise additional working capital </w:t>
      </w:r>
      <w:r>
        <w:rPr>
          <w:sz w:val="20"/>
          <w:szCs w:val="20"/>
        </w:rPr>
        <w:t>or achieve profitable operations. The financial statements do not include any adjustments that might result from the outcome of this uncertainty.</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13649438"/>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209266536"/>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As </w:t>
      </w:r>
      <w:r>
        <w:rPr>
          <w:sz w:val="20"/>
          <w:szCs w:val="20"/>
        </w:rPr>
        <w:t>of March 31, 2020, the Company has $5,004 cash on hand. There are currently commitments to vendors for products and services purchased that will necessitate liquidation of the Company if it is unable to raise additional capital. The current level of cash i</w:t>
      </w:r>
      <w:r>
        <w:rPr>
          <w:sz w:val="20"/>
          <w:szCs w:val="20"/>
        </w:rPr>
        <w:t>s not enough to cover the fixed and variable obligations of the Company. The Company was able to execute the following transactions to improve their balance sheet and decrease the liabilities incurred and increase their cash flow:</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667E7">
            <w:pPr>
              <w:jc w:val="both"/>
              <w:rPr>
                <w:rFonts w:eastAsia="Times New Roman"/>
                <w:sz w:val="20"/>
                <w:szCs w:val="20"/>
              </w:rPr>
            </w:pPr>
            <w:r>
              <w:rPr>
                <w:rFonts w:eastAsia="Times New Roman"/>
                <w:sz w:val="20"/>
                <w:szCs w:val="20"/>
              </w:rPr>
              <w:t> </w:t>
            </w:r>
          </w:p>
        </w:tc>
        <w:tc>
          <w:tcPr>
            <w:tcW w:w="360" w:type="dxa"/>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In November 2019, t</w:t>
            </w:r>
            <w:r>
              <w:rPr>
                <w:rFonts w:eastAsia="Times New Roman"/>
                <w:sz w:val="20"/>
                <w:szCs w:val="20"/>
              </w:rPr>
              <w:t>he Company had its Regulation A+ initially qualified by the SEC for an offering up to 150 million shares of common stock. On April 30, 2020, the Company filed a post-effective Amendment, which was qualified by the SEC on June 3, 2020.</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During th</w:t>
            </w:r>
            <w:r>
              <w:rPr>
                <w:rFonts w:eastAsia="Times New Roman"/>
                <w:sz w:val="20"/>
                <w:szCs w:val="20"/>
              </w:rPr>
              <w:t xml:space="preserve">e Company’s second and third fiscal quarters, the Company secured approximately $300,000 in convertible promissory notes. </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The Company recognized initial sales of IsoPet</w:t>
            </w:r>
            <w:r>
              <w:rPr>
                <w:rFonts w:eastAsia="Times New Roman"/>
                <w:sz w:val="20"/>
                <w:szCs w:val="20"/>
                <w:vertAlign w:val="superscript"/>
              </w:rPr>
              <w:t>®</w:t>
            </w:r>
            <w:r>
              <w:rPr>
                <w:rFonts w:eastAsia="Times New Roman"/>
                <w:sz w:val="20"/>
                <w:szCs w:val="20"/>
                <w:shd w:val="clear" w:color="auto" w:fill="FFFFFF"/>
              </w:rPr>
              <w:t xml:space="preserve">.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Assuming </w:t>
      </w:r>
      <w:r>
        <w:rPr>
          <w:sz w:val="20"/>
          <w:szCs w:val="20"/>
        </w:rPr>
        <w:t>the Company is successful in the Company’s sales/development effort, it believes that it will be able to raise additional funds through strategic agreements or the sale of the Company’s stock to either current or new stockholders. There is no guarantee tha</w:t>
      </w:r>
      <w:r>
        <w:rPr>
          <w:sz w:val="20"/>
          <w:szCs w:val="20"/>
        </w:rPr>
        <w:t>t the Company will be able to raise additional funds or to do so at an advantageous price.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financial statements do not include any adjustments relating to the recoverability and classification of liabilities that might be necessary should the Company</w:t>
      </w:r>
      <w:r>
        <w:rPr>
          <w:sz w:val="20"/>
          <w:szCs w:val="20"/>
        </w:rPr>
        <w:t xml:space="preserve"> be unable to continue as a going concern. The Company’s continuation as a going concern is dependent upon its ability to generate sufficient cash flow to meet its obligations on a timely basis and ultimately to attain profitability. The Company plans to s</w:t>
      </w:r>
      <w:r>
        <w:rPr>
          <w:sz w:val="20"/>
          <w:szCs w:val="20"/>
        </w:rPr>
        <w:t>eek additional funding to maintain its operations through debt and equity financing and to improve operating performance through a focus on strategic products and increased efficiencies in business processes and improvements to the cost structure. There is</w:t>
      </w:r>
      <w:r>
        <w:rPr>
          <w:sz w:val="20"/>
          <w:szCs w:val="20"/>
        </w:rPr>
        <w:t xml:space="preserve"> no assurance that the Company will be successful in its efforts to raise additional working capital or achieve profitable operations. The financial statements do not include any adjustments that might result from the outcome of this uncertainty.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3:</w:t>
      </w:r>
      <w:r>
        <w:rPr>
          <w:b/>
          <w:bCs/>
          <w:sz w:val="20"/>
          <w:szCs w:val="20"/>
        </w:rPr>
        <w:t xml:space="preserve"> FIXED ASSETS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Fixed assets consist of the following at March 31, 2020 (unaudited) and December 31, 2019:</w:t>
      </w:r>
    </w:p>
    <w:p w:rsidR="00000000" w:rsidRDefault="005667E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March 31, 2020</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December 31, 2019</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667E7">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ind w:firstLine="72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There is no depreciation expense for the above fixed assets for the three months ended March 31, 2020 and 2019, respectively. In June 2019, the Company sold the one piece of equipment still held for $0. The basis of this piece of equipment was al</w:t>
      </w:r>
      <w:r>
        <w:rPr>
          <w:sz w:val="20"/>
          <w:szCs w:val="20"/>
        </w:rPr>
        <w:t>so $0, resulting in no gain or loss on the sale.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4: RELATED PARTY TRANSACTIONS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Related Party Convertible Notes Payable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As </w:t>
      </w:r>
      <w:r>
        <w:rPr>
          <w:sz w:val="20"/>
          <w:szCs w:val="20"/>
        </w:rPr>
        <w:t>of March 31, 2020 and December 31, 2019, the Company had the following related party convertible notes outstanding:</w:t>
      </w:r>
    </w:p>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1"/>
        <w:gridCol w:w="825"/>
        <w:gridCol w:w="77"/>
        <w:gridCol w:w="160"/>
        <w:gridCol w:w="101"/>
        <w:gridCol w:w="825"/>
        <w:gridCol w:w="77"/>
        <w:gridCol w:w="160"/>
        <w:gridCol w:w="101"/>
        <w:gridCol w:w="826"/>
        <w:gridCol w:w="78"/>
        <w:gridCol w:w="161"/>
        <w:gridCol w:w="101"/>
        <w:gridCol w:w="826"/>
        <w:gridCol w:w="78"/>
      </w:tblGrid>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5667E7">
            <w:pPr>
              <w:rPr>
                <w:rFonts w:eastAsia="Times New Roman"/>
                <w:sz w:val="20"/>
                <w:szCs w:val="20"/>
              </w:rPr>
            </w:pPr>
            <w:r>
              <w:rPr>
                <w:rFonts w:eastAsia="Times New Roman"/>
                <w:sz w:val="20"/>
                <w:szCs w:val="20"/>
              </w:rPr>
              <w:t>September 2019 $15,000 Note, 8% interest, due January 2020</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321</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Other related party notes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xml:space="preserve">March </w:t>
            </w:r>
            <w:r>
              <w:rPr>
                <w:rFonts w:eastAsia="Times New Roman"/>
                <w:sz w:val="20"/>
                <w:szCs w:val="20"/>
              </w:rPr>
              <w:t>2017 $332,195 Note, 10% interest, due May 2017</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14,500</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1,375</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47798240"/>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644039549"/>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$0.032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6,250,000 shares of Company common stock, 385</w:t>
      </w:r>
      <w:r>
        <w:rPr>
          <w:sz w:val="20"/>
          <w:szCs w:val="20"/>
        </w:rPr>
        <w:t>,302 Series B Convertible Preferred shares of the Company, and 5,533,138 warrants that are exercisable into common shares with an exercise price of $0.08. The Company valued this transaction at a price of $0.104 per share as the conversion occurred October</w:t>
      </w:r>
      <w:r>
        <w:rPr>
          <w:sz w:val="20"/>
          <w:szCs w:val="20"/>
        </w:rPr>
        <w:t xml:space="preserve"> 19, 2018 upon board approval.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has outstanding accrued interest in the amount of $1,054 from old related party notes that the principal had been paid off in full.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from time to time receives non-interest bearing advancers from it</w:t>
      </w:r>
      <w:r>
        <w:rPr>
          <w:sz w:val="20"/>
          <w:szCs w:val="20"/>
        </w:rPr>
        <w:t>s Chief Executive Officer that are due on demand. During the year ended December 31, 2019, the Company received $20,000 in advances and repaid $5,000 of these and had $15,000 outstanding at September 24, 2019. On September 24, 2019, these advances were con</w:t>
      </w:r>
      <w:r>
        <w:rPr>
          <w:sz w:val="20"/>
          <w:szCs w:val="20"/>
        </w:rPr>
        <w:t>verted into a convertible note at 8% interest which matures January 15, 2020. Interest on this note for the period ended December 31, 2019 amounted to $321, and this amount is accrued at December 31, 2019. The Chief Executive Officer received 150,000 warra</w:t>
      </w:r>
      <w:r>
        <w:rPr>
          <w:sz w:val="20"/>
          <w:szCs w:val="20"/>
        </w:rPr>
        <w:t>nts when the advances were converted into this convertible note payable. The Company recognized a discount on the convertible note of $3,721 as a result of the warrants which are being amortized over the life of the note through January 15, 2020. The Compa</w:t>
      </w:r>
      <w:r>
        <w:rPr>
          <w:sz w:val="20"/>
          <w:szCs w:val="20"/>
        </w:rPr>
        <w:t>ny is in default of this note. As a result of the default, the interest rate charged was changed to 12.5% through conversion of this note in April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Interest expense for the three months ended March 31, 2020 and 2019 on the related party convertible </w:t>
      </w:r>
      <w:r>
        <w:rPr>
          <w:sz w:val="20"/>
          <w:szCs w:val="20"/>
        </w:rPr>
        <w:t>notes payable amounted to $298 and $0, respectively.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Related Party Notes Payable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As of March 31, 2020 and December 31, 2019, the Company had the following related party notes outstanding:</w:t>
      </w:r>
    </w:p>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0"/>
        <w:gridCol w:w="101"/>
        <w:gridCol w:w="825"/>
        <w:gridCol w:w="78"/>
        <w:gridCol w:w="161"/>
        <w:gridCol w:w="100"/>
        <w:gridCol w:w="826"/>
        <w:gridCol w:w="78"/>
        <w:gridCol w:w="161"/>
        <w:gridCol w:w="101"/>
        <w:gridCol w:w="826"/>
        <w:gridCol w:w="78"/>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5667E7">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5,665</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4,472</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xml:space="preserve">March </w:t>
            </w:r>
            <w:r>
              <w:rPr>
                <w:rFonts w:eastAsia="Times New Roman"/>
                <w:sz w:val="20"/>
                <w:szCs w:val="20"/>
              </w:rPr>
              <w:t>2019 $48,000 Note, 8% interest, due March 2020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3,882</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2,927</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April 2019 $29,000 Note, 8% interest, due April 2020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2,136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1,559</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xml:space="preserve">July </w:t>
            </w:r>
            <w:r>
              <w:rPr>
                <w:rFonts w:eastAsia="Times New Roman"/>
                <w:sz w:val="20"/>
                <w:szCs w:val="20"/>
              </w:rPr>
              <w:t>2019 $50,000 Note 8% interest, due July 2020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2,951</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1,956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November 2019 $50,000 Note 8% interest, due November 2020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1,388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393</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xml:space="preserve">Total </w:t>
            </w:r>
            <w:r>
              <w:rPr>
                <w:rFonts w:eastAsia="Times New Roman"/>
                <w:sz w:val="20"/>
                <w:szCs w:val="20"/>
              </w:rPr>
              <w:t>Related Party Notes Payable, Net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16,022</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237,000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11,307</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18458923"/>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138572877"/>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On </w:t>
      </w:r>
      <w:r>
        <w:rPr>
          <w:sz w:val="20"/>
          <w:szCs w:val="20"/>
        </w:rPr>
        <w:t xml:space="preserve">January 24, 2019 the Company entered into a note payable with a trust related to one of the Company’s directors in the amount of $60,000. The note is for a one-year period which was to mature January 24, 2020 and bears interest at an annual rate of 8.00%. </w:t>
      </w:r>
      <w:r>
        <w:rPr>
          <w:sz w:val="20"/>
          <w:szCs w:val="20"/>
        </w:rPr>
        <w:t>The Company is in default of this note.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On March 27, 2019 the Company entered into a note payable with a trust related to one of our directors in the amount of $48,000. The note is for a one-year period maturing March 27, 2020 and bears interest at an an</w:t>
      </w:r>
      <w:r>
        <w:rPr>
          <w:sz w:val="20"/>
          <w:szCs w:val="20"/>
        </w:rPr>
        <w:t>nual rate of 8%. The Company is in default of this note. On April 29, 2019 the Company entered into a note payable with a trust related to one of our directors in the amount of $29,000. The Company is in default of this note. On July 5, 2019 the Company en</w:t>
      </w:r>
      <w:r>
        <w:rPr>
          <w:sz w:val="20"/>
          <w:szCs w:val="20"/>
        </w:rPr>
        <w:t>tered into a note payable with a trust related to one of our directors in the amount of $50,000. The note is for a one-year period maturing July 5, 2020 and bears interest at an annual rate of 8%. On November 25, 2019 the Company entered into a note payabl</w:t>
      </w:r>
      <w:r>
        <w:rPr>
          <w:sz w:val="20"/>
          <w:szCs w:val="20"/>
        </w:rPr>
        <w:t>e with a trust related to one of our directors in the amount of $50,000. The note is for a one-year period maturing November 25, 2020 and bears interest at an annual rate of 8%. Interest expense for these notes for the three months ended March 31, 2020 and</w:t>
      </w:r>
      <w:r>
        <w:rPr>
          <w:sz w:val="20"/>
          <w:szCs w:val="20"/>
        </w:rPr>
        <w:t xml:space="preserve"> 2019 was $4,715 and $908, respectively and accrued interest at March 31, 2020 is $16,022.</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borrowed $15,000 in March 2020 from its CEO and repaid this amount in April 2020.</w:t>
      </w:r>
    </w:p>
    <w:p w:rsidR="00000000" w:rsidRDefault="005667E7">
      <w:pPr>
        <w:pStyle w:val="a3"/>
        <w:spacing w:before="0" w:beforeAutospacing="0" w:after="0" w:afterAutospacing="0"/>
        <w:jc w:val="both"/>
        <w:rPr>
          <w:sz w:val="20"/>
          <w:szCs w:val="20"/>
        </w:rPr>
      </w:pPr>
      <w:r>
        <w:rPr>
          <w:b/>
          <w:bCs/>
          <w:sz w:val="20"/>
          <w:szCs w:val="20"/>
        </w:rPr>
        <w:t> </w:t>
      </w:r>
    </w:p>
    <w:p w:rsidR="00000000" w:rsidRDefault="005667E7">
      <w:pPr>
        <w:pStyle w:val="a3"/>
        <w:spacing w:before="0" w:beforeAutospacing="0" w:after="0" w:afterAutospacing="0"/>
        <w:jc w:val="both"/>
        <w:rPr>
          <w:sz w:val="20"/>
          <w:szCs w:val="20"/>
        </w:rPr>
      </w:pPr>
      <w:r>
        <w:rPr>
          <w:b/>
          <w:bCs/>
          <w:sz w:val="20"/>
          <w:szCs w:val="20"/>
        </w:rPr>
        <w:t>Related Party Payables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periodically receives advances</w:t>
      </w:r>
      <w:r>
        <w:rPr>
          <w:sz w:val="20"/>
          <w:szCs w:val="20"/>
        </w:rPr>
        <w:t xml:space="preserve"> for operating funds from related parties or has related parties make payments on the Company’s behalf. As a result of these activities the Company had related party payables of $32,110 and $32,110 as of March 31, 2020 and December 31, 2019, respectively.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Company’s Chairman converted the Series B Convertible Preferred Shares into Series C Convertible Preferred Shares and as of April 2020, the 385,302 shares that are issued in the Series C </w:t>
      </w:r>
      <w:r>
        <w:rPr>
          <w:sz w:val="20"/>
          <w:szCs w:val="20"/>
        </w:rPr>
        <w:t>Convertible Preferred Stock are all to the Chairman.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April 2020, effective March 31, 2020, the Company converted the $15,000 convertible note payable along with $619 in accrued interest and an exchange premium of $3,124 into 694,178 shares of common s</w:t>
      </w:r>
      <w:r>
        <w:rPr>
          <w:sz w:val="20"/>
          <w:szCs w:val="20"/>
        </w:rPr>
        <w:t>tock. This was part of the Regulation A+. These shares were issued on June 10, 2020 following the qualification of the Regulation A+ and are reflected as shares to be issued as of March 31, 2020.</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62194083"/>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543519154"/>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 xml:space="preserve">NOTE </w:t>
      </w:r>
      <w:r>
        <w:rPr>
          <w:b/>
          <w:bCs/>
          <w:sz w:val="20"/>
          <w:szCs w:val="20"/>
        </w:rPr>
        <w:t>5: CONVERTIBLE NOTES PAYABLE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As of March 31, 2020 and December 31, 2019, the Company had the following convertible notes outstanding:</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0"/>
        <w:gridCol w:w="101"/>
        <w:gridCol w:w="825"/>
        <w:gridCol w:w="78"/>
        <w:gridCol w:w="161"/>
        <w:gridCol w:w="100"/>
        <w:gridCol w:w="826"/>
        <w:gridCol w:w="78"/>
        <w:gridCol w:w="161"/>
        <w:gridCol w:w="101"/>
        <w:gridCol w:w="826"/>
        <w:gridCol w:w="78"/>
      </w:tblGrid>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March 31, 2020</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5667E7">
            <w:pPr>
              <w:rPr>
                <w:rFonts w:eastAsia="Times New Roman"/>
                <w:sz w:val="20"/>
                <w:szCs w:val="20"/>
              </w:rPr>
            </w:pPr>
            <w:r>
              <w:rPr>
                <w:rFonts w:eastAsia="Times New Roman"/>
                <w:sz w:val="20"/>
                <w:szCs w:val="20"/>
              </w:rPr>
              <w:t xml:space="preserve">July </w:t>
            </w:r>
            <w:r>
              <w:rPr>
                <w:rFonts w:eastAsia="Times New Roman"/>
                <w:sz w:val="20"/>
                <w:szCs w:val="20"/>
              </w:rPr>
              <w:t>and August 2012 $1,060,000 Notes convertible into common stock at $4.60 per share, 12% interest, due December 2013 and January 2014</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41,331</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39,998</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May through October 2015 $605,000 Notes convertible into preferred stoc</w:t>
            </w:r>
            <w:r>
              <w:rPr>
                <w:rFonts w:eastAsia="Times New Roman"/>
                <w:sz w:val="20"/>
                <w:szCs w:val="20"/>
              </w:rPr>
              <w:t>k at $1 per share, 8-10% interest, due September 30, 2015</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xml:space="preserve">October </w:t>
            </w:r>
            <w:r>
              <w:rPr>
                <w:rFonts w:eastAsia="Times New Roman"/>
                <w:sz w:val="20"/>
                <w:szCs w:val="20"/>
              </w:rPr>
              <w:t>through December 2015 $613,000 Notes convertible into preferred stock at $1 per share, 8% interest, due June 30, 2016, net of debt discount of $0 and $560,913, respectively</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xml:space="preserve">January </w:t>
            </w:r>
            <w:r>
              <w:rPr>
                <w:rFonts w:eastAsia="Times New Roman"/>
                <w:sz w:val="20"/>
                <w:szCs w:val="20"/>
              </w:rPr>
              <w:t>through March 2016 $345,000 Notes convertible into preferred stock at $1 per share, 8% interest, due June 30, 2016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May 2019 $60,000 Note convertible into common shares at $0.04 per share, 8% interest, due October 30, 20</w:t>
            </w:r>
            <w:r>
              <w:rPr>
                <w:rFonts w:eastAsia="Times New Roman"/>
                <w:sz w:val="20"/>
                <w:szCs w:val="20"/>
              </w:rPr>
              <w:t>19</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3,264</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July 2019 $50,000 Note convertible into common shares at $0.04 per share, 8% interest, due January 15, 2020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1,880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xml:space="preserve">September </w:t>
            </w:r>
            <w:r>
              <w:rPr>
                <w:rFonts w:eastAsia="Times New Roman"/>
                <w:sz w:val="20"/>
                <w:szCs w:val="20"/>
              </w:rPr>
              <w:t>2019 $50,000 Note convertible into common shares at $0.04 per share, 8% interest, due January 15, 2020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1,235</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xml:space="preserve">September </w:t>
            </w:r>
            <w:r>
              <w:rPr>
                <w:rFonts w:eastAsia="Times New Roman"/>
                <w:sz w:val="20"/>
                <w:szCs w:val="20"/>
              </w:rPr>
              <w:t>2019 $38,000 Note convertible into common shares at $0.04 per share, 8% interest, due January 15, 2020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38,000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939</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September 2019 $25,000 Note convertible into common shares at $0.04 per share, 8% interest, due January 15, 2020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612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1,213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xml:space="preserve">September </w:t>
            </w:r>
            <w:r>
              <w:rPr>
                <w:rFonts w:eastAsia="Times New Roman"/>
                <w:sz w:val="20"/>
                <w:szCs w:val="20"/>
              </w:rPr>
              <w:t>2019 $50,000 Note convertible into common shares at $0.04 per share, 8% interest, due January 15, 2020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1,202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September 2019 $37,000 Note convertible into common shares at $0.04 per share, 8% interest, due January 15, 202</w:t>
            </w:r>
            <w:r>
              <w:rPr>
                <w:rFonts w:eastAsia="Times New Roman"/>
                <w:sz w:val="20"/>
                <w:szCs w:val="20"/>
              </w:rPr>
              <w:t>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37,000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833</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December 2019 $50,000 Note convertible into common shares at $0.04 per share, 8% interest, due March 31, 2020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xml:space="preserve">January </w:t>
            </w:r>
            <w:r>
              <w:rPr>
                <w:rFonts w:eastAsia="Times New Roman"/>
                <w:sz w:val="20"/>
                <w:szCs w:val="20"/>
              </w:rPr>
              <w:t>2020 $100,000 Note convertible into common shares at $0,04 per share, 8% interest, due March 31, 2020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1,989</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Penalties on notes in default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11,066</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10,618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xml:space="preserve">Total </w:t>
            </w:r>
            <w:r>
              <w:rPr>
                <w:rFonts w:eastAsia="Times New Roman"/>
                <w:sz w:val="20"/>
                <w:szCs w:val="20"/>
              </w:rPr>
              <w:t>Convertible Notes Payable, Net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156,066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67,310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465,618</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75,166</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Less: BCF Discount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(6,187</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(24,545</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156,066</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67,310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434,886</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75,166</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96780495"/>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676932226"/>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Interest </w:t>
      </w:r>
      <w:r>
        <w:rPr>
          <w:sz w:val="20"/>
          <w:szCs w:val="20"/>
        </w:rPr>
        <w:t>expense for the three months ended March 31, 2020 and 2019 on the convertible notes payable amounted to $14,961 and $1,328, respectively.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May 2017 notes totaling $3,136,506, $2,419,240 after debt discounts, had a December 2017 due date which was exte</w:t>
      </w:r>
      <w:r>
        <w:rPr>
          <w:sz w:val="20"/>
          <w:szCs w:val="20"/>
        </w:rPr>
        <w:t>nded to May 2018.</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 entered into a $50,000 convertible promissory note dated May 31, 2019, that was to mature October 30, 2019. The convertible promissory note bears interest at a rate of 8%, The convertible promissory note is convertible into </w:t>
      </w:r>
      <w:r>
        <w:rPr>
          <w:sz w:val="20"/>
          <w:szCs w:val="20"/>
        </w:rPr>
        <w:t>shares of common stock at a price of $0.032 per share. Upon the closing of an equity financing pursuant to an effective registration statement with gross proceeds to the Company totaling at least $250,000 exclusive of any exchanges (“Qualified Financing”),</w:t>
      </w:r>
      <w:r>
        <w:rPr>
          <w:sz w:val="20"/>
          <w:szCs w:val="20"/>
        </w:rPr>
        <w:t xml:space="preserve"> the outstanding principal amount of this convertible promissory note together with all accrued and unpaid interest shall be exchanged into such securities as are issued in the Qualified Financing at a rate of 1.20. Upon an exchange, the Payee shall be gra</w:t>
      </w:r>
      <w:r>
        <w:rPr>
          <w:sz w:val="20"/>
          <w:szCs w:val="20"/>
        </w:rPr>
        <w:t>nted all rights afforded to an investor in the Qualified Financing. The $10,000 contingent exchange amount is classified as original issue discount and will be amortized over the life of the convertible promissory note. The convertible promissory noteholde</w:t>
      </w:r>
      <w:r>
        <w:rPr>
          <w:sz w:val="20"/>
          <w:szCs w:val="20"/>
        </w:rPr>
        <w:t>r received 625,000 warrants at an exercise price of $0.04 per share, that have a term of two years. The warrants were valued at $12,592 and represent a debt discount, which were amortized over the life of the convertible promissory note.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ente</w:t>
      </w:r>
      <w:r>
        <w:rPr>
          <w:sz w:val="20"/>
          <w:szCs w:val="20"/>
        </w:rPr>
        <w:t>red into $300,000 in convertible promissory notes in July and September 2019, that were to mature January 15, 2020. The convertible promissory notes bear interest at a rate of 8%, The convertible promissory notes are convertible into shares of common stock</w:t>
      </w:r>
      <w:r>
        <w:rPr>
          <w:sz w:val="20"/>
          <w:szCs w:val="20"/>
        </w:rPr>
        <w:t xml:space="preserve"> at a price of $0.04 per share. Upon the closing of an equity financing pursuant to an effective registration statement with gross proceeds to the Company totaling at least $250,000 exclusive of any exchanges (“Qualified Financing”), the outstanding princi</w:t>
      </w:r>
      <w:r>
        <w:rPr>
          <w:sz w:val="20"/>
          <w:szCs w:val="20"/>
        </w:rPr>
        <w:t>pal amount of this convertible promissory notes together with all accrued and unpaid interest shall be exchanged into such securities as are issued in the Qualified Financing at a rate of 1.20. Upon an exchange, the Payee shall be granted all rights afford</w:t>
      </w:r>
      <w:r>
        <w:rPr>
          <w:sz w:val="20"/>
          <w:szCs w:val="20"/>
        </w:rPr>
        <w:t xml:space="preserve">ed to an investor in the Qualified Financing. The convertible promissory noteholders received 3,000,000 warrants at an exercise price ranging between $0.06 and $0.08 per share (amended to $0.045 per share), that have a term of two years. The warrants were </w:t>
      </w:r>
      <w:r>
        <w:rPr>
          <w:sz w:val="20"/>
          <w:szCs w:val="20"/>
        </w:rPr>
        <w:t>valued at $91,716 and represent a debt discount, which will be amortized over the life of the convertible promissory notes. In addition, the Company recognized a beneficial conversion feature discount to the notes of $59,957 that is being amortized over th</w:t>
      </w:r>
      <w:r>
        <w:rPr>
          <w:sz w:val="20"/>
          <w:szCs w:val="20"/>
        </w:rPr>
        <w:t>e life of the notes. For the three months ended March 31, 2020 and 2019, the Company recognized $6,187 and $0, in amortization of the BCF discount.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 in default of these notes. As a result of the default, the interest rate charged was change</w:t>
      </w:r>
      <w:r>
        <w:rPr>
          <w:sz w:val="20"/>
          <w:szCs w:val="20"/>
        </w:rPr>
        <w:t>d to 12.5% up through the conversion of this note effective March 31,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entered into $50,000 in a convertible promissory note on December 31, 2019, that matures March 31, 2020. The convertible promissory notes bear interest at a rate of 8</w:t>
      </w:r>
      <w:r>
        <w:rPr>
          <w:sz w:val="20"/>
          <w:szCs w:val="20"/>
        </w:rPr>
        <w:t>%, The convertible promissory note is convertible into shares of common stock at a price of $0.04 per share. Upon the closing of an equity financing pursuant to an effective registration statement with gross proceeds to the Company totaling at least $250,0</w:t>
      </w:r>
      <w:r>
        <w:rPr>
          <w:sz w:val="20"/>
          <w:szCs w:val="20"/>
        </w:rPr>
        <w:t>00 exclusive of any exchanges (“Qualified Financing”), the outstanding principal amount of this convertible promissory notes together with all accrued and unpaid interest shall be exchanged into such securities as are issued in the Qualified Financing at a</w:t>
      </w:r>
      <w:r>
        <w:rPr>
          <w:sz w:val="20"/>
          <w:szCs w:val="20"/>
        </w:rPr>
        <w:t xml:space="preserve"> rate of 1.20. Upon an exchange, the Payee shall be granted all rights afforded to an investor in the Qualified Financing. The convertible promissory noteholders received 625,000 warrants at an exercise price of $0.06 per share (amended to $0.045 per share</w:t>
      </w:r>
      <w:r>
        <w:rPr>
          <w:sz w:val="20"/>
          <w:szCs w:val="20"/>
        </w:rPr>
        <w:t>), that have a term of two years. The warrants were valued at $14,299 and represent a debt discount, which will be amortized over the life of the convertible promissory note. This note was converted effective March 31, 2020. These shares were issued on Jun</w:t>
      </w:r>
      <w:r>
        <w:rPr>
          <w:sz w:val="20"/>
          <w:szCs w:val="20"/>
        </w:rPr>
        <w:t>e 10, 2020 following the qualification of the Regulation A+ and are reflected as shares to be issued as of March 31,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 issued a convertible note in January 2020 in the amount of $100,000 to an accredited investor. The note bears interest </w:t>
      </w:r>
      <w:r>
        <w:rPr>
          <w:sz w:val="20"/>
          <w:szCs w:val="20"/>
        </w:rPr>
        <w:t xml:space="preserve">at 8% per annum and matures March 31, 2020. The Company granted 1,250,000 warrants with an exercise price of $0.06 per share and a term of two years with this note and amended 1,312,500 previously issued warrants held by the investor to provide for a $.06 </w:t>
      </w:r>
      <w:r>
        <w:rPr>
          <w:sz w:val="20"/>
          <w:szCs w:val="20"/>
        </w:rPr>
        <w:t>exercise price and an expiration date of March 31, 2022.</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7643858"/>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387073848"/>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6: PROMISSORY NOTES PAYABLE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As </w:t>
      </w:r>
      <w:r>
        <w:rPr>
          <w:sz w:val="20"/>
          <w:szCs w:val="20"/>
        </w:rPr>
        <w:t>of March 31, 2019 and December 31, 2019, the Company had the following promissory notes outstanding:</w:t>
      </w:r>
    </w:p>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0"/>
        <w:gridCol w:w="101"/>
        <w:gridCol w:w="825"/>
        <w:gridCol w:w="78"/>
        <w:gridCol w:w="161"/>
        <w:gridCol w:w="100"/>
        <w:gridCol w:w="826"/>
        <w:gridCol w:w="78"/>
        <w:gridCol w:w="161"/>
        <w:gridCol w:w="101"/>
        <w:gridCol w:w="826"/>
        <w:gridCol w:w="78"/>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December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 (net)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Principal (net)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Accrued Interest</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5667E7">
            <w:pPr>
              <w:rPr>
                <w:rFonts w:eastAsia="Times New Roman"/>
                <w:sz w:val="20"/>
                <w:szCs w:val="20"/>
              </w:rPr>
            </w:pPr>
            <w:r>
              <w:rPr>
                <w:rFonts w:eastAsia="Times New Roman"/>
                <w:sz w:val="20"/>
                <w:szCs w:val="20"/>
              </w:rPr>
              <w:t>February 2019, two promissory notes for $50,000 each (total of $100,000), maturing August 2019, extended to February 2020, at 8.00% interest (originally) and now 15% interest</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1,636</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5,410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1,636</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5,410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were to mature on August 20, 2019 and accrued interest at 8.00% per annum. In connection with the promissory notes, the Company issued warrants to pu</w:t>
      </w:r>
      <w:r>
        <w:rPr>
          <w:sz w:val="20"/>
          <w:szCs w:val="20"/>
        </w:rPr>
        <w:t>rchase 1,250,000 shares of common stock. The Company recorded the relative fair value of the warrants as a debt discount of $28,721 and amortized the discount over the life of the note (6 months). Amortization of debt discount for the year ended December 3</w:t>
      </w:r>
      <w:r>
        <w:rPr>
          <w:sz w:val="20"/>
          <w:szCs w:val="20"/>
        </w:rPr>
        <w:t>1, 2019 was $28,721 and is recorded as interest expense on the statement of operations for the year ended December 31, 2019.</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On August 20, 2019, the two noteholders agreed to extend these notes another six-months to February 20, 2020, then amended again </w:t>
      </w:r>
      <w:r>
        <w:rPr>
          <w:sz w:val="20"/>
          <w:szCs w:val="20"/>
        </w:rPr>
        <w:t>for six-months and the notes now mature August 20, 2020. In consideration for the extension, the note holders received 750,000 warrants (375,000 each) and the interest rate on the notes increased from 8% to 15% per annum. The interest expense on these note</w:t>
      </w:r>
      <w:r>
        <w:rPr>
          <w:sz w:val="20"/>
          <w:szCs w:val="20"/>
        </w:rPr>
        <w:t>s for the three months ended March 31, 2020 and 2019 amounted to $3,726 and $852, and $1,636 is accrued for as of March 31,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7: STOCKHOLDERS’ DEFICIT</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Common Stock</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w:t>
      </w:r>
      <w:r>
        <w:rPr>
          <w:sz w:val="20"/>
          <w:szCs w:val="20"/>
        </w:rPr>
        <w:t>Company has 950,000,000 shares of common stock authorized, with a par value of $0.001, and as of March 31, 2020 and December 31, 2019, the Company has 214,421,302 and 184,845,821 shares issued and outstanding, respectively.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On March 28, 2019, the Company</w:t>
      </w:r>
      <w:r>
        <w:rPr>
          <w:sz w:val="20"/>
          <w:szCs w:val="20"/>
        </w:rPr>
        <w:t>’s board of directors approved a reverse 1-for-8 stock split, and a decrease in the authorized shares from 2,000,000,000 to 950,000,000. The reverse stock split went effective by FINRA on June 28, 2019.</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Preferred Stock</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As of March 31, 2020 and December</w:t>
      </w:r>
      <w:r>
        <w:rPr>
          <w:sz w:val="20"/>
          <w:szCs w:val="20"/>
        </w:rPr>
        <w:t xml:space="preserve"> 31, 2019, the Company has 20,000,000 shares of Preferred stock authorized with a par value of $0.001. The Company’s Board of Directors is authorized to provide for the issuance of shares of preferred stock in one or more series, fix or alter the designati</w:t>
      </w:r>
      <w:r>
        <w:rPr>
          <w:sz w:val="20"/>
          <w:szCs w:val="20"/>
        </w:rPr>
        <w:t>ons, preferences, rights, qualifications, limitations or restrictions of the shares of each series, including the dividend rights, dividend rates, conversion rights, voting rights, term of redemption including sinking fund provisions, redemption price or p</w:t>
      </w:r>
      <w:r>
        <w:rPr>
          <w:sz w:val="20"/>
          <w:szCs w:val="20"/>
        </w:rPr>
        <w:t>rices, liquidation preferences and the number of shares constituting any series or designations of such series without further vote or action by the shareholders. The issuance of preferred stock may have the effect of delaying, deferring or preventing a ch</w:t>
      </w:r>
      <w:r>
        <w:rPr>
          <w:sz w:val="20"/>
          <w:szCs w:val="20"/>
        </w:rPr>
        <w:t xml:space="preserve">ange in control of management without further action by the shareholders and may adversely affect the voting and other rights of the holders of common stock. The issuance of preferred stock with voting and conversion rights may adversely affect the voting </w:t>
      </w:r>
      <w:r>
        <w:rPr>
          <w:sz w:val="20"/>
          <w:szCs w:val="20"/>
        </w:rPr>
        <w:t>power of the holders of common stock, including the loss of voting control to others.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30573529"/>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608858383"/>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On October 8, 2018 the Company created out of the shares of Preferred Stock, par value $0.001 per share, of the Company, as authorized in Article IV of the </w:t>
      </w:r>
      <w:r>
        <w:rPr>
          <w:sz w:val="20"/>
          <w:szCs w:val="20"/>
        </w:rPr>
        <w:t>Company’s Certificate of Incorporation, a series of Preferred Stock of the Company, to be named “Series B Convertible Preferred Stock,” consisting of Five Million (5,000,000) shares.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On March 27, 2019 the Company created out of the shares of Preferred St</w:t>
      </w:r>
      <w:r>
        <w:rPr>
          <w:sz w:val="20"/>
          <w:szCs w:val="20"/>
        </w:rPr>
        <w:t>ock, par value $0.001 per share, of the Company, as authorized in Article IV of the Company’s Certificate of Incorporation, a series of Preferred Stock of the Company, to be named “Series C Convertible Preferred Stock,” consisting of Five Million (5,000,00</w:t>
      </w:r>
      <w:r>
        <w:rPr>
          <w:sz w:val="20"/>
          <w:szCs w:val="20"/>
        </w:rPr>
        <w:t>0) shares.</w:t>
      </w:r>
    </w:p>
    <w:p w:rsidR="00000000" w:rsidRDefault="005667E7">
      <w:pPr>
        <w:pStyle w:val="a3"/>
        <w:spacing w:before="0" w:beforeAutospacing="0" w:after="0" w:afterAutospacing="0"/>
        <w:jc w:val="both"/>
        <w:rPr>
          <w:sz w:val="20"/>
          <w:szCs w:val="20"/>
        </w:rPr>
      </w:pPr>
      <w:r>
        <w:rPr>
          <w:i/>
          <w:iCs/>
          <w:sz w:val="20"/>
          <w:szCs w:val="20"/>
        </w:rPr>
        <w:t> </w:t>
      </w:r>
    </w:p>
    <w:p w:rsidR="00000000" w:rsidRDefault="005667E7">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w:t>
      </w:r>
      <w:r>
        <w:rPr>
          <w:sz w:val="20"/>
          <w:szCs w:val="20"/>
        </w:rPr>
        <w:t>June 2015, the Series A Certificate of Designation was filed with the Delaware Secretary of State to designate 2.5 million shares of our preferred stock as Series A Convertible Preferred. Effective March 31, 2016, the Company amended the Certificate of Des</w:t>
      </w:r>
      <w:r>
        <w:rPr>
          <w:sz w:val="20"/>
          <w:szCs w:val="20"/>
        </w:rPr>
        <w:t>ignations, Preferences and Rights of Series A Convertible Preferred of the Registrant, increasing the maximum number of shares of Series A Convertible Preferred from 2,500,000 shares to 5,000,000 shares. The following summarizes the current rights and pref</w:t>
      </w:r>
      <w:r>
        <w:rPr>
          <w:sz w:val="20"/>
          <w:szCs w:val="20"/>
        </w:rPr>
        <w:t>erences of the Series A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C</w:t>
      </w:r>
      <w:r>
        <w:rPr>
          <w:sz w:val="20"/>
          <w:szCs w:val="20"/>
          <w:u w:val="single"/>
        </w:rPr>
        <w:t>onversion</w:t>
      </w:r>
      <w:r>
        <w:rPr>
          <w:sz w:val="20"/>
          <w:szCs w:val="20"/>
        </w:rPr>
        <w:t>. 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w:t>
      </w:r>
      <w:r>
        <w:rPr>
          <w:i/>
          <w:iCs/>
          <w:sz w:val="20"/>
          <w:szCs w:val="20"/>
        </w:rPr>
        <w:t>hares</w:t>
      </w:r>
      <w:r>
        <w:rPr>
          <w:sz w:val="20"/>
          <w:szCs w:val="20"/>
        </w:rPr>
        <w:t>”) equal to the liquidation preference thereof, divided by Conversion Price (as such term is defined in the Series A Certificate of Designation), currently $4.00.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the event the Company completes an equity or equity-based public offering, register</w:t>
      </w:r>
      <w:r>
        <w:rPr>
          <w:sz w:val="20"/>
          <w:szCs w:val="20"/>
        </w:rPr>
        <w:t>ed with the SEC, resulting in gross proceeds to the Company totaling at least $5.0 million, all issued and outstanding shares of Series A Convertible Preferred at that time will automatically convert into Series A Conversion Shares.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Redemption</w:t>
      </w:r>
      <w:r>
        <w:rPr>
          <w:sz w:val="20"/>
          <w:szCs w:val="20"/>
        </w:rPr>
        <w:t>. Subject t</w:t>
      </w:r>
      <w:r>
        <w:rPr>
          <w:sz w:val="20"/>
          <w:szCs w:val="20"/>
        </w:rPr>
        <w:t>o certain conditions set forth in the Series A Certificate of Designation, in the event of a Change of Control (defined in the Series A Certificate of Designation as the time at which as a third party not affiliated with the Company or any holders of the S</w:t>
      </w:r>
      <w:r>
        <w:rPr>
          <w:sz w:val="20"/>
          <w:szCs w:val="20"/>
        </w:rPr>
        <w:t xml:space="preserve">eries A Convertible Preferred shall have acquired, in one or a series of related transactions, equity securities of the Company representing more than fifty percent 50% of the outstanding voting securities of the Company), the Company, at its option, will </w:t>
      </w:r>
      <w:r>
        <w:rPr>
          <w:sz w:val="20"/>
          <w:szCs w:val="20"/>
        </w:rPr>
        <w:t>have the right to redeem all or a portion of the outstanding Series A Convertible Preferred in cash at a price per share of Series A Convertible Preferred equal to 100% of the Liquidation Preference.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Convertible Preferr</w:t>
      </w:r>
      <w:r>
        <w:rPr>
          <w:sz w:val="20"/>
          <w:szCs w:val="20"/>
        </w:rPr>
        <w:t>ed are entitled to vote on all matters, together with the holders of common stock, and have the equivalent of five (5) votes for every Series A Conversion Share issuable upon conversion of such holder’s outstanding shares of Series A Convertible Preferred.</w:t>
      </w:r>
      <w:r>
        <w:rPr>
          <w:sz w:val="20"/>
          <w:szCs w:val="20"/>
        </w:rPr>
        <w:t xml:space="preserve"> However, the Series A Conversion Shares, when issued, will have all the same voting rights as other issued and outstanding common stock of the Company, and none of the rights of the Series A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Liquidation</w:t>
      </w:r>
      <w:r>
        <w:rPr>
          <w:sz w:val="20"/>
          <w:szCs w:val="20"/>
        </w:rPr>
        <w:t>. Upon any liquidation, diss</w:t>
      </w:r>
      <w:r>
        <w:rPr>
          <w:sz w:val="20"/>
          <w:szCs w:val="20"/>
        </w:rPr>
        <w:t>olution, or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 amount equal to the liqui</w:t>
      </w:r>
      <w:r>
        <w:rPr>
          <w:sz w:val="20"/>
          <w:szCs w:val="20"/>
        </w:rPr>
        <w:t>dation preference of the Series A Convertible Preferred before any distribution or payment shall be made to the holders of any junior securities, and if the assets of the Company is insufficient to pay in full such amounts, then the entire assets to be dis</w:t>
      </w:r>
      <w:r>
        <w:rPr>
          <w:sz w:val="20"/>
          <w:szCs w:val="20"/>
        </w:rPr>
        <w:t>tributed to the holders of the Series A Convertible Preferred shall be ratably distributed among the holders in accordance with the respective amounts that would be payable on such shares if all amounts payable thereon were paid in full.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Certain Price an</w:t>
      </w:r>
      <w:r>
        <w:rPr>
          <w:sz w:val="20"/>
          <w:szCs w:val="20"/>
          <w:u w:val="single"/>
        </w:rPr>
        <w:t>d Share Adjustments</w:t>
      </w:r>
      <w:r>
        <w:rPr>
          <w:sz w:val="20"/>
          <w:szCs w:val="20"/>
        </w:rPr>
        <w: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any other common stock equivalents; (ii) </w:t>
      </w:r>
      <w:r>
        <w:rPr>
          <w:sz w:val="20"/>
          <w:szCs w:val="20"/>
        </w:rPr>
        <w:t xml:space="preserve">subdivides outstanding shares of common stock into a larger number of shares; (iii) combines (including by way of a reverse stock split) outstanding shares of common stock into a smaller number of shares; or (iv) issues, in the event of a reclassification </w:t>
      </w:r>
      <w:r>
        <w:rPr>
          <w:sz w:val="20"/>
          <w:szCs w:val="20"/>
        </w:rPr>
        <w:t>of shares of the common stock, any shares of capital stock of the Company, then the conversion price shall be adjusted accordingly.</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64133323"/>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296064662"/>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A Preferred shall be c</w:t>
      </w:r>
      <w:r>
        <w:rPr>
          <w:sz w:val="20"/>
          <w:szCs w:val="20"/>
        </w:rPr>
        <w:t>onvertible into the kind and amount of securities, cash or other property that a holder of the number of shares of common stock issuable upon conversion of one share of Series A Convertible Preferred prior to any such merger or reorganization would have be</w:t>
      </w:r>
      <w:r>
        <w:rPr>
          <w:sz w:val="20"/>
          <w:szCs w:val="20"/>
        </w:rPr>
        <w:t>en entitled to receive pursuant to such transaction.</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i/>
          <w:iCs/>
          <w:sz w:val="20"/>
          <w:szCs w:val="20"/>
        </w:rPr>
        <w:t>Series B Convertible Preferred Stock (“Series B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 5.0 millio</w:t>
      </w:r>
      <w:r>
        <w:rPr>
          <w:sz w:val="20"/>
          <w:szCs w:val="20"/>
        </w:rPr>
        <w:t>n shares of our preferred stock as Series B Convertible Preferred. The following summarizes the current rights and preferences of the Series B Convertible Preferred:</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Liquidation Preference</w:t>
      </w:r>
      <w:r>
        <w:rPr>
          <w:sz w:val="20"/>
          <w:szCs w:val="20"/>
        </w:rPr>
        <w:t xml:space="preserve">. The Series B Convertible Preferred has a liquidation preference </w:t>
      </w:r>
      <w:r>
        <w:rPr>
          <w:sz w:val="20"/>
          <w:szCs w:val="20"/>
        </w:rPr>
        <w:t>of $1.00 per share.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Convertible Preferred do not have any separate dividend rights.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Conversion</w:t>
      </w:r>
      <w:r>
        <w:rPr>
          <w:sz w:val="20"/>
          <w:szCs w:val="20"/>
        </w:rPr>
        <w:t xml:space="preserve">. </w:t>
      </w:r>
      <w:r>
        <w:rPr>
          <w:sz w:val="20"/>
          <w:szCs w:val="20"/>
        </w:rPr>
        <w:t>Subject to certain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w:t>
      </w:r>
      <w:r>
        <w:rPr>
          <w:sz w:val="20"/>
          <w:szCs w:val="20"/>
        </w:rPr>
        <w:t>al to the liquidation preference thereof, divided by Conversion Price (as such term is defined in the Series B Certificate of Designation), currently $0.08.</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B Certificate of Designation, i</w:t>
      </w:r>
      <w:r>
        <w:rPr>
          <w:sz w:val="20"/>
          <w:szCs w:val="20"/>
        </w:rPr>
        <w:t>n the event of a Change of Control (defined in the Series B Certificate of Designation as the time at which as a third party not affiliated with the Company or any holders of the Series B Convertible Preferred shall have acquired, in one or a series of rel</w:t>
      </w:r>
      <w:r>
        <w:rPr>
          <w:sz w:val="20"/>
          <w:szCs w:val="20"/>
        </w:rPr>
        <w:t>ated transactions, equity securities of the Company representing more than fifty percent 50% of the outstanding voting securities of the Company), the Company, at its option, will have the right to redeem all or a portion of the outstanding Series B Conver</w:t>
      </w:r>
      <w:r>
        <w:rPr>
          <w:sz w:val="20"/>
          <w:szCs w:val="20"/>
        </w:rPr>
        <w:t>tible Preferred in cash at a price per share of Series B Convertible Preferred equal to 100% of the Liquidation Preference.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Voting Rights</w:t>
      </w:r>
      <w:r>
        <w:rPr>
          <w:sz w:val="20"/>
          <w:szCs w:val="20"/>
        </w:rPr>
        <w:t xml:space="preserve">. Holders of Series B Convertible Preferred are entitled to vote on all matters, together with the holders of common </w:t>
      </w:r>
      <w:r>
        <w:rPr>
          <w:sz w:val="20"/>
          <w:szCs w:val="20"/>
        </w:rPr>
        <w:t>stock, and have the equivalent of two (2) votes for every Series B Conversion Share issuable upon conversion of such holder’s outstanding shares of Series B Convertible Preferred. However, the Series B Conversion Shares, when issued, will have all the same</w:t>
      </w:r>
      <w:r>
        <w:rPr>
          <w:sz w:val="20"/>
          <w:szCs w:val="20"/>
        </w:rPr>
        <w:t xml:space="preserve"> voting rights as other issued and outstanding common stock of the Company, and none of the rights of the Series A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w:t>
      </w:r>
      <w:r>
        <w:rPr>
          <w:i/>
          <w:iCs/>
          <w:sz w:val="20"/>
          <w:szCs w:val="20"/>
        </w:rPr>
        <w:t>iquidation</w:t>
      </w:r>
      <w:r>
        <w:rPr>
          <w:sz w:val="20"/>
          <w:szCs w:val="20"/>
        </w:rPr>
        <w:t>”), the holders of Series B Convertible Preferred shall be entitled to receive out of the assets, whether capital or surplus, of the Company an amount equal to the liquidation preference of the Series B Convertible Preferred before any distributi</w:t>
      </w:r>
      <w:r>
        <w:rPr>
          <w:sz w:val="20"/>
          <w:szCs w:val="20"/>
        </w:rPr>
        <w:t>on or payment shall be made to the holders of any junior securities, and if the assets of the Company is insufficient to pay in full such amounts, then the entire assets to be distributed to the holders of the Series B Convertible Preferred shall be ratabl</w:t>
      </w:r>
      <w:r>
        <w:rPr>
          <w:sz w:val="20"/>
          <w:szCs w:val="20"/>
        </w:rPr>
        <w:t>y distributed among the holders in accordance with the respective amounts that would be payable on such shares if all amounts payable thereon were paid in full.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w:t>
      </w:r>
      <w:r>
        <w:rPr>
          <w:sz w:val="20"/>
          <w:szCs w:val="20"/>
        </w:rPr>
        <w:t>) pays a stock dividend or otherwise makes a distribution or distributions payable in shares of common stock on shares of common stock or any other common stock equivalents; (ii) subdivides outstanding shares of common stock into a larger number of shares;</w:t>
      </w:r>
      <w:r>
        <w:rPr>
          <w:sz w:val="20"/>
          <w:szCs w:val="20"/>
        </w:rPr>
        <w:t xml:space="preserve"> (iii) combines (including by way of a reverse stock split) outstanding shares of common stock into a smaller number of shares; or (iv) issues, in the event of a reclassification of shares of the common stock, any shares of capital stock of the Company, th</w:t>
      </w:r>
      <w:r>
        <w:rPr>
          <w:sz w:val="20"/>
          <w:szCs w:val="20"/>
        </w:rPr>
        <w:t>en the conversion price shall be adjusted accordingly.</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79277066"/>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2131047480"/>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w:t>
      </w:r>
      <w:r>
        <w:rPr>
          <w:sz w:val="20"/>
          <w:szCs w:val="20"/>
        </w:rPr>
        <w:t>xchanged for securities, cash or other property than each share of Series B Convertible Preferred shall be convertible into the kind and amount of securities, cash or other property that a holder of the number of shares of common stock issuable upon conver</w:t>
      </w:r>
      <w:r>
        <w:rPr>
          <w:sz w:val="20"/>
          <w:szCs w:val="20"/>
        </w:rPr>
        <w:t>sion of one share of Series B Convertible Preferred prior to any such merger or reorganization would have been entitled to receive pursuant to such transaction.</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i/>
          <w:iCs/>
          <w:sz w:val="20"/>
          <w:szCs w:val="20"/>
        </w:rPr>
        <w:t>Series C Convertible Preferred Stock (“</w:t>
      </w:r>
      <w:r>
        <w:rPr>
          <w:i/>
          <w:iCs/>
          <w:sz w:val="20"/>
          <w:szCs w:val="20"/>
        </w:rPr>
        <w:t>Series C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March 2019, the Series C Certificate of Designation was filed with the Delaware Secretary of State to designate 5.0 million shares of our preferred stock as Series C Convertible Preferred. The following summarizes the </w:t>
      </w:r>
      <w:r>
        <w:rPr>
          <w:sz w:val="20"/>
          <w:szCs w:val="20"/>
        </w:rPr>
        <w:t>current rights and preferences of the Series C Convertible Preferred:</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w:t>
      </w:r>
      <w:r>
        <w:rPr>
          <w:sz w:val="20"/>
          <w:szCs w:val="20"/>
        </w:rPr>
        <w:t>te dividend rights.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Certificate of Designation, each share of Series C Convertible Preferred is convertible, at the option of the holder, into that number of shares of common stock (the</w:t>
      </w:r>
      <w:r>
        <w:rPr>
          <w:sz w:val="20"/>
          <w:szCs w:val="20"/>
        </w:rPr>
        <w:t xml:space="preserve"> “</w:t>
      </w:r>
      <w:r>
        <w:rPr>
          <w:i/>
          <w:iCs/>
          <w:sz w:val="20"/>
          <w:szCs w:val="20"/>
        </w:rPr>
        <w:t>Series C Conversion Shares</w:t>
      </w:r>
      <w:r>
        <w:rPr>
          <w:sz w:val="20"/>
          <w:szCs w:val="20"/>
        </w:rPr>
        <w:t>”) equal to the liquidation preference thereof, divided by Conversion Price (as such term is defined in the Series C Certificate of Designation), currently $0.08.</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Series C Convertible Preferred will only be convertible at </w:t>
      </w:r>
      <w:r>
        <w:rPr>
          <w:sz w:val="20"/>
          <w:szCs w:val="20"/>
        </w:rPr>
        <w:t xml:space="preserve">any time after the date that the Company shall have amended its Certificate of Incorporation to increase the number of shares of common stock authorized for issuance thereunder or effect a reverse stock split of the outstanding shares of common stock by a </w:t>
      </w:r>
      <w:r>
        <w:rPr>
          <w:sz w:val="20"/>
          <w:szCs w:val="20"/>
        </w:rPr>
        <w:t>sufficient amount to permit the conversion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w:t>
      </w:r>
      <w:r>
        <w:rPr>
          <w:sz w:val="20"/>
          <w:szCs w:val="20"/>
        </w:rPr>
        <w:t>o validly issued, fully paid and non-assessable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w:t>
      </w:r>
      <w:r>
        <w:rPr>
          <w:sz w:val="20"/>
          <w:szCs w:val="20"/>
        </w:rPr>
        <w:t>eries C Certificate of Designation, in the event of a Change of Control (defined in the Series C Certificate of Designation as the time at which as a third party not affiliated with the Company or any holders of the Series C Convertible Preferred shall hav</w:t>
      </w:r>
      <w:r>
        <w:rPr>
          <w:sz w:val="20"/>
          <w:szCs w:val="20"/>
        </w:rPr>
        <w:t>e acquired, in one or a series of related transactions, equity securities of the Company representing more than fifty percent 50% of the outstanding voting securities of the Company), the Company, at its option, will have the right to redeem all or a porti</w:t>
      </w:r>
      <w:r>
        <w:rPr>
          <w:sz w:val="20"/>
          <w:szCs w:val="20"/>
        </w:rPr>
        <w:t>on of the outstanding Series B Convertible Preferred in cash at a price per share of Series C Convertible Preferred equal to 100% of the Liquidation Preference.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w:t>
      </w:r>
      <w:r>
        <w:rPr>
          <w:sz w:val="20"/>
          <w:szCs w:val="20"/>
        </w:rPr>
        <w:t xml:space="preserve"> together with the holders of common stock, and have the equivalent of thirty-two (32) votes for every Series C Conversion Share issuable upon conversion of such holder’s outstanding shares of Series C Convertible Preferred. However, the Series C Conversio</w:t>
      </w:r>
      <w:r>
        <w:rPr>
          <w:sz w:val="20"/>
          <w:szCs w:val="20"/>
        </w:rPr>
        <w:t>n Shares, when issued, will have all the same voting rights as other issued and outstanding common stock of the Company, and none of the rights of the Series C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w:t>
      </w:r>
      <w:r>
        <w:rPr>
          <w:sz w:val="20"/>
          <w:szCs w:val="20"/>
        </w:rPr>
        <w:t>mpany, whether voluntary or involuntary (a “</w:t>
      </w:r>
      <w:r>
        <w:rPr>
          <w:i/>
          <w:iCs/>
          <w:sz w:val="20"/>
          <w:szCs w:val="20"/>
        </w:rPr>
        <w:t>Liquidation</w:t>
      </w:r>
      <w:r>
        <w:rPr>
          <w:sz w:val="20"/>
          <w:szCs w:val="20"/>
        </w:rPr>
        <w:t xml:space="preserve">”), </w:t>
      </w:r>
      <w:r>
        <w:rPr>
          <w:sz w:val="20"/>
          <w:szCs w:val="20"/>
        </w:rPr>
        <w:t xml:space="preserve">the holders of Series C Convertible Preferred shall be entitled to receive out of the assets, whether capital or surplus, of the Company an amount equal to the liquidation preference of the Series C Convertible Preferred before any distribution or payment </w:t>
      </w:r>
      <w:r>
        <w:rPr>
          <w:sz w:val="20"/>
          <w:szCs w:val="20"/>
        </w:rPr>
        <w:t xml:space="preserve">shall be made to the holders of any junior securities, and if the assets of the Company is insufficient to pay in full such amounts, then the entire assets to be distributed to the holders of the Series C Convertible Preferred shall be ratably distributed </w:t>
      </w:r>
      <w:r>
        <w:rPr>
          <w:sz w:val="20"/>
          <w:szCs w:val="20"/>
        </w:rPr>
        <w:t>among the holders in accordance with the respective amounts that would be payable on such shares if all amounts payable thereon were paid in full.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w:t>
      </w:r>
      <w:r>
        <w:rPr>
          <w:sz w:val="20"/>
          <w:szCs w:val="20"/>
        </w:rPr>
        <w:t xml:space="preserve"> dividend or otherwise makes a distribution or distributions payable in shares of common stock on shares of common stock or any other common stock equivalents; (ii) subdivides outstanding shares of common stock into a larger number of shares; (iii) combine</w:t>
      </w:r>
      <w:r>
        <w:rPr>
          <w:sz w:val="20"/>
          <w:szCs w:val="20"/>
        </w:rPr>
        <w:t>s (including by way of a reverse stock split) outstanding shares of common stock into a smaller number of shares; or (iv) issues, in the event of a reclassification of shares of the common stock, any shares of capital stock of the Company, then the convers</w:t>
      </w:r>
      <w:r>
        <w:rPr>
          <w:sz w:val="20"/>
          <w:szCs w:val="20"/>
        </w:rPr>
        <w:t>ion price shall be adjusted accordingly.</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29989992"/>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584073629"/>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C Convertible Preferre</w:t>
      </w:r>
      <w:r>
        <w:rPr>
          <w:sz w:val="20"/>
          <w:szCs w:val="20"/>
        </w:rPr>
        <w:t>d shall be convertible into the kind and amount of securities, cash or other property that a holder of the number of shares of common stock issuable upon conversion of one share of Series C Convertible Preferred prior to any such merger or reorganization w</w:t>
      </w:r>
      <w:r>
        <w:rPr>
          <w:sz w:val="20"/>
          <w:szCs w:val="20"/>
        </w:rPr>
        <w:t>ould have been entitled to receive pursuant to such transaction.</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rPr>
        <w:t>Common and Preferred Stock Issuances - 2020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in January 2020 paid $50,000 to redeem 100,000 shares of Series B Convertible Preferred Stock. The redemption price was agreed to b</w:t>
      </w:r>
      <w:r>
        <w:rPr>
          <w:sz w:val="20"/>
          <w:szCs w:val="20"/>
        </w:rPr>
        <w:t>y the investor.</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January 2020, the Company converted 435,990 shares of Series C Convertible Preferred stock into 5,449,875 shares of common stock.</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March 2020, the Company entered into agreements to issue 4,640,000 shares of common stock conditione</w:t>
      </w:r>
      <w:r>
        <w:rPr>
          <w:sz w:val="20"/>
          <w:szCs w:val="20"/>
        </w:rPr>
        <w:t>d upon the qualification of the offer and sale of such shares under Regulation A+ for $125,280. Additionally, the Company agreed to issue 2,320,000 warrants with a term of two years and an exercise price of $.045 for a purchase price of $1,243. These share</w:t>
      </w:r>
      <w:r>
        <w:rPr>
          <w:sz w:val="20"/>
          <w:szCs w:val="20"/>
        </w:rPr>
        <w:t>s were issued on June 10, 2020 following the qualification of the Regulation A+ and are reflected as shares to be issued as of March 31, 2020.</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March 2020, certain holders of convertible promissory notes entered into agreements to exchange certain note</w:t>
      </w:r>
      <w:r>
        <w:rPr>
          <w:sz w:val="20"/>
          <w:szCs w:val="20"/>
        </w:rPr>
        <w:t>s totaling $526,113, including $425,000 in principal amount, $23,430 in accrued interest and an exchange premium as provided for in the note agreements of $77,683 into 19,485,668 shares of common stock effective upon the qualification of the offer and sale</w:t>
      </w:r>
      <w:r>
        <w:rPr>
          <w:sz w:val="20"/>
          <w:szCs w:val="20"/>
        </w:rPr>
        <w:t xml:space="preserve"> of such shares under Regulation A+. In connection with the holder’s agreement to enter into the exchange, the Company intends to issue 2,200,000 warrants with a two-year term and an exercise price of $0.045 per share and amend 4,400,000 previously issued </w:t>
      </w:r>
      <w:r>
        <w:rPr>
          <w:sz w:val="20"/>
          <w:szCs w:val="20"/>
        </w:rPr>
        <w:t>warrants to provide for a $.045 exercise price and an expiration date of March 31, 2022. These shares were issued on June 10, 2020 following the qualification of the Regulation A+ and are reflected as shares to be issued as of March 31, 2020.</w:t>
      </w:r>
    </w:p>
    <w:p w:rsidR="00000000" w:rsidRDefault="005667E7">
      <w:pPr>
        <w:pStyle w:val="a3"/>
        <w:spacing w:before="0" w:beforeAutospacing="0" w:after="0" w:afterAutospacing="0"/>
        <w:jc w:val="both"/>
        <w:rPr>
          <w:sz w:val="20"/>
          <w:szCs w:val="20"/>
        </w:rPr>
      </w:pPr>
      <w:r>
        <w:rPr>
          <w:b/>
          <w:bCs/>
          <w:i/>
          <w:iCs/>
          <w:sz w:val="20"/>
          <w:szCs w:val="20"/>
        </w:rPr>
        <w:t> </w:t>
      </w:r>
    </w:p>
    <w:p w:rsidR="00000000" w:rsidRDefault="005667E7">
      <w:pPr>
        <w:pStyle w:val="a3"/>
        <w:spacing w:before="0" w:beforeAutospacing="0" w:after="0" w:afterAutospacing="0"/>
        <w:jc w:val="both"/>
        <w:rPr>
          <w:sz w:val="20"/>
          <w:szCs w:val="20"/>
        </w:rPr>
      </w:pPr>
      <w:r>
        <w:rPr>
          <w:b/>
          <w:bCs/>
          <w:i/>
          <w:iCs/>
          <w:sz w:val="20"/>
          <w:szCs w:val="20"/>
        </w:rPr>
        <w:t>Common and Preferred Stock Issuances - 2019</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January 2019, the Company received $100,000 in gross proceeds resulting from the issuance to accredited investors of 1,250,000 shares of common stock, 100,000 shares of Series B Convertible Preferred and war</w:t>
      </w:r>
      <w:r>
        <w:rPr>
          <w:sz w:val="20"/>
          <w:szCs w:val="20"/>
        </w:rPr>
        <w:t>rants to purchase 1,250,000 shares of common stock.</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issued 13,015,225 shares of common stock in consideration for the conversion of 1,041,218 shares of Series B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issued 821,292 shares of Series C Convertibl</w:t>
      </w:r>
      <w:r>
        <w:rPr>
          <w:sz w:val="20"/>
          <w:szCs w:val="20"/>
        </w:rPr>
        <w:t>e Preferred in exchange for 821,292 shares of Series B Convertible Preferred.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issued 562,500 shares of common stock in a settlement of accounts payable valued at $22,500.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Company issued 312,500 shares of common stock for services render</w:t>
      </w:r>
      <w:r>
        <w:rPr>
          <w:sz w:val="20"/>
          <w:szCs w:val="20"/>
        </w:rPr>
        <w:t>ed in connection with the raising of debt instruments valued at $12,500.</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15138249"/>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421535742"/>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8: COMMON STOCK OPTIONS, WARRANTS AND RESTRICTED STOCK UNITS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Common Stock Options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w:t>
      </w:r>
      <w:r>
        <w:rPr>
          <w:sz w:val="20"/>
          <w:szCs w:val="20"/>
        </w:rPr>
        <w:t>Company recognizes in the financial statements compensation related to all stock-based awards, including stock options and warrants, based on their estimated grant-date fair value. The Company has estimated expected forfeitures and is recognizing compensat</w:t>
      </w:r>
      <w:r>
        <w:rPr>
          <w:sz w:val="20"/>
          <w:szCs w:val="20"/>
        </w:rPr>
        <w:t>ion expense only for those awards expected to vest. All compensation is recognized by the time the award vests.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following schedule summarizes the changes in the Company’s stock options:</w:t>
      </w:r>
    </w:p>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35"/>
        <w:gridCol w:w="145"/>
        <w:gridCol w:w="62"/>
        <w:gridCol w:w="900"/>
        <w:gridCol w:w="67"/>
        <w:gridCol w:w="140"/>
        <w:gridCol w:w="100"/>
        <w:gridCol w:w="727"/>
        <w:gridCol w:w="62"/>
        <w:gridCol w:w="169"/>
        <w:gridCol w:w="765"/>
        <w:gridCol w:w="146"/>
        <w:gridCol w:w="101"/>
        <w:gridCol w:w="749"/>
        <w:gridCol w:w="146"/>
        <w:gridCol w:w="101"/>
        <w:gridCol w:w="728"/>
        <w:gridCol w:w="63"/>
      </w:tblGrid>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5667E7">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Of</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1900" w:type="pct"/>
            <w:shd w:val="clear" w:color="auto" w:fill="CCEEFF"/>
            <w:vAlign w:val="bottom"/>
            <w:hideMark/>
          </w:tcPr>
          <w:p w:rsidR="00000000" w:rsidRDefault="005667E7">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34,524,580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0.024-120.00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6.49 years</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277,973</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Balance at March 31, 2020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34,524,580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6.24 years</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96,221</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xml:space="preserve">Exercisable </w:t>
            </w:r>
            <w:r>
              <w:rPr>
                <w:rFonts w:eastAsia="Times New Roman"/>
                <w:sz w:val="20"/>
                <w:szCs w:val="20"/>
              </w:rPr>
              <w:t>at March 31, 2020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34,428,955</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6.23 years</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95,791</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0.08</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 There was $6,529 expensed in 2019 and $2,176 remaining to be expensed through June 30, 2020 for these options.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 has granted 21,000,000 stock options under the Company’s 2015 Omnibus Securities and Incentive Plan to Dr. Korenko. The granting </w:t>
      </w:r>
      <w:r>
        <w:rPr>
          <w:sz w:val="20"/>
          <w:szCs w:val="20"/>
        </w:rPr>
        <w:t>of the stock options occurs 10 days after the approval of the Company’s recent 1 for 8 reverse stock split that occurred on June 28, 2018. The vesting of the options are as follows: (i) 50% vested in equal amounts at the end of each of the two successive c</w:t>
      </w:r>
      <w:r>
        <w:rPr>
          <w:sz w:val="20"/>
          <w:szCs w:val="20"/>
        </w:rPr>
        <w:t>alendar quarters (25% for each of the quarters September 30, 2019, and December 31, 2019); (ii) 25% upon the Company filing a patent (completed on July 1, 2019); and (iii) 25% upon the first commercial sale of IsoPet</w:t>
      </w:r>
      <w:r>
        <w:rPr>
          <w:sz w:val="20"/>
          <w:szCs w:val="20"/>
          <w:vertAlign w:val="superscript"/>
        </w:rPr>
        <w:t>®</w:t>
      </w:r>
      <w:r>
        <w:rPr>
          <w:sz w:val="20"/>
          <w:szCs w:val="20"/>
        </w:rPr>
        <w:t>. The first commercial sale occurred in</w:t>
      </w:r>
      <w:r>
        <w:rPr>
          <w:sz w:val="20"/>
          <w:szCs w:val="20"/>
        </w:rPr>
        <w:t xml:space="preserve"> July 2019. The value of these options in the aggregate is $585,144.</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September 2019, the Company granted 1,000,000 stock options in a settlement agreement for past due legal fees. The options have a ten-year life and vest immediately. These options we</w:t>
      </w:r>
      <w:r>
        <w:rPr>
          <w:sz w:val="20"/>
          <w:szCs w:val="20"/>
        </w:rPr>
        <w:t>re valued at $33,829 which offset accounts payable. The Company recognized a gain of $34,106 on this transaction which is included in the net (gain) loss on debt extinguishment in the statement of operations for the year ended December 31, 2019.</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Septe</w:t>
      </w:r>
      <w:r>
        <w:rPr>
          <w:sz w:val="20"/>
          <w:szCs w:val="20"/>
        </w:rPr>
        <w:t>mber 2019, the Company granted 500,000 stock options to a consultant for services rendered. The options have a ten-year life and vest immediately. These options were valued at $16,915.</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December 2019, the Company granted 370,309 stock options to consul</w:t>
      </w:r>
      <w:r>
        <w:rPr>
          <w:sz w:val="20"/>
          <w:szCs w:val="20"/>
        </w:rPr>
        <w:t>tants for accounts payable. The options have a ten-year life and vest immediately. These options were valued at $14,812.</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During the three months ended March 31, 2020 and 2019, the Company recognized $0 and $0, respectively, worth of stock based compensat</w:t>
      </w:r>
      <w:r>
        <w:rPr>
          <w:sz w:val="20"/>
          <w:szCs w:val="20"/>
        </w:rPr>
        <w:t>ion related to the vesting of it stock options.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52344310"/>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5935626"/>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Common Stock Warrants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following schedule summarizes the changes in the Company’s stock warrants: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641"/>
        <w:gridCol w:w="149"/>
        <w:gridCol w:w="67"/>
        <w:gridCol w:w="900"/>
        <w:gridCol w:w="67"/>
        <w:gridCol w:w="150"/>
        <w:gridCol w:w="100"/>
        <w:gridCol w:w="815"/>
        <w:gridCol w:w="67"/>
        <w:gridCol w:w="150"/>
        <w:gridCol w:w="934"/>
        <w:gridCol w:w="150"/>
        <w:gridCol w:w="101"/>
        <w:gridCol w:w="815"/>
        <w:gridCol w:w="67"/>
        <w:gridCol w:w="150"/>
        <w:gridCol w:w="101"/>
        <w:gridCol w:w="815"/>
        <w:gridCol w:w="67"/>
      </w:tblGrid>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Weighted Average </w:t>
            </w:r>
            <w:r>
              <w:rPr>
                <w:rFonts w:eastAsia="Times New Roman"/>
                <w:sz w:val="20"/>
                <w:szCs w:val="20"/>
              </w:rPr>
              <w:br/>
              <w:t>Remaining</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Aggregate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Weighted </w:t>
            </w:r>
            <w:r>
              <w:rPr>
                <w:rFonts w:eastAsia="Times New Roman"/>
                <w:sz w:val="20"/>
                <w:szCs w:val="20"/>
              </w:rPr>
              <w:br/>
              <w:t>Average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Number Of Shares</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Exercise Price Per Share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Contractual Life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Intrinsic Value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Exercise Price Per Share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1600" w:type="pct"/>
            <w:shd w:val="clear" w:color="auto" w:fill="CCEEFF"/>
            <w:vAlign w:val="bottom"/>
            <w:hideMark/>
          </w:tcPr>
          <w:p w:rsidR="00000000" w:rsidRDefault="005667E7">
            <w:pPr>
              <w:rPr>
                <w:rFonts w:eastAsia="Times New Roman"/>
                <w:sz w:val="20"/>
                <w:szCs w:val="20"/>
              </w:rPr>
            </w:pPr>
            <w:r>
              <w:rPr>
                <w:rFonts w:eastAsia="Times New Roman"/>
                <w:sz w:val="20"/>
                <w:szCs w:val="20"/>
              </w:rPr>
              <w:t>Balance at December 31, 2019</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31,286,847</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0.04-80.00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 xml:space="preserve">0.97 </w:t>
            </w:r>
            <w:r>
              <w:rPr>
                <w:rFonts w:eastAsia="Times New Roman"/>
                <w:sz w:val="20"/>
                <w:szCs w:val="20"/>
              </w:rPr>
              <w:t>years</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0.10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5,770,000</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0.045-0.06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Balance at March 31, 2020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37,056,847</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0.95 years</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0.09</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Exercisable at March 31, 2020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37,056,847</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0.04-80.00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0.95 years</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667E7">
            <w:pPr>
              <w:jc w:val="right"/>
              <w:rPr>
                <w:rFonts w:eastAsia="Times New Roman"/>
                <w:sz w:val="20"/>
                <w:szCs w:val="20"/>
              </w:rPr>
            </w:pPr>
            <w:r>
              <w:rPr>
                <w:rFonts w:eastAsia="Times New Roman"/>
                <w:sz w:val="20"/>
                <w:szCs w:val="20"/>
              </w:rPr>
              <w:t>0.09</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For </w:t>
      </w:r>
      <w:r>
        <w:rPr>
          <w:sz w:val="20"/>
          <w:szCs w:val="20"/>
        </w:rPr>
        <w:t>the year ended December 31, 2019, the Company granted 1,250,000 warrants in the issuance of common and preferred shares issued for cash to accredited investors, 5,650,000 warrants in the issuance of promissory notes (recorded as a debt discount valued at $</w:t>
      </w:r>
      <w:r>
        <w:rPr>
          <w:sz w:val="20"/>
          <w:szCs w:val="20"/>
        </w:rPr>
        <w:t>151,048), 750,000 warrants for the extension of promissory notes, recorded as interest expense valued at $25,656, 500,000 warrants for settlement of accounts payable valued at $18,500 (see Note 9) and 84,375 warrants issued for consulting services valued a</w:t>
      </w:r>
      <w:r>
        <w:rPr>
          <w:sz w:val="20"/>
          <w:szCs w:val="20"/>
        </w:rPr>
        <w:t>t $3,792.</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The Company issued a convertible note in the amount of $100,000 to an accredited investor. The note bears interest at 8% per annum and matures March 31, 2020. The Company granted 1,250,000 warrants with an exercise price of $0.06 per share and </w:t>
      </w:r>
      <w:r>
        <w:rPr>
          <w:sz w:val="20"/>
          <w:szCs w:val="20"/>
        </w:rPr>
        <w:t>a term of two years with this note and amended 1,312,500 previously issued warrants held by the investor to provide for a $.06 exercise price and an expiration date of March 31, 2022.</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In March 2020, the Company entered into agreements to issue 4,640,000 </w:t>
      </w:r>
      <w:r>
        <w:rPr>
          <w:sz w:val="20"/>
          <w:szCs w:val="20"/>
        </w:rPr>
        <w:t>shares of common stock conditioned upon the qualification of the offer and sale of such shares under Regulation A+ for $125,280. Additionally, the Company agreed to issue 2,320,000 warrants with a term of two years and an exercise price of $.045 for a purc</w:t>
      </w:r>
      <w:r>
        <w:rPr>
          <w:sz w:val="20"/>
          <w:szCs w:val="20"/>
        </w:rPr>
        <w:t>hase price of $1,243.</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In March 2020, certain holders of convertible promissory notes entered into agreements to exchange certain notes totaling $526,113, including $425,000 in principal amount, $23,430 in accrued interest and an exchange premium as provi</w:t>
      </w:r>
      <w:r>
        <w:rPr>
          <w:sz w:val="20"/>
          <w:szCs w:val="20"/>
        </w:rPr>
        <w:t>ded for in the note agreements of $77,683 into 19,485,668 shares of common stock effective upon the qualification of the offer and sale of such shares under Regulation A+. In connection with the holder’s agreement to enter into the exchange, the Company in</w:t>
      </w:r>
      <w:r>
        <w:rPr>
          <w:sz w:val="20"/>
          <w:szCs w:val="20"/>
        </w:rPr>
        <w:t>tends to issue 2,200,000 warrants with a two-year term and an exercise price of $0.045 per share and amend 4,400,000 previously issued warrants to provide for a $.045 exercise price and an expiration date of March 31, 2022.</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24351538"/>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530797624"/>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Restricted Stock Units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The following schedule summarizes the changes in the Company’s restricted stock units: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Of</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vAlign w:val="bottom"/>
            <w:hideMark/>
          </w:tcPr>
          <w:p w:rsidR="00000000" w:rsidRDefault="005667E7">
            <w:pPr>
              <w:jc w:val="center"/>
              <w:rPr>
                <w:rFonts w:eastAsia="Times New Roman"/>
                <w:sz w:val="20"/>
                <w:szCs w:val="20"/>
              </w:rPr>
            </w:pPr>
            <w:r>
              <w:rPr>
                <w:rFonts w:eastAsia="Times New Roman"/>
                <w:sz w:val="20"/>
                <w:szCs w:val="20"/>
              </w:rPr>
              <w:t> </w:t>
            </w:r>
          </w:p>
        </w:tc>
        <w:tc>
          <w:tcPr>
            <w:tcW w:w="0" w:type="auto"/>
            <w:vAlign w:val="bottom"/>
            <w:hideMark/>
          </w:tcPr>
          <w:p w:rsidR="00000000" w:rsidRDefault="005667E7">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5667E7">
            <w:pPr>
              <w:rPr>
                <w:rFonts w:eastAsia="Times New Roman"/>
                <w:sz w:val="20"/>
                <w:szCs w:val="20"/>
              </w:rPr>
            </w:pPr>
            <w:r>
              <w:rPr>
                <w:rFonts w:eastAsia="Times New Roman"/>
                <w:sz w:val="20"/>
                <w:szCs w:val="20"/>
              </w:rPr>
              <w:t xml:space="preserve">Balance </w:t>
            </w:r>
            <w:r>
              <w:rPr>
                <w:rFonts w:eastAsia="Times New Roman"/>
                <w:sz w:val="20"/>
                <w:szCs w:val="20"/>
              </w:rPr>
              <w:t>at December 31, 2019</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Balance at March 31, 2020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During </w:t>
      </w:r>
      <w:r>
        <w:rPr>
          <w:sz w:val="20"/>
          <w:szCs w:val="20"/>
        </w:rPr>
        <w:t>the three months ended March 31. 2020 and 2019, the Company recognized $0 and $0 worth of expense related to the vesting of its RSU’s. As of March 31, 2020, the Company had $155,400 worth of expense yet to be recognized for RSU’s not yet vested.</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 xml:space="preserve">NOTE 9: </w:t>
      </w:r>
      <w:r>
        <w:rPr>
          <w:b/>
          <w:bCs/>
          <w:sz w:val="20"/>
          <w:szCs w:val="20"/>
        </w:rPr>
        <w:t>LEGAL MATTERS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shd w:val="clear" w:color="auto" w:fill="FFFFFF"/>
        </w:rPr>
        <w:t xml:space="preserve">The Company may, from time to time, be involved in various legal proceedings incidental to the conduct of our business. Historically, the outcome of all such legal proceedings has not, in the aggregate, had a material adverse effect on our </w:t>
      </w:r>
      <w:r>
        <w:rPr>
          <w:sz w:val="20"/>
          <w:szCs w:val="20"/>
          <w:shd w:val="clear" w:color="auto" w:fill="FFFFFF"/>
        </w:rPr>
        <w:t>business, financial condition, results of operations or liquidity. Other than as set forth below, there are no additional material pending or threatened legal proceedings at this time.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On </w:t>
      </w:r>
      <w:r>
        <w:rPr>
          <w:sz w:val="20"/>
          <w:szCs w:val="20"/>
        </w:rPr>
        <w:t>January 28, 2019, James Katzaroff, (“</w:t>
      </w:r>
      <w:r>
        <w:rPr>
          <w:i/>
          <w:iCs/>
          <w:sz w:val="20"/>
          <w:szCs w:val="20"/>
        </w:rPr>
        <w:t>Plaintiff</w:t>
      </w:r>
      <w:r>
        <w:rPr>
          <w:sz w:val="20"/>
          <w:szCs w:val="20"/>
        </w:rPr>
        <w:t>”) the Company’s former Chief Executive Officer filed a lawsuit in the Superior Court in the State of Washington in and for the County of Benton against the Company and its current and former directors, allegin</w:t>
      </w:r>
      <w:r>
        <w:rPr>
          <w:sz w:val="20"/>
          <w:szCs w:val="20"/>
        </w:rPr>
        <w:t>g a default of the Separation Agreement and General Release (“</w:t>
      </w:r>
      <w:r>
        <w:rPr>
          <w:i/>
          <w:iCs/>
          <w:sz w:val="20"/>
          <w:szCs w:val="20"/>
        </w:rPr>
        <w:t>Release</w:t>
      </w:r>
      <w:r>
        <w:rPr>
          <w:sz w:val="20"/>
          <w:szCs w:val="20"/>
        </w:rPr>
        <w:t>”) that the Company entered into with Plaintiff on July 21, 2017 (the “</w:t>
      </w:r>
      <w:r>
        <w:rPr>
          <w:i/>
          <w:iCs/>
          <w:sz w:val="20"/>
          <w:szCs w:val="20"/>
        </w:rPr>
        <w:t>Complaint</w:t>
      </w:r>
      <w:r>
        <w:rPr>
          <w:sz w:val="20"/>
          <w:szCs w:val="20"/>
        </w:rPr>
        <w:t>”). The Company has made required payments under the Release.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On November 25, 2019, the Company and its c</w:t>
      </w:r>
      <w:r>
        <w:rPr>
          <w:sz w:val="20"/>
          <w:szCs w:val="20"/>
        </w:rPr>
        <w:t>urrent and former directors entered into a Settlement Agreement with the Plaintiff. Under the terms of the Settlement Agreement, the Company has agreed to issue 500,000 shares of common stock and 500,000 warrants to the Plaintiff, make an initial payment o</w:t>
      </w:r>
      <w:r>
        <w:rPr>
          <w:sz w:val="20"/>
          <w:szCs w:val="20"/>
        </w:rPr>
        <w:t>f $33,503 by December 4, 2019 and beginning on December 16, 2019, the Company will make payments of $10,000 per month for 10 months in full satisfaction of the Separation Agreement and General Release originally entered into on July 21, 2017.</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10: CO</w:t>
      </w:r>
      <w:r>
        <w:rPr>
          <w:b/>
          <w:bCs/>
          <w:sz w:val="20"/>
          <w:szCs w:val="20"/>
        </w:rPr>
        <w:t>MMITMENT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On June 4, 2019, the Company entered into an Executive Employment Agreement (“Employment Agreement”) with Dr. Michael K. Korenko, the Company’s Chief Executive Officer. The employment term under the Employment Agreement commenced with an effecti</w:t>
      </w:r>
      <w:r>
        <w:rPr>
          <w:sz w:val="20"/>
          <w:szCs w:val="20"/>
        </w:rPr>
        <w:t>ve date of June 11, 2019 and expires on December 31, 2020, and December 31 of each successive year if the Employment Agreement is extended, unless terminated earlier as set forth in the Employment Agreement.</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Under the terms of the Employment Agreement, t</w:t>
      </w:r>
      <w:r>
        <w:rPr>
          <w:sz w:val="20"/>
          <w:szCs w:val="20"/>
        </w:rPr>
        <w:t>he Company shall pay to Dr. Korenko a base compensation of $180,000. Of this amount, $120,000 is booked in monthly intervals and the remaining balance is only paid upon the Company achieving a cash balance that exceeds $1,000,000. The Company has elected t</w:t>
      </w:r>
      <w:r>
        <w:rPr>
          <w:sz w:val="20"/>
          <w:szCs w:val="20"/>
        </w:rPr>
        <w:t>o record the compensation as $120,000, and upon achieving the milestone of $1,000,000 in cash balances, will record the deferred compensation at that time.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NOTE 11: SUBSEQUENT EVENTS</w:t>
      </w:r>
      <w:r>
        <w:rPr>
          <w:sz w:val="20"/>
          <w:szCs w:val="20"/>
        </w:rPr>
        <w:t> </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On June 10, 2020, the Company issued the shares under the Regulation</w:t>
      </w:r>
      <w:r>
        <w:rPr>
          <w:sz w:val="20"/>
          <w:szCs w:val="20"/>
        </w:rPr>
        <w:t xml:space="preserve"> A+ referenced herein that were reflected as shares to be issued as of March 31, 2020.</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Between June 17 and June 26, 2020, the Company raised $372,600 in the sale of 13,800,000 shares of common stock registered under the Regulation A+. Additionally, the C</w:t>
      </w:r>
      <w:r>
        <w:rPr>
          <w:sz w:val="20"/>
          <w:szCs w:val="20"/>
        </w:rPr>
        <w:t xml:space="preserve">ompany raised $6,900 through the sale of 6,900,000 common stock warrants to five accredited investors. The warrants have a term of two-years and have an exercise price of $0.45 per share. In addition, a holder of a convertible promissory note entered into </w:t>
      </w:r>
      <w:r>
        <w:rPr>
          <w:sz w:val="20"/>
          <w:szCs w:val="20"/>
        </w:rPr>
        <w:t>an agreement to exchange their note totaling $124,931, including $100,000 in principal amount, $4,109 in accrued interest and an exchange premium as provided for in the note agreement of $20,822 into 4,627,074 shares of common stock registered under the Re</w:t>
      </w:r>
      <w:r>
        <w:rPr>
          <w:sz w:val="20"/>
          <w:szCs w:val="20"/>
        </w:rPr>
        <w:t>gulation A+ effective June 19, 2020.</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64198844"/>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655403567"/>
        <w:rPr>
          <w:sz w:val="20"/>
          <w:szCs w:val="20"/>
        </w:rPr>
      </w:pPr>
      <w:r>
        <w:rPr>
          <w:sz w:val="20"/>
          <w:szCs w:val="20"/>
        </w:rPr>
        <w:t> </w:t>
      </w:r>
    </w:p>
    <w:p w:rsidR="00000000" w:rsidRDefault="005667E7">
      <w:pPr>
        <w:pStyle w:val="a3"/>
        <w:spacing w:before="0" w:beforeAutospacing="0" w:after="0" w:afterAutospacing="0"/>
        <w:rPr>
          <w:sz w:val="20"/>
          <w:szCs w:val="20"/>
        </w:rPr>
      </w:pPr>
      <w:r>
        <w:rPr>
          <w:b/>
          <w:bCs/>
          <w:sz w:val="20"/>
          <w:szCs w:val="20"/>
        </w:rPr>
        <w:t> </w:t>
      </w:r>
    </w:p>
    <w:p w:rsidR="00000000" w:rsidRDefault="005667E7">
      <w:pPr>
        <w:pStyle w:val="a3"/>
        <w:spacing w:before="0" w:beforeAutospacing="0" w:after="0" w:afterAutospacing="0"/>
        <w:jc w:val="both"/>
        <w:rPr>
          <w:sz w:val="20"/>
          <w:szCs w:val="20"/>
        </w:rPr>
      </w:pPr>
      <w:bookmarkStart w:id="7" w:name="h_001"/>
      <w:bookmarkEnd w:id="7"/>
      <w:r>
        <w:rPr>
          <w:b/>
          <w:bCs/>
          <w:sz w:val="20"/>
          <w:szCs w:val="20"/>
        </w:rPr>
        <w:t>Item 2. Management’s Discussion and Analysis of Financial Condition and Results of Operations.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Except </w:t>
      </w:r>
      <w:r>
        <w:rPr>
          <w:sz w:val="20"/>
          <w:szCs w:val="20"/>
        </w:rPr>
        <w:t>for statements of historical fact, certain information described in this Form 10-Q report contains “forward-looking statements” that involve substantial risks and uncertainties. You can identify these statements by forward-looking words such as “anticipate</w:t>
      </w:r>
      <w:r>
        <w:rPr>
          <w:sz w:val="20"/>
          <w:szCs w:val="20"/>
        </w:rPr>
        <w:t>,” “believe,” “could,” “estimate,” “expect,” “intend,” “may,” “should,” “will,” “would” or similar words. The statements that contain these or similar words should be read carefully because these statements discuss the Company’s future expectations, includ</w:t>
      </w:r>
      <w:r>
        <w:rPr>
          <w:sz w:val="20"/>
          <w:szCs w:val="20"/>
        </w:rPr>
        <w:t xml:space="preserve">ing its expectations of its future results of operations or financial position, or state other “forward-looking” information. Vivos Inc. believes that it is important to communicate its future expectations to its investors. However, there may be events in </w:t>
      </w:r>
      <w:r>
        <w:rPr>
          <w:sz w:val="20"/>
          <w:szCs w:val="20"/>
        </w:rPr>
        <w:t>the future that the Company is not able to accurately predict or to control. Further, the Company urges you to be cautious of the forward-looking statements which are contained in this Form 10-Q report because they involve risks, uncertainties and other fa</w:t>
      </w:r>
      <w:r>
        <w:rPr>
          <w:sz w:val="20"/>
          <w:szCs w:val="20"/>
        </w:rPr>
        <w:t>ctors affecting its operations, market growth, service, products and licenses. The risk factors in the section captioned “Risk Factors” in Item 1A of the Company’s previously filed Form 10-K, as well as other cautionary language in this Form 10-Q report, d</w:t>
      </w:r>
      <w:r>
        <w:rPr>
          <w:sz w:val="20"/>
          <w:szCs w:val="20"/>
        </w:rPr>
        <w:t>escribe such risks, uncertainties and events that may cause the Company’s actual results and achievements, whether expressed or implied, to differ materially from the expectations the Company describes in its forward-looking statements. The occurrence of a</w:t>
      </w:r>
      <w:r>
        <w:rPr>
          <w:sz w:val="20"/>
          <w:szCs w:val="20"/>
        </w:rPr>
        <w:t>ny of the events described as risk factors could have a material adverse effect on the Company’s business, results of operations and financial position.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u w:val="single"/>
        </w:rPr>
        <w:t>General Statement of Business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 was incorporated under the laws of</w:t>
      </w:r>
      <w:r>
        <w:rPr>
          <w:sz w:val="20"/>
          <w:szCs w:val="20"/>
        </w:rPr>
        <w:t xml:space="preserve"> Delaware on December 23, 1994 as Savage Mountain Sports Corporation (“</w:t>
      </w:r>
      <w:r>
        <w:rPr>
          <w:i/>
          <w:iCs/>
          <w:sz w:val="20"/>
          <w:szCs w:val="20"/>
        </w:rPr>
        <w:t>SMSC</w:t>
      </w:r>
      <w:r>
        <w:rPr>
          <w:sz w:val="20"/>
          <w:szCs w:val="20"/>
        </w:rPr>
        <w:t>”). On December 28, 2017, the Company changed its name from Advanced Medical Isotope Corp. to Vivos Inc.</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On June 25, 2019, the Company amended their Certificate of Incorporation a</w:t>
      </w:r>
      <w:r>
        <w:rPr>
          <w:sz w:val="20"/>
          <w:szCs w:val="20"/>
        </w:rPr>
        <w:t>mending their authorized common shares to 950,000,000 from 2,000,000,000 shares. In addition, the 1 for 8 reverse stock-split was effective on June 28, 2019. The reverse stock-split reduced the number of common shares issued and outstanding from 1,421,687,</w:t>
      </w:r>
      <w:r>
        <w:rPr>
          <w:sz w:val="20"/>
          <w:szCs w:val="20"/>
        </w:rPr>
        <w:t>688 to 177,710,961 shares. The par value for the common shares remained $0.001 per share, The Company did not amend their preferred stock which is 20,000,000 shares of preferred stock authorized, $0.001 par value per share.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Our principal place of busines</w:t>
      </w:r>
      <w:r>
        <w:rPr>
          <w:sz w:val="20"/>
          <w:szCs w:val="20"/>
        </w:rPr>
        <w:t>s is located at 719 Jadwin Avenue, Richland, Washington 99352. Our telephone number is (509) 736-4000. Our corporate website address is http://www.radiogel.com. Our common stock is currently listed for quotation on the OTCQB Marketplace under the symbol “R</w:t>
      </w:r>
      <w:r>
        <w:rPr>
          <w:sz w:val="20"/>
          <w:szCs w:val="20"/>
        </w:rPr>
        <w:t>DGL.”</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Overview</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The Company is a radiation oncology medical device company engaged in the development of its yttrium-90 based brachytherapy device, RadioGel™, for the treatment of non-resectable tumors. A prominent team of radiochemists, scientists and </w:t>
      </w:r>
      <w:r>
        <w:rPr>
          <w:sz w:val="20"/>
          <w:szCs w:val="20"/>
        </w:rPr>
        <w:t>engineers, collaborating with strategic partners, including national laboratories, universities and private corporations, lead the Company’s development efforts. The Company’s overall vision is to globally empower physicians, medical researchers and patien</w:t>
      </w:r>
      <w:r>
        <w:rPr>
          <w:sz w:val="20"/>
          <w:szCs w:val="20"/>
        </w:rPr>
        <w:t>ts by providing them with new isotope technologies that offer safe and effective treatments for cancer.</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73589284"/>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922639333"/>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In </w:t>
      </w:r>
      <w:r>
        <w:rPr>
          <w:sz w:val="20"/>
          <w:szCs w:val="20"/>
        </w:rPr>
        <w:t>January 2018, the Center for Veterinary Medicine Product Classification Group ruled that RadioGel</w:t>
      </w:r>
      <w:r>
        <w:rPr>
          <w:sz w:val="20"/>
          <w:szCs w:val="20"/>
          <w:vertAlign w:val="superscript"/>
        </w:rPr>
        <w:t xml:space="preserve">TM </w:t>
      </w:r>
      <w:r>
        <w:rPr>
          <w:sz w:val="20"/>
          <w:szCs w:val="20"/>
        </w:rPr>
        <w:t xml:space="preserve">should be classified </w:t>
      </w:r>
      <w:r>
        <w:rPr>
          <w:sz w:val="20"/>
          <w:szCs w:val="20"/>
        </w:rPr>
        <w:t>as a device for animal therapy of feline sarcomas and canine soft tissue sarcomas. Additionally, after a legal review, the Company believes that the device classification obtained from the Food and Drug Administration (“</w:t>
      </w:r>
      <w:r>
        <w:rPr>
          <w:i/>
          <w:iCs/>
          <w:sz w:val="20"/>
          <w:szCs w:val="20"/>
        </w:rPr>
        <w:t>FDA</w:t>
      </w:r>
      <w:r>
        <w:rPr>
          <w:sz w:val="20"/>
          <w:szCs w:val="20"/>
        </w:rPr>
        <w:t>”) Center for Veterinary Medicine</w:t>
      </w:r>
      <w:r>
        <w:rPr>
          <w:sz w:val="20"/>
          <w:szCs w:val="20"/>
        </w:rPr>
        <w:t xml:space="preserve"> is not limited to canine and feline sarcomas, but rather may be extended to a much broader population of veterinary cancers, including all or most solid tumors in animals. We expect the result of such classification and label review will be that no additi</w:t>
      </w:r>
      <w:r>
        <w:rPr>
          <w:sz w:val="20"/>
          <w:szCs w:val="20"/>
        </w:rPr>
        <w:t>onal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and the manufacturers are responsible for assuring that th</w:t>
      </w:r>
      <w:r>
        <w:rPr>
          <w:sz w:val="20"/>
          <w:szCs w:val="20"/>
        </w:rPr>
        <w:t>e product is safe, effective, properly labeled, and otherwise in compliance with all applicable laws and regulations.</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0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w:t>
      </w:r>
      <w:r>
        <w:rPr>
          <w:sz w:val="20"/>
          <w:szCs w:val="20"/>
        </w:rPr>
        <w:t>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w:t>
      </w:r>
      <w:r>
        <w:rPr>
          <w:sz w:val="20"/>
          <w:szCs w:val="20"/>
        </w:rPr>
        <w:t>soPet®”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 for animal therapy, through the Company’s IsoPet® Solutions divis</w:t>
      </w:r>
      <w:r>
        <w:rPr>
          <w:sz w:val="20"/>
          <w:szCs w:val="20"/>
        </w:rPr>
        <w:t>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0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therapy procedures to treat animal tumors and ultimately us</w:t>
      </w:r>
      <w:r>
        <w:rPr>
          <w:sz w:val="20"/>
          <w:szCs w:val="20"/>
        </w:rPr>
        <w:t>e of the technology in private clinics. The Company has worked with three different university veterinarian hospitals on IsoPet® testing and therapy. Washington State University treated five cats for feline sarcoma and served to develop the procedures whic</w:t>
      </w:r>
      <w:r>
        <w:rPr>
          <w:sz w:val="20"/>
          <w:szCs w:val="20"/>
        </w:rPr>
        <w:t xml:space="preserve">h are incorporated in our label. They concluded that the product was safe and effective in killing cancer cells. Colorado State University demonstrated the CT and PET-CT imaging of IsoPet®. A contract was signed with University of Missouri to treat canine </w:t>
      </w:r>
      <w:r>
        <w:rPr>
          <w:sz w:val="20"/>
          <w:szCs w:val="20"/>
        </w:rPr>
        <w:t>sarcomas and equine sarcoids starting in November 2017.</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hd w:val="clear" w:color="auto" w:fill="FFFFFF"/>
        <w:spacing w:before="0" w:beforeAutospacing="0" w:after="0" w:afterAutospacing="0"/>
        <w:ind w:firstLine="70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w:t>
      </w:r>
      <w:r>
        <w:rPr>
          <w:sz w:val="20"/>
          <w:szCs w:val="20"/>
        </w:rPr>
        <w:t>, stay the same (stabilize), or worsen (progress) during treatment. The criteria were published by an international collaboration including the European Organisation for Research and Treatment of Cancer (EORTC), National Cancer Institute of the United Stat</w:t>
      </w:r>
      <w:r>
        <w:rPr>
          <w:sz w:val="20"/>
          <w:szCs w:val="20"/>
        </w:rPr>
        <w:t>es, and the National Cancer Institute of Canada Clinical Trials Group.</w:t>
      </w:r>
    </w:p>
    <w:p w:rsidR="00000000" w:rsidRDefault="005667E7">
      <w:pPr>
        <w:pStyle w:val="a3"/>
        <w:shd w:val="clear" w:color="auto" w:fill="FFFFFF"/>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0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rsidR="00000000" w:rsidRDefault="005667E7">
      <w:pPr>
        <w:pStyle w:val="a3"/>
        <w:spacing w:before="0" w:beforeAutospacing="0" w:after="0" w:afterAutospacing="0"/>
        <w:ind w:firstLine="700"/>
        <w:jc w:val="both"/>
        <w:rPr>
          <w:sz w:val="20"/>
          <w:szCs w:val="20"/>
        </w:rPr>
      </w:pPr>
      <w:r>
        <w:rPr>
          <w:sz w:val="20"/>
          <w:szCs w:val="20"/>
        </w:rPr>
        <w:t> </w:t>
      </w:r>
    </w:p>
    <w:p w:rsidR="00000000" w:rsidRDefault="005667E7">
      <w:pPr>
        <w:pStyle w:val="a3"/>
        <w:spacing w:before="0" w:beforeAutospacing="0" w:after="0" w:afterAutospacing="0"/>
        <w:ind w:firstLine="700"/>
        <w:jc w:val="both"/>
        <w:rPr>
          <w:sz w:val="20"/>
          <w:szCs w:val="20"/>
        </w:rPr>
      </w:pPr>
      <w:r>
        <w:rPr>
          <w:sz w:val="20"/>
          <w:szCs w:val="20"/>
        </w:rPr>
        <w:t xml:space="preserve">The effectiveness of IsoPet®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 therapy and will incorporate the im</w:t>
      </w:r>
      <w:r>
        <w:rPr>
          <w:sz w:val="20"/>
          <w:szCs w:val="20"/>
        </w:rPr>
        <w:t>provements suggested by the testing program.</w:t>
      </w:r>
    </w:p>
    <w:p w:rsidR="00000000" w:rsidRDefault="005667E7">
      <w:pPr>
        <w:pStyle w:val="a3"/>
        <w:shd w:val="clear" w:color="auto" w:fill="FFFFFF"/>
        <w:spacing w:before="0" w:beforeAutospacing="0" w:after="0" w:afterAutospacing="0"/>
        <w:ind w:firstLine="720"/>
        <w:jc w:val="both"/>
        <w:rPr>
          <w:sz w:val="20"/>
          <w:szCs w:val="20"/>
        </w:rPr>
      </w:pPr>
      <w:r>
        <w:rPr>
          <w:sz w:val="20"/>
          <w:szCs w:val="20"/>
        </w:rPr>
        <w:t> </w:t>
      </w:r>
    </w:p>
    <w:p w:rsidR="00000000" w:rsidRDefault="005667E7">
      <w:pPr>
        <w:pStyle w:val="a3"/>
        <w:shd w:val="clear" w:color="auto" w:fill="FFFFFF"/>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 and related services, and from licensing to private medical and veterinary clinics i</w:t>
      </w:r>
      <w:r>
        <w:rPr>
          <w:sz w:val="20"/>
          <w:szCs w:val="20"/>
        </w:rPr>
        <w:t>n the U.S. and internationally. The Company intends to report the results from the IsoPet® Solutions division as a separate operating segment in accordance with GAAP.</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00"/>
        <w:jc w:val="both"/>
        <w:rPr>
          <w:sz w:val="20"/>
          <w:szCs w:val="20"/>
        </w:rPr>
      </w:pPr>
      <w:r>
        <w:rPr>
          <w:sz w:val="20"/>
          <w:szCs w:val="20"/>
        </w:rPr>
        <w:t xml:space="preserve">Commencing in July 2019, the Company recognized its first commercial sale of IsoPet®. </w:t>
      </w:r>
      <w:r>
        <w:rPr>
          <w:sz w:val="20"/>
          <w:szCs w:val="20"/>
          <w:shd w:val="clear" w:color="auto" w:fill="FFFFFF"/>
        </w:rPr>
        <w:t>A</w:t>
      </w:r>
      <w:r>
        <w:rPr>
          <w:sz w:val="20"/>
          <w:szCs w:val="20"/>
          <w:shd w:val="clear" w:color="auto" w:fill="FFFFFF"/>
        </w:rPr>
        <w:t xml:space="preserve"> doctor brought his cat with a re-occurrent spindle cell sarcoma tumor on his face. The cat had previously received external beam therapy, but now the tumor was growing rapidly. He was given a high dose of 400Gy with heavy therapy at the margins. This sale</w:t>
      </w:r>
      <w:r>
        <w:rPr>
          <w:sz w:val="20"/>
          <w:szCs w:val="20"/>
          <w:shd w:val="clear" w:color="auto" w:fill="FFFFFF"/>
        </w:rPr>
        <w:t xml:space="preserve"> met the revenue recognition requirements under ASC 606 as the performance obligation was satisfied. The Company completed sales for an additional four animals that received </w:t>
      </w:r>
      <w:r>
        <w:rPr>
          <w:sz w:val="20"/>
          <w:szCs w:val="20"/>
        </w:rPr>
        <w:t>the IsoPet® during 2019.</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75071469"/>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73840122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Our </w:t>
      </w:r>
      <w:r>
        <w:rPr>
          <w:sz w:val="20"/>
          <w:szCs w:val="20"/>
        </w:rPr>
        <w:t xml:space="preserve">plan is to incorporate the data assembled from our work with Isopet®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w:t>
      </w:r>
      <w:r>
        <w:rPr>
          <w:sz w:val="20"/>
          <w:szCs w:val="20"/>
        </w:rPr>
        <w:t xml:space="preserve">II medical device. RadioGel™ is an injectable particle-gel for brachytherapy radiation treatment of cancerous tumors in people and animals. RadioGel™ is comprised of a hydrogel, or a substance that is liquid at room temperature and then gels when reaching </w:t>
      </w:r>
      <w:r>
        <w:rPr>
          <w:sz w:val="20"/>
          <w:szCs w:val="20"/>
        </w:rPr>
        <w:t>body temperature after injection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w:t>
      </w:r>
      <w:r>
        <w:rPr>
          <w:sz w:val="20"/>
          <w:szCs w:val="20"/>
        </w:rPr>
        <w:t xml:space="preserve"> radiation is beta, consisting of high-speed electrons. These electrons only travel a short distance so the device can deliver high radiation to the tumor with minimal dose to the surrounding tissue. Optimally, patients can go home immediately following tr</w:t>
      </w:r>
      <w:r>
        <w:rPr>
          <w:sz w:val="20"/>
          <w:szCs w:val="20"/>
        </w:rPr>
        <w:t>eatment without the risk of radiation exposure to family members. Since Y-90 has a half-life of 2.7 days, the radioactivity drops to 5% of its original value after ten days.</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Company’s lead brachytherapy products, including RadioGel™, incorporate pate</w:t>
      </w:r>
      <w:r>
        <w:rPr>
          <w:sz w:val="20"/>
          <w:szCs w:val="20"/>
        </w:rPr>
        <w:t>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Battelle has granted the Company an exclusive license to patents covering</w:t>
      </w:r>
      <w:r>
        <w:rPr>
          <w:sz w:val="20"/>
          <w:szCs w:val="20"/>
        </w:rPr>
        <w:t xml:space="preserve"> the manufacturing, processing and applications of RadioGel™ (the “</w:t>
      </w:r>
      <w:r>
        <w:rPr>
          <w:i/>
          <w:iCs/>
          <w:sz w:val="20"/>
          <w:szCs w:val="20"/>
        </w:rPr>
        <w:t>Battelle License</w:t>
      </w:r>
      <w:r>
        <w:rPr>
          <w:sz w:val="20"/>
          <w:szCs w:val="20"/>
        </w:rPr>
        <w:t xml:space="preserve">”). This exclusive license is to terminate upon the expiration of the last patent included in this agreement (January 2022). Other intellectual property protection includes </w:t>
      </w:r>
      <w:r>
        <w:rPr>
          <w:sz w:val="20"/>
          <w:szCs w:val="20"/>
        </w:rPr>
        <w:t>proprietary production processes and trademark protection in 17 countries. The Company plans to continue efforts to develop new refinements on the production process, and the product and application hardware, as a basis for future patents.</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Vista Veterina</w:t>
      </w:r>
      <w:r>
        <w:rPr>
          <w:b/>
          <w:bCs/>
          <w:sz w:val="20"/>
          <w:szCs w:val="20"/>
        </w:rPr>
        <w:t>ry Hospital</w:t>
      </w:r>
    </w:p>
    <w:p w:rsidR="00000000" w:rsidRDefault="005667E7">
      <w:pPr>
        <w:pStyle w:val="a3"/>
        <w:spacing w:before="0" w:beforeAutospacing="0" w:after="0" w:afterAutospacing="0"/>
        <w:ind w:firstLine="644"/>
        <w:jc w:val="both"/>
        <w:rPr>
          <w:sz w:val="20"/>
          <w:szCs w:val="20"/>
        </w:rPr>
      </w:pPr>
      <w:r>
        <w:rPr>
          <w:sz w:val="20"/>
          <w:szCs w:val="20"/>
        </w:rPr>
        <w:t> </w:t>
      </w:r>
    </w:p>
    <w:p w:rsidR="00000000" w:rsidRDefault="005667E7">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across the c</w:t>
      </w:r>
      <w:r>
        <w:rPr>
          <w:sz w:val="20"/>
          <w:szCs w:val="20"/>
        </w:rPr>
        <w:t>ountry. Vista is located in the Tri-Cities Washington area which is convenient for interactions with key personnel of Vista Inc. The pilot is being used to</w:t>
      </w:r>
    </w:p>
    <w:p w:rsidR="00000000" w:rsidRDefault="005667E7">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667E7">
            <w:pPr>
              <w:rPr>
                <w:rFonts w:eastAsia="Times New Roman"/>
                <w:sz w:val="20"/>
                <w:szCs w:val="20"/>
              </w:rPr>
            </w:pPr>
            <w:r>
              <w:rPr>
                <w:rFonts w:eastAsia="Times New Roman"/>
                <w:sz w:val="20"/>
                <w:szCs w:val="20"/>
              </w:rPr>
              <w:t> </w:t>
            </w:r>
          </w:p>
        </w:tc>
        <w:tc>
          <w:tcPr>
            <w:tcW w:w="360" w:type="dxa"/>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Refine the Memorandum of Understanding to define all the germane interfaces, roles and liabili</w:t>
            </w:r>
            <w:r>
              <w:rPr>
                <w:rFonts w:eastAsia="Times New Roman"/>
                <w:sz w:val="20"/>
                <w:szCs w:val="20"/>
              </w:rPr>
              <w:t>ties between Vista Inc and the private clinics, including the pilot responsivity to document and share the key aspects of all therapies with the Company;</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 and</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w:t>
            </w:r>
          </w:p>
        </w:tc>
        <w:tc>
          <w:tcPr>
            <w:tcW w:w="0" w:type="auto"/>
            <w:hideMark/>
          </w:tcPr>
          <w:p w:rsidR="00000000" w:rsidRDefault="005667E7">
            <w:pPr>
              <w:jc w:val="both"/>
              <w:rPr>
                <w:rFonts w:eastAsia="Times New Roman"/>
                <w:sz w:val="20"/>
                <w:szCs w:val="20"/>
              </w:rPr>
            </w:pPr>
            <w:r>
              <w:rPr>
                <w:rFonts w:eastAsia="Times New Roman"/>
                <w:sz w:val="20"/>
                <w:szCs w:val="20"/>
              </w:rPr>
              <w:t>Develop communication material and a liability document for the pet owners.</w:t>
            </w:r>
          </w:p>
        </w:tc>
      </w:tr>
    </w:tbl>
    <w:p w:rsidR="00000000" w:rsidRDefault="005667E7">
      <w:pPr>
        <w:pStyle w:val="a3"/>
        <w:spacing w:before="0" w:beforeAutospacing="0" w:after="0" w:afterAutospacing="0"/>
        <w:ind w:firstLine="644"/>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Vista Veterinary Hospital has done well on two audits by the Washington State Department of Health. The C</w:t>
      </w:r>
      <w:r>
        <w:rPr>
          <w:sz w:val="20"/>
          <w:szCs w:val="20"/>
        </w:rPr>
        <w:t>ompany is working closely with the Washington State Department of Health to refine and improve the radioactive material license. The Company has added several detailed procedures, which will benefit future regional clinics. In addition, a second veterinari</w:t>
      </w:r>
      <w:r>
        <w:rPr>
          <w:sz w:val="20"/>
          <w:szCs w:val="20"/>
        </w:rPr>
        <w:t>an has completed all the preliminary requirements to become certified. All that remains is to demonstrate proficiency in three therapies.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testing at the universities and at Vista Veterinary Hospital have demonstrated that IsoPet</w:t>
      </w:r>
      <w:r>
        <w:rPr>
          <w:sz w:val="20"/>
          <w:szCs w:val="20"/>
          <w:vertAlign w:val="superscript"/>
        </w:rPr>
        <w:t>®</w:t>
      </w:r>
      <w:r>
        <w:rPr>
          <w:sz w:val="20"/>
          <w:szCs w:val="20"/>
        </w:rPr>
        <w:t xml:space="preserve"> is effective on kill</w:t>
      </w:r>
      <w:r>
        <w:rPr>
          <w:sz w:val="20"/>
          <w:szCs w:val="20"/>
        </w:rPr>
        <w:t>ing cancer tissue in close proximity to the injections. It is most effective in early cases before the cancer has begun to spread. Later stage cancers are more difficult to treat since the tendrils from the primary cancer site are not well defined and ther</w:t>
      </w:r>
      <w:r>
        <w:rPr>
          <w:sz w:val="20"/>
          <w:szCs w:val="20"/>
        </w:rPr>
        <w:t>efore can lead to recurrence.</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76401157"/>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658145899"/>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There have been 36 expressions of interest in IsoPet</w:t>
      </w:r>
      <w:r>
        <w:rPr>
          <w:sz w:val="20"/>
          <w:szCs w:val="20"/>
          <w:vertAlign w:val="superscript"/>
        </w:rPr>
        <w:t>®</w:t>
      </w:r>
      <w:r>
        <w:rPr>
          <w:sz w:val="20"/>
          <w:szCs w:val="20"/>
        </w:rPr>
        <w:t xml:space="preserve"> therapy from across the United States, but only four of these were </w:t>
      </w:r>
      <w:r>
        <w:rPr>
          <w:sz w:val="20"/>
          <w:szCs w:val="20"/>
        </w:rPr>
        <w:t>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hope. Several others were internal cancers that could not be reached, for </w:t>
      </w:r>
      <w:r>
        <w:rPr>
          <w:sz w:val="20"/>
          <w:szCs w:val="20"/>
        </w:rPr>
        <w:t>example deep in the throat. Four cases were treatable, but the pets weighed more than 20 pounds and the pet parents were not willing to fly them in the “Safe Cargo” holds. Those patients would have been treated by regional clinics once we implement that st</w:t>
      </w:r>
      <w:r>
        <w:rPr>
          <w:sz w:val="20"/>
          <w:szCs w:val="20"/>
        </w:rPr>
        <w:t>rategy. Three cases were mast cell cancers. The Company is confident that those tumors could have been treated, but once killed they release mast cells in a process called granulation. This could cause a shock to the animal’s system. The Company will focus</w:t>
      </w:r>
      <w:r>
        <w:rPr>
          <w:sz w:val="20"/>
          <w:szCs w:val="20"/>
        </w:rPr>
        <w:t xml:space="preserve"> one of our clinical studies on the optimum approach for those therapies.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Vista Veterinary Hospital accepted four advanced cancer cases. The first cat was terminally ill and had previously had external beam, surgery and chemotherapy. The facial tumor was</w:t>
      </w:r>
      <w:r>
        <w:rPr>
          <w:sz w:val="20"/>
          <w:szCs w:val="20"/>
        </w:rPr>
        <w:t xml:space="preserve"> treated with 400 Gy and the biopsy confirmed that the cancer was killed. In about seven months the cancer returned in the throat and could not be treated so the cat had to be put down. Dr. Buader, the veterinarian pet parent, was still elated about the li</w:t>
      </w:r>
      <w:r>
        <w:rPr>
          <w:sz w:val="20"/>
          <w:szCs w:val="20"/>
        </w:rPr>
        <w:t>fe extension and is asking us to use him as a reference. Two other cases were also very advanced with multiple tumor and they recurred since they had already spread before therapy.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Company’s efforts are now to obtain more early stage cancer patients.</w:t>
      </w:r>
      <w:r>
        <w:rPr>
          <w:sz w:val="20"/>
          <w:szCs w:val="20"/>
        </w:rPr>
        <w:t xml:space="preserve"> The biggest obstacle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process due to the conservative nature of the veterinarian professions. This</w:t>
      </w:r>
      <w:r>
        <w:rPr>
          <w:sz w:val="20"/>
          <w:szCs w:val="20"/>
        </w:rPr>
        <w:t xml:space="preserve"> is the prime motivation to continue with additional clinical trials and to publish the results.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Regulatory History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i/>
          <w:iCs/>
          <w:sz w:val="20"/>
          <w:szCs w:val="20"/>
        </w:rPr>
        <w:t>Human Therapy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xml:space="preserve">”). Initially, the Company submitted </w:t>
      </w:r>
      <w:r>
        <w:rPr>
          <w:sz w:val="20"/>
          <w:szCs w:val="20"/>
        </w:rPr>
        <w:t>a presubmission (Q130140) to obtain FDA feedback about the proposed product. The FDA requested that the Company file a request for designation with the Office of Combination Products (RFD130051), which led to the determination that RadioGel™ is a device fo</w:t>
      </w:r>
      <w:r>
        <w:rPr>
          <w:sz w:val="20"/>
          <w:szCs w:val="20"/>
        </w:rPr>
        <w:t>r human therapy for non-resectable cancers, which must be reviewed and ultimately regulated by the Center for Devices and Radiological Health (“</w:t>
      </w:r>
      <w:r>
        <w:rPr>
          <w:i/>
          <w:iCs/>
          <w:sz w:val="20"/>
          <w:szCs w:val="20"/>
        </w:rPr>
        <w:t>CDRH</w:t>
      </w:r>
      <w:r>
        <w:rPr>
          <w:sz w:val="20"/>
          <w:szCs w:val="20"/>
        </w:rPr>
        <w:t>”). The Company then submitted a 510(k) notice for RadioGel™ (K133368), which was found Not Substantially Eq</w:t>
      </w:r>
      <w:r>
        <w:rPr>
          <w:sz w:val="20"/>
          <w:szCs w:val="20"/>
        </w:rPr>
        <w:t>uivalent due to the lack of a suitable predicate, and RadioGel™ was assigned to the Class III product code NAW (microspheres). Class III products or devices are generally the highest risk devices and are therefore subject to the highest level of regulatory</w:t>
      </w:r>
      <w:r>
        <w:rPr>
          <w:sz w:val="20"/>
          <w:szCs w:val="20"/>
        </w:rPr>
        <w:t xml:space="preserve"> review, control and oversight. Class III products or devices must typically be approved by FDA before they are marketed. Class II devices represent lower risk products or devices than Class III and require fewer regulatory controls to provide reasonable a</w:t>
      </w:r>
      <w:r>
        <w:rPr>
          <w:sz w:val="20"/>
          <w:szCs w:val="20"/>
        </w:rPr>
        <w:t>ssurance of the product’s or device’s safety and effectiveness. In contrast, Class I products and devices are deemed to be lower risk than Class I or II, and are therefore subject to the least regulatory controls.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11"/>
        <w:jc w:val="both"/>
        <w:rPr>
          <w:sz w:val="20"/>
          <w:szCs w:val="20"/>
        </w:rPr>
      </w:pPr>
      <w:r>
        <w:rPr>
          <w:sz w:val="20"/>
          <w:szCs w:val="20"/>
        </w:rPr>
        <w:t>A pre-submission meeting (Q140496) was h</w:t>
      </w:r>
      <w:r>
        <w:rPr>
          <w:sz w:val="20"/>
          <w:szCs w:val="20"/>
        </w:rPr>
        <w:t xml:space="preserve">eld with the FDA on June 17, 2014, during which the FDA maintained that RadioGel™ should be considered a Class III device and therefore subject to pre-market approval. On December 29, 2014, the Company submitted a </w:t>
      </w:r>
      <w:r>
        <w:rPr>
          <w:i/>
          <w:iCs/>
          <w:sz w:val="20"/>
          <w:szCs w:val="20"/>
        </w:rPr>
        <w:t>de novo</w:t>
      </w:r>
      <w:r>
        <w:rPr>
          <w:sz w:val="20"/>
          <w:szCs w:val="20"/>
        </w:rPr>
        <w:t xml:space="preserve"> petition for RadioGel™ (DEN140043)</w:t>
      </w:r>
      <w:r>
        <w:rPr>
          <w:sz w:val="20"/>
          <w:szCs w:val="20"/>
        </w:rPr>
        <w:t xml:space="preserve">. The </w:t>
      </w:r>
      <w:r>
        <w:rPr>
          <w:i/>
          <w:iCs/>
          <w:sz w:val="20"/>
          <w:szCs w:val="20"/>
        </w:rPr>
        <w:t>de novo</w:t>
      </w:r>
      <w:r>
        <w:rPr>
          <w:sz w:val="20"/>
          <w:szCs w:val="20"/>
        </w:rPr>
        <w:t xml:space="preserve"> petition was denied by the FDA on June 1, 2015, with the FDA providing numerous comments and questions. On September 29, 2015, the Company submitted a follow-up pre-submission informational meeting request with the FDA (Q151569). This meeting</w:t>
      </w:r>
      <w:r>
        <w:rPr>
          <w:sz w:val="20"/>
          <w:szCs w:val="20"/>
        </w:rPr>
        <w:t xml:space="preserve"> took place on November 9, 2015, at which time the FDA indicated acceptance of the Company’s applied dosimetry methods and clarified the FDA’s outstanding questions regarding RadioGel™. Following the November 2015 pre-submission meeting, the Company prepar</w:t>
      </w:r>
      <w:r>
        <w:rPr>
          <w:sz w:val="20"/>
          <w:szCs w:val="20"/>
        </w:rPr>
        <w:t xml:space="preserve">ed a new pre-submission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w:t>
      </w:r>
      <w:r>
        <w:rPr>
          <w:sz w:val="20"/>
          <w:szCs w:val="20"/>
        </w:rPr>
        <w:t>nted to the FDA in a meeting on August 29, 2017. During the August 2017 meeting, the FDA clarified their position on the remaining pre-clinical testing needed for RadioGel™. Specifically, the FDA addressed proposed dosimetry calculating techniques, dosimet</w:t>
      </w:r>
      <w:r>
        <w:rPr>
          <w:sz w:val="20"/>
          <w:szCs w:val="20"/>
        </w:rPr>
        <w:t>ry distribution between injections, hydrogel viscoelastic properties, and the details of the Company’s proposed animal testing.</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38138409"/>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010179549"/>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11"/>
        <w:jc w:val="both"/>
        <w:rPr>
          <w:sz w:val="20"/>
          <w:szCs w:val="20"/>
        </w:rPr>
      </w:pPr>
      <w:r>
        <w:rPr>
          <w:sz w:val="20"/>
          <w:szCs w:val="20"/>
        </w:rPr>
        <w:t xml:space="preserve">The </w:t>
      </w:r>
      <w:r>
        <w:rPr>
          <w:sz w:val="20"/>
          <w:szCs w:val="20"/>
        </w:rPr>
        <w:t>Company believes that its submissions to the FDA to date have addressed all the FDA staff’s feedback over the past four years. Of particular importance, the Company has provided corresponding supporting data for proposed future testing of RadioGel™ to addr</w:t>
      </w:r>
      <w:r>
        <w:rPr>
          <w:sz w:val="20"/>
          <w:szCs w:val="20"/>
        </w:rPr>
        <w:t xml:space="preserve">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 xml:space="preserve">reclassification for RadioGel™ by the FDA. In addition, in </w:t>
      </w:r>
      <w:r>
        <w:rPr>
          <w:sz w:val="20"/>
          <w:szCs w:val="20"/>
        </w:rPr>
        <w:t>previous FDA submittals, the Company proposed applying RadioGel™ for a very broad range of cancer therapies, referred to as Indication for Use. The FDA requested that the Company reduce its Indications for Use. To comply with that request, the Company expa</w:t>
      </w:r>
      <w:r>
        <w:rPr>
          <w:sz w:val="20"/>
          <w:szCs w:val="20"/>
        </w:rPr>
        <w:t>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w:t>
      </w:r>
      <w:r>
        <w:rPr>
          <w:sz w:val="20"/>
          <w:szCs w:val="20"/>
        </w:rPr>
        <w:t>ies</w:t>
      </w:r>
      <w:r>
        <w:rPr>
          <w:sz w:val="20"/>
          <w:szCs w:val="20"/>
        </w:rPr>
        <w:t>;</w:t>
      </w:r>
      <w:r>
        <w:rPr>
          <w:sz w:val="20"/>
          <w:szCs w:val="20"/>
        </w:rPr>
        <w:t xml:space="preserve"> and (3) probability of wide-spread acceptance by the medical community.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described above. This large number confirms the wide applicability of the device and define</w:t>
      </w:r>
      <w:r>
        <w:rPr>
          <w:sz w:val="20"/>
          <w:szCs w:val="20"/>
        </w:rPr>
        <w:t>s the path for future business growth. The Company’s application establishes a single Indication for Use - treatment of basal cell and squamous cell skin cancers. We anticipate that this initial application will facilitate each subsequent application for a</w:t>
      </w:r>
      <w:r>
        <w:rPr>
          <w:sz w:val="20"/>
          <w:szCs w:val="20"/>
        </w:rPr>
        <w:t>dditional Indications for Use, and the testing for many of the subsequent applications could be conducted in parallel, depending on available resources.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u w:val="single"/>
        </w:rPr>
        <w:t>Results of Operations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u w:val="single"/>
        </w:rPr>
        <w:t xml:space="preserve">Comparison </w:t>
      </w:r>
      <w:r>
        <w:rPr>
          <w:b/>
          <w:bCs/>
          <w:i/>
          <w:iCs/>
          <w:sz w:val="20"/>
          <w:szCs w:val="20"/>
          <w:u w:val="single"/>
        </w:rPr>
        <w:t>of the Three Months Ended March 31, 2020 and 2019</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three months ended March 31, 2019 and 2018:</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Three </w:t>
            </w:r>
            <w:r>
              <w:rPr>
                <w:rFonts w:eastAsia="Times New Roman"/>
                <w:sz w:val="20"/>
                <w:szCs w:val="20"/>
              </w:rPr>
              <w:t xml:space="preserve">Months Ended </w:t>
            </w:r>
            <w:r>
              <w:rPr>
                <w:rFonts w:eastAsia="Times New Roman"/>
                <w:sz w:val="20"/>
                <w:szCs w:val="20"/>
              </w:rPr>
              <w:br/>
              <w:t>March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Revenues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Operating expenses</w:t>
            </w:r>
          </w:p>
        </w:tc>
        <w:tc>
          <w:tcPr>
            <w:tcW w:w="10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(120,373</w:t>
            </w:r>
          </w:p>
        </w:tc>
        <w:tc>
          <w:tcPr>
            <w:tcW w:w="5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900" w:type="pct"/>
            <w:tcBorders>
              <w:bottom w:val="single" w:sz="12"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(225,203</w:t>
            </w:r>
          </w:p>
        </w:tc>
        <w:tc>
          <w:tcPr>
            <w:tcW w:w="50" w:type="pct"/>
            <w:shd w:val="clear" w:color="auto" w:fill="FFFF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(120,373</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(225,203</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(239.858</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(11,179</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(360,231</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(236,382</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bl>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u w:val="single"/>
        </w:rPr>
        <w:t>Revenue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Revenue was $0 for the three months ended March 31, 2020 and 2019, respectively.</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u w:val="single"/>
        </w:rPr>
        <w:t>Operating Expenses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March 31, 2020 and 2019, respectively consists of the following:</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2800" w:type="pct"/>
            <w:shd w:val="clear" w:color="auto" w:fill="CCEEFF"/>
            <w:vAlign w:val="bottom"/>
            <w:hideMark/>
          </w:tcPr>
          <w:p w:rsidR="00000000" w:rsidRDefault="005667E7">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53,992</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667E7">
            <w:pPr>
              <w:jc w:val="right"/>
              <w:rPr>
                <w:rFonts w:eastAsia="Times New Roman"/>
                <w:sz w:val="20"/>
                <w:szCs w:val="20"/>
              </w:rPr>
            </w:pPr>
            <w:r>
              <w:rPr>
                <w:rFonts w:eastAsia="Times New Roman"/>
                <w:sz w:val="20"/>
                <w:szCs w:val="20"/>
              </w:rPr>
              <w:t>166,535</w:t>
            </w:r>
          </w:p>
        </w:tc>
        <w:tc>
          <w:tcPr>
            <w:tcW w:w="50" w:type="pct"/>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3,792</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1,028</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667E7">
            <w:pPr>
              <w:jc w:val="right"/>
              <w:rPr>
                <w:rFonts w:eastAsia="Times New Roman"/>
                <w:sz w:val="20"/>
                <w:szCs w:val="20"/>
              </w:rPr>
            </w:pPr>
            <w:r>
              <w:rPr>
                <w:rFonts w:eastAsia="Times New Roman"/>
                <w:sz w:val="20"/>
                <w:szCs w:val="20"/>
              </w:rPr>
              <w:t>23,686</w:t>
            </w:r>
          </w:p>
        </w:tc>
        <w:tc>
          <w:tcPr>
            <w:tcW w:w="0" w:type="auto"/>
            <w:shd w:val="clear" w:color="auto" w:fill="CCEE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31,120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667E7">
            <w:pPr>
              <w:jc w:val="right"/>
              <w:rPr>
                <w:rFonts w:eastAsia="Times New Roman"/>
                <w:sz w:val="20"/>
                <w:szCs w:val="20"/>
              </w:rPr>
            </w:pPr>
            <w:r>
              <w:rPr>
                <w:rFonts w:eastAsia="Times New Roman"/>
                <w:sz w:val="20"/>
                <w:szCs w:val="20"/>
              </w:rPr>
              <w:t>1,190</w:t>
            </w:r>
          </w:p>
        </w:tc>
        <w:tc>
          <w:tcPr>
            <w:tcW w:w="0" w:type="auto"/>
            <w:shd w:val="clear" w:color="auto" w:fill="FFFFFF"/>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Sales and marketing expense</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4,233</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120,373</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225,203</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52169178"/>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920015167"/>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Operating </w:t>
      </w:r>
      <w:r>
        <w:rPr>
          <w:sz w:val="20"/>
          <w:szCs w:val="20"/>
        </w:rPr>
        <w:t xml:space="preserve">expenses for the three months ended March 31, 2020 and 2019 was $120,373 and $225,203, respectively. The decrease in operating expenses from 2019 to 2020 can be attributed to the decrease in professional fees ($166,535 for the three months ended March 31, </w:t>
      </w:r>
      <w:r>
        <w:rPr>
          <w:sz w:val="20"/>
          <w:szCs w:val="20"/>
        </w:rPr>
        <w:t>2019 versus $53,992 for the three months ended March 31, 2020) as the Company utilized less services due to cash flow constraints; the increase in general and administrative expense ($1,190 for the three months ended March 31, 2019 versus $31,120 for the t</w:t>
      </w:r>
      <w:r>
        <w:rPr>
          <w:sz w:val="20"/>
          <w:szCs w:val="20"/>
        </w:rPr>
        <w:t>hree months ended March 31, 2020) as the Company continued to incur reasonable administrative costs to run the Company; the decrease in stock based compensation ($3,792 for the three months ended March 31, 2019 versus $0 for the three months ended March 31</w:t>
      </w:r>
      <w:r>
        <w:rPr>
          <w:sz w:val="20"/>
          <w:szCs w:val="20"/>
        </w:rPr>
        <w:t>, 2020) and decrease in research and development ($23,686 for the three months ended March 31, 2019 versus $1,028 for the three months ended March 31, 2020) in an effort to conserve cash and position themselves to complete certain corporate matters, and an</w:t>
      </w:r>
      <w:r>
        <w:rPr>
          <w:sz w:val="20"/>
          <w:szCs w:val="20"/>
        </w:rPr>
        <w:t xml:space="preserve"> increase in advertising expenses of $4,233 ($0 for the three months ended March 31, 2019 versus $4,233 for the three months ended March 31, 2020) related to an advertising campaign completed in this period.</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u w:val="single"/>
        </w:rPr>
        <w:t>Non-Operating Income (Expense)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Non-operating income (expense) for the three months ended March 31, 2020 and 2019 consists of the following:</w:t>
      </w:r>
    </w:p>
    <w:p w:rsidR="00000000" w:rsidRDefault="005667E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161"/>
        <w:gridCol w:w="100"/>
        <w:gridCol w:w="1490"/>
        <w:gridCol w:w="78"/>
        <w:gridCol w:w="161"/>
        <w:gridCol w:w="100"/>
        <w:gridCol w:w="1491"/>
        <w:gridCol w:w="79"/>
      </w:tblGrid>
      <w:tr w:rsidR="00000000">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2020</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667E7">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March 31, 2019</w:t>
            </w:r>
          </w:p>
        </w:tc>
        <w:tc>
          <w:tcPr>
            <w:tcW w:w="0" w:type="auto"/>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r>
      <w:tr w:rsidR="00000000">
        <w:tc>
          <w:tcPr>
            <w:tcW w:w="2800" w:type="pct"/>
            <w:shd w:val="clear" w:color="auto" w:fill="CCEEFF"/>
            <w:tcMar>
              <w:top w:w="0" w:type="dxa"/>
              <w:left w:w="0" w:type="dxa"/>
              <w:bottom w:w="30" w:type="dxa"/>
              <w:right w:w="0" w:type="dxa"/>
            </w:tcMar>
            <w:vAlign w:val="bottom"/>
            <w:hideMark/>
          </w:tcPr>
          <w:p w:rsidR="00000000" w:rsidRDefault="005667E7">
            <w:pPr>
              <w:jc w:val="both"/>
              <w:rPr>
                <w:rFonts w:eastAsia="Times New Roman"/>
                <w:sz w:val="20"/>
                <w:szCs w:val="20"/>
              </w:rPr>
            </w:pPr>
            <w:r>
              <w:rPr>
                <w:rFonts w:eastAsia="Times New Roman"/>
                <w:sz w:val="20"/>
                <w:szCs w:val="20"/>
              </w:rPr>
              <w:t>Interest expense</w:t>
            </w:r>
          </w:p>
        </w:tc>
        <w:tc>
          <w:tcPr>
            <w:tcW w:w="100" w:type="pct"/>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900" w:type="pct"/>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(239,858</w:t>
            </w:r>
          </w:p>
        </w:tc>
        <w:tc>
          <w:tcPr>
            <w:tcW w:w="50" w:type="pct"/>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100" w:type="pct"/>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5667E7">
            <w:pPr>
              <w:rPr>
                <w:rFonts w:eastAsia="Times New Roman"/>
                <w:sz w:val="20"/>
                <w:szCs w:val="20"/>
              </w:rPr>
            </w:pPr>
            <w:r>
              <w:rPr>
                <w:rFonts w:eastAsia="Times New Roman"/>
                <w:sz w:val="20"/>
                <w:szCs w:val="20"/>
              </w:rPr>
              <w:t>$</w:t>
            </w:r>
          </w:p>
        </w:tc>
        <w:tc>
          <w:tcPr>
            <w:tcW w:w="900" w:type="pct"/>
            <w:tcBorders>
              <w:bottom w:val="single" w:sz="12" w:space="0" w:color="000000"/>
            </w:tcBorders>
            <w:shd w:val="clear" w:color="auto" w:fill="CCEEFF"/>
            <w:vAlign w:val="bottom"/>
            <w:hideMark/>
          </w:tcPr>
          <w:p w:rsidR="00000000" w:rsidRDefault="005667E7">
            <w:pPr>
              <w:jc w:val="right"/>
              <w:rPr>
                <w:rFonts w:eastAsia="Times New Roman"/>
                <w:sz w:val="20"/>
                <w:szCs w:val="20"/>
              </w:rPr>
            </w:pPr>
            <w:r>
              <w:rPr>
                <w:rFonts w:eastAsia="Times New Roman"/>
                <w:sz w:val="20"/>
                <w:szCs w:val="20"/>
              </w:rPr>
              <w:t>(11,179</w:t>
            </w:r>
          </w:p>
        </w:tc>
        <w:tc>
          <w:tcPr>
            <w:tcW w:w="50" w:type="pct"/>
            <w:shd w:val="clear" w:color="auto" w:fill="CCEEFF"/>
            <w:tcMar>
              <w:top w:w="0" w:type="dxa"/>
              <w:left w:w="0" w:type="dxa"/>
              <w:bottom w:w="3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(239,858</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667E7">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667E7">
            <w:pPr>
              <w:jc w:val="right"/>
              <w:rPr>
                <w:rFonts w:eastAsia="Times New Roman"/>
                <w:sz w:val="20"/>
                <w:szCs w:val="20"/>
              </w:rPr>
            </w:pPr>
            <w:r>
              <w:rPr>
                <w:rFonts w:eastAsia="Times New Roman"/>
                <w:sz w:val="20"/>
                <w:szCs w:val="20"/>
              </w:rPr>
              <w:t>(11,179</w:t>
            </w:r>
          </w:p>
        </w:tc>
        <w:tc>
          <w:tcPr>
            <w:tcW w:w="0" w:type="auto"/>
            <w:shd w:val="clear" w:color="auto" w:fill="FFFFFF"/>
            <w:tcMar>
              <w:top w:w="0" w:type="dxa"/>
              <w:left w:w="0" w:type="dxa"/>
              <w:bottom w:w="50" w:type="dxa"/>
              <w:right w:w="0" w:type="dxa"/>
            </w:tcMar>
            <w:vAlign w:val="bottom"/>
            <w:hideMark/>
          </w:tcPr>
          <w:p w:rsidR="00000000" w:rsidRDefault="005667E7">
            <w:pPr>
              <w:rPr>
                <w:rFonts w:eastAsia="Times New Roman"/>
                <w:sz w:val="20"/>
                <w:szCs w:val="20"/>
              </w:rPr>
            </w:pPr>
            <w:r>
              <w:rPr>
                <w:rFonts w:eastAsia="Times New Roman"/>
                <w:sz w:val="20"/>
                <w:szCs w:val="20"/>
              </w:rPr>
              <w:t>)</w:t>
            </w:r>
          </w:p>
        </w:tc>
      </w:tr>
    </w:tbl>
    <w:p w:rsidR="00000000" w:rsidRDefault="005667E7">
      <w:pPr>
        <w:pStyle w:val="a3"/>
        <w:spacing w:before="0" w:beforeAutospacing="0" w:after="0" w:afterAutospacing="0"/>
        <w:ind w:firstLine="72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Non-operating income </w:t>
      </w:r>
      <w:r>
        <w:rPr>
          <w:sz w:val="20"/>
          <w:szCs w:val="20"/>
        </w:rPr>
        <w:t>(expense) for the three months ended March 31, 2020 varied from the three months ended March 31, 2019 primarily due to an increase in interest expense from $11,179 for the three months ended March 31, 2019 to $239,858 for the three months ended March 31, 2</w:t>
      </w:r>
      <w:r>
        <w:rPr>
          <w:sz w:val="20"/>
          <w:szCs w:val="20"/>
        </w:rPr>
        <w:t>020 as a result of conversions of notes payable in the first quarter of 2020. The majority of the interest recorded by the Company consists of amortization of debt discount, BCF discount and the exchange premium resulting in additional shares to the noteho</w:t>
      </w:r>
      <w:r>
        <w:rPr>
          <w:sz w:val="20"/>
          <w:szCs w:val="20"/>
        </w:rPr>
        <w:t>lders on conversion.</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i/>
          <w:iCs/>
          <w:sz w:val="20"/>
          <w:szCs w:val="20"/>
          <w:u w:val="single"/>
        </w:rPr>
        <w:t>Net Loss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Our net loss for the three months ended March 31, 2020 and 2019 was $(360,231) and $(236,282), respectively.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u w:val="single"/>
        </w:rPr>
        <w:t>Liquidity and Capital Resources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At March 31, 2020, the Company had negative working capital of $1,250,572 as </w:t>
      </w:r>
      <w:r>
        <w:rPr>
          <w:sz w:val="20"/>
          <w:szCs w:val="20"/>
        </w:rPr>
        <w:t>compared to $1,479,689 at December 31, 2019. During the three months ended March 31, 2020 the Company experienced negative cash flow from operations of $87,247 and it received $0 for investing activities while adding $71,870 of cash flows from financing ac</w:t>
      </w:r>
      <w:r>
        <w:rPr>
          <w:sz w:val="20"/>
          <w:szCs w:val="20"/>
        </w:rPr>
        <w:t>tivities. As of March 31, 2020, the Company had no commitments for capital expenditures.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Cash used in operating activities was primarily a result of the Company’s net loss, and the adjustments to reconcile the net loss to net cash which included the amor</w:t>
      </w:r>
      <w:r>
        <w:rPr>
          <w:sz w:val="20"/>
          <w:szCs w:val="20"/>
        </w:rPr>
        <w:t>tization of discounts as well as expense related to the warrants granted to note holders and the exchange premium recognized for the conversion of notes. Additionally there were increases in accrued payroll and accrued interest. The Company had no investin</w:t>
      </w:r>
      <w:r>
        <w:rPr>
          <w:sz w:val="20"/>
          <w:szCs w:val="20"/>
        </w:rPr>
        <w:t xml:space="preserve">g activities for the three-month periods ended March 31, 2020 and 2019, respectively. In the three months ended March 31, 2020 and 2019, the Company had cash provided by financing activities of $71,870 and $308,000, respectively. These activities were the </w:t>
      </w:r>
      <w:r>
        <w:rPr>
          <w:sz w:val="20"/>
          <w:szCs w:val="20"/>
        </w:rPr>
        <w:t>result of proceeds received from notes payable (both related and unrelated parties) as well as from sales of common stock and preferred stock.</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The Company has generated </w:t>
      </w:r>
      <w:r>
        <w:rPr>
          <w:sz w:val="20"/>
          <w:szCs w:val="20"/>
        </w:rPr>
        <w:t>material operating losses since inception. The Company had a net loss of $360,231 for the three months ended March 31, 2020, and a net loss of $236,382 for the three months ended March 31, 2019. The Company expects to continue to experience net operating l</w:t>
      </w:r>
      <w:r>
        <w:rPr>
          <w:sz w:val="20"/>
          <w:szCs w:val="20"/>
        </w:rPr>
        <w:t>osses. Historically, the Company has relied upon investor funds to maintain its operations and develop the Company’s business.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Company received advances of $125,280, which were deposited in escrow in March 2020, and deposited into the Company’s accou</w:t>
      </w:r>
      <w:r>
        <w:rPr>
          <w:sz w:val="20"/>
          <w:szCs w:val="20"/>
        </w:rPr>
        <w:t>nts in April 2020. Following the qualification of the Regulation A+ by the SEC on June 3, 2020, the common shares for these proceeds were issued in June 2020. In addition, the Company converted their outstanding convertible notes payable of $425,000, $23,4</w:t>
      </w:r>
      <w:r>
        <w:rPr>
          <w:sz w:val="20"/>
          <w:szCs w:val="20"/>
        </w:rPr>
        <w:t>30 in accrued interest and $77,683 in an exchange premium stipulated in the note agreements into shares of common stock effective March 31, 2020. These shares were issued in June 2020, following the qualification of the Regulation A+, with an effective dat</w:t>
      </w:r>
      <w:r>
        <w:rPr>
          <w:sz w:val="20"/>
          <w:szCs w:val="20"/>
        </w:rPr>
        <w:t>e of March 31, 2020. The Company converted this debt into shares to be issued of $532,983 as of March 31, 2020 as the remaining funds of $118,410 were not collected until April 2020.</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26898502"/>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139297241"/>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Over the next 12 to 24 months, the Company believes it will</w:t>
      </w:r>
      <w:r>
        <w:rPr>
          <w:sz w:val="20"/>
          <w:szCs w:val="20"/>
        </w:rPr>
        <w:t xml:space="preserve"> cost approximately $5.0 million to $10.0 million to: (1) fund the FDA approval process and initial deployment of the brachytherapy products, and (2) initiate regulatory approval processes outside of the United States. The continued deployment of the brach</w:t>
      </w:r>
      <w:r>
        <w:rPr>
          <w:sz w:val="20"/>
          <w:szCs w:val="20"/>
        </w:rPr>
        <w:t>ytherapy products and a worldwide regulatory approval effort will require additional resources and personnel. The principal variables in the timing and amount of spending for the brachytherapy products in the next 12 to 24 months will be the FDA’s classifi</w:t>
      </w:r>
      <w:r>
        <w:rPr>
          <w:sz w:val="20"/>
          <w:szCs w:val="20"/>
        </w:rPr>
        <w:t>cation of the Company’s brachytherapy products as Class II or Class III devices (or otherwise) and any requirements for additional studies which may possibly include clinical studies. Thereafter, the principal variables in the amount of the Company’s spend</w:t>
      </w:r>
      <w:r>
        <w:rPr>
          <w:sz w:val="20"/>
          <w:szCs w:val="20"/>
        </w:rPr>
        <w:t>ing and its financing requirements would be the timing of any approvals and the nature of the Company’s arrangements with third parties for manufacturing, sales, distribution and licensing of those products and the products’ success in the U.S. and elsewhe</w:t>
      </w:r>
      <w:r>
        <w:rPr>
          <w:sz w:val="20"/>
          <w:szCs w:val="20"/>
        </w:rPr>
        <w:t>re. The Company intends to fund its activities through strategic transactions such as licensing and partnership agreements or additional capital raises.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Following receipt of required regulatory approvals and financing, in the U.S., the Company intends to</w:t>
      </w:r>
      <w:r>
        <w:rPr>
          <w:sz w:val="20"/>
          <w:szCs w:val="20"/>
        </w:rPr>
        <w:t xml:space="preserve"> outsource material aspects of manufacturing, distribution, sales and marketing. Outside of the U.S., the Company intends to pursue licensing arrangements and/or partnerships to facilitate its global commercialization strategy.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In the longer-term, subjec</w:t>
      </w:r>
      <w:r>
        <w:rPr>
          <w:sz w:val="20"/>
          <w:szCs w:val="20"/>
        </w:rPr>
        <w:t>t to the Company receiving adequate funding, regulatory approval for RadioGel™ and other brachytherapy products, and thereafter being able to successfully commercialize its brachytherapy products, the Company intends to consider resuming research efforts w</w:t>
      </w:r>
      <w:r>
        <w:rPr>
          <w:sz w:val="20"/>
          <w:szCs w:val="20"/>
        </w:rPr>
        <w:t>ith respect to other products and technologies intended to help improve the diagnosis and treatment of cancer and other illnesses.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Based on the Company’s financial history since inception, the Company’s independent registered public accounting firm has e</w:t>
      </w:r>
      <w:r>
        <w:rPr>
          <w:sz w:val="20"/>
          <w:szCs w:val="20"/>
        </w:rPr>
        <w:t>xpressed substantial doubt as to the Company’s ability to continue as a going concern. The Company has limited revenue, nominal cash, and has accumulated deficits since inception. If the Company cannot obtain sufficient additional capital, the Company will</w:t>
      </w:r>
      <w:r>
        <w:rPr>
          <w:sz w:val="20"/>
          <w:szCs w:val="20"/>
        </w:rPr>
        <w:t xml:space="preserve"> be required to delay the implementation of its business strategy and may not be able to continue operations.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Company has been impacted from the effects of COVID-19. The Company’</w:t>
      </w:r>
      <w:r>
        <w:rPr>
          <w:sz w:val="20"/>
          <w:szCs w:val="20"/>
        </w:rPr>
        <w:t>s headquarters are in Northeast Washington however there focus of the animal therapy market has been the Northwestern sector of the United States, the initial epicenter of the COVID-19 outbreak in the United States. In addition to a slow down in the market</w:t>
      </w:r>
      <w:r>
        <w:rPr>
          <w:sz w:val="20"/>
          <w:szCs w:val="20"/>
        </w:rPr>
        <w:t>ing of the services, the volatility of the stock market has contributed to a lack of funds that ordinarily may have been available to the Company. The Company is hopeful that by the end of the third quarter of 2020, they will be allowed to continue their m</w:t>
      </w:r>
      <w:r>
        <w:rPr>
          <w:sz w:val="20"/>
          <w:szCs w:val="20"/>
        </w:rPr>
        <w:t>arketing to the animal therapy market and attempt to increase the exposure to their product and generate revenue accordingly.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financial statements do not include any adjustments relating to the recoverability and classification of liabilities that mi</w:t>
      </w:r>
      <w:r>
        <w:rPr>
          <w:sz w:val="20"/>
          <w:szCs w:val="20"/>
        </w:rPr>
        <w:t>ght be necessary should the Company be unable to continue as a going concern. The Company’s continuation as a going concern is dependent upon its ability to generate sufficient cash flow to meet its obligations on a timely basis and ultimately to attain pr</w:t>
      </w:r>
      <w:r>
        <w:rPr>
          <w:sz w:val="20"/>
          <w:szCs w:val="20"/>
        </w:rPr>
        <w:t>ofitability. The Company plans to seek additional funding to maintain its operations through debt and equity financing and to improve operating performance through a focus on strategic products and increased efficiencies in business processes and improveme</w:t>
      </w:r>
      <w:r>
        <w:rPr>
          <w:sz w:val="20"/>
          <w:szCs w:val="20"/>
        </w:rPr>
        <w:t>nts to the cost structure. There is no assurance that the Company will be successful in its efforts to raise additional working capital or achieve profitable operations. The financial statements do not include any adjustments that might result from the out</w:t>
      </w:r>
      <w:r>
        <w:rPr>
          <w:sz w:val="20"/>
          <w:szCs w:val="20"/>
        </w:rPr>
        <w:t>come of this uncertainty.</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u w:val="single"/>
        </w:rPr>
        <w:t>Accounting Policies and Estimates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preparation of financial statements and related disclosures in conformity with accounting principles generally accepted in the United States of America requires management to make estimate</w:t>
      </w:r>
      <w:r>
        <w:rPr>
          <w:sz w:val="20"/>
          <w:szCs w:val="20"/>
        </w:rPr>
        <w:t>s and assumptions that affect the amounts reported in the unaudited condensed consolidated financial statements and accompanying notes. Management bases its estimates on historical experience and on various other assumptions that are believed to be reasona</w:t>
      </w:r>
      <w:r>
        <w:rPr>
          <w:sz w:val="20"/>
          <w:szCs w:val="20"/>
        </w:rPr>
        <w:t>ble under the circumstances. Actual results could differ from these estimates under different assumptions or conditions. During the period ended March 31, 2020, we believe there have been no significant changes to the items disclosed as significant account</w:t>
      </w:r>
      <w:r>
        <w:rPr>
          <w:sz w:val="20"/>
          <w:szCs w:val="20"/>
        </w:rPr>
        <w:t>ing policies in management’s notes to the consolidated financial statements in our annual report on Form 10-K for the year ended December 31, 2019, filed on April 28, 2020.</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52540491"/>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4</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666782765"/>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u w:val="single"/>
        </w:rPr>
        <w:t>Off-Balance Sheet Arrangements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Company does not have any off-ba</w:t>
      </w:r>
      <w:r>
        <w:rPr>
          <w:sz w:val="20"/>
          <w:szCs w:val="20"/>
        </w:rPr>
        <w:t>lance sheet arrangements that are reasonably likely to have a current or future effect on the Company’s financial condition, revenues, results of operations, liquidity or capital expenditures.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8" w:name="h_002"/>
      <w:bookmarkEnd w:id="8"/>
      <w:r>
        <w:rPr>
          <w:b/>
          <w:bCs/>
          <w:sz w:val="20"/>
          <w:szCs w:val="20"/>
        </w:rPr>
        <w:t xml:space="preserve">Item </w:t>
      </w:r>
      <w:r>
        <w:rPr>
          <w:b/>
          <w:bCs/>
          <w:sz w:val="20"/>
          <w:szCs w:val="20"/>
        </w:rPr>
        <w:t>3. Quantitative and Qualitative Disclosures About Market Risk.</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9" w:name="h_003"/>
      <w:bookmarkEnd w:id="9"/>
      <w:r>
        <w:rPr>
          <w:b/>
          <w:bCs/>
          <w:sz w:val="20"/>
          <w:szCs w:val="20"/>
        </w:rPr>
        <w:t>Item 4. Controls and Procedures.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u w:val="single"/>
        </w:rPr>
        <w:t>Disclosur</w:t>
      </w:r>
      <w:r>
        <w:rPr>
          <w:b/>
          <w:bCs/>
          <w:sz w:val="20"/>
          <w:szCs w:val="20"/>
          <w:u w:val="single"/>
        </w:rPr>
        <w:t>e Controls and Procedures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w:t>
      </w:r>
      <w:r>
        <w:rPr>
          <w:sz w:val="20"/>
          <w:szCs w:val="20"/>
        </w:rPr>
        <w:t>ation of the Company’s disclosure controls and procedures, as required by Exchange Act Rule 13a-15. Based on that evaluation, the Company’s Chief Executive Officer and Interim Chief Financial Officer concluded that, because of the disclosed material weakne</w:t>
      </w:r>
      <w:r>
        <w:rPr>
          <w:sz w:val="20"/>
          <w:szCs w:val="20"/>
        </w:rPr>
        <w:t xml:space="preserve">sses in the Company’s internal control over financial reporting, the Company’s disclosure controls and procedures were ineffective as of the end of the period covered by this report to ensure that information required to be disclosed by the Company in the </w:t>
      </w:r>
      <w:r>
        <w:rPr>
          <w:sz w:val="20"/>
          <w:szCs w:val="20"/>
        </w:rPr>
        <w:t>reports that the Company files or submits under the Exchange Act is recorded, processed, summarized and reported within the time periods specified by the SEC’s rules and forms.</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Disclosure controls and procedures are controls and other procedures that are</w:t>
      </w:r>
      <w:r>
        <w:rPr>
          <w:sz w:val="20"/>
          <w:szCs w:val="20"/>
        </w:rPr>
        <w:t xml:space="preserve"> designed to ensure that information required to be disclosed in the Company’s reports filed or submitted under the Exchange Act is recorded, processed, summarized and reported, within the time periods specified in the SEC’s rules and forms. Disclosure con</w:t>
      </w:r>
      <w:r>
        <w:rPr>
          <w:sz w:val="20"/>
          <w:szCs w:val="20"/>
        </w:rPr>
        <w:t>trols and procedures include, without limitation, controls and procedures designed to ensure that information required to be disclosed in the Company’s reports filed under the Exchange Act is accumulated and communicated to management, including the Compan</w:t>
      </w:r>
      <w:r>
        <w:rPr>
          <w:sz w:val="20"/>
          <w:szCs w:val="20"/>
        </w:rPr>
        <w:t>y’s Chief Executive Officer and the Company’s Interim Chief Financial Officer, to allow timely decisions regarding required disclosure.</w:t>
      </w:r>
    </w:p>
    <w:p w:rsidR="00000000" w:rsidRDefault="005667E7">
      <w:pPr>
        <w:pStyle w:val="a3"/>
        <w:spacing w:before="0" w:beforeAutospacing="0" w:after="0" w:afterAutospacing="0"/>
        <w:jc w:val="both"/>
        <w:rPr>
          <w:sz w:val="20"/>
          <w:szCs w:val="20"/>
        </w:rPr>
      </w:pPr>
      <w:r>
        <w:rPr>
          <w:b/>
          <w:bCs/>
          <w:sz w:val="20"/>
          <w:szCs w:val="20"/>
        </w:rPr>
        <w:t> </w:t>
      </w:r>
    </w:p>
    <w:p w:rsidR="00000000" w:rsidRDefault="005667E7">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There have been no changes in the Company’s internal control ov</w:t>
      </w:r>
      <w:r>
        <w:rPr>
          <w:sz w:val="20"/>
          <w:szCs w:val="20"/>
        </w:rPr>
        <w:t>er financial reporting that occurred during the period ended March 31, 2020 that has materially affected, or is reasonably likely to materially affect, the Company’s internal control over financial reporting.</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term “internal control over financial rep</w:t>
      </w:r>
      <w:r>
        <w:rPr>
          <w:sz w:val="20"/>
          <w:szCs w:val="20"/>
        </w:rPr>
        <w:t>orting” is defined as a process designed by, or under the supervision of, the registrant’s principal executive and principal financial officers, or persons performing similar functions, and effected by the registrant’s board of directors, management and ot</w:t>
      </w:r>
      <w:r>
        <w:rPr>
          <w:sz w:val="20"/>
          <w:szCs w:val="20"/>
        </w:rPr>
        <w:t>her personnel, to provide reasonable assurance regarding the reliability of financial reporting and the preparation of financial statements for external purposes in accordance with generally accepted accounting principles and includes those policies and pr</w:t>
      </w:r>
      <w:r>
        <w:rPr>
          <w:sz w:val="20"/>
          <w:szCs w:val="20"/>
        </w:rPr>
        <w:t>ocedures that:</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5667E7">
            <w:pPr>
              <w:rPr>
                <w:rFonts w:eastAsia="Times New Roman"/>
                <w:sz w:val="20"/>
                <w:szCs w:val="20"/>
              </w:rPr>
            </w:pPr>
            <w:r>
              <w:rPr>
                <w:rFonts w:eastAsia="Times New Roman"/>
                <w:sz w:val="20"/>
                <w:szCs w:val="20"/>
              </w:rPr>
              <w:t> </w:t>
            </w:r>
          </w:p>
        </w:tc>
        <w:tc>
          <w:tcPr>
            <w:tcW w:w="720" w:type="dxa"/>
            <w:hideMark/>
          </w:tcPr>
          <w:p w:rsidR="00000000" w:rsidRDefault="005667E7">
            <w:pPr>
              <w:jc w:val="both"/>
              <w:rPr>
                <w:rFonts w:eastAsia="Times New Roman"/>
                <w:sz w:val="20"/>
                <w:szCs w:val="20"/>
              </w:rPr>
            </w:pPr>
            <w:r>
              <w:rPr>
                <w:rFonts w:eastAsia="Times New Roman"/>
                <w:sz w:val="20"/>
                <w:szCs w:val="20"/>
              </w:rPr>
              <w:t>(a)</w:t>
            </w:r>
          </w:p>
        </w:tc>
        <w:tc>
          <w:tcPr>
            <w:tcW w:w="0" w:type="auto"/>
            <w:hideMark/>
          </w:tcPr>
          <w:p w:rsidR="00000000" w:rsidRDefault="005667E7">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(b)</w:t>
            </w:r>
          </w:p>
        </w:tc>
        <w:tc>
          <w:tcPr>
            <w:tcW w:w="0" w:type="auto"/>
            <w:hideMark/>
          </w:tcPr>
          <w:p w:rsidR="00000000" w:rsidRDefault="005667E7">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 </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jc w:val="both"/>
              <w:rPr>
                <w:rFonts w:eastAsia="Times New Roman"/>
                <w:sz w:val="20"/>
                <w:szCs w:val="20"/>
              </w:rPr>
            </w:pPr>
            <w:r>
              <w:rPr>
                <w:rFonts w:eastAsia="Times New Roman"/>
                <w:sz w:val="20"/>
                <w:szCs w:val="20"/>
              </w:rPr>
              <w:t>(c)</w:t>
            </w:r>
          </w:p>
        </w:tc>
        <w:tc>
          <w:tcPr>
            <w:tcW w:w="0" w:type="auto"/>
            <w:hideMark/>
          </w:tcPr>
          <w:p w:rsidR="00000000" w:rsidRDefault="005667E7">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12537169"/>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5</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744402840"/>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10" w:name="h_004"/>
      <w:bookmarkEnd w:id="10"/>
      <w:r>
        <w:rPr>
          <w:b/>
          <w:bCs/>
          <w:sz w:val="20"/>
          <w:szCs w:val="20"/>
        </w:rPr>
        <w:t>PART II</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b/>
          <w:bCs/>
          <w:sz w:val="20"/>
          <w:szCs w:val="20"/>
        </w:rPr>
        <w:t>Item 1. Legal Proceedings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shd w:val="clear" w:color="auto" w:fill="FFFFFF"/>
        </w:rPr>
        <w:t xml:space="preserve">The </w:t>
      </w:r>
      <w:r>
        <w:rPr>
          <w:sz w:val="20"/>
          <w:szCs w:val="20"/>
          <w:shd w:val="clear" w:color="auto" w:fill="FFFFFF"/>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shd w:val="clear" w:color="auto" w:fill="FFFFFF"/>
        </w:rPr>
        <w:t>condition, results of operations or liquidity. Other than as set forth below, there are no additional material pending or threatened legal proceedings at this time.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w:t>
      </w:r>
      <w:r>
        <w:rPr>
          <w:sz w:val="20"/>
          <w:szCs w:val="20"/>
        </w:rPr>
        <w:t>Officer filed a 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that the Compa</w:t>
      </w:r>
      <w:r>
        <w:rPr>
          <w:sz w:val="20"/>
          <w:szCs w:val="20"/>
        </w:rPr>
        <w:t>ny entered into with Plaintiff on July 21, 2017 (the “</w:t>
      </w:r>
      <w:r>
        <w:rPr>
          <w:i/>
          <w:iCs/>
          <w:sz w:val="20"/>
          <w:szCs w:val="20"/>
        </w:rPr>
        <w:t>Complaint</w:t>
      </w:r>
      <w:r>
        <w:rPr>
          <w:sz w:val="20"/>
          <w:szCs w:val="20"/>
        </w:rPr>
        <w:t>”). The Company has made required payments under the Release.</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On November 25, 2019, the Company and its current and former directors entered into a Settlement Agreement with the Plaintiff. Un</w:t>
      </w:r>
      <w:r>
        <w:rPr>
          <w:sz w:val="20"/>
          <w:szCs w:val="20"/>
        </w:rPr>
        <w:t>der the terms of the Settlement Agreement, the Company has agreed to issue 500,000 shares of common stock and 500,000 warrants to the Plaintiff, make an initial payment of $33,503 by December 4, 2019 and beginning on December 16, 2019, the Company will mak</w:t>
      </w:r>
      <w:r>
        <w:rPr>
          <w:sz w:val="20"/>
          <w:szCs w:val="20"/>
        </w:rPr>
        <w:t>e payments of $10,000 per month for 10 months in full satisfaction of the Separation Agreement and General Release originally entered into on July 21, 2017.</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11" w:name="h_005"/>
      <w:bookmarkEnd w:id="11"/>
      <w:r>
        <w:rPr>
          <w:b/>
          <w:bCs/>
          <w:sz w:val="20"/>
          <w:szCs w:val="20"/>
        </w:rPr>
        <w:t>Item 2. Unregistered Sales of Equity Securities</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The Company in January 2020 paid $50,000 to red</w:t>
      </w:r>
      <w:r>
        <w:rPr>
          <w:sz w:val="20"/>
          <w:szCs w:val="20"/>
        </w:rPr>
        <w:t>eem 100,000 shares of Series B Convertible Preferred Stock. The redemption price was agreed to by the investor.</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 xml:space="preserve">The Company issued a convertible note in the amount of $100,000 </w:t>
      </w:r>
      <w:r>
        <w:rPr>
          <w:sz w:val="20"/>
          <w:szCs w:val="20"/>
        </w:rPr>
        <w:t>to an accredited investor. The note bears interest at 8% per annum and matures March 31, 2020. The Company granted 1,250,000 warrants with an exercise price of $0.06 per share and a term of two years with this note and amended 1,312,500 previously issued w</w:t>
      </w:r>
      <w:r>
        <w:rPr>
          <w:sz w:val="20"/>
          <w:szCs w:val="20"/>
        </w:rPr>
        <w:t>arrants held by the investor to provide for a $.06 exercise price and an expiration date of March 31, 2022.</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In January 2020, the Company converted 435,990 shares of Series C Convertible Preferred stock into 5,449,875 shares of common stock.</w:t>
      </w:r>
    </w:p>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In March 20</w:t>
      </w:r>
      <w:r>
        <w:rPr>
          <w:sz w:val="20"/>
          <w:szCs w:val="20"/>
        </w:rPr>
        <w:t>20, the Company received advances of $125,280 which were deposited into escrow in March 2020 and deposited into the Company’s accounts in April 2020. Following the qualification of the Regulation A+ by the SEC on June 3, 2020, these shares were issued to t</w:t>
      </w:r>
      <w:r>
        <w:rPr>
          <w:sz w:val="20"/>
          <w:szCs w:val="20"/>
        </w:rPr>
        <w:t>he investors. Additionally, the Company raised $1,243 through the sale of 2,320,000 common stock warrants to three accredited investors. The warrants have a term of two years with an exercise price of $.045 per share.</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In addition, the Company exchanged o</w:t>
      </w:r>
      <w:r>
        <w:rPr>
          <w:sz w:val="20"/>
          <w:szCs w:val="20"/>
        </w:rPr>
        <w:t>utstanding convertible promissory notes entered into totaling $526,113, including $415,000 in principal amount, $23,427 in accrued interest and an exchange premium as provided for in the note agreements of $87,686 into 19,485,668 shares of common stock wit</w:t>
      </w:r>
      <w:r>
        <w:rPr>
          <w:sz w:val="20"/>
          <w:szCs w:val="20"/>
        </w:rPr>
        <w:t>h an effective date of March 31, 2020. The shares from the exchange were issued in June 2020, following the qualification of the Regulation A+.</w:t>
      </w:r>
    </w:p>
    <w:p w:rsidR="00000000" w:rsidRDefault="005667E7">
      <w:pPr>
        <w:pStyle w:val="a3"/>
        <w:spacing w:before="0" w:beforeAutospacing="0" w:after="0" w:afterAutospacing="0"/>
        <w:ind w:firstLine="720"/>
        <w:jc w:val="both"/>
        <w:rPr>
          <w:sz w:val="20"/>
          <w:szCs w:val="20"/>
        </w:rPr>
      </w:pPr>
      <w:r>
        <w:rPr>
          <w:sz w:val="20"/>
          <w:szCs w:val="20"/>
        </w:rPr>
        <w:t> </w:t>
      </w:r>
    </w:p>
    <w:p w:rsidR="00000000" w:rsidRDefault="005667E7">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w:t>
      </w:r>
      <w:r>
        <w:rPr>
          <w:sz w:val="20"/>
          <w:szCs w:val="20"/>
        </w:rPr>
        <w:t>e sales of securities described or referred to above was registered under the Securities Act of 1933, as amended (the “Securities Act”). For sales made pursuant to an exemption from registration contained in Section 4(a)(2) of the Securities Act, no genera</w:t>
      </w:r>
      <w:r>
        <w:rPr>
          <w:sz w:val="20"/>
          <w:szCs w:val="20"/>
        </w:rPr>
        <w:t>l solicitation was used in connection with the sales.</w:t>
      </w:r>
    </w:p>
    <w:p w:rsidR="00000000" w:rsidRDefault="005667E7">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67483746"/>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6</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006979734"/>
        <w:rPr>
          <w:sz w:val="20"/>
          <w:szCs w:val="20"/>
        </w:rPr>
      </w:pPr>
      <w:r>
        <w:rPr>
          <w:sz w:val="20"/>
          <w:szCs w:val="20"/>
        </w:rPr>
        <w:t> </w:t>
      </w:r>
    </w:p>
    <w:p w:rsidR="00000000" w:rsidRDefault="005667E7">
      <w:pPr>
        <w:pStyle w:val="a3"/>
        <w:spacing w:before="0" w:beforeAutospacing="0" w:after="0" w:afterAutospacing="0"/>
        <w:rPr>
          <w:sz w:val="20"/>
          <w:szCs w:val="20"/>
        </w:rPr>
      </w:pPr>
      <w:r>
        <w:rPr>
          <w:sz w:val="20"/>
          <w:szCs w:val="20"/>
        </w:rPr>
        <w:t> </w:t>
      </w:r>
    </w:p>
    <w:p w:rsidR="00000000" w:rsidRDefault="005667E7">
      <w:pPr>
        <w:pStyle w:val="a3"/>
        <w:spacing w:before="0" w:beforeAutospacing="0" w:after="0" w:afterAutospacing="0"/>
        <w:jc w:val="both"/>
        <w:rPr>
          <w:sz w:val="20"/>
          <w:szCs w:val="20"/>
        </w:rPr>
      </w:pPr>
      <w:bookmarkStart w:id="12" w:name="h_006"/>
      <w:bookmarkEnd w:id="12"/>
      <w:r>
        <w:rPr>
          <w:b/>
          <w:bCs/>
          <w:sz w:val="20"/>
          <w:szCs w:val="20"/>
        </w:rPr>
        <w:t>Item 6. Exhibits.</w:t>
      </w:r>
    </w:p>
    <w:p w:rsidR="00000000" w:rsidRDefault="005667E7">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96"/>
        <w:gridCol w:w="144"/>
        <w:gridCol w:w="6866"/>
      </w:tblGrid>
      <w:tr w:rsidR="00000000">
        <w:tc>
          <w:tcPr>
            <w:tcW w:w="1296" w:type="dxa"/>
            <w:hideMark/>
          </w:tcPr>
          <w:p w:rsidR="00000000" w:rsidRDefault="005667E7">
            <w:pPr>
              <w:jc w:val="center"/>
              <w:rPr>
                <w:rFonts w:eastAsia="Times New Roman"/>
                <w:sz w:val="20"/>
                <w:szCs w:val="20"/>
              </w:rPr>
            </w:pPr>
            <w:r>
              <w:rPr>
                <w:rFonts w:eastAsia="Times New Roman"/>
                <w:b/>
                <w:bCs/>
                <w:sz w:val="20"/>
                <w:szCs w:val="20"/>
              </w:rPr>
              <w:t>Exhibit</w:t>
            </w:r>
          </w:p>
        </w:tc>
        <w:tc>
          <w:tcPr>
            <w:tcW w:w="144" w:type="dxa"/>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5667E7">
            <w:pPr>
              <w:jc w:val="center"/>
              <w:rPr>
                <w:rFonts w:eastAsia="Times New Roman"/>
                <w:sz w:val="20"/>
                <w:szCs w:val="20"/>
              </w:rPr>
            </w:pPr>
            <w:r>
              <w:rPr>
                <w:rFonts w:eastAsia="Times New Roman"/>
                <w:b/>
                <w:bCs/>
                <w:sz w:val="20"/>
                <w:szCs w:val="20"/>
              </w:rPr>
              <w:t>Number</w:t>
            </w:r>
          </w:p>
        </w:tc>
        <w:tc>
          <w:tcPr>
            <w:tcW w:w="0" w:type="auto"/>
            <w:tcMar>
              <w:top w:w="0" w:type="dxa"/>
              <w:left w:w="0" w:type="dxa"/>
              <w:bottom w:w="30" w:type="dxa"/>
              <w:right w:w="0" w:type="dxa"/>
            </w:tcMar>
            <w:hideMark/>
          </w:tcPr>
          <w:p w:rsidR="00000000" w:rsidRDefault="005667E7">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5667E7">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31.1*</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hyperlink r:id="rId4" w:history="1">
              <w:r>
                <w:rPr>
                  <w:rStyle w:val="a4"/>
                  <w:rFonts w:eastAsia="Times New Roman"/>
                  <w:sz w:val="20"/>
                  <w:szCs w:val="20"/>
                </w:rPr>
                <w:t xml:space="preserve">Certification </w:t>
              </w:r>
              <w:r>
                <w:rPr>
                  <w:rStyle w:val="a4"/>
                  <w:rFonts w:eastAsia="Times New Roman"/>
                  <w:sz w:val="20"/>
                  <w:szCs w:val="20"/>
                </w:rPr>
                <w:t>of Chief Executive Officer pursuant to Section 302 of the Sarbanes – Oxley Act of 2002</w:t>
              </w:r>
            </w:hyperlink>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31.2*</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hyperlink r:id="rId5" w:history="1">
              <w:r>
                <w:rPr>
                  <w:rStyle w:val="a4"/>
                  <w:rFonts w:eastAsia="Times New Roman"/>
                  <w:sz w:val="20"/>
                  <w:szCs w:val="20"/>
                </w:rPr>
                <w:t xml:space="preserve">Certification </w:t>
              </w:r>
              <w:r>
                <w:rPr>
                  <w:rStyle w:val="a4"/>
                  <w:rFonts w:eastAsia="Times New Roman"/>
                  <w:sz w:val="20"/>
                  <w:szCs w:val="20"/>
                </w:rPr>
                <w:t>of Chief Financial Officer pursuant to Section 302 of the Sarbanes – Oxley Act of 2002</w:t>
              </w:r>
            </w:hyperlink>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32.1*</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101.INS</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XBRL</w:t>
            </w:r>
            <w:r>
              <w:rPr>
                <w:rFonts w:eastAsia="Times New Roman"/>
                <w:sz w:val="20"/>
                <w:szCs w:val="20"/>
              </w:rPr>
              <w:t xml:space="preserve"> Instance Document</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101.SCH</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101.CAL</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XBRL Taxonomy Extension Calculation Linkbase</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101.DEF</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XBRL Taxonomy Extension Definition Linkbase</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101.LAB</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xml:space="preserve">XBRL </w:t>
            </w:r>
            <w:r>
              <w:rPr>
                <w:rFonts w:eastAsia="Times New Roman"/>
                <w:sz w:val="20"/>
                <w:szCs w:val="20"/>
              </w:rPr>
              <w:t>Taxonomy Extension Label Linkbase</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r>
      <w:tr w:rsidR="00000000">
        <w:tc>
          <w:tcPr>
            <w:tcW w:w="0" w:type="auto"/>
            <w:hideMark/>
          </w:tcPr>
          <w:p w:rsidR="00000000" w:rsidRDefault="005667E7">
            <w:pPr>
              <w:jc w:val="center"/>
              <w:rPr>
                <w:rFonts w:eastAsia="Times New Roman"/>
                <w:sz w:val="20"/>
                <w:szCs w:val="20"/>
              </w:rPr>
            </w:pPr>
            <w:r>
              <w:rPr>
                <w:rFonts w:eastAsia="Times New Roman"/>
                <w:sz w:val="20"/>
                <w:szCs w:val="20"/>
              </w:rPr>
              <w:t>101.PRE</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XBRL Taxonomy Extension Presentation Linkbase</w:t>
            </w:r>
          </w:p>
        </w:tc>
      </w:tr>
    </w:tbl>
    <w:p w:rsidR="00000000" w:rsidRDefault="005667E7">
      <w:pPr>
        <w:pStyle w:val="a3"/>
        <w:spacing w:before="0" w:beforeAutospacing="0" w:after="0" w:afterAutospacing="0"/>
        <w:jc w:val="both"/>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Filed herewith.</w:t>
      </w:r>
    </w:p>
    <w:p w:rsidR="00000000" w:rsidRDefault="005667E7">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2483154"/>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7</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000000" w:rsidRDefault="005667E7">
      <w:pPr>
        <w:pStyle w:val="a3"/>
        <w:pageBreakBefore/>
        <w:spacing w:before="0" w:beforeAutospacing="0" w:after="0" w:afterAutospacing="0"/>
        <w:divId w:val="1385367162"/>
        <w:rPr>
          <w:sz w:val="20"/>
          <w:szCs w:val="20"/>
        </w:rPr>
      </w:pPr>
      <w:r>
        <w:rPr>
          <w:sz w:val="20"/>
          <w:szCs w:val="20"/>
        </w:rPr>
        <w:t> </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center"/>
        <w:rPr>
          <w:sz w:val="20"/>
          <w:szCs w:val="20"/>
        </w:rPr>
      </w:pPr>
      <w:bookmarkStart w:id="13" w:name="Cj_008"/>
      <w:bookmarkEnd w:id="13"/>
      <w:r>
        <w:rPr>
          <w:b/>
          <w:bCs/>
          <w:sz w:val="20"/>
          <w:szCs w:val="20"/>
        </w:rPr>
        <w:t>SIGNATURES</w:t>
      </w:r>
    </w:p>
    <w:p w:rsidR="00000000" w:rsidRDefault="005667E7">
      <w:pPr>
        <w:pStyle w:val="a3"/>
        <w:spacing w:before="0" w:beforeAutospacing="0" w:after="0" w:afterAutospacing="0"/>
        <w:jc w:val="center"/>
        <w:rPr>
          <w:sz w:val="20"/>
          <w:szCs w:val="20"/>
        </w:rPr>
      </w:pPr>
      <w:r>
        <w:rPr>
          <w:sz w:val="20"/>
          <w:szCs w:val="20"/>
        </w:rPr>
        <w:t> </w:t>
      </w:r>
    </w:p>
    <w:p w:rsidR="00000000" w:rsidRDefault="005667E7">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5667E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gridSpan w:val="2"/>
            <w:hideMark/>
          </w:tcPr>
          <w:p w:rsidR="00000000" w:rsidRDefault="005667E7">
            <w:pPr>
              <w:rPr>
                <w:rFonts w:eastAsia="Times New Roman"/>
                <w:sz w:val="20"/>
                <w:szCs w:val="20"/>
              </w:rPr>
            </w:pPr>
            <w:r>
              <w:rPr>
                <w:rFonts w:eastAsia="Times New Roman"/>
                <w:sz w:val="20"/>
                <w:szCs w:val="20"/>
              </w:rPr>
              <w:t>Vivos Inc.</w:t>
            </w:r>
          </w:p>
        </w:tc>
      </w:tr>
      <w:tr w:rsidR="00000000">
        <w:tc>
          <w:tcPr>
            <w:tcW w:w="2500" w:type="pct"/>
            <w:hideMark/>
          </w:tcPr>
          <w:p w:rsidR="00000000" w:rsidRDefault="005667E7">
            <w:pPr>
              <w:rPr>
                <w:rFonts w:eastAsia="Times New Roman"/>
                <w:sz w:val="20"/>
                <w:szCs w:val="20"/>
              </w:rPr>
            </w:pPr>
            <w:r>
              <w:rPr>
                <w:rFonts w:eastAsia="Times New Roman"/>
                <w:sz w:val="20"/>
                <w:szCs w:val="20"/>
              </w:rPr>
              <w:t> </w:t>
            </w:r>
          </w:p>
        </w:tc>
        <w:tc>
          <w:tcPr>
            <w:tcW w:w="250" w:type="pct"/>
            <w:hideMark/>
          </w:tcPr>
          <w:p w:rsidR="00000000" w:rsidRDefault="005667E7">
            <w:pPr>
              <w:rPr>
                <w:rFonts w:eastAsia="Times New Roman"/>
                <w:sz w:val="20"/>
                <w:szCs w:val="20"/>
              </w:rPr>
            </w:pPr>
            <w:r>
              <w:rPr>
                <w:rFonts w:eastAsia="Times New Roman"/>
                <w:sz w:val="20"/>
                <w:szCs w:val="20"/>
              </w:rPr>
              <w:t> </w:t>
            </w:r>
          </w:p>
        </w:tc>
        <w:tc>
          <w:tcPr>
            <w:tcW w:w="2250" w:type="pct"/>
            <w:hideMark/>
          </w:tcPr>
          <w:p w:rsidR="00000000" w:rsidRDefault="005667E7">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5667E7">
            <w:pPr>
              <w:rPr>
                <w:rFonts w:eastAsia="Times New Roman"/>
                <w:sz w:val="20"/>
                <w:szCs w:val="20"/>
              </w:rPr>
            </w:pPr>
            <w:r>
              <w:rPr>
                <w:rFonts w:eastAsia="Times New Roman"/>
                <w:sz w:val="20"/>
                <w:szCs w:val="20"/>
              </w:rPr>
              <w:t>Date: June 29, 2020</w:t>
            </w:r>
          </w:p>
        </w:tc>
        <w:tc>
          <w:tcPr>
            <w:tcW w:w="0" w:type="auto"/>
            <w:tcMar>
              <w:top w:w="0" w:type="dxa"/>
              <w:left w:w="0" w:type="dxa"/>
              <w:bottom w:w="30" w:type="dxa"/>
              <w:right w:w="0" w:type="dxa"/>
            </w:tcMar>
            <w:hideMark/>
          </w:tcPr>
          <w:p w:rsidR="00000000" w:rsidRDefault="005667E7">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5667E7">
            <w:pPr>
              <w:rPr>
                <w:rFonts w:eastAsia="Times New Roman"/>
                <w:sz w:val="20"/>
                <w:szCs w:val="20"/>
              </w:rPr>
            </w:pPr>
            <w:r>
              <w:rPr>
                <w:rFonts w:eastAsia="Times New Roman"/>
                <w:i/>
                <w:iCs/>
                <w:sz w:val="20"/>
                <w:szCs w:val="20"/>
              </w:rPr>
              <w:t xml:space="preserve">/s/ </w:t>
            </w:r>
            <w:r>
              <w:rPr>
                <w:rFonts w:eastAsia="Times New Roman"/>
                <w:i/>
                <w:iCs/>
                <w:sz w:val="20"/>
                <w:szCs w:val="20"/>
              </w:rPr>
              <w:t>Michael Korenko</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Name:</w:t>
            </w:r>
          </w:p>
        </w:tc>
        <w:tc>
          <w:tcPr>
            <w:tcW w:w="0" w:type="auto"/>
            <w:hideMark/>
          </w:tcPr>
          <w:p w:rsidR="00000000" w:rsidRDefault="005667E7">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Title:</w:t>
            </w:r>
          </w:p>
        </w:tc>
        <w:tc>
          <w:tcPr>
            <w:tcW w:w="0" w:type="auto"/>
            <w:hideMark/>
          </w:tcPr>
          <w:p w:rsidR="00000000" w:rsidRDefault="005667E7">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(Principal Executive Officer)</w:t>
            </w:r>
          </w:p>
        </w:tc>
      </w:tr>
    </w:tbl>
    <w:p w:rsidR="00000000" w:rsidRDefault="005667E7">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2500" w:type="pct"/>
            <w:tcMar>
              <w:top w:w="0" w:type="dxa"/>
              <w:left w:w="0" w:type="dxa"/>
              <w:bottom w:w="30" w:type="dxa"/>
              <w:right w:w="0" w:type="dxa"/>
            </w:tcMar>
            <w:hideMark/>
          </w:tcPr>
          <w:p w:rsidR="00000000" w:rsidRDefault="005667E7">
            <w:pPr>
              <w:rPr>
                <w:rFonts w:eastAsia="Times New Roman"/>
                <w:sz w:val="20"/>
                <w:szCs w:val="20"/>
              </w:rPr>
            </w:pPr>
            <w:r>
              <w:rPr>
                <w:rFonts w:eastAsia="Times New Roman"/>
                <w:sz w:val="20"/>
                <w:szCs w:val="20"/>
              </w:rPr>
              <w:t>Date: June 29, 2020</w:t>
            </w:r>
          </w:p>
        </w:tc>
        <w:tc>
          <w:tcPr>
            <w:tcW w:w="250" w:type="pct"/>
            <w:tcMar>
              <w:top w:w="0" w:type="dxa"/>
              <w:left w:w="0" w:type="dxa"/>
              <w:bottom w:w="30" w:type="dxa"/>
              <w:right w:w="0" w:type="dxa"/>
            </w:tcMar>
            <w:hideMark/>
          </w:tcPr>
          <w:p w:rsidR="00000000" w:rsidRDefault="005667E7">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5667E7">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Name:</w:t>
            </w:r>
          </w:p>
        </w:tc>
        <w:tc>
          <w:tcPr>
            <w:tcW w:w="0" w:type="auto"/>
            <w:hideMark/>
          </w:tcPr>
          <w:p w:rsidR="00000000" w:rsidRDefault="005667E7">
            <w:pPr>
              <w:rPr>
                <w:rFonts w:eastAsia="Times New Roman"/>
                <w:sz w:val="20"/>
                <w:szCs w:val="20"/>
              </w:rPr>
            </w:pPr>
            <w:r>
              <w:rPr>
                <w:rFonts w:eastAsia="Times New Roman"/>
                <w:sz w:val="20"/>
                <w:szCs w:val="20"/>
              </w:rPr>
              <w:t>Michael Pollack</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Title:</w:t>
            </w:r>
          </w:p>
        </w:tc>
        <w:tc>
          <w:tcPr>
            <w:tcW w:w="0" w:type="auto"/>
            <w:hideMark/>
          </w:tcPr>
          <w:p w:rsidR="00000000" w:rsidRDefault="005667E7">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w:t>
            </w:r>
          </w:p>
        </w:tc>
        <w:tc>
          <w:tcPr>
            <w:tcW w:w="0" w:type="auto"/>
            <w:hideMark/>
          </w:tcPr>
          <w:p w:rsidR="00000000" w:rsidRDefault="005667E7">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5667E7">
      <w:pPr>
        <w:pStyle w:val="a3"/>
        <w:spacing w:before="0" w:beforeAutospacing="0" w:after="0" w:afterAutospacing="0"/>
        <w:jc w:val="right"/>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7992865"/>
        </w:trPr>
        <w:tc>
          <w:tcPr>
            <w:tcW w:w="1650" w:type="pct"/>
            <w:hideMark/>
          </w:tcPr>
          <w:p w:rsidR="00000000" w:rsidRDefault="005667E7">
            <w:pPr>
              <w:rPr>
                <w:rFonts w:eastAsia="Times New Roman"/>
                <w:sz w:val="20"/>
                <w:szCs w:val="20"/>
              </w:rPr>
            </w:pPr>
            <w:r>
              <w:rPr>
                <w:rFonts w:eastAsia="Times New Roman"/>
                <w:sz w:val="20"/>
                <w:szCs w:val="20"/>
              </w:rPr>
              <w:t> </w:t>
            </w:r>
          </w:p>
        </w:tc>
        <w:tc>
          <w:tcPr>
            <w:tcW w:w="1700" w:type="pct"/>
            <w:hideMark/>
          </w:tcPr>
          <w:p w:rsidR="00000000" w:rsidRDefault="005667E7">
            <w:pPr>
              <w:jc w:val="center"/>
              <w:rPr>
                <w:rFonts w:eastAsia="Times New Roman"/>
                <w:sz w:val="20"/>
                <w:szCs w:val="20"/>
              </w:rPr>
            </w:pPr>
            <w:r>
              <w:rPr>
                <w:rFonts w:eastAsia="Times New Roman"/>
                <w:sz w:val="20"/>
                <w:szCs w:val="20"/>
              </w:rPr>
              <w:t>3</w:t>
            </w:r>
            <w:r>
              <w:rPr>
                <w:rFonts w:eastAsia="Times New Roman"/>
                <w:sz w:val="20"/>
                <w:szCs w:val="20"/>
              </w:rPr>
              <w:t>8</w:t>
            </w:r>
          </w:p>
        </w:tc>
        <w:tc>
          <w:tcPr>
            <w:tcW w:w="1650" w:type="pct"/>
            <w:hideMark/>
          </w:tcPr>
          <w:p w:rsidR="00000000" w:rsidRDefault="005667E7">
            <w:pPr>
              <w:rPr>
                <w:rFonts w:eastAsia="Times New Roman"/>
                <w:sz w:val="20"/>
                <w:szCs w:val="20"/>
              </w:rPr>
            </w:pPr>
            <w:r>
              <w:rPr>
                <w:rFonts w:eastAsia="Times New Roman"/>
                <w:sz w:val="20"/>
                <w:szCs w:val="20"/>
              </w:rPr>
              <w:t> </w:t>
            </w:r>
          </w:p>
        </w:tc>
      </w:tr>
    </w:tbl>
    <w:p w:rsidR="005667E7" w:rsidRDefault="005667E7">
      <w:pPr>
        <w:pStyle w:val="a3"/>
        <w:spacing w:before="0" w:beforeAutospacing="0" w:after="0" w:afterAutospacing="0"/>
        <w:rPr>
          <w:sz w:val="20"/>
          <w:szCs w:val="20"/>
        </w:rPr>
      </w:pPr>
      <w:r>
        <w:rPr>
          <w:sz w:val="20"/>
          <w:szCs w:val="20"/>
        </w:rPr>
        <w:t> </w:t>
      </w:r>
    </w:p>
    <w:sectPr w:rsidR="005667E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667E7"/>
    <w:rsid w:val="00566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626">
      <w:marLeft w:val="0"/>
      <w:marRight w:val="0"/>
      <w:marTop w:val="120"/>
      <w:marBottom w:val="0"/>
      <w:divBdr>
        <w:top w:val="none" w:sz="0" w:space="0" w:color="auto"/>
        <w:left w:val="none" w:sz="0" w:space="0" w:color="auto"/>
        <w:bottom w:val="none" w:sz="0" w:space="0" w:color="auto"/>
        <w:right w:val="none" w:sz="0" w:space="0" w:color="auto"/>
      </w:divBdr>
    </w:div>
    <w:div w:id="22483154">
      <w:marLeft w:val="0"/>
      <w:marRight w:val="0"/>
      <w:marTop w:val="0"/>
      <w:marBottom w:val="120"/>
      <w:divBdr>
        <w:top w:val="none" w:sz="0" w:space="0" w:color="auto"/>
        <w:left w:val="none" w:sz="0" w:space="0" w:color="auto"/>
        <w:bottom w:val="single" w:sz="12" w:space="0" w:color="000000"/>
        <w:right w:val="none" w:sz="0" w:space="0" w:color="auto"/>
      </w:divBdr>
    </w:div>
    <w:div w:id="77992865">
      <w:marLeft w:val="0"/>
      <w:marRight w:val="0"/>
      <w:marTop w:val="0"/>
      <w:marBottom w:val="120"/>
      <w:divBdr>
        <w:top w:val="none" w:sz="0" w:space="0" w:color="auto"/>
        <w:left w:val="none" w:sz="0" w:space="0" w:color="auto"/>
        <w:bottom w:val="single" w:sz="12" w:space="0" w:color="000000"/>
        <w:right w:val="none" w:sz="0" w:space="0" w:color="auto"/>
      </w:divBdr>
    </w:div>
    <w:div w:id="167643858">
      <w:marLeft w:val="0"/>
      <w:marRight w:val="0"/>
      <w:marTop w:val="0"/>
      <w:marBottom w:val="120"/>
      <w:divBdr>
        <w:top w:val="none" w:sz="0" w:space="0" w:color="auto"/>
        <w:left w:val="none" w:sz="0" w:space="0" w:color="auto"/>
        <w:bottom w:val="single" w:sz="12" w:space="0" w:color="000000"/>
        <w:right w:val="none" w:sz="0" w:space="0" w:color="auto"/>
      </w:divBdr>
    </w:div>
    <w:div w:id="209266536">
      <w:marLeft w:val="0"/>
      <w:marRight w:val="0"/>
      <w:marTop w:val="120"/>
      <w:marBottom w:val="0"/>
      <w:divBdr>
        <w:top w:val="none" w:sz="0" w:space="0" w:color="auto"/>
        <w:left w:val="none" w:sz="0" w:space="0" w:color="auto"/>
        <w:bottom w:val="none" w:sz="0" w:space="0" w:color="auto"/>
        <w:right w:val="none" w:sz="0" w:space="0" w:color="auto"/>
      </w:divBdr>
    </w:div>
    <w:div w:id="222067425">
      <w:marLeft w:val="0"/>
      <w:marRight w:val="0"/>
      <w:marTop w:val="120"/>
      <w:marBottom w:val="0"/>
      <w:divBdr>
        <w:top w:val="none" w:sz="0" w:space="0" w:color="auto"/>
        <w:left w:val="none" w:sz="0" w:space="0" w:color="auto"/>
        <w:bottom w:val="none" w:sz="0" w:space="0" w:color="auto"/>
        <w:right w:val="none" w:sz="0" w:space="0" w:color="auto"/>
      </w:divBdr>
    </w:div>
    <w:div w:id="228148721">
      <w:marLeft w:val="0"/>
      <w:marRight w:val="0"/>
      <w:marTop w:val="0"/>
      <w:marBottom w:val="120"/>
      <w:divBdr>
        <w:top w:val="none" w:sz="0" w:space="0" w:color="auto"/>
        <w:left w:val="none" w:sz="0" w:space="0" w:color="auto"/>
        <w:bottom w:val="single" w:sz="12" w:space="0" w:color="000000"/>
        <w:right w:val="none" w:sz="0" w:space="0" w:color="auto"/>
      </w:divBdr>
    </w:div>
    <w:div w:id="319236894">
      <w:marLeft w:val="0"/>
      <w:marRight w:val="0"/>
      <w:marTop w:val="120"/>
      <w:marBottom w:val="0"/>
      <w:divBdr>
        <w:top w:val="none" w:sz="0" w:space="0" w:color="auto"/>
        <w:left w:val="none" w:sz="0" w:space="0" w:color="auto"/>
        <w:bottom w:val="none" w:sz="0" w:space="0" w:color="auto"/>
        <w:right w:val="none" w:sz="0" w:space="0" w:color="auto"/>
      </w:divBdr>
    </w:div>
    <w:div w:id="349112688">
      <w:marLeft w:val="0"/>
      <w:marRight w:val="0"/>
      <w:marTop w:val="0"/>
      <w:marBottom w:val="120"/>
      <w:divBdr>
        <w:top w:val="none" w:sz="0" w:space="0" w:color="auto"/>
        <w:left w:val="none" w:sz="0" w:space="0" w:color="auto"/>
        <w:bottom w:val="single" w:sz="12" w:space="0" w:color="000000"/>
        <w:right w:val="none" w:sz="0" w:space="0" w:color="auto"/>
      </w:divBdr>
    </w:div>
    <w:div w:id="387073848">
      <w:marLeft w:val="0"/>
      <w:marRight w:val="0"/>
      <w:marTop w:val="120"/>
      <w:marBottom w:val="0"/>
      <w:divBdr>
        <w:top w:val="none" w:sz="0" w:space="0" w:color="auto"/>
        <w:left w:val="none" w:sz="0" w:space="0" w:color="auto"/>
        <w:bottom w:val="none" w:sz="0" w:space="0" w:color="auto"/>
        <w:right w:val="none" w:sz="0" w:space="0" w:color="auto"/>
      </w:divBdr>
    </w:div>
    <w:div w:id="421535742">
      <w:marLeft w:val="0"/>
      <w:marRight w:val="0"/>
      <w:marTop w:val="120"/>
      <w:marBottom w:val="0"/>
      <w:divBdr>
        <w:top w:val="none" w:sz="0" w:space="0" w:color="auto"/>
        <w:left w:val="none" w:sz="0" w:space="0" w:color="auto"/>
        <w:bottom w:val="none" w:sz="0" w:space="0" w:color="auto"/>
        <w:right w:val="none" w:sz="0" w:space="0" w:color="auto"/>
      </w:divBdr>
    </w:div>
    <w:div w:id="424351538">
      <w:marLeft w:val="0"/>
      <w:marRight w:val="0"/>
      <w:marTop w:val="0"/>
      <w:marBottom w:val="120"/>
      <w:divBdr>
        <w:top w:val="none" w:sz="0" w:space="0" w:color="auto"/>
        <w:left w:val="none" w:sz="0" w:space="0" w:color="auto"/>
        <w:bottom w:val="single" w:sz="12" w:space="0" w:color="000000"/>
        <w:right w:val="none" w:sz="0" w:space="0" w:color="auto"/>
      </w:divBdr>
    </w:div>
    <w:div w:id="464198844">
      <w:marLeft w:val="0"/>
      <w:marRight w:val="0"/>
      <w:marTop w:val="0"/>
      <w:marBottom w:val="120"/>
      <w:divBdr>
        <w:top w:val="none" w:sz="0" w:space="0" w:color="auto"/>
        <w:left w:val="none" w:sz="0" w:space="0" w:color="auto"/>
        <w:bottom w:val="single" w:sz="12" w:space="0" w:color="000000"/>
        <w:right w:val="none" w:sz="0" w:space="0" w:color="auto"/>
      </w:divBdr>
    </w:div>
    <w:div w:id="475071469">
      <w:marLeft w:val="0"/>
      <w:marRight w:val="0"/>
      <w:marTop w:val="0"/>
      <w:marBottom w:val="120"/>
      <w:divBdr>
        <w:top w:val="none" w:sz="0" w:space="0" w:color="auto"/>
        <w:left w:val="none" w:sz="0" w:space="0" w:color="auto"/>
        <w:bottom w:val="single" w:sz="12" w:space="0" w:color="000000"/>
        <w:right w:val="none" w:sz="0" w:space="0" w:color="auto"/>
      </w:divBdr>
    </w:div>
    <w:div w:id="503469851">
      <w:marLeft w:val="0"/>
      <w:marRight w:val="0"/>
      <w:marTop w:val="0"/>
      <w:marBottom w:val="120"/>
      <w:divBdr>
        <w:top w:val="none" w:sz="0" w:space="0" w:color="auto"/>
        <w:left w:val="none" w:sz="0" w:space="0" w:color="auto"/>
        <w:bottom w:val="single" w:sz="12" w:space="0" w:color="000000"/>
        <w:right w:val="none" w:sz="0" w:space="0" w:color="auto"/>
      </w:divBdr>
    </w:div>
    <w:div w:id="526263284">
      <w:marLeft w:val="0"/>
      <w:marRight w:val="0"/>
      <w:marTop w:val="120"/>
      <w:marBottom w:val="0"/>
      <w:divBdr>
        <w:top w:val="none" w:sz="0" w:space="0" w:color="auto"/>
        <w:left w:val="none" w:sz="0" w:space="0" w:color="auto"/>
        <w:bottom w:val="none" w:sz="0" w:space="0" w:color="auto"/>
        <w:right w:val="none" w:sz="0" w:space="0" w:color="auto"/>
      </w:divBdr>
    </w:div>
    <w:div w:id="526522216">
      <w:marLeft w:val="0"/>
      <w:marRight w:val="0"/>
      <w:marTop w:val="0"/>
      <w:marBottom w:val="120"/>
      <w:divBdr>
        <w:top w:val="none" w:sz="0" w:space="0" w:color="auto"/>
        <w:left w:val="none" w:sz="0" w:space="0" w:color="auto"/>
        <w:bottom w:val="single" w:sz="12" w:space="0" w:color="000000"/>
        <w:right w:val="none" w:sz="0" w:space="0" w:color="auto"/>
      </w:divBdr>
    </w:div>
    <w:div w:id="543519154">
      <w:marLeft w:val="0"/>
      <w:marRight w:val="0"/>
      <w:marTop w:val="120"/>
      <w:marBottom w:val="0"/>
      <w:divBdr>
        <w:top w:val="none" w:sz="0" w:space="0" w:color="auto"/>
        <w:left w:val="none" w:sz="0" w:space="0" w:color="auto"/>
        <w:bottom w:val="none" w:sz="0" w:space="0" w:color="auto"/>
        <w:right w:val="none" w:sz="0" w:space="0" w:color="auto"/>
      </w:divBdr>
    </w:div>
    <w:div w:id="553542338">
      <w:marLeft w:val="0"/>
      <w:marRight w:val="0"/>
      <w:marTop w:val="120"/>
      <w:marBottom w:val="0"/>
      <w:divBdr>
        <w:top w:val="none" w:sz="0" w:space="0" w:color="auto"/>
        <w:left w:val="none" w:sz="0" w:space="0" w:color="auto"/>
        <w:bottom w:val="none" w:sz="0" w:space="0" w:color="auto"/>
        <w:right w:val="none" w:sz="0" w:space="0" w:color="auto"/>
      </w:divBdr>
    </w:div>
    <w:div w:id="576401157">
      <w:marLeft w:val="0"/>
      <w:marRight w:val="0"/>
      <w:marTop w:val="0"/>
      <w:marBottom w:val="120"/>
      <w:divBdr>
        <w:top w:val="none" w:sz="0" w:space="0" w:color="auto"/>
        <w:left w:val="none" w:sz="0" w:space="0" w:color="auto"/>
        <w:bottom w:val="single" w:sz="12" w:space="0" w:color="000000"/>
        <w:right w:val="none" w:sz="0" w:space="0" w:color="auto"/>
      </w:divBdr>
    </w:div>
    <w:div w:id="608858383">
      <w:marLeft w:val="0"/>
      <w:marRight w:val="0"/>
      <w:marTop w:val="120"/>
      <w:marBottom w:val="0"/>
      <w:divBdr>
        <w:top w:val="none" w:sz="0" w:space="0" w:color="auto"/>
        <w:left w:val="none" w:sz="0" w:space="0" w:color="auto"/>
        <w:bottom w:val="none" w:sz="0" w:space="0" w:color="auto"/>
        <w:right w:val="none" w:sz="0" w:space="0" w:color="auto"/>
      </w:divBdr>
    </w:div>
    <w:div w:id="615138249">
      <w:marLeft w:val="0"/>
      <w:marRight w:val="0"/>
      <w:marTop w:val="0"/>
      <w:marBottom w:val="120"/>
      <w:divBdr>
        <w:top w:val="none" w:sz="0" w:space="0" w:color="auto"/>
        <w:left w:val="none" w:sz="0" w:space="0" w:color="auto"/>
        <w:bottom w:val="single" w:sz="12" w:space="0" w:color="000000"/>
        <w:right w:val="none" w:sz="0" w:space="0" w:color="auto"/>
      </w:divBdr>
    </w:div>
    <w:div w:id="666782765">
      <w:marLeft w:val="0"/>
      <w:marRight w:val="0"/>
      <w:marTop w:val="120"/>
      <w:marBottom w:val="0"/>
      <w:divBdr>
        <w:top w:val="none" w:sz="0" w:space="0" w:color="auto"/>
        <w:left w:val="none" w:sz="0" w:space="0" w:color="auto"/>
        <w:bottom w:val="none" w:sz="0" w:space="0" w:color="auto"/>
        <w:right w:val="none" w:sz="0" w:space="0" w:color="auto"/>
      </w:divBdr>
    </w:div>
    <w:div w:id="667247544">
      <w:marLeft w:val="0"/>
      <w:marRight w:val="0"/>
      <w:marTop w:val="0"/>
      <w:marBottom w:val="120"/>
      <w:divBdr>
        <w:top w:val="none" w:sz="0" w:space="0" w:color="auto"/>
        <w:left w:val="none" w:sz="0" w:space="0" w:color="auto"/>
        <w:bottom w:val="single" w:sz="12" w:space="0" w:color="000000"/>
        <w:right w:val="none" w:sz="0" w:space="0" w:color="auto"/>
      </w:divBdr>
    </w:div>
    <w:div w:id="676932226">
      <w:marLeft w:val="0"/>
      <w:marRight w:val="0"/>
      <w:marTop w:val="120"/>
      <w:marBottom w:val="0"/>
      <w:divBdr>
        <w:top w:val="none" w:sz="0" w:space="0" w:color="auto"/>
        <w:left w:val="none" w:sz="0" w:space="0" w:color="auto"/>
        <w:bottom w:val="none" w:sz="0" w:space="0" w:color="auto"/>
        <w:right w:val="none" w:sz="0" w:space="0" w:color="auto"/>
      </w:divBdr>
    </w:div>
    <w:div w:id="697661392">
      <w:marLeft w:val="0"/>
      <w:marRight w:val="0"/>
      <w:marTop w:val="0"/>
      <w:marBottom w:val="120"/>
      <w:divBdr>
        <w:top w:val="none" w:sz="0" w:space="0" w:color="auto"/>
        <w:left w:val="none" w:sz="0" w:space="0" w:color="auto"/>
        <w:bottom w:val="single" w:sz="12" w:space="0" w:color="000000"/>
        <w:right w:val="none" w:sz="0" w:space="0" w:color="auto"/>
      </w:divBdr>
    </w:div>
    <w:div w:id="712537169">
      <w:marLeft w:val="0"/>
      <w:marRight w:val="0"/>
      <w:marTop w:val="0"/>
      <w:marBottom w:val="120"/>
      <w:divBdr>
        <w:top w:val="none" w:sz="0" w:space="0" w:color="auto"/>
        <w:left w:val="none" w:sz="0" w:space="0" w:color="auto"/>
        <w:bottom w:val="single" w:sz="12" w:space="0" w:color="000000"/>
        <w:right w:val="none" w:sz="0" w:space="0" w:color="auto"/>
      </w:divBdr>
    </w:div>
    <w:div w:id="738138409">
      <w:marLeft w:val="0"/>
      <w:marRight w:val="0"/>
      <w:marTop w:val="0"/>
      <w:marBottom w:val="120"/>
      <w:divBdr>
        <w:top w:val="none" w:sz="0" w:space="0" w:color="auto"/>
        <w:left w:val="none" w:sz="0" w:space="0" w:color="auto"/>
        <w:bottom w:val="single" w:sz="12" w:space="0" w:color="000000"/>
        <w:right w:val="none" w:sz="0" w:space="0" w:color="auto"/>
      </w:divBdr>
    </w:div>
    <w:div w:id="738401220">
      <w:marLeft w:val="0"/>
      <w:marRight w:val="0"/>
      <w:marTop w:val="120"/>
      <w:marBottom w:val="0"/>
      <w:divBdr>
        <w:top w:val="none" w:sz="0" w:space="0" w:color="auto"/>
        <w:left w:val="none" w:sz="0" w:space="0" w:color="auto"/>
        <w:bottom w:val="none" w:sz="0" w:space="0" w:color="auto"/>
        <w:right w:val="none" w:sz="0" w:space="0" w:color="auto"/>
      </w:divBdr>
    </w:div>
    <w:div w:id="826898502">
      <w:marLeft w:val="0"/>
      <w:marRight w:val="0"/>
      <w:marTop w:val="0"/>
      <w:marBottom w:val="120"/>
      <w:divBdr>
        <w:top w:val="none" w:sz="0" w:space="0" w:color="auto"/>
        <w:left w:val="none" w:sz="0" w:space="0" w:color="auto"/>
        <w:bottom w:val="single" w:sz="12" w:space="0" w:color="000000"/>
        <w:right w:val="none" w:sz="0" w:space="0" w:color="auto"/>
      </w:divBdr>
    </w:div>
    <w:div w:id="928928552">
      <w:marLeft w:val="0"/>
      <w:marRight w:val="0"/>
      <w:marTop w:val="120"/>
      <w:marBottom w:val="0"/>
      <w:divBdr>
        <w:top w:val="none" w:sz="0" w:space="0" w:color="auto"/>
        <w:left w:val="none" w:sz="0" w:space="0" w:color="auto"/>
        <w:bottom w:val="none" w:sz="0" w:space="0" w:color="auto"/>
        <w:right w:val="none" w:sz="0" w:space="0" w:color="auto"/>
      </w:divBdr>
    </w:div>
    <w:div w:id="964386932">
      <w:marLeft w:val="0"/>
      <w:marRight w:val="0"/>
      <w:marTop w:val="120"/>
      <w:marBottom w:val="0"/>
      <w:divBdr>
        <w:top w:val="none" w:sz="0" w:space="0" w:color="auto"/>
        <w:left w:val="none" w:sz="0" w:space="0" w:color="auto"/>
        <w:bottom w:val="none" w:sz="0" w:space="0" w:color="auto"/>
        <w:right w:val="none" w:sz="0" w:space="0" w:color="auto"/>
      </w:divBdr>
    </w:div>
    <w:div w:id="968316418">
      <w:marLeft w:val="0"/>
      <w:marRight w:val="0"/>
      <w:marTop w:val="120"/>
      <w:marBottom w:val="0"/>
      <w:divBdr>
        <w:top w:val="none" w:sz="0" w:space="0" w:color="auto"/>
        <w:left w:val="none" w:sz="0" w:space="0" w:color="auto"/>
        <w:bottom w:val="none" w:sz="0" w:space="0" w:color="auto"/>
        <w:right w:val="none" w:sz="0" w:space="0" w:color="auto"/>
      </w:divBdr>
    </w:div>
    <w:div w:id="1006979734">
      <w:marLeft w:val="0"/>
      <w:marRight w:val="0"/>
      <w:marTop w:val="120"/>
      <w:marBottom w:val="0"/>
      <w:divBdr>
        <w:top w:val="none" w:sz="0" w:space="0" w:color="auto"/>
        <w:left w:val="none" w:sz="0" w:space="0" w:color="auto"/>
        <w:bottom w:val="none" w:sz="0" w:space="0" w:color="auto"/>
        <w:right w:val="none" w:sz="0" w:space="0" w:color="auto"/>
      </w:divBdr>
    </w:div>
    <w:div w:id="1010179549">
      <w:marLeft w:val="0"/>
      <w:marRight w:val="0"/>
      <w:marTop w:val="120"/>
      <w:marBottom w:val="0"/>
      <w:divBdr>
        <w:top w:val="none" w:sz="0" w:space="0" w:color="auto"/>
        <w:left w:val="none" w:sz="0" w:space="0" w:color="auto"/>
        <w:bottom w:val="none" w:sz="0" w:space="0" w:color="auto"/>
        <w:right w:val="none" w:sz="0" w:space="0" w:color="auto"/>
      </w:divBdr>
    </w:div>
    <w:div w:id="1020280950">
      <w:marLeft w:val="0"/>
      <w:marRight w:val="0"/>
      <w:marTop w:val="0"/>
      <w:marBottom w:val="0"/>
      <w:divBdr>
        <w:top w:val="none" w:sz="0" w:space="0" w:color="auto"/>
        <w:left w:val="none" w:sz="0" w:space="0" w:color="auto"/>
        <w:bottom w:val="none" w:sz="0" w:space="0" w:color="auto"/>
        <w:right w:val="none" w:sz="0" w:space="0" w:color="auto"/>
      </w:divBdr>
      <w:divsChild>
        <w:div w:id="735858128">
          <w:marLeft w:val="0"/>
          <w:marRight w:val="0"/>
          <w:marTop w:val="0"/>
          <w:marBottom w:val="0"/>
          <w:divBdr>
            <w:top w:val="single" w:sz="36" w:space="0" w:color="000000"/>
            <w:left w:val="none" w:sz="0" w:space="0" w:color="auto"/>
            <w:bottom w:val="single" w:sz="12" w:space="0" w:color="000000"/>
            <w:right w:val="none" w:sz="0" w:space="0" w:color="auto"/>
          </w:divBdr>
        </w:div>
      </w:divsChild>
    </w:div>
    <w:div w:id="1030573529">
      <w:marLeft w:val="0"/>
      <w:marRight w:val="0"/>
      <w:marTop w:val="0"/>
      <w:marBottom w:val="120"/>
      <w:divBdr>
        <w:top w:val="none" w:sz="0" w:space="0" w:color="auto"/>
        <w:left w:val="none" w:sz="0" w:space="0" w:color="auto"/>
        <w:bottom w:val="single" w:sz="12" w:space="0" w:color="000000"/>
        <w:right w:val="none" w:sz="0" w:space="0" w:color="auto"/>
      </w:divBdr>
    </w:div>
    <w:div w:id="1040665206">
      <w:marLeft w:val="0"/>
      <w:marRight w:val="0"/>
      <w:marTop w:val="120"/>
      <w:marBottom w:val="0"/>
      <w:divBdr>
        <w:top w:val="none" w:sz="0" w:space="0" w:color="auto"/>
        <w:left w:val="none" w:sz="0" w:space="0" w:color="auto"/>
        <w:bottom w:val="none" w:sz="0" w:space="0" w:color="auto"/>
        <w:right w:val="none" w:sz="0" w:space="0" w:color="auto"/>
      </w:divBdr>
    </w:div>
    <w:div w:id="1052540491">
      <w:marLeft w:val="0"/>
      <w:marRight w:val="0"/>
      <w:marTop w:val="0"/>
      <w:marBottom w:val="120"/>
      <w:divBdr>
        <w:top w:val="none" w:sz="0" w:space="0" w:color="auto"/>
        <w:left w:val="none" w:sz="0" w:space="0" w:color="auto"/>
        <w:bottom w:val="single" w:sz="12" w:space="0" w:color="000000"/>
        <w:right w:val="none" w:sz="0" w:space="0" w:color="auto"/>
      </w:divBdr>
    </w:div>
    <w:div w:id="1073161015">
      <w:marLeft w:val="0"/>
      <w:marRight w:val="0"/>
      <w:marTop w:val="0"/>
      <w:marBottom w:val="120"/>
      <w:divBdr>
        <w:top w:val="none" w:sz="0" w:space="0" w:color="auto"/>
        <w:left w:val="none" w:sz="0" w:space="0" w:color="auto"/>
        <w:bottom w:val="single" w:sz="12" w:space="0" w:color="000000"/>
        <w:right w:val="none" w:sz="0" w:space="0" w:color="auto"/>
      </w:divBdr>
    </w:div>
    <w:div w:id="1074358721">
      <w:marLeft w:val="0"/>
      <w:marRight w:val="0"/>
      <w:marTop w:val="120"/>
      <w:marBottom w:val="0"/>
      <w:divBdr>
        <w:top w:val="none" w:sz="0" w:space="0" w:color="auto"/>
        <w:left w:val="none" w:sz="0" w:space="0" w:color="auto"/>
        <w:bottom w:val="none" w:sz="0" w:space="0" w:color="auto"/>
        <w:right w:val="none" w:sz="0" w:space="0" w:color="auto"/>
      </w:divBdr>
    </w:div>
    <w:div w:id="1104887737">
      <w:marLeft w:val="0"/>
      <w:marRight w:val="0"/>
      <w:marTop w:val="0"/>
      <w:marBottom w:val="120"/>
      <w:divBdr>
        <w:top w:val="none" w:sz="0" w:space="0" w:color="auto"/>
        <w:left w:val="none" w:sz="0" w:space="0" w:color="auto"/>
        <w:bottom w:val="single" w:sz="12" w:space="0" w:color="000000"/>
        <w:right w:val="none" w:sz="0" w:space="0" w:color="auto"/>
      </w:divBdr>
    </w:div>
    <w:div w:id="1109929425">
      <w:marLeft w:val="0"/>
      <w:marRight w:val="0"/>
      <w:marTop w:val="120"/>
      <w:marBottom w:val="0"/>
      <w:divBdr>
        <w:top w:val="none" w:sz="0" w:space="0" w:color="auto"/>
        <w:left w:val="none" w:sz="0" w:space="0" w:color="auto"/>
        <w:bottom w:val="none" w:sz="0" w:space="0" w:color="auto"/>
        <w:right w:val="none" w:sz="0" w:space="0" w:color="auto"/>
      </w:divBdr>
    </w:div>
    <w:div w:id="1138572877">
      <w:marLeft w:val="0"/>
      <w:marRight w:val="0"/>
      <w:marTop w:val="120"/>
      <w:marBottom w:val="0"/>
      <w:divBdr>
        <w:top w:val="none" w:sz="0" w:space="0" w:color="auto"/>
        <w:left w:val="none" w:sz="0" w:space="0" w:color="auto"/>
        <w:bottom w:val="none" w:sz="0" w:space="0" w:color="auto"/>
        <w:right w:val="none" w:sz="0" w:space="0" w:color="auto"/>
      </w:divBdr>
    </w:div>
    <w:div w:id="1139297241">
      <w:marLeft w:val="0"/>
      <w:marRight w:val="0"/>
      <w:marTop w:val="120"/>
      <w:marBottom w:val="0"/>
      <w:divBdr>
        <w:top w:val="none" w:sz="0" w:space="0" w:color="auto"/>
        <w:left w:val="none" w:sz="0" w:space="0" w:color="auto"/>
        <w:bottom w:val="none" w:sz="0" w:space="0" w:color="auto"/>
        <w:right w:val="none" w:sz="0" w:space="0" w:color="auto"/>
      </w:divBdr>
    </w:div>
    <w:div w:id="1266889656">
      <w:marLeft w:val="0"/>
      <w:marRight w:val="0"/>
      <w:marTop w:val="120"/>
      <w:marBottom w:val="0"/>
      <w:divBdr>
        <w:top w:val="none" w:sz="0" w:space="0" w:color="auto"/>
        <w:left w:val="none" w:sz="0" w:space="0" w:color="auto"/>
        <w:bottom w:val="none" w:sz="0" w:space="0" w:color="auto"/>
        <w:right w:val="none" w:sz="0" w:space="0" w:color="auto"/>
      </w:divBdr>
    </w:div>
    <w:div w:id="1273589284">
      <w:marLeft w:val="0"/>
      <w:marRight w:val="0"/>
      <w:marTop w:val="0"/>
      <w:marBottom w:val="120"/>
      <w:divBdr>
        <w:top w:val="none" w:sz="0" w:space="0" w:color="auto"/>
        <w:left w:val="none" w:sz="0" w:space="0" w:color="auto"/>
        <w:bottom w:val="single" w:sz="12" w:space="0" w:color="000000"/>
        <w:right w:val="none" w:sz="0" w:space="0" w:color="auto"/>
      </w:divBdr>
    </w:div>
    <w:div w:id="1296064662">
      <w:marLeft w:val="0"/>
      <w:marRight w:val="0"/>
      <w:marTop w:val="120"/>
      <w:marBottom w:val="0"/>
      <w:divBdr>
        <w:top w:val="none" w:sz="0" w:space="0" w:color="auto"/>
        <w:left w:val="none" w:sz="0" w:space="0" w:color="auto"/>
        <w:bottom w:val="none" w:sz="0" w:space="0" w:color="auto"/>
        <w:right w:val="none" w:sz="0" w:space="0" w:color="auto"/>
      </w:divBdr>
    </w:div>
    <w:div w:id="1329989992">
      <w:marLeft w:val="0"/>
      <w:marRight w:val="0"/>
      <w:marTop w:val="0"/>
      <w:marBottom w:val="120"/>
      <w:divBdr>
        <w:top w:val="none" w:sz="0" w:space="0" w:color="auto"/>
        <w:left w:val="none" w:sz="0" w:space="0" w:color="auto"/>
        <w:bottom w:val="single" w:sz="12" w:space="0" w:color="000000"/>
        <w:right w:val="none" w:sz="0" w:space="0" w:color="auto"/>
      </w:divBdr>
    </w:div>
    <w:div w:id="1338927379">
      <w:marLeft w:val="0"/>
      <w:marRight w:val="0"/>
      <w:marTop w:val="0"/>
      <w:marBottom w:val="120"/>
      <w:divBdr>
        <w:top w:val="none" w:sz="0" w:space="0" w:color="auto"/>
        <w:left w:val="none" w:sz="0" w:space="0" w:color="auto"/>
        <w:bottom w:val="single" w:sz="12" w:space="0" w:color="000000"/>
        <w:right w:val="none" w:sz="0" w:space="0" w:color="auto"/>
      </w:divBdr>
    </w:div>
    <w:div w:id="1364133323">
      <w:marLeft w:val="0"/>
      <w:marRight w:val="0"/>
      <w:marTop w:val="0"/>
      <w:marBottom w:val="120"/>
      <w:divBdr>
        <w:top w:val="none" w:sz="0" w:space="0" w:color="auto"/>
        <w:left w:val="none" w:sz="0" w:space="0" w:color="auto"/>
        <w:bottom w:val="single" w:sz="12" w:space="0" w:color="000000"/>
        <w:right w:val="none" w:sz="0" w:space="0" w:color="auto"/>
      </w:divBdr>
    </w:div>
    <w:div w:id="1367483746">
      <w:marLeft w:val="0"/>
      <w:marRight w:val="0"/>
      <w:marTop w:val="0"/>
      <w:marBottom w:val="120"/>
      <w:divBdr>
        <w:top w:val="none" w:sz="0" w:space="0" w:color="auto"/>
        <w:left w:val="none" w:sz="0" w:space="0" w:color="auto"/>
        <w:bottom w:val="single" w:sz="12" w:space="0" w:color="000000"/>
        <w:right w:val="none" w:sz="0" w:space="0" w:color="auto"/>
      </w:divBdr>
    </w:div>
    <w:div w:id="1385367162">
      <w:marLeft w:val="0"/>
      <w:marRight w:val="0"/>
      <w:marTop w:val="120"/>
      <w:marBottom w:val="0"/>
      <w:divBdr>
        <w:top w:val="none" w:sz="0" w:space="0" w:color="auto"/>
        <w:left w:val="none" w:sz="0" w:space="0" w:color="auto"/>
        <w:bottom w:val="none" w:sz="0" w:space="0" w:color="auto"/>
        <w:right w:val="none" w:sz="0" w:space="0" w:color="auto"/>
      </w:divBdr>
    </w:div>
    <w:div w:id="1444762485">
      <w:marLeft w:val="0"/>
      <w:marRight w:val="0"/>
      <w:marTop w:val="0"/>
      <w:marBottom w:val="120"/>
      <w:divBdr>
        <w:top w:val="none" w:sz="0" w:space="0" w:color="auto"/>
        <w:left w:val="none" w:sz="0" w:space="0" w:color="auto"/>
        <w:bottom w:val="single" w:sz="12" w:space="0" w:color="000000"/>
        <w:right w:val="none" w:sz="0" w:space="0" w:color="auto"/>
      </w:divBdr>
    </w:div>
    <w:div w:id="1452169178">
      <w:marLeft w:val="0"/>
      <w:marRight w:val="0"/>
      <w:marTop w:val="0"/>
      <w:marBottom w:val="120"/>
      <w:divBdr>
        <w:top w:val="none" w:sz="0" w:space="0" w:color="auto"/>
        <w:left w:val="none" w:sz="0" w:space="0" w:color="auto"/>
        <w:bottom w:val="single" w:sz="12" w:space="0" w:color="000000"/>
        <w:right w:val="none" w:sz="0" w:space="0" w:color="auto"/>
      </w:divBdr>
    </w:div>
    <w:div w:id="1516843078">
      <w:marLeft w:val="0"/>
      <w:marRight w:val="0"/>
      <w:marTop w:val="120"/>
      <w:marBottom w:val="0"/>
      <w:divBdr>
        <w:top w:val="none" w:sz="0" w:space="0" w:color="auto"/>
        <w:left w:val="none" w:sz="0" w:space="0" w:color="auto"/>
        <w:bottom w:val="none" w:sz="0" w:space="0" w:color="auto"/>
        <w:right w:val="none" w:sz="0" w:space="0" w:color="auto"/>
      </w:divBdr>
    </w:div>
    <w:div w:id="1518889894">
      <w:marLeft w:val="0"/>
      <w:marRight w:val="0"/>
      <w:marTop w:val="0"/>
      <w:marBottom w:val="120"/>
      <w:divBdr>
        <w:top w:val="none" w:sz="0" w:space="0" w:color="auto"/>
        <w:left w:val="none" w:sz="0" w:space="0" w:color="auto"/>
        <w:bottom w:val="single" w:sz="12" w:space="0" w:color="000000"/>
        <w:right w:val="none" w:sz="0" w:space="0" w:color="auto"/>
      </w:divBdr>
    </w:div>
    <w:div w:id="1530797624">
      <w:marLeft w:val="0"/>
      <w:marRight w:val="0"/>
      <w:marTop w:val="120"/>
      <w:marBottom w:val="0"/>
      <w:divBdr>
        <w:top w:val="none" w:sz="0" w:space="0" w:color="auto"/>
        <w:left w:val="none" w:sz="0" w:space="0" w:color="auto"/>
        <w:bottom w:val="none" w:sz="0" w:space="0" w:color="auto"/>
        <w:right w:val="none" w:sz="0" w:space="0" w:color="auto"/>
      </w:divBdr>
    </w:div>
    <w:div w:id="1532182881">
      <w:marLeft w:val="0"/>
      <w:marRight w:val="0"/>
      <w:marTop w:val="0"/>
      <w:marBottom w:val="120"/>
      <w:divBdr>
        <w:top w:val="none" w:sz="0" w:space="0" w:color="auto"/>
        <w:left w:val="none" w:sz="0" w:space="0" w:color="auto"/>
        <w:bottom w:val="single" w:sz="12" w:space="0" w:color="000000"/>
        <w:right w:val="none" w:sz="0" w:space="0" w:color="auto"/>
      </w:divBdr>
    </w:div>
    <w:div w:id="1535997478">
      <w:marLeft w:val="0"/>
      <w:marRight w:val="0"/>
      <w:marTop w:val="120"/>
      <w:marBottom w:val="0"/>
      <w:divBdr>
        <w:top w:val="none" w:sz="0" w:space="0" w:color="auto"/>
        <w:left w:val="none" w:sz="0" w:space="0" w:color="auto"/>
        <w:bottom w:val="none" w:sz="0" w:space="0" w:color="auto"/>
        <w:right w:val="none" w:sz="0" w:space="0" w:color="auto"/>
      </w:divBdr>
    </w:div>
    <w:div w:id="1566254951">
      <w:marLeft w:val="0"/>
      <w:marRight w:val="0"/>
      <w:marTop w:val="0"/>
      <w:marBottom w:val="120"/>
      <w:divBdr>
        <w:top w:val="none" w:sz="0" w:space="0" w:color="auto"/>
        <w:left w:val="none" w:sz="0" w:space="0" w:color="auto"/>
        <w:bottom w:val="single" w:sz="12" w:space="0" w:color="000000"/>
        <w:right w:val="none" w:sz="0" w:space="0" w:color="auto"/>
      </w:divBdr>
    </w:div>
    <w:div w:id="1584073049">
      <w:marLeft w:val="0"/>
      <w:marRight w:val="0"/>
      <w:marTop w:val="120"/>
      <w:marBottom w:val="0"/>
      <w:divBdr>
        <w:top w:val="none" w:sz="0" w:space="0" w:color="auto"/>
        <w:left w:val="none" w:sz="0" w:space="0" w:color="auto"/>
        <w:bottom w:val="none" w:sz="0" w:space="0" w:color="auto"/>
        <w:right w:val="none" w:sz="0" w:space="0" w:color="auto"/>
      </w:divBdr>
    </w:div>
    <w:div w:id="1584073629">
      <w:marLeft w:val="0"/>
      <w:marRight w:val="0"/>
      <w:marTop w:val="120"/>
      <w:marBottom w:val="0"/>
      <w:divBdr>
        <w:top w:val="none" w:sz="0" w:space="0" w:color="auto"/>
        <w:left w:val="none" w:sz="0" w:space="0" w:color="auto"/>
        <w:bottom w:val="none" w:sz="0" w:space="0" w:color="auto"/>
        <w:right w:val="none" w:sz="0" w:space="0" w:color="auto"/>
      </w:divBdr>
    </w:div>
    <w:div w:id="1644039549">
      <w:marLeft w:val="0"/>
      <w:marRight w:val="0"/>
      <w:marTop w:val="120"/>
      <w:marBottom w:val="0"/>
      <w:divBdr>
        <w:top w:val="none" w:sz="0" w:space="0" w:color="auto"/>
        <w:left w:val="none" w:sz="0" w:space="0" w:color="auto"/>
        <w:bottom w:val="none" w:sz="0" w:space="0" w:color="auto"/>
        <w:right w:val="none" w:sz="0" w:space="0" w:color="auto"/>
      </w:divBdr>
    </w:div>
    <w:div w:id="1655403567">
      <w:marLeft w:val="0"/>
      <w:marRight w:val="0"/>
      <w:marTop w:val="120"/>
      <w:marBottom w:val="0"/>
      <w:divBdr>
        <w:top w:val="none" w:sz="0" w:space="0" w:color="auto"/>
        <w:left w:val="none" w:sz="0" w:space="0" w:color="auto"/>
        <w:bottom w:val="none" w:sz="0" w:space="0" w:color="auto"/>
        <w:right w:val="none" w:sz="0" w:space="0" w:color="auto"/>
      </w:divBdr>
    </w:div>
    <w:div w:id="1658145899">
      <w:marLeft w:val="0"/>
      <w:marRight w:val="0"/>
      <w:marTop w:val="120"/>
      <w:marBottom w:val="0"/>
      <w:divBdr>
        <w:top w:val="none" w:sz="0" w:space="0" w:color="auto"/>
        <w:left w:val="none" w:sz="0" w:space="0" w:color="auto"/>
        <w:bottom w:val="none" w:sz="0" w:space="0" w:color="auto"/>
        <w:right w:val="none" w:sz="0" w:space="0" w:color="auto"/>
      </w:divBdr>
    </w:div>
    <w:div w:id="1662194083">
      <w:marLeft w:val="0"/>
      <w:marRight w:val="0"/>
      <w:marTop w:val="0"/>
      <w:marBottom w:val="120"/>
      <w:divBdr>
        <w:top w:val="none" w:sz="0" w:space="0" w:color="auto"/>
        <w:left w:val="none" w:sz="0" w:space="0" w:color="auto"/>
        <w:bottom w:val="single" w:sz="12" w:space="0" w:color="000000"/>
        <w:right w:val="none" w:sz="0" w:space="0" w:color="auto"/>
      </w:divBdr>
    </w:div>
    <w:div w:id="1683817147">
      <w:marLeft w:val="0"/>
      <w:marRight w:val="0"/>
      <w:marTop w:val="0"/>
      <w:marBottom w:val="120"/>
      <w:divBdr>
        <w:top w:val="none" w:sz="0" w:space="0" w:color="auto"/>
        <w:left w:val="none" w:sz="0" w:space="0" w:color="auto"/>
        <w:bottom w:val="single" w:sz="12" w:space="0" w:color="000000"/>
        <w:right w:val="none" w:sz="0" w:space="0" w:color="auto"/>
      </w:divBdr>
    </w:div>
    <w:div w:id="1713649438">
      <w:marLeft w:val="0"/>
      <w:marRight w:val="0"/>
      <w:marTop w:val="0"/>
      <w:marBottom w:val="120"/>
      <w:divBdr>
        <w:top w:val="none" w:sz="0" w:space="0" w:color="auto"/>
        <w:left w:val="none" w:sz="0" w:space="0" w:color="auto"/>
        <w:bottom w:val="single" w:sz="12" w:space="0" w:color="000000"/>
        <w:right w:val="none" w:sz="0" w:space="0" w:color="auto"/>
      </w:divBdr>
    </w:div>
    <w:div w:id="1744402840">
      <w:marLeft w:val="0"/>
      <w:marRight w:val="0"/>
      <w:marTop w:val="120"/>
      <w:marBottom w:val="0"/>
      <w:divBdr>
        <w:top w:val="none" w:sz="0" w:space="0" w:color="auto"/>
        <w:left w:val="none" w:sz="0" w:space="0" w:color="auto"/>
        <w:bottom w:val="none" w:sz="0" w:space="0" w:color="auto"/>
        <w:right w:val="none" w:sz="0" w:space="0" w:color="auto"/>
      </w:divBdr>
    </w:div>
    <w:div w:id="1747798240">
      <w:marLeft w:val="0"/>
      <w:marRight w:val="0"/>
      <w:marTop w:val="0"/>
      <w:marBottom w:val="120"/>
      <w:divBdr>
        <w:top w:val="none" w:sz="0" w:space="0" w:color="auto"/>
        <w:left w:val="none" w:sz="0" w:space="0" w:color="auto"/>
        <w:bottom w:val="single" w:sz="12" w:space="0" w:color="000000"/>
        <w:right w:val="none" w:sz="0" w:space="0" w:color="auto"/>
      </w:divBdr>
    </w:div>
    <w:div w:id="1820614823">
      <w:marLeft w:val="0"/>
      <w:marRight w:val="0"/>
      <w:marTop w:val="120"/>
      <w:marBottom w:val="0"/>
      <w:divBdr>
        <w:top w:val="none" w:sz="0" w:space="0" w:color="auto"/>
        <w:left w:val="none" w:sz="0" w:space="0" w:color="auto"/>
        <w:bottom w:val="none" w:sz="0" w:space="0" w:color="auto"/>
        <w:right w:val="none" w:sz="0" w:space="0" w:color="auto"/>
      </w:divBdr>
    </w:div>
    <w:div w:id="1879277066">
      <w:marLeft w:val="0"/>
      <w:marRight w:val="0"/>
      <w:marTop w:val="0"/>
      <w:marBottom w:val="120"/>
      <w:divBdr>
        <w:top w:val="none" w:sz="0" w:space="0" w:color="auto"/>
        <w:left w:val="none" w:sz="0" w:space="0" w:color="auto"/>
        <w:bottom w:val="single" w:sz="12" w:space="0" w:color="000000"/>
        <w:right w:val="none" w:sz="0" w:space="0" w:color="auto"/>
      </w:divBdr>
    </w:div>
    <w:div w:id="1891574768">
      <w:marLeft w:val="0"/>
      <w:marRight w:val="0"/>
      <w:marTop w:val="0"/>
      <w:marBottom w:val="0"/>
      <w:divBdr>
        <w:top w:val="none" w:sz="0" w:space="0" w:color="auto"/>
        <w:left w:val="none" w:sz="0" w:space="0" w:color="auto"/>
        <w:bottom w:val="none" w:sz="0" w:space="0" w:color="auto"/>
        <w:right w:val="none" w:sz="0" w:space="0" w:color="auto"/>
      </w:divBdr>
      <w:divsChild>
        <w:div w:id="836728673">
          <w:marLeft w:val="0"/>
          <w:marRight w:val="0"/>
          <w:marTop w:val="0"/>
          <w:marBottom w:val="0"/>
          <w:divBdr>
            <w:top w:val="single" w:sz="12" w:space="0" w:color="000000"/>
            <w:left w:val="none" w:sz="0" w:space="0" w:color="auto"/>
            <w:bottom w:val="single" w:sz="36" w:space="0" w:color="000000"/>
            <w:right w:val="none" w:sz="0" w:space="0" w:color="auto"/>
          </w:divBdr>
        </w:div>
      </w:divsChild>
    </w:div>
    <w:div w:id="1920015167">
      <w:marLeft w:val="0"/>
      <w:marRight w:val="0"/>
      <w:marTop w:val="120"/>
      <w:marBottom w:val="0"/>
      <w:divBdr>
        <w:top w:val="none" w:sz="0" w:space="0" w:color="auto"/>
        <w:left w:val="none" w:sz="0" w:space="0" w:color="auto"/>
        <w:bottom w:val="none" w:sz="0" w:space="0" w:color="auto"/>
        <w:right w:val="none" w:sz="0" w:space="0" w:color="auto"/>
      </w:divBdr>
    </w:div>
    <w:div w:id="1922639333">
      <w:marLeft w:val="0"/>
      <w:marRight w:val="0"/>
      <w:marTop w:val="120"/>
      <w:marBottom w:val="0"/>
      <w:divBdr>
        <w:top w:val="none" w:sz="0" w:space="0" w:color="auto"/>
        <w:left w:val="none" w:sz="0" w:space="0" w:color="auto"/>
        <w:bottom w:val="none" w:sz="0" w:space="0" w:color="auto"/>
        <w:right w:val="none" w:sz="0" w:space="0" w:color="auto"/>
      </w:divBdr>
    </w:div>
    <w:div w:id="1928339333">
      <w:marLeft w:val="0"/>
      <w:marRight w:val="0"/>
      <w:marTop w:val="0"/>
      <w:marBottom w:val="120"/>
      <w:divBdr>
        <w:top w:val="none" w:sz="0" w:space="0" w:color="auto"/>
        <w:left w:val="none" w:sz="0" w:space="0" w:color="auto"/>
        <w:bottom w:val="single" w:sz="12" w:space="0" w:color="000000"/>
        <w:right w:val="none" w:sz="0" w:space="0" w:color="auto"/>
      </w:divBdr>
    </w:div>
    <w:div w:id="2018458923">
      <w:marLeft w:val="0"/>
      <w:marRight w:val="0"/>
      <w:marTop w:val="0"/>
      <w:marBottom w:val="120"/>
      <w:divBdr>
        <w:top w:val="none" w:sz="0" w:space="0" w:color="auto"/>
        <w:left w:val="none" w:sz="0" w:space="0" w:color="auto"/>
        <w:bottom w:val="single" w:sz="12" w:space="0" w:color="000000"/>
        <w:right w:val="none" w:sz="0" w:space="0" w:color="auto"/>
      </w:divBdr>
    </w:div>
    <w:div w:id="2052344310">
      <w:marLeft w:val="0"/>
      <w:marRight w:val="0"/>
      <w:marTop w:val="0"/>
      <w:marBottom w:val="120"/>
      <w:divBdr>
        <w:top w:val="none" w:sz="0" w:space="0" w:color="auto"/>
        <w:left w:val="none" w:sz="0" w:space="0" w:color="auto"/>
        <w:bottom w:val="single" w:sz="12" w:space="0" w:color="000000"/>
        <w:right w:val="none" w:sz="0" w:space="0" w:color="auto"/>
      </w:divBdr>
    </w:div>
    <w:div w:id="2096780495">
      <w:marLeft w:val="0"/>
      <w:marRight w:val="0"/>
      <w:marTop w:val="0"/>
      <w:marBottom w:val="120"/>
      <w:divBdr>
        <w:top w:val="none" w:sz="0" w:space="0" w:color="auto"/>
        <w:left w:val="none" w:sz="0" w:space="0" w:color="auto"/>
        <w:bottom w:val="single" w:sz="12" w:space="0" w:color="000000"/>
        <w:right w:val="none" w:sz="0" w:space="0" w:color="auto"/>
      </w:divBdr>
    </w:div>
    <w:div w:id="2131047480">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22610</Words>
  <Characters>128879</Characters>
  <Application>Microsoft Office Word</Application>
  <DocSecurity>0</DocSecurity>
  <Lines>1073</Lines>
  <Paragraphs>302</Paragraphs>
  <ScaleCrop>false</ScaleCrop>
  <Company/>
  <LinksUpToDate>false</LinksUpToDate>
  <CharactersWithSpaces>151187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