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649C3">
      <w:pPr>
        <w:pStyle w:val="a3"/>
        <w:spacing w:before="0" w:beforeAutospacing="0" w:after="0" w:afterAutospacing="0"/>
        <w:rPr>
          <w:sz w:val="20"/>
          <w:szCs w:val="20"/>
        </w:rPr>
      </w:pPr>
      <w:r>
        <w:rPr>
          <w:sz w:val="20"/>
          <w:szCs w:val="20"/>
        </w:rPr>
        <w:t> </w:t>
      </w:r>
    </w:p>
    <w:p w:rsidR="00000000" w:rsidRDefault="009649C3">
      <w:pPr>
        <w:divId w:val="760302296"/>
        <w:rPr>
          <w:rFonts w:eastAsia="Times New Roman"/>
          <w:sz w:val="2"/>
          <w:szCs w:val="2"/>
        </w:rPr>
      </w:pPr>
      <w:r>
        <w:rPr>
          <w:rFonts w:eastAsia="Times New Roman"/>
          <w:sz w:val="2"/>
          <w:szCs w:val="2"/>
        </w:rPr>
        <w:t>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36"/>
          <w:szCs w:val="36"/>
        </w:rPr>
        <w:t>UNITED STATES</w:t>
      </w:r>
    </w:p>
    <w:p w:rsidR="00000000" w:rsidRDefault="009649C3">
      <w:pPr>
        <w:pStyle w:val="a3"/>
        <w:spacing w:before="0" w:beforeAutospacing="0" w:after="0" w:afterAutospacing="0"/>
        <w:jc w:val="center"/>
        <w:rPr>
          <w:sz w:val="20"/>
          <w:szCs w:val="20"/>
        </w:rPr>
      </w:pPr>
      <w:r>
        <w:rPr>
          <w:b/>
          <w:bCs/>
          <w:sz w:val="36"/>
          <w:szCs w:val="36"/>
        </w:rPr>
        <w:t>SECURITIES AND EXCHANGE COMMISSION</w:t>
      </w:r>
    </w:p>
    <w:p w:rsidR="00000000" w:rsidRDefault="009649C3">
      <w:pPr>
        <w:pStyle w:val="a3"/>
        <w:spacing w:before="0" w:beforeAutospacing="0" w:after="0" w:afterAutospacing="0"/>
        <w:jc w:val="center"/>
        <w:rPr>
          <w:sz w:val="20"/>
          <w:szCs w:val="20"/>
        </w:rPr>
      </w:pPr>
      <w:r>
        <w:rPr>
          <w:b/>
          <w:bCs/>
        </w:rPr>
        <w:t>WASHINGTON, D.C. 20549</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36"/>
          <w:szCs w:val="36"/>
        </w:rPr>
        <w:t>FORM 10-K</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[X] </w:t>
      </w:r>
      <w:r>
        <w:rPr>
          <w:b/>
          <w:bCs/>
          <w:sz w:val="20"/>
          <w:szCs w:val="20"/>
        </w:rPr>
        <w:t>ANNUAL REPORT UNDER SECTION 13 OR 15(d) OF THE SECURITIES EXCHANGE ACT OF 1934</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fiscal year ended December 31, 2020 </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sz w:val="20"/>
          <w:szCs w:val="20"/>
        </w:rPr>
        <w:t>or</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  ] </w:t>
      </w:r>
      <w:r>
        <w:rPr>
          <w:b/>
          <w:bCs/>
          <w:sz w:val="20"/>
          <w:szCs w:val="20"/>
        </w:rPr>
        <w:t>TRANSITION REPORT PURSUANT TO SECTION 13 OR 15(d) OF THE SECURITIES EXCHANGE ACT OF 1934</w:t>
      </w:r>
    </w:p>
    <w:p w:rsidR="00000000" w:rsidRDefault="009649C3">
      <w:pPr>
        <w:pStyle w:val="a3"/>
        <w:spacing w:before="0" w:beforeAutospacing="0" w:after="0" w:afterAutospacing="0"/>
        <w:ind w:firstLine="72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For the transition period from ________ to _________</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Commission file number: 0-53497</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36"/>
          <w:szCs w:val="36"/>
          <w:u w:val="single"/>
        </w:rPr>
        <w:t>VIVOS INC</w:t>
      </w:r>
    </w:p>
    <w:p w:rsidR="00000000" w:rsidRDefault="009649C3">
      <w:pPr>
        <w:pStyle w:val="a3"/>
        <w:spacing w:before="0" w:beforeAutospacing="0" w:after="0" w:afterAutospacing="0"/>
        <w:jc w:val="center"/>
        <w:rPr>
          <w:sz w:val="20"/>
          <w:szCs w:val="20"/>
        </w:rPr>
      </w:pPr>
      <w:r>
        <w:rPr>
          <w:sz w:val="20"/>
          <w:szCs w:val="20"/>
        </w:rPr>
        <w:t>(Exact name o</w:t>
      </w:r>
      <w:r>
        <w:rPr>
          <w:sz w:val="20"/>
          <w:szCs w:val="20"/>
        </w:rPr>
        <w:t>f registrant as specified in its charter)</w:t>
      </w:r>
    </w:p>
    <w:p w:rsidR="00000000" w:rsidRDefault="009649C3">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9649C3">
            <w:pPr>
              <w:jc w:val="center"/>
              <w:rPr>
                <w:rFonts w:eastAsia="Times New Roman"/>
                <w:sz w:val="20"/>
                <w:szCs w:val="20"/>
              </w:rPr>
            </w:pPr>
            <w:r>
              <w:rPr>
                <w:rFonts w:eastAsia="Times New Roman"/>
                <w:b/>
                <w:bCs/>
                <w:sz w:val="20"/>
                <w:szCs w:val="20"/>
                <w:u w:val="single"/>
              </w:rPr>
              <w:t>Delaware</w:t>
            </w:r>
          </w:p>
        </w:tc>
        <w:tc>
          <w:tcPr>
            <w:tcW w:w="100" w:type="pct"/>
            <w:hideMark/>
          </w:tcPr>
          <w:p w:rsidR="00000000" w:rsidRDefault="009649C3">
            <w:pPr>
              <w:jc w:val="center"/>
              <w:rPr>
                <w:rFonts w:eastAsia="Times New Roman"/>
                <w:sz w:val="20"/>
                <w:szCs w:val="20"/>
              </w:rPr>
            </w:pPr>
            <w:r>
              <w:rPr>
                <w:rFonts w:eastAsia="Times New Roman"/>
                <w:sz w:val="20"/>
                <w:szCs w:val="20"/>
              </w:rPr>
              <w:t> </w:t>
            </w:r>
          </w:p>
        </w:tc>
        <w:tc>
          <w:tcPr>
            <w:tcW w:w="2450" w:type="pct"/>
            <w:hideMark/>
          </w:tcPr>
          <w:p w:rsidR="00000000" w:rsidRDefault="009649C3">
            <w:pPr>
              <w:jc w:val="center"/>
              <w:rPr>
                <w:rFonts w:eastAsia="Times New Roman"/>
                <w:sz w:val="20"/>
                <w:szCs w:val="20"/>
              </w:rPr>
            </w:pPr>
            <w:r>
              <w:rPr>
                <w:rFonts w:eastAsia="Times New Roman"/>
                <w:b/>
                <w:bCs/>
                <w:sz w:val="20"/>
                <w:szCs w:val="20"/>
                <w:u w:val="single"/>
              </w:rPr>
              <w:t>80-0138937</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(State or other jurisdiction of</w:t>
            </w:r>
          </w:p>
        </w:tc>
        <w:tc>
          <w:tcPr>
            <w:tcW w:w="0" w:type="auto"/>
            <w:hideMark/>
          </w:tcPr>
          <w:p w:rsidR="00000000" w:rsidRDefault="009649C3">
            <w:pPr>
              <w:jc w:val="center"/>
              <w:rPr>
                <w:rFonts w:eastAsia="Times New Roman"/>
                <w:sz w:val="20"/>
                <w:szCs w:val="20"/>
              </w:rPr>
            </w:pPr>
            <w:r>
              <w:rPr>
                <w:rFonts w:eastAsia="Times New Roman"/>
                <w:sz w:val="20"/>
                <w:szCs w:val="20"/>
              </w:rPr>
              <w:t> </w:t>
            </w:r>
          </w:p>
        </w:tc>
        <w:tc>
          <w:tcPr>
            <w:tcW w:w="0" w:type="auto"/>
            <w:hideMark/>
          </w:tcPr>
          <w:p w:rsidR="00000000" w:rsidRDefault="009649C3">
            <w:pPr>
              <w:jc w:val="center"/>
              <w:rPr>
                <w:rFonts w:eastAsia="Times New Roman"/>
                <w:sz w:val="20"/>
                <w:szCs w:val="20"/>
              </w:rPr>
            </w:pPr>
            <w:r>
              <w:rPr>
                <w:rFonts w:eastAsia="Times New Roman"/>
                <w:sz w:val="20"/>
                <w:szCs w:val="20"/>
              </w:rPr>
              <w:t>(I.R.S. Employer</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incorporation or organization)</w:t>
            </w:r>
          </w:p>
        </w:tc>
        <w:tc>
          <w:tcPr>
            <w:tcW w:w="0" w:type="auto"/>
            <w:hideMark/>
          </w:tcPr>
          <w:p w:rsidR="00000000" w:rsidRDefault="009649C3">
            <w:pPr>
              <w:jc w:val="center"/>
              <w:rPr>
                <w:rFonts w:eastAsia="Times New Roman"/>
                <w:sz w:val="20"/>
                <w:szCs w:val="20"/>
              </w:rPr>
            </w:pPr>
            <w:r>
              <w:rPr>
                <w:rFonts w:eastAsia="Times New Roman"/>
                <w:sz w:val="20"/>
                <w:szCs w:val="20"/>
              </w:rPr>
              <w:t> </w:t>
            </w:r>
          </w:p>
        </w:tc>
        <w:tc>
          <w:tcPr>
            <w:tcW w:w="0" w:type="auto"/>
            <w:hideMark/>
          </w:tcPr>
          <w:p w:rsidR="00000000" w:rsidRDefault="009649C3">
            <w:pPr>
              <w:jc w:val="center"/>
              <w:rPr>
                <w:rFonts w:eastAsia="Times New Roman"/>
                <w:sz w:val="20"/>
                <w:szCs w:val="20"/>
              </w:rPr>
            </w:pPr>
            <w:r>
              <w:rPr>
                <w:rFonts w:eastAsia="Times New Roman"/>
                <w:sz w:val="20"/>
                <w:szCs w:val="20"/>
              </w:rPr>
              <w:t>Identification No.)</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u w:val="single"/>
        </w:rPr>
        <w:t xml:space="preserve">719 Jadwin Avenue </w:t>
      </w:r>
      <w:r>
        <w:rPr>
          <w:b/>
          <w:bCs/>
          <w:sz w:val="20"/>
          <w:szCs w:val="20"/>
          <w:u w:val="single"/>
        </w:rPr>
        <w:t>●</w:t>
      </w:r>
      <w:r>
        <w:rPr>
          <w:b/>
          <w:bCs/>
          <w:sz w:val="20"/>
          <w:szCs w:val="20"/>
          <w:u w:val="single"/>
        </w:rPr>
        <w:t xml:space="preserve"> Richland, Washington 99352</w:t>
      </w:r>
    </w:p>
    <w:p w:rsidR="00000000" w:rsidRDefault="009649C3">
      <w:pPr>
        <w:pStyle w:val="a3"/>
        <w:spacing w:before="0" w:beforeAutospacing="0" w:after="0" w:afterAutospacing="0"/>
        <w:jc w:val="center"/>
        <w:rPr>
          <w:sz w:val="20"/>
          <w:szCs w:val="20"/>
        </w:rPr>
      </w:pPr>
      <w:r>
        <w:rPr>
          <w:sz w:val="20"/>
          <w:szCs w:val="20"/>
        </w:rPr>
        <w:t xml:space="preserve">(Address </w:t>
      </w:r>
      <w:r>
        <w:rPr>
          <w:sz w:val="20"/>
          <w:szCs w:val="20"/>
        </w:rPr>
        <w:t>of principal executive offices) (Zip Code)</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u w:val="single"/>
        </w:rPr>
        <w:t>(509) 736-4000</w:t>
      </w:r>
    </w:p>
    <w:p w:rsidR="00000000" w:rsidRDefault="009649C3">
      <w:pPr>
        <w:pStyle w:val="a3"/>
        <w:spacing w:before="0" w:beforeAutospacing="0" w:after="0" w:afterAutospacing="0"/>
        <w:jc w:val="center"/>
        <w:rPr>
          <w:sz w:val="20"/>
          <w:szCs w:val="20"/>
        </w:rPr>
      </w:pPr>
      <w:r>
        <w:rPr>
          <w:sz w:val="20"/>
          <w:szCs w:val="20"/>
        </w:rPr>
        <w:t>Registrant’s telephone number, including area code</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Securities registered pursuant to Section 12(b) of the Act: None</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Securities </w:t>
      </w:r>
      <w:r>
        <w:rPr>
          <w:sz w:val="20"/>
          <w:szCs w:val="20"/>
        </w:rPr>
        <w:t>registered pursuant to Section 12(g) of the Act: Common Stock, $0.001 Par Value</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Indicate by check mark if the registrant is a well-known seasoned issuer, as defined in Rule 405 of the Securities Act. Yes [  ] No [X]</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Indicate by check mark if the regist</w:t>
      </w:r>
      <w:r>
        <w:rPr>
          <w:sz w:val="20"/>
          <w:szCs w:val="20"/>
        </w:rPr>
        <w:t>rant is not required to file reports pursuant to Section 13 or 15(d) of the Act. Yes [  ] No [X]</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w:t>
      </w:r>
      <w:r>
        <w:rPr>
          <w:sz w:val="20"/>
          <w:szCs w:val="20"/>
        </w:rPr>
        <w:t>ring the preceding 12 months (or for such shorter period that the registrant was required to file such reports), and (2) has been subject to such filing requirements for the past 90 days. Yes [X] No [  ]</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Indicate by check mark whether the registrant has </w:t>
      </w:r>
      <w:r>
        <w:rPr>
          <w:sz w:val="20"/>
          <w:szCs w:val="20"/>
        </w:rPr>
        <w:t>submitted electronically every Interactive Data File required to be submitted pursuant to Rule 405 of Regulation S-T during the preceding 12 months (or for such shorter period that the registrant was required to submit such files). Yes [X] No [  ]</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w:t>
      </w:r>
      <w:r>
        <w:rPr>
          <w:sz w:val="20"/>
          <w:szCs w:val="20"/>
        </w:rPr>
        <w:t xml:space="preserve">te by check mark if disclosure of delinquent filers pursuant to Item 405 of Regulation S-K is not contained herein, and will not be contained, to the best of registrant’s knowledge, in definitive proxy or </w:t>
      </w:r>
      <w:r>
        <w:rPr>
          <w:sz w:val="20"/>
          <w:szCs w:val="20"/>
        </w:rPr>
        <w:lastRenderedPageBreak/>
        <w:t>information statements incorporated by reference in</w:t>
      </w:r>
      <w:r>
        <w:rPr>
          <w:sz w:val="20"/>
          <w:szCs w:val="20"/>
        </w:rPr>
        <w:t xml:space="preserve"> Part III of this Form 10-K or any amendment to this Form 10-K. [  ]</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w:t>
      </w:r>
      <w:r>
        <w:rPr>
          <w:sz w:val="20"/>
          <w:szCs w:val="20"/>
        </w:rPr>
        <w:t xml:space="preserve"> the definitions of “large accelerated filer,” “accelerated filer,” “smaller reporting company” and “emerging growth company” in Rule 12b-2 of the Exchange Act.</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246"/>
        <w:gridCol w:w="2907"/>
        <w:gridCol w:w="1661"/>
      </w:tblGrid>
      <w:tr w:rsidR="00000000">
        <w:tc>
          <w:tcPr>
            <w:tcW w:w="1500" w:type="pct"/>
            <w:hideMark/>
          </w:tcPr>
          <w:p w:rsidR="00000000" w:rsidRDefault="009649C3">
            <w:pPr>
              <w:rPr>
                <w:rFonts w:eastAsia="Times New Roman"/>
                <w:sz w:val="20"/>
                <w:szCs w:val="20"/>
              </w:rPr>
            </w:pPr>
            <w:r>
              <w:rPr>
                <w:rFonts w:eastAsia="Times New Roman"/>
                <w:b/>
                <w:bCs/>
                <w:sz w:val="20"/>
                <w:szCs w:val="20"/>
              </w:rPr>
              <w:t>Large Accelerated Filer</w:t>
            </w:r>
          </w:p>
        </w:tc>
        <w:tc>
          <w:tcPr>
            <w:tcW w:w="750" w:type="pct"/>
            <w:hideMark/>
          </w:tcPr>
          <w:p w:rsidR="00000000" w:rsidRDefault="009649C3">
            <w:pPr>
              <w:jc w:val="center"/>
              <w:rPr>
                <w:rFonts w:eastAsia="Times New Roman"/>
                <w:sz w:val="20"/>
                <w:szCs w:val="20"/>
              </w:rPr>
            </w:pPr>
            <w:r>
              <w:rPr>
                <w:rFonts w:eastAsia="Times New Roman"/>
                <w:sz w:val="20"/>
                <w:szCs w:val="20"/>
              </w:rPr>
              <w:t>[  ]</w:t>
            </w:r>
          </w:p>
        </w:tc>
        <w:tc>
          <w:tcPr>
            <w:tcW w:w="1750" w:type="pct"/>
            <w:hideMark/>
          </w:tcPr>
          <w:p w:rsidR="00000000" w:rsidRDefault="009649C3">
            <w:pPr>
              <w:rPr>
                <w:rFonts w:eastAsia="Times New Roman"/>
                <w:sz w:val="20"/>
                <w:szCs w:val="20"/>
              </w:rPr>
            </w:pPr>
            <w:r>
              <w:rPr>
                <w:rFonts w:eastAsia="Times New Roman"/>
                <w:b/>
                <w:bCs/>
                <w:sz w:val="20"/>
                <w:szCs w:val="20"/>
              </w:rPr>
              <w:t xml:space="preserve">Accelerated Filer </w:t>
            </w:r>
          </w:p>
        </w:tc>
        <w:tc>
          <w:tcPr>
            <w:tcW w:w="1000" w:type="pct"/>
            <w:hideMark/>
          </w:tcPr>
          <w:p w:rsidR="00000000" w:rsidRDefault="009649C3">
            <w:pPr>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b/>
                <w:bCs/>
                <w:sz w:val="20"/>
                <w:szCs w:val="20"/>
              </w:rPr>
              <w:t>Non-Accelerated Filer</w:t>
            </w:r>
          </w:p>
        </w:tc>
        <w:tc>
          <w:tcPr>
            <w:tcW w:w="0" w:type="auto"/>
            <w:hideMark/>
          </w:tcPr>
          <w:p w:rsidR="00000000" w:rsidRDefault="009649C3">
            <w:pPr>
              <w:jc w:val="center"/>
              <w:rPr>
                <w:rFonts w:eastAsia="Times New Roman"/>
                <w:sz w:val="20"/>
                <w:szCs w:val="20"/>
              </w:rPr>
            </w:pPr>
            <w:r>
              <w:rPr>
                <w:rFonts w:eastAsia="Times New Roman"/>
                <w:sz w:val="20"/>
                <w:szCs w:val="20"/>
              </w:rPr>
              <w:t>[X]</w:t>
            </w:r>
          </w:p>
        </w:tc>
        <w:tc>
          <w:tcPr>
            <w:tcW w:w="0" w:type="auto"/>
            <w:hideMark/>
          </w:tcPr>
          <w:p w:rsidR="00000000" w:rsidRDefault="009649C3">
            <w:pPr>
              <w:rPr>
                <w:rFonts w:eastAsia="Times New Roman"/>
                <w:sz w:val="20"/>
                <w:szCs w:val="20"/>
              </w:rPr>
            </w:pPr>
            <w:r>
              <w:rPr>
                <w:rFonts w:eastAsia="Times New Roman"/>
                <w:b/>
                <w:bCs/>
                <w:sz w:val="20"/>
                <w:szCs w:val="20"/>
              </w:rPr>
              <w:t>Smaller Reporting Company</w:t>
            </w:r>
          </w:p>
        </w:tc>
        <w:tc>
          <w:tcPr>
            <w:tcW w:w="0" w:type="auto"/>
            <w:hideMark/>
          </w:tcPr>
          <w:p w:rsidR="00000000" w:rsidRDefault="009649C3">
            <w:pPr>
              <w:rPr>
                <w:rFonts w:eastAsia="Times New Roman"/>
                <w:sz w:val="20"/>
                <w:szCs w:val="20"/>
              </w:rPr>
            </w:pPr>
            <w:r>
              <w:rPr>
                <w:rFonts w:eastAsia="Times New Roman"/>
                <w:sz w:val="20"/>
                <w:szCs w:val="20"/>
              </w:rPr>
              <w:t>[X]</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b/>
                <w:bCs/>
                <w:sz w:val="20"/>
                <w:szCs w:val="20"/>
              </w:rPr>
              <w:t>Emerging growth company</w:t>
            </w:r>
          </w:p>
        </w:tc>
        <w:tc>
          <w:tcPr>
            <w:tcW w:w="0" w:type="auto"/>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Indicate by check mark whether the registrant is a shell company (as defined in Rule 12b-2 of the Act). Yes [  ] No [X]</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9649C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2"/>
        <w:gridCol w:w="166"/>
        <w:gridCol w:w="1661"/>
        <w:gridCol w:w="166"/>
        <w:gridCol w:w="3821"/>
      </w:tblGrid>
      <w:tr w:rsidR="00000000">
        <w:trPr>
          <w:tblCellSpacing w:w="0" w:type="dxa"/>
        </w:trPr>
        <w:tc>
          <w:tcPr>
            <w:tcW w:w="1500" w:type="pct"/>
            <w:tcBorders>
              <w:bottom w:val="single" w:sz="12" w:space="0" w:color="000000"/>
            </w:tcBorders>
            <w:hideMark/>
          </w:tcPr>
          <w:p w:rsidR="00000000" w:rsidRDefault="009649C3">
            <w:pPr>
              <w:jc w:val="both"/>
              <w:rPr>
                <w:rFonts w:eastAsia="Times New Roman"/>
                <w:sz w:val="20"/>
                <w:szCs w:val="20"/>
              </w:rPr>
            </w:pPr>
            <w:r>
              <w:rPr>
                <w:rFonts w:eastAsia="Times New Roman"/>
                <w:b/>
                <w:bCs/>
                <w:sz w:val="20"/>
                <w:szCs w:val="20"/>
              </w:rPr>
              <w:t>Title of Each Class</w:t>
            </w:r>
          </w:p>
        </w:tc>
        <w:tc>
          <w:tcPr>
            <w:tcW w:w="100" w:type="pct"/>
            <w:hideMark/>
          </w:tcPr>
          <w:p w:rsidR="00000000" w:rsidRDefault="009649C3">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9649C3">
            <w:pPr>
              <w:jc w:val="both"/>
              <w:rPr>
                <w:rFonts w:eastAsia="Times New Roman"/>
                <w:sz w:val="20"/>
                <w:szCs w:val="20"/>
              </w:rPr>
            </w:pPr>
            <w:r>
              <w:rPr>
                <w:rFonts w:eastAsia="Times New Roman"/>
                <w:b/>
                <w:bCs/>
                <w:sz w:val="20"/>
                <w:szCs w:val="20"/>
              </w:rPr>
              <w:t>Trading Symbol</w:t>
            </w:r>
          </w:p>
        </w:tc>
        <w:tc>
          <w:tcPr>
            <w:tcW w:w="100" w:type="pct"/>
            <w:hideMark/>
          </w:tcPr>
          <w:p w:rsidR="00000000" w:rsidRDefault="009649C3">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rsidR="00000000" w:rsidRDefault="009649C3">
            <w:pP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aggregate market value of the voting and non-voting common equity held by non-affiliates computed by reference to the price at which the common equity was l</w:t>
      </w:r>
      <w:r>
        <w:rPr>
          <w:sz w:val="20"/>
          <w:szCs w:val="20"/>
        </w:rPr>
        <w:t>ast sold, or the average bid and asked price of such common equity, as of the last business day of the registrant’s most recently completed second fiscal quarter was approximately $7,045,405. Shares of common stock held by each executive officer and direct</w:t>
      </w:r>
      <w:r>
        <w:rPr>
          <w:sz w:val="20"/>
          <w:szCs w:val="20"/>
        </w:rPr>
        <w:t>or and by each person who owns 10% or more of the outstanding common stock of the registrant have been excluded in that such persons may be deemed to be affiliates. This determination of affiliate status is not necessarily a conclusive determination for ot</w:t>
      </w:r>
      <w:r>
        <w:rPr>
          <w:sz w:val="20"/>
          <w:szCs w:val="20"/>
        </w:rPr>
        <w:t>her purposes. Without acknowledging that any individual director of registrant is an affiliate, all directors have been included as affiliates with respect to shares owned by them.</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As </w:t>
      </w:r>
      <w:r>
        <w:rPr>
          <w:sz w:val="20"/>
          <w:szCs w:val="20"/>
        </w:rPr>
        <w:t>of March 18, 2021, there were 297,346,254 shares of the registrant’s common stock outstanding, 2,171,006 shares of the registrant’s Series A Convertible Preferred Stock outstanding, 436,653 of the registrant’s Series B Convertible Preferred Stock outstandi</w:t>
      </w:r>
      <w:r>
        <w:rPr>
          <w:sz w:val="20"/>
          <w:szCs w:val="20"/>
        </w:rPr>
        <w:t>ng and 385,302 of the registrant’s Series C Convertible Preferred Stock outstanding.</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divId w:val="1567498481"/>
        <w:rPr>
          <w:rFonts w:eastAsia="Times New Roman"/>
          <w:sz w:val="2"/>
          <w:szCs w:val="2"/>
        </w:rPr>
      </w:pPr>
      <w:r>
        <w:rPr>
          <w:rFonts w:eastAsia="Times New Roman"/>
          <w:sz w:val="2"/>
          <w:szCs w:val="2"/>
        </w:rPr>
        <w:t> </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90300512"/>
        </w:trPr>
        <w:tc>
          <w:tcPr>
            <w:tcW w:w="5000" w:type="pct"/>
            <w:hideMark/>
          </w:tcPr>
          <w:p w:rsidR="00000000" w:rsidRDefault="009649C3">
            <w:pPr>
              <w:jc w:val="cente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divId w:val="1334802043"/>
        <w:rPr>
          <w:sz w:val="20"/>
          <w:szCs w:val="20"/>
        </w:rPr>
      </w:pPr>
      <w:r>
        <w:rPr>
          <w:sz w:val="20"/>
          <w:szCs w:val="20"/>
        </w:rPr>
        <w:t>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VIVOS INC</w:t>
      </w:r>
    </w:p>
    <w:p w:rsidR="00000000" w:rsidRDefault="009649C3">
      <w:pPr>
        <w:pStyle w:val="a3"/>
        <w:spacing w:before="0" w:beforeAutospacing="0" w:after="0" w:afterAutospacing="0"/>
        <w:jc w:val="center"/>
        <w:rPr>
          <w:sz w:val="20"/>
          <w:szCs w:val="20"/>
        </w:rPr>
      </w:pPr>
      <w:r>
        <w:rPr>
          <w:b/>
          <w:bCs/>
          <w:sz w:val="20"/>
          <w:szCs w:val="20"/>
        </w:rPr>
        <w:t>Report on Form 10-K</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TABLE OF CONTENTS</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Page</w:t>
            </w:r>
          </w:p>
        </w:tc>
      </w:tr>
      <w:tr w:rsidR="00000000">
        <w:tc>
          <w:tcPr>
            <w:tcW w:w="0" w:type="auto"/>
            <w:shd w:val="clear" w:color="auto" w:fill="CCEEFF"/>
            <w:hideMark/>
          </w:tcPr>
          <w:p w:rsidR="00000000" w:rsidRDefault="009649C3">
            <w:pPr>
              <w:rPr>
                <w:rFonts w:eastAsia="Times New Roman"/>
                <w:sz w:val="20"/>
                <w:szCs w:val="20"/>
              </w:rPr>
            </w:pPr>
            <w:hyperlink w:anchor="v_001" w:history="1">
              <w:r>
                <w:rPr>
                  <w:rStyle w:val="a4"/>
                  <w:rFonts w:eastAsia="Times New Roman"/>
                  <w:b/>
                  <w:bCs/>
                  <w:sz w:val="20"/>
                  <w:szCs w:val="20"/>
                </w:rPr>
                <w:t>PART I.</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9649C3">
            <w:pPr>
              <w:rPr>
                <w:rFonts w:eastAsia="Times New Roman"/>
                <w:sz w:val="20"/>
                <w:szCs w:val="20"/>
              </w:rPr>
            </w:pPr>
            <w:hyperlink w:anchor="v_002" w:history="1">
              <w:r>
                <w:rPr>
                  <w:rStyle w:val="a4"/>
                  <w:rFonts w:eastAsia="Times New Roman"/>
                  <w:sz w:val="20"/>
                  <w:szCs w:val="20"/>
                </w:rPr>
                <w:t>Business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1A.</w:t>
            </w:r>
          </w:p>
        </w:tc>
        <w:tc>
          <w:tcPr>
            <w:tcW w:w="0" w:type="auto"/>
            <w:shd w:val="clear" w:color="auto" w:fill="FFFFFF"/>
            <w:hideMark/>
          </w:tcPr>
          <w:p w:rsidR="00000000" w:rsidRDefault="009649C3">
            <w:pPr>
              <w:rPr>
                <w:rFonts w:eastAsia="Times New Roman"/>
                <w:sz w:val="20"/>
                <w:szCs w:val="20"/>
              </w:rPr>
            </w:pPr>
            <w:hyperlink w:anchor="v_003" w:history="1">
              <w:r>
                <w:rPr>
                  <w:rStyle w:val="a4"/>
                  <w:rFonts w:eastAsia="Times New Roman"/>
                  <w:sz w:val="20"/>
                  <w:szCs w:val="20"/>
                </w:rPr>
                <w:t>Risk Factors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13</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1B.</w:t>
            </w:r>
          </w:p>
        </w:tc>
        <w:tc>
          <w:tcPr>
            <w:tcW w:w="0" w:type="auto"/>
            <w:shd w:val="clear" w:color="auto" w:fill="CCEEFF"/>
            <w:hideMark/>
          </w:tcPr>
          <w:p w:rsidR="00000000" w:rsidRDefault="009649C3">
            <w:pPr>
              <w:rPr>
                <w:rFonts w:eastAsia="Times New Roman"/>
                <w:sz w:val="20"/>
                <w:szCs w:val="20"/>
              </w:rPr>
            </w:pPr>
            <w:hyperlink w:anchor="v_004" w:history="1">
              <w:r>
                <w:rPr>
                  <w:rStyle w:val="a4"/>
                  <w:rFonts w:eastAsia="Times New Roman"/>
                  <w:sz w:val="20"/>
                  <w:szCs w:val="20"/>
                </w:rPr>
                <w:t>Unresolved Staff Comments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9649C3">
            <w:pPr>
              <w:rPr>
                <w:rFonts w:eastAsia="Times New Roman"/>
                <w:sz w:val="20"/>
                <w:szCs w:val="20"/>
              </w:rPr>
            </w:pPr>
            <w:hyperlink w:anchor="v_005" w:history="1">
              <w:r>
                <w:rPr>
                  <w:rStyle w:val="a4"/>
                  <w:rFonts w:eastAsia="Times New Roman"/>
                  <w:sz w:val="20"/>
                  <w:szCs w:val="20"/>
                </w:rPr>
                <w:t>Properties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9649C3">
            <w:pPr>
              <w:rPr>
                <w:rFonts w:eastAsia="Times New Roman"/>
                <w:sz w:val="20"/>
                <w:szCs w:val="20"/>
              </w:rPr>
            </w:pPr>
            <w:hyperlink w:anchor="v_006" w:history="1">
              <w:r>
                <w:rPr>
                  <w:rStyle w:val="a4"/>
                  <w:rFonts w:eastAsia="Times New Roman"/>
                  <w:sz w:val="20"/>
                  <w:szCs w:val="20"/>
                </w:rPr>
                <w:t>Legal Pr</w:t>
              </w:r>
              <w:r>
                <w:rPr>
                  <w:rStyle w:val="a4"/>
                  <w:rFonts w:eastAsia="Times New Roman"/>
                  <w:sz w:val="20"/>
                  <w:szCs w:val="20"/>
                </w:rPr>
                <w:t>oceedings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9649C3">
            <w:pPr>
              <w:rPr>
                <w:rFonts w:eastAsia="Times New Roman"/>
                <w:sz w:val="20"/>
                <w:szCs w:val="20"/>
              </w:rPr>
            </w:pPr>
            <w:hyperlink w:anchor="v_007"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hyperlink w:anchor="v_008" w:history="1">
              <w:r>
                <w:rPr>
                  <w:rStyle w:val="a4"/>
                  <w:rFonts w:eastAsia="Times New Roman"/>
                  <w:b/>
                  <w:bCs/>
                  <w:sz w:val="20"/>
                  <w:szCs w:val="20"/>
                </w:rPr>
                <w:t>PART II.</w:t>
              </w:r>
            </w:hyperlink>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5.</w:t>
            </w:r>
          </w:p>
        </w:tc>
        <w:tc>
          <w:tcPr>
            <w:tcW w:w="0" w:type="auto"/>
            <w:shd w:val="clear" w:color="auto" w:fill="FFFFFF"/>
            <w:hideMark/>
          </w:tcPr>
          <w:p w:rsidR="00000000" w:rsidRDefault="009649C3">
            <w:pPr>
              <w:rPr>
                <w:rFonts w:eastAsia="Times New Roman"/>
                <w:sz w:val="20"/>
                <w:szCs w:val="20"/>
              </w:rPr>
            </w:pPr>
            <w:hyperlink w:anchor="v_009"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24</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lastRenderedPageBreak/>
              <w:t>Item 6.</w:t>
            </w:r>
          </w:p>
        </w:tc>
        <w:tc>
          <w:tcPr>
            <w:tcW w:w="0" w:type="auto"/>
            <w:shd w:val="clear" w:color="auto" w:fill="CCEEFF"/>
            <w:hideMark/>
          </w:tcPr>
          <w:p w:rsidR="00000000" w:rsidRDefault="009649C3">
            <w:pPr>
              <w:rPr>
                <w:rFonts w:eastAsia="Times New Roman"/>
                <w:sz w:val="20"/>
                <w:szCs w:val="20"/>
              </w:rPr>
            </w:pPr>
            <w:hyperlink w:anchor="v_010" w:history="1">
              <w:r>
                <w:rPr>
                  <w:rStyle w:val="a4"/>
                  <w:rFonts w:eastAsia="Times New Roman"/>
                  <w:sz w:val="20"/>
                  <w:szCs w:val="20"/>
                </w:rPr>
                <w:t>Selected Financial Data</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26</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7.</w:t>
            </w:r>
          </w:p>
        </w:tc>
        <w:tc>
          <w:tcPr>
            <w:tcW w:w="0" w:type="auto"/>
            <w:shd w:val="clear" w:color="auto" w:fill="FFFFFF"/>
            <w:hideMark/>
          </w:tcPr>
          <w:p w:rsidR="00000000" w:rsidRDefault="009649C3">
            <w:pPr>
              <w:rPr>
                <w:rFonts w:eastAsia="Times New Roman"/>
                <w:sz w:val="20"/>
                <w:szCs w:val="20"/>
              </w:rPr>
            </w:pPr>
            <w:hyperlink w:anchor="v_01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26</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9649C3">
            <w:pPr>
              <w:rPr>
                <w:rFonts w:eastAsia="Times New Roman"/>
                <w:sz w:val="20"/>
                <w:szCs w:val="20"/>
              </w:rPr>
            </w:pPr>
            <w:hyperlink w:anchor="v_01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33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8.</w:t>
            </w:r>
          </w:p>
        </w:tc>
        <w:tc>
          <w:tcPr>
            <w:tcW w:w="0" w:type="auto"/>
            <w:shd w:val="clear" w:color="auto" w:fill="FFFFFF"/>
            <w:hideMark/>
          </w:tcPr>
          <w:p w:rsidR="00000000" w:rsidRDefault="009649C3">
            <w:pPr>
              <w:rPr>
                <w:rFonts w:eastAsia="Times New Roman"/>
                <w:sz w:val="20"/>
                <w:szCs w:val="20"/>
              </w:rPr>
            </w:pPr>
            <w:hyperlink w:anchor="v_013" w:history="1">
              <w:r>
                <w:rPr>
                  <w:rStyle w:val="a4"/>
                  <w:rFonts w:eastAsia="Times New Roman"/>
                  <w:sz w:val="20"/>
                  <w:szCs w:val="20"/>
                </w:rPr>
                <w:t>Financial Statements and Supplementary Da</w:t>
              </w:r>
              <w:r>
                <w:rPr>
                  <w:rStyle w:val="a4"/>
                  <w:rFonts w:eastAsia="Times New Roman"/>
                  <w:sz w:val="20"/>
                  <w:szCs w:val="20"/>
                </w:rPr>
                <w:t>ta</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33</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9649C3">
            <w:pPr>
              <w:rPr>
                <w:rFonts w:eastAsia="Times New Roman"/>
                <w:sz w:val="20"/>
                <w:szCs w:val="20"/>
              </w:rPr>
            </w:pPr>
            <w:hyperlink w:anchor="v_014"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33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9A.</w:t>
            </w:r>
          </w:p>
        </w:tc>
        <w:tc>
          <w:tcPr>
            <w:tcW w:w="0" w:type="auto"/>
            <w:shd w:val="clear" w:color="auto" w:fill="FFFFFF"/>
            <w:hideMark/>
          </w:tcPr>
          <w:p w:rsidR="00000000" w:rsidRDefault="009649C3">
            <w:pPr>
              <w:rPr>
                <w:rFonts w:eastAsia="Times New Roman"/>
                <w:sz w:val="20"/>
                <w:szCs w:val="20"/>
              </w:rPr>
            </w:pPr>
            <w:hyperlink w:anchor="v_015"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9649C3">
            <w:pPr>
              <w:rPr>
                <w:rFonts w:eastAsia="Times New Roman"/>
                <w:sz w:val="20"/>
                <w:szCs w:val="20"/>
              </w:rPr>
            </w:pPr>
            <w:hyperlink w:anchor="v_016" w:history="1">
              <w:r>
                <w:rPr>
                  <w:rStyle w:val="a4"/>
                  <w:rFonts w:eastAsia="Times New Roman"/>
                  <w:sz w:val="20"/>
                  <w:szCs w:val="20"/>
                </w:rPr>
                <w:t>Other Information</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35</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17" w:history="1">
              <w:r>
                <w:rPr>
                  <w:rStyle w:val="a4"/>
                  <w:rFonts w:eastAsia="Times New Roman"/>
                  <w:b/>
                  <w:bCs/>
                  <w:sz w:val="20"/>
                  <w:szCs w:val="20"/>
                </w:rPr>
                <w:t>PART III.</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9649C3">
            <w:pPr>
              <w:rPr>
                <w:rFonts w:eastAsia="Times New Roman"/>
                <w:sz w:val="20"/>
                <w:szCs w:val="20"/>
              </w:rPr>
            </w:pPr>
            <w:hyperlink w:anchor="v_018"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35</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11.</w:t>
            </w:r>
          </w:p>
        </w:tc>
        <w:tc>
          <w:tcPr>
            <w:tcW w:w="0" w:type="auto"/>
            <w:shd w:val="clear" w:color="auto" w:fill="FFFFFF"/>
            <w:hideMark/>
          </w:tcPr>
          <w:p w:rsidR="00000000" w:rsidRDefault="009649C3">
            <w:pPr>
              <w:rPr>
                <w:rFonts w:eastAsia="Times New Roman"/>
                <w:sz w:val="20"/>
                <w:szCs w:val="20"/>
              </w:rPr>
            </w:pPr>
            <w:hyperlink w:anchor="v_019" w:history="1">
              <w:r>
                <w:rPr>
                  <w:rStyle w:val="a4"/>
                  <w:rFonts w:eastAsia="Times New Roman"/>
                  <w:sz w:val="20"/>
                  <w:szCs w:val="20"/>
                </w:rPr>
                <w:t>Executive Compensation</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9649C3">
            <w:pPr>
              <w:rPr>
                <w:rFonts w:eastAsia="Times New Roman"/>
                <w:sz w:val="20"/>
                <w:szCs w:val="20"/>
              </w:rPr>
            </w:pPr>
            <w:hyperlink w:anchor="v_020"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41</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Item 13.</w:t>
            </w:r>
          </w:p>
        </w:tc>
        <w:tc>
          <w:tcPr>
            <w:tcW w:w="0" w:type="auto"/>
            <w:shd w:val="clear" w:color="auto" w:fill="FFFFFF"/>
            <w:hideMark/>
          </w:tcPr>
          <w:p w:rsidR="00000000" w:rsidRDefault="009649C3">
            <w:pPr>
              <w:rPr>
                <w:rFonts w:eastAsia="Times New Roman"/>
                <w:sz w:val="20"/>
                <w:szCs w:val="20"/>
              </w:rPr>
            </w:pPr>
            <w:hyperlink w:anchor="v_021" w:history="1">
              <w:r>
                <w:rPr>
                  <w:rStyle w:val="a4"/>
                  <w:rFonts w:eastAsia="Times New Roman"/>
                  <w:sz w:val="20"/>
                  <w:szCs w:val="20"/>
                </w:rPr>
                <w:t>Certain Relationships and Related Transactions, and Director Independence</w:t>
              </w:r>
            </w:hyperlink>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44</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9649C3">
            <w:pPr>
              <w:rPr>
                <w:rFonts w:eastAsia="Times New Roman"/>
                <w:sz w:val="20"/>
                <w:szCs w:val="20"/>
              </w:rPr>
            </w:pPr>
            <w:hyperlink w:anchor="v_022" w:history="1">
              <w:r>
                <w:rPr>
                  <w:rStyle w:val="a4"/>
                  <w:rFonts w:eastAsia="Times New Roman"/>
                  <w:sz w:val="20"/>
                  <w:szCs w:val="20"/>
                </w:rPr>
                <w:t>Principal Accountant Fees and Services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45</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3" w:history="1">
              <w:r>
                <w:rPr>
                  <w:rStyle w:val="a4"/>
                  <w:rFonts w:eastAsia="Times New Roman"/>
                  <w:b/>
                  <w:bCs/>
                  <w:sz w:val="20"/>
                  <w:szCs w:val="20"/>
                </w:rPr>
                <w:t>PART IV.</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9649C3">
            <w:pPr>
              <w:rPr>
                <w:rFonts w:eastAsia="Times New Roman"/>
                <w:sz w:val="20"/>
                <w:szCs w:val="20"/>
              </w:rPr>
            </w:pPr>
            <w:hyperlink w:anchor="v_024" w:history="1">
              <w:r>
                <w:rPr>
                  <w:rStyle w:val="a4"/>
                  <w:rFonts w:eastAsia="Times New Roman"/>
                  <w:sz w:val="20"/>
                  <w:szCs w:val="20"/>
                </w:rPr>
                <w:t>Exhib</w:t>
              </w:r>
              <w:r>
                <w:rPr>
                  <w:rStyle w:val="a4"/>
                  <w:rFonts w:eastAsia="Times New Roman"/>
                  <w:sz w:val="20"/>
                  <w:szCs w:val="20"/>
                </w:rPr>
                <w:t>its and Financial Statement Schedules</w:t>
              </w:r>
            </w:hyperlink>
          </w:p>
        </w:tc>
        <w:tc>
          <w:tcPr>
            <w:tcW w:w="0" w:type="auto"/>
            <w:shd w:val="clear" w:color="auto" w:fill="CCEEFF"/>
            <w:vAlign w:val="bottom"/>
            <w:hideMark/>
          </w:tcPr>
          <w:p w:rsidR="00000000" w:rsidRDefault="009649C3">
            <w:pPr>
              <w:jc w:val="center"/>
              <w:rPr>
                <w:rFonts w:eastAsia="Times New Roman"/>
                <w:sz w:val="20"/>
                <w:szCs w:val="20"/>
              </w:rPr>
            </w:pPr>
            <w:r>
              <w:rPr>
                <w:rFonts w:eastAsia="Times New Roman"/>
                <w:sz w:val="20"/>
                <w:szCs w:val="20"/>
              </w:rPr>
              <w:t>46</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7311566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0" w:name="v_001"/>
      <w:bookmarkEnd w:id="0"/>
      <w:r>
        <w:rPr>
          <w:b/>
          <w:bCs/>
          <w:sz w:val="20"/>
          <w:szCs w:val="20"/>
        </w:rPr>
        <w:t>PART I</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FORWARD LOOKING STATEMENTS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Except </w:t>
      </w:r>
      <w:r>
        <w:rPr>
          <w:sz w:val="20"/>
          <w:szCs w:val="20"/>
        </w:rPr>
        <w:t>for statements of historical fact, certain information described in this Annual Report on Form 10-K (“</w:t>
      </w:r>
      <w:r>
        <w:rPr>
          <w:i/>
          <w:iCs/>
          <w:sz w:val="20"/>
          <w:szCs w:val="20"/>
        </w:rPr>
        <w:t>Annual Report</w:t>
      </w:r>
      <w:r>
        <w:rPr>
          <w:sz w:val="20"/>
          <w:szCs w:val="20"/>
        </w:rPr>
        <w:t>”) contains “forward-looking statements” that involve substantial risks and uncertainties. You can identify these statements by forward-looki</w:t>
      </w:r>
      <w:r>
        <w:rPr>
          <w:sz w:val="20"/>
          <w:szCs w:val="20"/>
        </w:rPr>
        <w:t>ng words such as “anticipate,” “believe,” “could,” “estimate,” “expect,” “intend,” “may,” “should,” “will,” “would” or similar words. The statements that contain these or similar words should be read carefully because these statements discuss the Company’s</w:t>
      </w:r>
      <w:r>
        <w:rPr>
          <w:sz w:val="20"/>
          <w:szCs w:val="20"/>
        </w:rPr>
        <w:t xml:space="preserve"> future expectations, including its expectations of its future results of operations or financial position, or state other “forward-looking” information. Vivos Inc. believes that it is important to communicate its future expectations to its investors. Howe</w:t>
      </w:r>
      <w:r>
        <w:rPr>
          <w:sz w:val="20"/>
          <w:szCs w:val="20"/>
        </w:rPr>
        <w:t>ver, there may be events in the future that the Company is not able to accurately predict or to control. Further, the Company urges you to be cautious of the forward-looking statements which are contained in this Annual Report because they involve risks, u</w:t>
      </w:r>
      <w:r>
        <w:rPr>
          <w:sz w:val="20"/>
          <w:szCs w:val="20"/>
        </w:rPr>
        <w:t xml:space="preserve">ncertainties and other factors affecting its operations, market growth, service, products and licenses. The risk factors in the section captioned “Risk Factors” in Item 1A of the Company’s Annual Report, as well as other cautionary language in this Annual </w:t>
      </w:r>
      <w:r>
        <w:rPr>
          <w:sz w:val="20"/>
          <w:szCs w:val="20"/>
        </w:rPr>
        <w:t>Report, describe such risks, uncertainties and events that may cause the Company’s actual results and achievements, whether expressed or implied, to differ materially from the expectations the Company describes in its forward-looking statements. The occurr</w:t>
      </w:r>
      <w:r>
        <w:rPr>
          <w:sz w:val="20"/>
          <w:szCs w:val="20"/>
        </w:rPr>
        <w:t>ence of any of the events described as risk factors could have a material adverse effect on the Company’s business, results of operations and financial position.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 w:name="v_002"/>
      <w:bookmarkEnd w:id="1"/>
      <w:r>
        <w:rPr>
          <w:b/>
          <w:bCs/>
          <w:sz w:val="20"/>
          <w:szCs w:val="20"/>
        </w:rPr>
        <w:t>ITEM 1. BUSINESS.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Vivos </w:t>
      </w:r>
      <w:r>
        <w:rPr>
          <w:sz w:val="20"/>
          <w:szCs w:val="20"/>
        </w:rPr>
        <w:t>Inc. is a radiation oncology medical device company engaged in the development of its yttrium-90 (“Y-90”) based brachytherapy device, RadioGel™, for the treatment of non-resectable tumors. A prominent team of radiochemists, scientists and engineers, collab</w:t>
      </w:r>
      <w:r>
        <w:rPr>
          <w:sz w:val="20"/>
          <w:szCs w:val="20"/>
        </w:rPr>
        <w:t>orating with strategic partners, including national laboratories, universities and private corporations, lead the Company’s development efforts. The Company’s overall vision is to globally empower physicians, medical researchers and patients by providing t</w:t>
      </w:r>
      <w:r>
        <w:rPr>
          <w:sz w:val="20"/>
          <w:szCs w:val="20"/>
        </w:rPr>
        <w:t>hem with new isotope technologies that offer safe and effective treatments for cancer.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In 2013 the FDA issued the determination that RadioGel™ is a device for human therapy for non-resectable cancers in humans. This should result in a faster path than a </w:t>
      </w:r>
      <w:r>
        <w:rPr>
          <w:sz w:val="20"/>
          <w:szCs w:val="20"/>
        </w:rPr>
        <w:t>drug for final approval.</w:t>
      </w:r>
    </w:p>
    <w:p w:rsidR="00000000" w:rsidRDefault="009649C3">
      <w:pPr>
        <w:pStyle w:val="a3"/>
        <w:spacing w:before="0" w:beforeAutospacing="0" w:after="0" w:afterAutospacing="0"/>
        <w:jc w:val="both"/>
        <w:rPr>
          <w:sz w:val="20"/>
          <w:szCs w:val="20"/>
        </w:rPr>
      </w:pPr>
      <w:r>
        <w:rPr>
          <w:sz w:val="20"/>
          <w:szCs w:val="20"/>
        </w:rPr>
        <w:lastRenderedPageBreak/>
        <w:t> </w:t>
      </w:r>
    </w:p>
    <w:p w:rsidR="00000000" w:rsidRDefault="009649C3">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 xml:space="preserve">should be classified </w:t>
      </w:r>
      <w:r>
        <w:rPr>
          <w:sz w:val="20"/>
          <w:szCs w:val="20"/>
        </w:rPr>
        <w:t>as 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w:t>
      </w:r>
      <w:r>
        <w:rPr>
          <w:sz w:val="20"/>
          <w:szCs w:val="20"/>
        </w:rPr>
        <w:t xml:space="preserve"> is not limited to canine and feline sarcomas, but rather may be extended to a much broader population of veterinary cancers, including all or most solid tumors in animals. We expect the result of such classification and label review will be that no additi</w:t>
      </w:r>
      <w:r>
        <w:rPr>
          <w:sz w:val="20"/>
          <w:szCs w:val="20"/>
        </w:rPr>
        <w:t>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w:t>
      </w:r>
      <w:r>
        <w:rPr>
          <w:sz w:val="20"/>
          <w:szCs w:val="20"/>
        </w:rPr>
        <w:t>e product is safe, effective, properly labeled, and otherwise in compliance with all applicable laws and regulations.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2068167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w:t>
      </w:r>
      <w:r>
        <w:rPr>
          <w:sz w:val="20"/>
          <w:szCs w:val="20"/>
        </w:rPr>
        <w:t>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w:t>
      </w:r>
      <w:r>
        <w:rPr>
          <w:sz w:val="20"/>
          <w:szCs w:val="20"/>
        </w:rPr>
        <w:t>on that we use “IsoPet®”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 for animal therapy, through the Company’s IsoPet</w:t>
      </w:r>
      <w:r>
        <w:rPr>
          <w:sz w:val="20"/>
          <w:szCs w:val="20"/>
        </w:rPr>
        <w:t>® Solutions division.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0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 A contract was signed with University of Missouri to treat canine sarcomas and equine</w:t>
      </w:r>
      <w:r>
        <w:rPr>
          <w:sz w:val="20"/>
          <w:szCs w:val="20"/>
        </w:rPr>
        <w:t xml:space="preserve"> sarcoids starting in November 2017.</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w:t>
      </w:r>
      <w:r>
        <w:rPr>
          <w:sz w:val="20"/>
          <w:szCs w:val="20"/>
        </w:rPr>
        <w:t>abilize), or worsen (progress) during treatment. The criteria were published by an international collaboration including the European Organisation for Research and Treatment of Cancer (“EORTC”), National Cancer Institute of the United States, and the Natio</w:t>
      </w:r>
      <w:r>
        <w:rPr>
          <w:sz w:val="20"/>
          <w:szCs w:val="20"/>
        </w:rPr>
        <w:t>nal Cancer Institute of Canada Clinical Trials Group.</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00"/>
        <w:jc w:val="both"/>
        <w:rPr>
          <w:sz w:val="20"/>
          <w:szCs w:val="20"/>
        </w:rPr>
      </w:pPr>
      <w:r>
        <w:rPr>
          <w:sz w:val="20"/>
          <w:szCs w:val="20"/>
        </w:rPr>
        <w:t>The testing at the University of Missouri met its objective to demonstrate the safety of IsoPet®. Using its advanced CT and PET equipment it was able to demonstrate that the dose calculations were acc</w:t>
      </w:r>
      <w:r>
        <w:rPr>
          <w:sz w:val="20"/>
          <w:szCs w:val="20"/>
        </w:rPr>
        <w:t>urate and that the injections perfused into the cell interstices and did not stay concentrated in a bolus. This results in a more homogeneous dose distribution. There was insignificant spread of Y-90 outside the points of injection demonstrating the effect</w:t>
      </w:r>
      <w:r>
        <w:rPr>
          <w:sz w:val="20"/>
          <w:szCs w:val="20"/>
        </w:rPr>
        <w:t>iveness of the particles and the gel to localize the radiation with no spreading to the blood or other organs nor to urine or fecal material. This confirms that IsoPet® is safe for same day therapy.</w:t>
      </w:r>
    </w:p>
    <w:p w:rsidR="00000000" w:rsidRDefault="009649C3">
      <w:pPr>
        <w:pStyle w:val="a3"/>
        <w:spacing w:before="0" w:beforeAutospacing="0" w:after="0" w:afterAutospacing="0"/>
        <w:ind w:firstLine="700"/>
        <w:jc w:val="both"/>
        <w:rPr>
          <w:sz w:val="20"/>
          <w:szCs w:val="20"/>
        </w:rPr>
      </w:pPr>
      <w:r>
        <w:rPr>
          <w:sz w:val="20"/>
          <w:szCs w:val="20"/>
        </w:rPr>
        <w:t> </w:t>
      </w:r>
    </w:p>
    <w:p w:rsidR="00000000" w:rsidRDefault="009649C3">
      <w:pPr>
        <w:pStyle w:val="a3"/>
        <w:spacing w:before="0" w:beforeAutospacing="0" w:after="0" w:afterAutospacing="0"/>
        <w:ind w:firstLine="700"/>
        <w:jc w:val="both"/>
        <w:rPr>
          <w:sz w:val="20"/>
          <w:szCs w:val="20"/>
        </w:rPr>
      </w:pPr>
      <w:r>
        <w:rPr>
          <w:sz w:val="20"/>
          <w:szCs w:val="20"/>
        </w:rPr>
        <w:t>The effectiveness of IsoPet® for life extension was not</w:t>
      </w:r>
      <w:r>
        <w:rPr>
          <w:sz w:val="20"/>
          <w:szCs w:val="20"/>
        </w:rPr>
        <w:t xml:space="preserve"> the prime objective, but it resulted in valuable insights. Of the cases one is still cancer-free but the others eventually recurred since there was not a strong focus on treating the margins. The University of Missouri has agreed to become a regional cent</w:t>
      </w:r>
      <w:r>
        <w:rPr>
          <w:sz w:val="20"/>
          <w:szCs w:val="20"/>
        </w:rPr>
        <w:t>er to administer IsoPet® therapy and will incorporate the improvements suggested by the testing program.</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 and related services, an</w:t>
      </w:r>
      <w:r>
        <w:rPr>
          <w:sz w:val="20"/>
          <w:szCs w:val="20"/>
        </w:rPr>
        <w:t>d from licensing to private medical and veterinary clinics in the U.S. and internationally. The Company intends to report the results from the IsoPet® Solutions division as a separate operating segment in accordance with GAAP.</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00"/>
        <w:jc w:val="both"/>
        <w:rPr>
          <w:sz w:val="20"/>
          <w:szCs w:val="20"/>
        </w:rPr>
      </w:pPr>
      <w:r>
        <w:rPr>
          <w:sz w:val="20"/>
          <w:szCs w:val="20"/>
        </w:rPr>
        <w:lastRenderedPageBreak/>
        <w:t>Commencing in July 2019, th</w:t>
      </w:r>
      <w:r>
        <w:rPr>
          <w:sz w:val="20"/>
          <w:szCs w:val="20"/>
        </w:rPr>
        <w:t xml:space="preserve">e Company recognized its first commercial sale of IsoPet®. </w:t>
      </w:r>
      <w:r>
        <w:rPr>
          <w:sz w:val="20"/>
          <w:szCs w:val="20"/>
          <w:shd w:val="clear" w:color="auto" w:fill="FFFFFF"/>
        </w:rPr>
        <w:t xml:space="preserve">A veterinarian from Alaska brought his cat with a re-occurrent spindle cell sarcoma tumor on his face. The cat had previously received external beam therapy, but now the tumor was growing rapidly. </w:t>
      </w:r>
      <w:r>
        <w:rPr>
          <w:sz w:val="20"/>
          <w:szCs w:val="20"/>
          <w:shd w:val="clear" w:color="auto" w:fill="FFFFFF"/>
        </w:rPr>
        <w:t xml:space="preserve">He was given a high dose of 400Gy with heavy therapy at the margins. This sale met the revenue recognition requirements under ASC 606 as the performance obligation was satisfied. The Company completed sales for an additional four animals that received </w:t>
      </w:r>
      <w:r>
        <w:rPr>
          <w:sz w:val="20"/>
          <w:szCs w:val="20"/>
        </w:rPr>
        <w:t xml:space="preserve">the </w:t>
      </w:r>
      <w:r>
        <w:rPr>
          <w:sz w:val="20"/>
          <w:szCs w:val="20"/>
        </w:rPr>
        <w:t>IsoPet® during 2019.</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Our 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w:t>
      </w:r>
      <w:r>
        <w:rPr>
          <w:sz w:val="20"/>
          <w:szCs w:val="20"/>
        </w:rPr>
        <w:t xml:space="preserve"> sell RadioGel™ as a Class II medical device. RadioGel™ is an injectable particle-gel for brachytherapy radiation treatment of cancerous tumors in people and animals. RadioGel™ is comprised of a hydrogel, or a substance that is liquid at room temperature a</w:t>
      </w:r>
      <w:r>
        <w:rPr>
          <w:sz w:val="20"/>
          <w:szCs w:val="20"/>
        </w:rPr>
        <w:t>nd then gels when reaching body temperature after injection into a tumor. In the gel are small, less than two microns, Y-90 phosphate particles. Once injected, these inert particles are locked in place inside the tumor by the gel, delivering a very high lo</w:t>
      </w:r>
      <w:r>
        <w:rPr>
          <w:sz w:val="20"/>
          <w:szCs w:val="20"/>
        </w:rPr>
        <w:t>cal radiation dose. The radiation is beta, consisting of high-speed electrons. These electrons only travel a short distance so the device can deliver high radiation to the tumor with minimal dose to the surrounding tissue. Optimally, patients can go home i</w:t>
      </w:r>
      <w:r>
        <w:rPr>
          <w:sz w:val="20"/>
          <w:szCs w:val="20"/>
        </w:rPr>
        <w:t>mmediately following treatment without the risk of radiation exposure to family members. Since Y-90 has a half-life of 2.7 days, the radioactivity drops to 5% of its original value after ten days.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4352969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Recently, </w:t>
      </w:r>
      <w:r>
        <w:rPr>
          <w:sz w:val="20"/>
          <w:szCs w:val="20"/>
        </w:rPr>
        <w:t>the Company modified its Indication for Use from skin cancel to cancerous tissue or solid tumors pathologically associated with locoregional papillary thyroid carcinoma and recurrent papillary thyroid carcinoma having discernable tumors associated with met</w:t>
      </w:r>
      <w:r>
        <w:rPr>
          <w:sz w:val="20"/>
          <w:szCs w:val="20"/>
        </w:rPr>
        <w:t>astatic lymph nodes or extranodal disease in patients who are not surgical candidates or who have declined surgery, or patients who require post-surgical remnant ablation (for example, after prior incomplete radioiodine therapy). Papillary thyroid carcinom</w:t>
      </w:r>
      <w:r>
        <w:rPr>
          <w:sz w:val="20"/>
          <w:szCs w:val="20"/>
        </w:rPr>
        <w:t>a belongs to the general class of head and neck tumors for which tumors are accessible by intraoperative direct needle injection. The Company’s Medical Advisory Board felt that demonstrating efficacy in clinical trials was much easier with this new indicat</w:t>
      </w:r>
      <w:r>
        <w:rPr>
          <w:sz w:val="20"/>
          <w:szCs w:val="20"/>
        </w:rPr>
        <w: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w:t>
      </w:r>
      <w:r>
        <w:rPr>
          <w:sz w:val="20"/>
          <w:szCs w:val="20"/>
        </w:rPr>
        <w:t>al customers. Battelle has granted the Company an exclusive license to patents covering the manufacturing, processing and applications of RadioGel™ (the “</w:t>
      </w:r>
      <w:r>
        <w:rPr>
          <w:i/>
          <w:iCs/>
          <w:sz w:val="20"/>
          <w:szCs w:val="20"/>
        </w:rPr>
        <w:t>Battelle License</w:t>
      </w:r>
      <w:r>
        <w:rPr>
          <w:sz w:val="20"/>
          <w:szCs w:val="20"/>
        </w:rPr>
        <w:t>”). This exclusive license is to terminate upon the expiration of the last patent incl</w:t>
      </w:r>
      <w:r>
        <w:rPr>
          <w:sz w:val="20"/>
          <w:szCs w:val="20"/>
        </w:rPr>
        <w:t>uded in this agreement (May 2022). Other intellectual property protection includes proprietary production processes and trademark protection in 17 countries. The Company plans to continue efforts to develop new refinements on the production process, and th</w:t>
      </w:r>
      <w:r>
        <w:rPr>
          <w:sz w:val="20"/>
          <w:szCs w:val="20"/>
        </w:rPr>
        <w:t>e product and application hardware, as a basis for future patents.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 received </w:t>
      </w:r>
      <w:r>
        <w:rPr>
          <w:sz w:val="20"/>
          <w:szCs w:val="20"/>
          <w:shd w:val="clear" w:color="auto" w:fill="FFFFFF"/>
        </w:rPr>
        <w:t>the Patent Cooperation Treaty (“PCT”) International Search Report on our patent application (No.1811.191). Seven of our claims</w:t>
      </w:r>
      <w:r>
        <w:rPr>
          <w:sz w:val="20"/>
          <w:szCs w:val="20"/>
        </w:rPr>
        <w:t xml:space="preserve"> were immediately ruled as having novelt</w:t>
      </w:r>
      <w:r>
        <w:rPr>
          <w:sz w:val="20"/>
          <w:szCs w:val="20"/>
        </w:rPr>
        <w:t xml:space="preserve">y, inventive step and industrial applicability. This gives us the basis to extend for many years the patent protection for our proprietary Yttrium-90 phosphate particles utilized in Isopet® and Radiogel™. As part of the normal review process, we have also </w:t>
      </w:r>
      <w:r>
        <w:rPr>
          <w:sz w:val="20"/>
          <w:szCs w:val="20"/>
        </w:rPr>
        <w:t>submitted the technical justification for seven additional claims. We are in the process of filing patent claims in Canada, UK (Great Britain, Scotland, Wales and Ireland), Japan, Germany, Italy, France, Australia, Brazil, China, India, North Countries (Sw</w:t>
      </w:r>
      <w:r>
        <w:rPr>
          <w:sz w:val="20"/>
          <w:szCs w:val="20"/>
        </w:rPr>
        <w:t>eden, Norway, Finland, and Denmark).</w:t>
      </w:r>
    </w:p>
    <w:p w:rsidR="00000000" w:rsidRDefault="009649C3">
      <w:pPr>
        <w:pStyle w:val="a3"/>
        <w:spacing w:before="0" w:beforeAutospacing="0" w:after="0" w:afterAutospacing="0"/>
        <w:ind w:firstLine="644"/>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Vista Veterinary Hospital</w:t>
      </w:r>
    </w:p>
    <w:p w:rsidR="00000000" w:rsidRDefault="009649C3">
      <w:pPr>
        <w:pStyle w:val="a3"/>
        <w:spacing w:before="0" w:beforeAutospacing="0" w:after="0" w:afterAutospacing="0"/>
        <w:ind w:firstLine="644"/>
        <w:jc w:val="both"/>
        <w:rPr>
          <w:sz w:val="20"/>
          <w:szCs w:val="20"/>
        </w:rPr>
      </w:pPr>
      <w:r>
        <w:rPr>
          <w:sz w:val="20"/>
          <w:szCs w:val="20"/>
        </w:rPr>
        <w:t> </w:t>
      </w:r>
    </w:p>
    <w:p w:rsidR="00000000" w:rsidRDefault="009649C3">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w:t>
      </w:r>
      <w:r>
        <w:rPr>
          <w:sz w:val="20"/>
          <w:szCs w:val="20"/>
        </w:rPr>
        <w:t>ram before spreading to regional clinics across the country. Vista is located in the Tri-Cities Washington area which is convenient for interactions with key personnel of the Company. The pilot is being used to</w:t>
      </w:r>
    </w:p>
    <w:p w:rsidR="00000000" w:rsidRDefault="009649C3">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rPr>
                <w:rFonts w:eastAsia="Times New Roman"/>
                <w:sz w:val="20"/>
                <w:szCs w:val="20"/>
              </w:rPr>
            </w:pPr>
            <w:r>
              <w:rPr>
                <w:rFonts w:eastAsia="Times New Roman"/>
                <w:sz w:val="20"/>
                <w:szCs w:val="20"/>
              </w:rPr>
              <w:lastRenderedPageBreak/>
              <w:t> </w:t>
            </w:r>
          </w:p>
        </w:tc>
        <w:tc>
          <w:tcPr>
            <w:tcW w:w="360" w:type="dxa"/>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Refine </w:t>
            </w:r>
            <w:r>
              <w:rPr>
                <w:rFonts w:eastAsia="Times New Roman"/>
                <w:sz w:val="20"/>
                <w:szCs w:val="20"/>
              </w:rPr>
              <w:t>the Memorandum of Understanding to define all the germane interfaces, roles and liabilities between Vista Inc and the private clinics, including the pilot responsivity to document and share the key aspects of all therapies with the Company;</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Create and</w:t>
            </w:r>
            <w:r>
              <w:rPr>
                <w:rFonts w:eastAsia="Times New Roman"/>
                <w:sz w:val="20"/>
                <w:szCs w:val="20"/>
              </w:rPr>
              <w:t xml:space="preserve"> implement proprietary certification training packages;</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Work with the pilot p</w:t>
            </w:r>
            <w:r>
              <w:rPr>
                <w:rFonts w:eastAsia="Times New Roman"/>
                <w:sz w:val="20"/>
                <w:szCs w:val="20"/>
              </w:rPr>
              <w:t>rogram to obtain a radioactive material licensing in an NRC agreement state;</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Create equipment and supplies list;</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Create and post regulatory signage;</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Evaluate </w:t>
            </w:r>
            <w:r>
              <w:rPr>
                <w:rFonts w:eastAsia="Times New Roman"/>
                <w:sz w:val="20"/>
                <w:szCs w:val="20"/>
              </w:rPr>
              <w:t>different approaches to obtain patients;</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Optimize patient scheduling practices to reduce cost to the pet owners;</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Develop communication material and a liability document for the pet owners; and</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Further refine the therapy techniques for advanc</w:t>
            </w:r>
            <w:r>
              <w:rPr>
                <w:rFonts w:eastAsia="Times New Roman"/>
                <w:sz w:val="20"/>
                <w:szCs w:val="20"/>
              </w:rPr>
              <w:t>ed cancers.</w:t>
            </w:r>
          </w:p>
        </w:tc>
      </w:tr>
    </w:tbl>
    <w:p w:rsidR="00000000" w:rsidRDefault="009649C3">
      <w:pPr>
        <w:pStyle w:val="a3"/>
        <w:spacing w:before="0" w:beforeAutospacing="0" w:after="0" w:afterAutospacing="0"/>
        <w:ind w:firstLine="644"/>
        <w:jc w:val="both"/>
        <w:rPr>
          <w:sz w:val="20"/>
          <w:szCs w:val="20"/>
        </w:rPr>
      </w:pPr>
      <w:r>
        <w:rPr>
          <w:sz w:val="20"/>
          <w:szCs w:val="20"/>
        </w:rPr>
        <w:t> </w:t>
      </w:r>
    </w:p>
    <w:p w:rsidR="00000000" w:rsidRDefault="009649C3">
      <w:pPr>
        <w:pStyle w:val="a3"/>
        <w:spacing w:before="0" w:beforeAutospacing="0" w:after="0" w:afterAutospacing="0"/>
        <w:ind w:firstLine="644"/>
        <w:jc w:val="both"/>
        <w:rPr>
          <w:sz w:val="20"/>
          <w:szCs w:val="20"/>
        </w:rPr>
      </w:pPr>
      <w:r>
        <w:rPr>
          <w:sz w:val="20"/>
          <w:szCs w:val="20"/>
        </w:rPr>
        <w:t xml:space="preserve">Vista </w:t>
      </w:r>
      <w:r>
        <w:rPr>
          <w:sz w:val="20"/>
          <w:szCs w:val="20"/>
        </w:rPr>
        <w:t>Veterinary Hospital has done well on two audits by the Washington State Department of Health. The Company is working closely with the Washington State Department of Health to refine and improve the radioactive material license. The Company has added severa</w:t>
      </w:r>
      <w:r>
        <w:rPr>
          <w:sz w:val="20"/>
          <w:szCs w:val="20"/>
        </w:rPr>
        <w:t>l detailed procedures, which will benefit future regional clinics. In addition, a second veterinarian has completed all the preliminary requirements to become certified. All that remains is to demonstrate proficiency in three therapies.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testing at th</w:t>
      </w:r>
      <w:r>
        <w:rPr>
          <w:sz w:val="20"/>
          <w:szCs w:val="20"/>
        </w:rPr>
        <w:t>e universities and at Vista Veterinary Hospital have demonstrated that IsoPet</w:t>
      </w:r>
      <w:r>
        <w:rPr>
          <w:sz w:val="20"/>
          <w:szCs w:val="20"/>
          <w:vertAlign w:val="superscript"/>
        </w:rPr>
        <w:t>®</w:t>
      </w:r>
      <w:r>
        <w:rPr>
          <w:sz w:val="20"/>
          <w:szCs w:val="20"/>
        </w:rPr>
        <w:t xml:space="preserve"> is effective on killing cancer tissue in close proximity to the injections. It is most effective in early cases before the cancer has begun to spread. Later stage cancers are mo</w:t>
      </w:r>
      <w:r>
        <w:rPr>
          <w:sz w:val="20"/>
          <w:szCs w:val="20"/>
        </w:rPr>
        <w:t>re difficult to treat since the tendrils from the primary cancer site are not well defined and therefore can lead to recurrence.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have been 63 expressions of interest in IsoPet</w:t>
      </w:r>
      <w:r>
        <w:rPr>
          <w:sz w:val="20"/>
          <w:szCs w:val="20"/>
          <w:vertAlign w:val="superscript"/>
        </w:rPr>
        <w:t>®</w:t>
      </w:r>
      <w:r>
        <w:rPr>
          <w:sz w:val="20"/>
          <w:szCs w:val="20"/>
        </w:rPr>
        <w:t xml:space="preserve"> therapy from across the United States, but only about 10% of these were</w:t>
      </w:r>
      <w:r>
        <w:rPr>
          <w:sz w:val="20"/>
          <w:szCs w:val="20"/>
        </w:rPr>
        <w:t xml:space="preserve"> 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w:t>
      </w:r>
      <w:r>
        <w:rPr>
          <w:sz w:val="20"/>
          <w:szCs w:val="20"/>
        </w:rPr>
        <w:t xml:space="preserve"> example deep in the throat. Several cases were treatable, but the pets weighed more than 20 pounds and the pet parents were not willing to fly them in the “Safe Cargo” holds. Those patients would have been treated by regional clinics once we implement tha</w:t>
      </w:r>
      <w:r>
        <w:rPr>
          <w:sz w:val="20"/>
          <w:szCs w:val="20"/>
        </w:rPr>
        <w:t>t strategy. Several cases were mast cell cancers. The Company is confident that those tumors could have been treated, but once killed they release mast cells in a process called granulation. This could cause a shock to the animal’s system. The Company will</w:t>
      </w:r>
      <w:r>
        <w:rPr>
          <w:sz w:val="20"/>
          <w:szCs w:val="20"/>
        </w:rPr>
        <w:t xml:space="preserve"> focus one of our clinical studies on the optimum approach for those therapies.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4942069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Vista Veterinary Hospital accepted advanced cancer cases and has gained experience to extend the animal’s lives. The first cat was terminally ill and had pre</w:t>
      </w:r>
      <w:r>
        <w:rPr>
          <w:sz w:val="20"/>
          <w:szCs w:val="20"/>
        </w:rPr>
        <w:t>viously had external beam, surgery and chemotherapy. The facial tumor was treated with 400 Gy and the biopsy confirmed that the cancer was killed. In about seven months the cancer returned in the throat and could not be treated so the cat had to be put dow</w:t>
      </w:r>
      <w:r>
        <w:rPr>
          <w:sz w:val="20"/>
          <w:szCs w:val="20"/>
        </w:rPr>
        <w:t>n. Dr. Bauder, the veterinarian pet parent, was still elated about the life extension and is asking us to use him as a reference. The other cases were also very advanced with multiple tumors and they recurred since they had already spread before therapy. O</w:t>
      </w:r>
      <w:r>
        <w:rPr>
          <w:sz w:val="20"/>
          <w:szCs w:val="20"/>
        </w:rPr>
        <w:t>ne animal, Yukon had a large tumor on his leg that was recommended for amputation. The tumor size decreased 50% after the first treatment, but then stopped decreasing. For the first time a second therapy was administered and the tumor has continued to decr</w:t>
      </w:r>
      <w:r>
        <w:rPr>
          <w:sz w:val="20"/>
          <w:szCs w:val="20"/>
        </w:rPr>
        <w:t>ease in size.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w:t>
      </w:r>
      <w:r>
        <w:rPr>
          <w:sz w:val="20"/>
          <w:szCs w:val="20"/>
        </w:rPr>
        <w:t>s efforts are now to obtain more early-stage cancer patients. The biggest obstacle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w:t>
      </w:r>
      <w:r>
        <w:rPr>
          <w:sz w:val="20"/>
          <w:szCs w:val="20"/>
        </w:rPr>
        <w:t>the conservative nature of the veterinarian professions. This is the prime motivation to continue with additional clinical trials and to publish the results.</w:t>
      </w:r>
    </w:p>
    <w:p w:rsidR="00000000" w:rsidRDefault="009649C3">
      <w:pPr>
        <w:pStyle w:val="a3"/>
        <w:spacing w:before="0" w:beforeAutospacing="0" w:after="0" w:afterAutospacing="0"/>
        <w:ind w:firstLine="644"/>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Regulatory History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Human Therapy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11"/>
        <w:jc w:val="both"/>
        <w:rPr>
          <w:sz w:val="20"/>
          <w:szCs w:val="20"/>
        </w:rPr>
      </w:pPr>
      <w:r>
        <w:rPr>
          <w:sz w:val="20"/>
          <w:szCs w:val="20"/>
        </w:rPr>
        <w:t>RadioGel™ has a long regulatory history with the Food and D</w:t>
      </w:r>
      <w:r>
        <w:rPr>
          <w:sz w:val="20"/>
          <w:szCs w:val="20"/>
        </w:rPr>
        <w:t>rug Administration (“</w:t>
      </w:r>
      <w:r>
        <w:rPr>
          <w:i/>
          <w:iCs/>
          <w:sz w:val="20"/>
          <w:szCs w:val="20"/>
        </w:rPr>
        <w:t>FDA</w:t>
      </w:r>
      <w:r>
        <w:rPr>
          <w:sz w:val="20"/>
          <w:szCs w:val="20"/>
        </w:rPr>
        <w:t>”). Initially, the Company submitted a presubmission (Q130140) to obtain FDA feedback about the proposed product. The FDA requested that the Company file a request for designation with the Office of Combination Products (RFD130051),</w:t>
      </w:r>
      <w:r>
        <w:rPr>
          <w:sz w:val="20"/>
          <w:szCs w:val="20"/>
        </w:rPr>
        <w:t xml:space="preserve"> which led to the determination that RadioGel™ is a device for human therapy for non-resectable cancers, which must be reviewed and ultimately regulated by the Center for Devices and Radiological Health (“</w:t>
      </w:r>
      <w:r>
        <w:rPr>
          <w:i/>
          <w:iCs/>
          <w:sz w:val="20"/>
          <w:szCs w:val="20"/>
        </w:rPr>
        <w:t>CDRH</w:t>
      </w:r>
      <w:r>
        <w:rPr>
          <w:sz w:val="20"/>
          <w:szCs w:val="20"/>
        </w:rPr>
        <w:t xml:space="preserve">”). The Company then submitted a 510(k) notice </w:t>
      </w:r>
      <w:r>
        <w:rPr>
          <w:sz w:val="20"/>
          <w:szCs w:val="20"/>
        </w:rPr>
        <w:t>for RadioGel™ (K133368), which was found Not Substantially Equivalent due to the lack of a suitable predicate, and RadioGel™ was assigned to the Class III product code NAW (microspheres). Class III products or devices are generally the highest risk devices</w:t>
      </w:r>
      <w:r>
        <w:rPr>
          <w:sz w:val="20"/>
          <w:szCs w:val="20"/>
        </w:rPr>
        <w:t xml:space="preserve"> and are therefore subject to the highest level of regulatory review, control and oversight. Class III products or devices must typically be approved by FDA before they are marketed. Class II devices represent lower risk products or devices than Class III </w:t>
      </w:r>
      <w:r>
        <w:rPr>
          <w:sz w:val="20"/>
          <w:szCs w:val="20"/>
        </w:rPr>
        <w:t>and require fewer regulatory controls to provide reasonable assurance of the product’s or device’s safety and effectiveness. In contrast, Class I products and devices are deemed to be lower risk than Class I or II, and are therefore subject to the least re</w:t>
      </w:r>
      <w:r>
        <w:rPr>
          <w:sz w:val="20"/>
          <w:szCs w:val="20"/>
        </w:rPr>
        <w:t>gulatory controls.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11"/>
        <w:jc w:val="both"/>
        <w:rPr>
          <w:sz w:val="20"/>
          <w:szCs w:val="20"/>
        </w:rPr>
      </w:pPr>
      <w:r>
        <w:rPr>
          <w:sz w:val="20"/>
          <w:szCs w:val="20"/>
        </w:rPr>
        <w:t>A pre-submission meeting (Q140496) was held with the FDA on June 17, 2014, during which the FDA maintained that RadioGel™ should be considered a Class III device and therefore subject to pre-market approval. On December 29, 2014, the C</w:t>
      </w:r>
      <w:r>
        <w:rPr>
          <w:sz w:val="20"/>
          <w:szCs w:val="20"/>
        </w:rPr>
        <w:t xml:space="preserve">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petition was denied by the FDA on June 1, 2015, </w:t>
      </w:r>
      <w:r>
        <w:rPr>
          <w:sz w:val="20"/>
          <w:szCs w:val="20"/>
        </w:rPr>
        <w:t>with the FDA providing numerous comments and questions. On September 29, 2015, the Company submitted a follow-up pre-submission informational meeting request with the FDA (Q151569). This meeting took place on November 9, 2015, at which time the FDA indicat</w:t>
      </w:r>
      <w:r>
        <w:rPr>
          <w:sz w:val="20"/>
          <w:szCs w:val="20"/>
        </w:rPr>
        <w:t xml:space="preserve">ed acceptance of the Company’s applied dosimetry methods and clarified the FDA’s outstanding questions regarding RadioGel™. Following the November 2015 pre-submission meeting, the Company prepared a new pre-submission package to obtain FDA feedback on the </w:t>
      </w:r>
      <w:r>
        <w:rPr>
          <w:sz w:val="20"/>
          <w:szCs w:val="20"/>
        </w:rPr>
        <w:t xml:space="preserve">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w:t>
      </w:r>
      <w:r>
        <w:rPr>
          <w:sz w:val="20"/>
          <w:szCs w:val="20"/>
        </w:rPr>
        <w:t>gust 2017 meeting, the FDA clarified their position on the remaining pre-clinical testing needed for RadioGel™. Specifically, the FDA addressed proposed dosimetry calculating techniques, dosimetry distribution between injections, hydrogel viscoelastic prop</w:t>
      </w:r>
      <w:r>
        <w:rPr>
          <w:sz w:val="20"/>
          <w:szCs w:val="20"/>
        </w:rPr>
        <w:t>erties, and the details of the Company’s proposed animal testing.</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11"/>
        <w:jc w:val="both"/>
        <w:rPr>
          <w:sz w:val="20"/>
          <w:szCs w:val="20"/>
        </w:rPr>
      </w:pPr>
      <w:r>
        <w:rPr>
          <w:sz w:val="20"/>
          <w:szCs w:val="20"/>
        </w:rPr>
        <w:t>The Company believes that its submissions to the FDA to date have addressed all the FDA staff’s feedback over the past four years. Of particular importance, the Company has provided corres</w:t>
      </w:r>
      <w:r>
        <w:rPr>
          <w:sz w:val="20"/>
          <w:szCs w:val="20"/>
        </w:rPr>
        <w:t xml:space="preserve">ponding supporting data for proposed future testing of RadioGel™ to address any remaining questions raised by the FDA. We believe, although no assurances can be given, that the clinical testing modifications presented to the FDA in August 2017 will result </w:t>
      </w:r>
      <w:r>
        <w:rPr>
          <w:sz w:val="20"/>
          <w:szCs w:val="20"/>
        </w:rPr>
        <w:t xml:space="preserve">in a </w:t>
      </w:r>
      <w:r>
        <w:rPr>
          <w:i/>
          <w:iCs/>
          <w:sz w:val="20"/>
          <w:szCs w:val="20"/>
        </w:rPr>
        <w:t xml:space="preserve">de novo </w:t>
      </w:r>
      <w:r>
        <w:rPr>
          <w:sz w:val="20"/>
          <w:szCs w:val="20"/>
        </w:rPr>
        <w:t>reclassification for RadioGel™ by the FDA. In addition, in previous FDA submittals, the Company proposed applying RadioGel™ for a very broad range of cancer therapies, referred to as Indication for Use. The FDA requested that the Company reduc</w:t>
      </w:r>
      <w:r>
        <w:rPr>
          <w:sz w:val="20"/>
          <w:szCs w:val="20"/>
        </w:rPr>
        <w:t>e its Indications for Use. To comply with that request, the Company expanded its Medical Advisory Board (“</w:t>
      </w:r>
      <w:r>
        <w:rPr>
          <w:i/>
          <w:iCs/>
          <w:sz w:val="20"/>
          <w:szCs w:val="20"/>
        </w:rPr>
        <w:t>MAB</w:t>
      </w:r>
      <w:r>
        <w:rPr>
          <w:sz w:val="20"/>
          <w:szCs w:val="20"/>
        </w:rPr>
        <w:t>”) and engaged doctors from respected hospitals who have evaluated the candidate cancer therapies based on three criteria: (1) potential for FDA ap</w:t>
      </w:r>
      <w:r>
        <w:rPr>
          <w:sz w:val="20"/>
          <w:szCs w:val="20"/>
        </w:rPr>
        <w:t>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rsidR="00000000" w:rsidRDefault="009649C3">
      <w:pPr>
        <w:pStyle w:val="a3"/>
        <w:spacing w:before="0" w:beforeAutospacing="0" w:after="0" w:afterAutospacing="0"/>
        <w:ind w:firstLine="711"/>
        <w:jc w:val="both"/>
        <w:rPr>
          <w:sz w:val="20"/>
          <w:szCs w:val="20"/>
        </w:rPr>
      </w:pPr>
      <w:r>
        <w:rPr>
          <w:sz w:val="20"/>
          <w:szCs w:val="20"/>
        </w:rPr>
        <w:t> </w:t>
      </w:r>
    </w:p>
    <w:p w:rsidR="00000000" w:rsidRDefault="009649C3">
      <w:pPr>
        <w:pStyle w:val="a3"/>
        <w:spacing w:before="0" w:beforeAutospacing="0" w:after="0" w:afterAutospacing="0"/>
        <w:ind w:firstLine="711"/>
        <w:jc w:val="both"/>
        <w:rPr>
          <w:sz w:val="20"/>
          <w:szCs w:val="20"/>
        </w:rPr>
      </w:pPr>
      <w:r>
        <w:rPr>
          <w:sz w:val="20"/>
          <w:szCs w:val="20"/>
        </w:rPr>
        <w:t xml:space="preserve">In November 2020 the Company submitted a request for a Breakthrough Device Designation. Ultimately, this </w:t>
      </w:r>
      <w:r>
        <w:rPr>
          <w:sz w:val="20"/>
          <w:szCs w:val="20"/>
        </w:rPr>
        <w:t xml:space="preserve">was denied, but the FDA acknowledged, “The FDA does believe that RadioGel™ meets criterion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w:t>
      </w:r>
      <w:r>
        <w:rPr>
          <w:sz w:val="20"/>
          <w:szCs w:val="20"/>
        </w:rPr>
        <w:t>.” More importantly the process resulted in a rapid review of our existing data and approach. It led to a redirection of our efforts on writing the IDE and saved the Company much time in the review of that future application.</w:t>
      </w:r>
    </w:p>
    <w:p w:rsidR="00000000" w:rsidRDefault="009649C3">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7790017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644"/>
        <w:jc w:val="both"/>
        <w:rPr>
          <w:sz w:val="20"/>
          <w:szCs w:val="20"/>
        </w:rPr>
      </w:pPr>
      <w:r>
        <w:rPr>
          <w:sz w:val="20"/>
          <w:szCs w:val="20"/>
        </w:rPr>
        <w:t xml:space="preserve">The </w:t>
      </w:r>
      <w:r>
        <w:rPr>
          <w:sz w:val="20"/>
          <w:szCs w:val="20"/>
        </w:rPr>
        <w:t>MAB selected eighteen applications for RadioGel™, each of which meet the criteria described above. This large number confirms the wide applicability of the device and defines the path for future business growth. The Company’s application establishes a sing</w:t>
      </w:r>
      <w:r>
        <w:rPr>
          <w:sz w:val="20"/>
          <w:szCs w:val="20"/>
        </w:rPr>
        <w:t>le Indication for Use - treatment of cancerous tissue or solid tumors pathologically associated with locoregional papillary thyroid carcinoma and recurrent papillary thyroid carcinoma. We anticipate that this initial application will facilitate each subseq</w:t>
      </w:r>
      <w:r>
        <w:rPr>
          <w:sz w:val="20"/>
          <w:szCs w:val="20"/>
        </w:rPr>
        <w:t>uent application for additional Indications for Use, and the testing for many of the subsequent applications could be conducted in parallel, depending on available resources.</w:t>
      </w:r>
    </w:p>
    <w:p w:rsidR="00000000" w:rsidRDefault="009649C3">
      <w:pPr>
        <w:pStyle w:val="a3"/>
        <w:spacing w:before="0" w:beforeAutospacing="0" w:after="0" w:afterAutospacing="0"/>
        <w:ind w:firstLine="644"/>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Financing and Strategy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Research and development of the Company’s brachytherap</w:t>
      </w:r>
      <w:r>
        <w:rPr>
          <w:sz w:val="20"/>
          <w:szCs w:val="20"/>
        </w:rPr>
        <w:t>y product line has been funded with proceeds from the sale of equity and debt securities. The Company requires funding of approximately $2 million annually to maintain current operating activities. Over the next 12 to 24 months, the Company believes it wil</w:t>
      </w:r>
      <w:r>
        <w:rPr>
          <w:sz w:val="20"/>
          <w:szCs w:val="20"/>
        </w:rPr>
        <w:t>l cost approximately $9 million to: (1) 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w:t>
      </w:r>
      <w:r>
        <w:rPr>
          <w:sz w:val="20"/>
          <w:szCs w:val="20"/>
        </w:rPr>
        <w:t>oduction center within the current production site to create a template for future international manufacturing, and (5) initiate regulatory approval processes outside of the United States.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principal variables in the timing and amount of spending for </w:t>
      </w:r>
      <w:r>
        <w:rPr>
          <w:sz w:val="20"/>
          <w:szCs w:val="20"/>
        </w:rPr>
        <w:t xml:space="preserve">the brachytherapy products in the next 12 to 24 months will be the FDA’s classification of the Company’s brachytherapy products as Class II or Class III devices (or otherwise) and any requirements for additional studies which may possibly include clinical </w:t>
      </w:r>
      <w:r>
        <w:rPr>
          <w:sz w:val="20"/>
          <w:szCs w:val="20"/>
        </w:rPr>
        <w:t xml:space="preserve">studies. Thereafter, the principal variables in the amount of the Company’s spending and its financing requirements would be the timing of any approvals and the nature of the Company’s arrangements with third parties for manufacturing, sales, distribution </w:t>
      </w:r>
      <w:r>
        <w:rPr>
          <w:sz w:val="20"/>
          <w:szCs w:val="20"/>
        </w:rPr>
        <w:t>and licensing of those products and the products’ success in the U.S. and elsewhere. The Company intends to fund its activities through strategic transactions such as licensing and partnership agreements or additional capital raises.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Following receipt of</w:t>
      </w:r>
      <w:r>
        <w:rPr>
          <w:sz w:val="20"/>
          <w:szCs w:val="20"/>
        </w:rPr>
        <w:t xml:space="preserve"> required regulatory approvals and financing, in the U.S., the Company intends to outsource material aspects of manufacturing, distribution, sales and marketing. Outside of the U.S., the Company intends to pursue licensing arrangements and/or partnerships </w:t>
      </w:r>
      <w:r>
        <w:rPr>
          <w:sz w:val="20"/>
          <w:szCs w:val="20"/>
        </w:rPr>
        <w:t>to facilitate its global commercialization strategy.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 received $497,880 which were deposited into the Company’s accounts between April and June 2020. Following the clearance of the Regulation A+ offering by the SEC on June 3, 2020, the common </w:t>
      </w:r>
      <w:r>
        <w:rPr>
          <w:sz w:val="20"/>
          <w:szCs w:val="20"/>
        </w:rPr>
        <w:t>shares for these proceeds were issued. In addition, the Company exchanged their outstanding convertible notes payable of $525,000, $27,536 in accrued interest and $98,508 in an exchange premium stipulated in the note agreements into shares of common stock,</w:t>
      </w:r>
      <w:r>
        <w:rPr>
          <w:sz w:val="20"/>
          <w:szCs w:val="20"/>
        </w:rPr>
        <w:t xml:space="preserve"> and repaid $50,000 in promissory notes payable. In addition, the Company raised $1,138,800 in the Regulation A+ from November 30, 2020 through December 3, 2020 and issued 42,177,778 shares of common stock and sold 19,200,000 warrants for $19,200 in these </w:t>
      </w:r>
      <w:r>
        <w:rPr>
          <w:sz w:val="20"/>
          <w:szCs w:val="20"/>
        </w:rPr>
        <w:t>offerings.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The Company’s stock offering under Regulation A+ was qualified by the Securities and Exchange Commission (“SEC”) </w:t>
      </w:r>
      <w:r>
        <w:rPr>
          <w:sz w:val="20"/>
          <w:szCs w:val="20"/>
        </w:rPr>
        <w:t>on June 3, 2020 and have issued the first tranche of shares under the Regulation A+ on June 10, 2020, and amended on February 17, 2021. The intent is to raise up to an additional $1,800,000 over the next 12 months, which may be completed in separate closin</w:t>
      </w:r>
      <w:r>
        <w:rPr>
          <w:sz w:val="20"/>
          <w:szCs w:val="20"/>
        </w:rPr>
        <w:t>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intends to use the proceeds generated from the sale of shares under Regulation A+ as follows: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For the animal therapy market: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rPr>
                <w:rFonts w:eastAsia="Times New Roman"/>
                <w:sz w:val="20"/>
                <w:szCs w:val="20"/>
              </w:rPr>
            </w:pPr>
            <w:r>
              <w:rPr>
                <w:rFonts w:eastAsia="Times New Roman"/>
                <w:sz w:val="20"/>
                <w:szCs w:val="20"/>
              </w:rPr>
              <w:t> </w:t>
            </w:r>
          </w:p>
        </w:tc>
        <w:tc>
          <w:tcPr>
            <w:tcW w:w="360" w:type="dxa"/>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Conduct additional clinical studies to generate more data for the veterinary community</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Assist a new regional clinic with their license and certification training.</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For the human market: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rPr>
                <w:rFonts w:eastAsia="Times New Roman"/>
                <w:sz w:val="20"/>
                <w:szCs w:val="20"/>
              </w:rPr>
            </w:pPr>
            <w:r>
              <w:rPr>
                <w:rFonts w:eastAsia="Times New Roman"/>
                <w:sz w:val="20"/>
                <w:szCs w:val="20"/>
              </w:rPr>
              <w:t> </w:t>
            </w:r>
          </w:p>
        </w:tc>
        <w:tc>
          <w:tcPr>
            <w:tcW w:w="360" w:type="dxa"/>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Enhance the pedigree of the Quality Management System.</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meeting.</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Use the feedback from that meeting to write </w:t>
            </w:r>
            <w:r>
              <w:rPr>
                <w:rFonts w:eastAsia="Times New Roman"/>
                <w:sz w:val="20"/>
                <w:szCs w:val="20"/>
              </w:rPr>
              <w:t>the IDE (Investigational Device Exemption), which is required to initiate clinical trials.</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5731638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Based on the Company’s financial history since inception, its auditor has expressed substantial doubt as to the Company’s ability to continue as </w:t>
      </w:r>
      <w:r>
        <w:rPr>
          <w:sz w:val="20"/>
          <w:szCs w:val="20"/>
        </w:rPr>
        <w:t>a going concern. The Company has limited revenue, nominal cash, and has accumulated deficits since inception. If the Company cannot obtain sufficient additional capital, the Company will be required to delay the execution of its business strategy and may n</w:t>
      </w:r>
      <w:r>
        <w:rPr>
          <w:sz w:val="20"/>
          <w:szCs w:val="20"/>
        </w:rPr>
        <w:t>ot be able to continue operations. Although management believes that it will be able to secure necessary working capital to fund its development programs and execute its business strategy, no assurances can be given.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Product Features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w:t>
      </w:r>
      <w:r>
        <w:rPr>
          <w:sz w:val="20"/>
          <w:szCs w:val="20"/>
        </w:rPr>
        <w:t>s RadioGel™ device has the following product features: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jc w:val="both"/>
              <w:rPr>
                <w:rFonts w:eastAsia="Times New Roman"/>
                <w:sz w:val="20"/>
                <w:szCs w:val="20"/>
              </w:rPr>
            </w:pPr>
            <w:r>
              <w:rPr>
                <w:rFonts w:eastAsia="Times New Roman"/>
                <w:sz w:val="20"/>
                <w:szCs w:val="20"/>
              </w:rPr>
              <w:t> </w:t>
            </w:r>
          </w:p>
        </w:tc>
        <w:tc>
          <w:tcPr>
            <w:tcW w:w="360" w:type="dxa"/>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Beta particles only travel a short distance so the device can deliver high radiation to the tumor with minimal dose to the nearby normal tissues. In medical terms Y-90 beta emitter has a high eff</w:t>
            </w:r>
            <w:r>
              <w:rPr>
                <w:rFonts w:eastAsia="Times New Roman"/>
                <w:sz w:val="20"/>
                <w:szCs w:val="20"/>
              </w:rPr>
              <w:t>icacy rate;</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Benefitting from the short penetration distance, the patient can go home immediately with no fear of exposure to family members, and there is a greatly reduced radiation risk to the doctor. A simple plastic tube around the syringe, </w:t>
            </w:r>
            <w:r>
              <w:rPr>
                <w:rFonts w:eastAsia="Times New Roman"/>
                <w:sz w:val="20"/>
                <w:szCs w:val="20"/>
              </w:rPr>
              <w:t>gloves and safety glasses are all that is required. Other gamma emitting products require much more protection;</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A </w:t>
            </w:r>
            <w:r>
              <w:rPr>
                <w:rFonts w:eastAsia="Times New Roman"/>
                <w:sz w:val="20"/>
                <w:szCs w:val="20"/>
              </w:rPr>
              <w:t>2.7-day half-life means that only 5% of the radiation remains after ten days. This is in contrast to the industry-standard gamma irradiation product, which has a half-life of 17 days;</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The short half-life also means that any medical waste can be</w:t>
            </w:r>
            <w:r>
              <w:rPr>
                <w:rFonts w:eastAsia="Times New Roman"/>
                <w:sz w:val="20"/>
                <w:szCs w:val="20"/>
              </w:rPr>
              <w:t xml:space="preserve"> stored for thirty days then disposed as normal hospital waste;</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RadioGel™ can be administered with small diameter needles (27-gauge) so there is minimal damage to the normal tissue. This is in contrast to the injection of metal seeds, which doe</w:t>
            </w:r>
            <w:r>
              <w:rPr>
                <w:rFonts w:eastAsia="Times New Roman"/>
                <w:sz w:val="20"/>
                <w:szCs w:val="20"/>
              </w:rPr>
              <w:t>s considerable damage; and</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After </w:t>
            </w:r>
            <w:r>
              <w:rPr>
                <w:rFonts w:eastAsia="Times New Roman"/>
                <w:sz w:val="20"/>
                <w:szCs w:val="20"/>
              </w:rPr>
              <w:t>about 120 days the gel resorbs by a normal biological cycle, called the Krebs Cycle. The only remaining evidence of the treatment are phosphate particles so small in diameter that it requires a high-resolution microscope to find them. This is in contrast t</w:t>
            </w:r>
            <w:r>
              <w:rPr>
                <w:rFonts w:eastAsia="Times New Roman"/>
                <w:sz w:val="20"/>
                <w:szCs w:val="20"/>
              </w:rPr>
              <w:t>o permanent presence of metal seeds.</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Steps from Production to Therapy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Device Production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During the next two years, the Company intends to outsource material aspects of manufacturing and distribution. As future product volume increases, the Company w</w:t>
      </w:r>
      <w:r>
        <w:rPr>
          <w:sz w:val="20"/>
          <w:szCs w:val="20"/>
        </w:rPr>
        <w:t>ill reassess its make-buy decision on manufacturing and will analyze the cost/benefit of a centrally located facility.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Production of the Hydrogel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RadioGel™ is manufactured with a proprietary process under ventilated sterile hood by following strict Goo</w:t>
      </w:r>
      <w:r>
        <w:rPr>
          <w:sz w:val="20"/>
          <w:szCs w:val="20"/>
        </w:rPr>
        <w:t>d Laboratory Practices (“</w:t>
      </w:r>
      <w:r>
        <w:rPr>
          <w:i/>
          <w:iCs/>
          <w:sz w:val="20"/>
          <w:szCs w:val="20"/>
        </w:rPr>
        <w:t>GLP</w:t>
      </w:r>
      <w:r>
        <w:rPr>
          <w:sz w:val="20"/>
          <w:szCs w:val="20"/>
        </w:rPr>
        <w:t>”) procedures. It is made in large batches that are frozen for up to three months. When the product is ready to ship, a small quantity of the gel is dissolved in a sterile saline solution. It is then passed through an ultra-fine</w:t>
      </w:r>
      <w:r>
        <w:rPr>
          <w:sz w:val="20"/>
          <w:szCs w:val="20"/>
        </w:rPr>
        <w:t xml:space="preserve"> filter to ensure sterility.</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7050764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Production of the Yttrium-90 Phosphate Particles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 xml:space="preserve">Y-90 particles are produced with simple ingredients via a proprietary process, again following strict GLP procedures. They are then mixed into a phosphate-buffered saline solution. They can be produced in large batches for several shipments. The number of </w:t>
      </w:r>
      <w:r>
        <w:rPr>
          <w:sz w:val="20"/>
          <w:szCs w:val="20"/>
        </w:rPr>
        <w:t>particles per shipment is determined by the dose prescribed by the doctor.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Shipment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RadioGel™ is shipped in two containers, one with a solution of the gel and the other with a solution of the particles. Before shipment they are subjected to sterility t</w:t>
      </w:r>
      <w:r>
        <w:rPr>
          <w:sz w:val="20"/>
          <w:szCs w:val="20"/>
        </w:rPr>
        <w:t>esting, again by strict procedures. The vial with the Y-90 is put through a special radiation calibrator, which measures beta particles. The vials can be shipped via FedEx or UPS by following the proper protocols.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At the User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user receives the two </w:t>
      </w:r>
      <w:r>
        <w:rPr>
          <w:sz w:val="20"/>
          <w:szCs w:val="20"/>
        </w:rPr>
        <w:t xml:space="preserve">vials. The solution containing the RadioGel™ is mixed with the solution containing the Y-90 particles. This is then shaken to ensure homogeneity and withdrawn into a syringe. The quantities that are mixed are calculated from the information on the product </w:t>
      </w:r>
      <w:r>
        <w:rPr>
          <w:sz w:val="20"/>
          <w:szCs w:val="20"/>
        </w:rPr>
        <w:t>label.</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specific injection technique depends on the Indication for Use. For small tumors, one centimeter in diameter or less, the cancer is treated with a single injection. For larger tumors, the cancer is treated with a series of small injections from the same sy</w:t>
      </w:r>
      <w:r>
        <w:rPr>
          <w:sz w:val="20"/>
          <w:szCs w:val="20"/>
        </w:rPr>
        <w:t>ringe or multiple syringes.</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Principal Markets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is currently pursuing two synergistic business sectors, medical and veterinary, each of which are summarized below.</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Medical Sector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RadioGel™ is currently fully developed, requiring only FDA </w:t>
      </w:r>
      <w:r>
        <w:rPr>
          <w:sz w:val="20"/>
          <w:szCs w:val="20"/>
        </w:rPr>
        <w:t>approval before commercialization. The Company has been seeking FDA approval of RadioGel™ for almost five years. Recent progress has been delayed due to a lack of adequate funding. The principal issue preventing approval is that the Company attempted to ob</w:t>
      </w:r>
      <w:r>
        <w:rPr>
          <w:sz w:val="20"/>
          <w:szCs w:val="20"/>
        </w:rPr>
        <w:t>tain regulatory approval for a broad range of Indications for Use, including all non-resectable cancers, without sufficient supporting data.</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Building on the FDA’s ruling of RadioGel™ as a device, the Company is currently developing test plans to address </w:t>
      </w:r>
      <w:r>
        <w:rPr>
          <w:sz w:val="20"/>
          <w:szCs w:val="20"/>
        </w:rPr>
        <w:t xml:space="preserve">issues raised in the Company’s prior FDA submittal regarding RadioGel™. The Company intends to request FDA approval to submit RadioGel™ for </w:t>
      </w:r>
      <w:r>
        <w:rPr>
          <w:i/>
          <w:iCs/>
          <w:sz w:val="20"/>
          <w:szCs w:val="20"/>
        </w:rPr>
        <w:t>de novo</w:t>
      </w:r>
      <w:r>
        <w:rPr>
          <w:sz w:val="20"/>
          <w:szCs w:val="20"/>
        </w:rPr>
        <w:t xml:space="preserve"> classification, which would reclassify the device from a Class III device to a Class II device and accelerat</w:t>
      </w:r>
      <w:r>
        <w:rPr>
          <w:sz w:val="20"/>
          <w:szCs w:val="20"/>
        </w:rPr>
        <w:t>e the regulatory approval path.</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9649C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jc w:val="both"/>
              <w:rPr>
                <w:rFonts w:eastAsia="Times New Roman"/>
                <w:sz w:val="20"/>
                <w:szCs w:val="20"/>
              </w:rPr>
            </w:pPr>
            <w:r>
              <w:rPr>
                <w:rFonts w:eastAsia="Times New Roman"/>
                <w:sz w:val="20"/>
                <w:szCs w:val="20"/>
              </w:rPr>
              <w:t> </w:t>
            </w:r>
          </w:p>
        </w:tc>
        <w:tc>
          <w:tcPr>
            <w:tcW w:w="360" w:type="dxa"/>
            <w:hideMark/>
          </w:tcPr>
          <w:p w:rsidR="00000000" w:rsidRDefault="009649C3">
            <w:pPr>
              <w:jc w:val="both"/>
              <w:rPr>
                <w:rFonts w:eastAsia="Times New Roman"/>
                <w:sz w:val="20"/>
                <w:szCs w:val="20"/>
              </w:rPr>
            </w:pPr>
            <w:r>
              <w:rPr>
                <w:rFonts w:eastAsia="Times New Roman"/>
                <w:sz w:val="20"/>
                <w:szCs w:val="20"/>
              </w:rPr>
              <w:t>1.</w:t>
            </w:r>
          </w:p>
        </w:tc>
        <w:tc>
          <w:tcPr>
            <w:tcW w:w="0" w:type="auto"/>
            <w:hideMark/>
          </w:tcPr>
          <w:p w:rsidR="00000000" w:rsidRDefault="009649C3">
            <w:pPr>
              <w:jc w:val="both"/>
              <w:rPr>
                <w:rFonts w:eastAsia="Times New Roman"/>
                <w:sz w:val="20"/>
                <w:szCs w:val="20"/>
              </w:rPr>
            </w:pPr>
            <w:r>
              <w:rPr>
                <w:rFonts w:eastAsia="Times New Roman"/>
                <w:sz w:val="20"/>
                <w:szCs w:val="20"/>
              </w:rPr>
              <w:t>Under new leadership, the Company is implementing all past recommendations from th</w:t>
            </w:r>
            <w:r>
              <w:rPr>
                <w:rFonts w:eastAsia="Times New Roman"/>
                <w:sz w:val="20"/>
                <w:szCs w:val="20"/>
              </w:rPr>
              <w:t>e FDA. The Company intends to narrow the Indications for Use, will provide test plans for FDA review to respond to answer all previous FDA questions, and will request a pre-submission meeting;</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2.</w:t>
            </w:r>
          </w:p>
        </w:tc>
        <w:tc>
          <w:tcPr>
            <w:tcW w:w="0" w:type="auto"/>
            <w:hideMark/>
          </w:tcPr>
          <w:p w:rsidR="00000000" w:rsidRDefault="009649C3">
            <w:pPr>
              <w:jc w:val="both"/>
              <w:rPr>
                <w:rFonts w:eastAsia="Times New Roman"/>
                <w:sz w:val="20"/>
                <w:szCs w:val="20"/>
              </w:rPr>
            </w:pPr>
            <w:r>
              <w:rPr>
                <w:rFonts w:eastAsia="Times New Roman"/>
                <w:sz w:val="20"/>
                <w:szCs w:val="20"/>
              </w:rPr>
              <w:t xml:space="preserve">Prepare </w:t>
            </w:r>
            <w:r>
              <w:rPr>
                <w:rFonts w:eastAsia="Times New Roman"/>
                <w:sz w:val="20"/>
                <w:szCs w:val="20"/>
              </w:rPr>
              <w:t>a pre-submission request document and FDA meeting request to obtain feedback on the test plans in order to initiate testing, to present the proposed content for the final application and to request permission to submit a de novo;</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3.</w:t>
            </w:r>
          </w:p>
        </w:tc>
        <w:tc>
          <w:tcPr>
            <w:tcW w:w="0" w:type="auto"/>
            <w:hideMark/>
          </w:tcPr>
          <w:p w:rsidR="00000000" w:rsidRDefault="009649C3">
            <w:pPr>
              <w:jc w:val="both"/>
              <w:rPr>
                <w:rFonts w:eastAsia="Times New Roman"/>
                <w:sz w:val="20"/>
                <w:szCs w:val="20"/>
              </w:rPr>
            </w:pPr>
            <w:r>
              <w:rPr>
                <w:rFonts w:eastAsia="Times New Roman"/>
                <w:sz w:val="20"/>
                <w:szCs w:val="20"/>
              </w:rPr>
              <w:t>Submit an Inv</w:t>
            </w:r>
            <w:r>
              <w:rPr>
                <w:rFonts w:eastAsia="Times New Roman"/>
                <w:sz w:val="20"/>
                <w:szCs w:val="20"/>
              </w:rPr>
              <w:t>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4.</w:t>
            </w:r>
          </w:p>
        </w:tc>
        <w:tc>
          <w:tcPr>
            <w:tcW w:w="0" w:type="auto"/>
            <w:hideMark/>
          </w:tcPr>
          <w:p w:rsidR="00000000" w:rsidRDefault="009649C3">
            <w:pPr>
              <w:jc w:val="both"/>
              <w:rPr>
                <w:rFonts w:eastAsia="Times New Roman"/>
                <w:sz w:val="20"/>
                <w:szCs w:val="20"/>
              </w:rPr>
            </w:pPr>
            <w:r>
              <w:rPr>
                <w:rFonts w:eastAsia="Times New Roman"/>
                <w:sz w:val="20"/>
                <w:szCs w:val="20"/>
              </w:rPr>
              <w:t>File a de novo or Pre-Market Approval application.</w:t>
            </w:r>
          </w:p>
        </w:tc>
      </w:tr>
    </w:tbl>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548979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critical path is the required testing – in vitro, animal testing, human clinical studies – all of which is resource dependent.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previous submittals, the Company proposed applying a very broad range of cancer therapies, referred to as Indications for Us</w:t>
      </w:r>
      <w:r>
        <w:rPr>
          <w:sz w:val="20"/>
          <w:szCs w:val="20"/>
        </w:rPr>
        <w:t>e, to RadioGel™. The FDA has strongly advised the Company to reduce its Indications for Use. To comply with that request, the Company has expanded its MAB, consisting of Drs. Barry D. Pressman (Chairman), Albert DeNittis, and Howard Sandler.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MAB eval</w:t>
      </w:r>
      <w:r>
        <w:rPr>
          <w:sz w:val="20"/>
          <w:szCs w:val="20"/>
        </w:rPr>
        <w:t>uated the candidate cancer therapies based on three criteria: (i) the potential for FDA approval and successful therapy; (ii) notable advantages of RadioGel™ over current therapies; and (iii) the likelihood that RadioGel™ can be widely accepted by the medi</w:t>
      </w:r>
      <w:r>
        <w:rPr>
          <w:sz w:val="20"/>
          <w:szCs w:val="20"/>
        </w:rPr>
        <w:t>cal community and profitably commercialized.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MAB selected eighteen Indications for Use for RadioGel™, each of which meets the above-mentioned criteria. These eighteen Indications for Use are listed below. This large number confirms the wide applicabi</w:t>
      </w:r>
      <w:r>
        <w:rPr>
          <w:sz w:val="20"/>
          <w:szCs w:val="20"/>
        </w:rPr>
        <w:t>lity of the device and defines the path for future growth. The Company intends to apply to the FDA for a single Indication for Use, followed by subsequent applications for additional Indications for Use. The initial application should facilitate each subse</w:t>
      </w:r>
      <w:r>
        <w:rPr>
          <w:sz w:val="20"/>
          <w:szCs w:val="20"/>
        </w:rPr>
        <w:t>quent application, and the testing for many of the subsequent applications could be conducted in parallel, depending on available resources.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568"/>
        <w:gridCol w:w="415"/>
        <w:gridCol w:w="2907"/>
      </w:tblGrid>
      <w:tr w:rsidR="00000000">
        <w:tc>
          <w:tcPr>
            <w:tcW w:w="250" w:type="pct"/>
            <w:hideMark/>
          </w:tcPr>
          <w:p w:rsidR="00000000" w:rsidRDefault="009649C3">
            <w:pPr>
              <w:rPr>
                <w:rFonts w:eastAsia="Times New Roman"/>
                <w:sz w:val="20"/>
                <w:szCs w:val="20"/>
              </w:rPr>
            </w:pPr>
            <w:r>
              <w:rPr>
                <w:rFonts w:eastAsia="Times New Roman"/>
                <w:sz w:val="20"/>
                <w:szCs w:val="20"/>
              </w:rPr>
              <w:t>●</w:t>
            </w:r>
          </w:p>
        </w:tc>
        <w:tc>
          <w:tcPr>
            <w:tcW w:w="2750" w:type="pct"/>
            <w:hideMark/>
          </w:tcPr>
          <w:p w:rsidR="00000000" w:rsidRDefault="009649C3">
            <w:pPr>
              <w:rPr>
                <w:rFonts w:eastAsia="Times New Roman"/>
                <w:sz w:val="20"/>
                <w:szCs w:val="20"/>
              </w:rPr>
            </w:pPr>
            <w:r>
              <w:rPr>
                <w:rFonts w:eastAsia="Times New Roman"/>
                <w:sz w:val="20"/>
                <w:szCs w:val="20"/>
              </w:rPr>
              <w:t>Skin cancer</w:t>
            </w:r>
          </w:p>
        </w:tc>
        <w:tc>
          <w:tcPr>
            <w:tcW w:w="250" w:type="pct"/>
            <w:hideMark/>
          </w:tcPr>
          <w:p w:rsidR="00000000" w:rsidRDefault="009649C3">
            <w:pPr>
              <w:rPr>
                <w:rFonts w:eastAsia="Times New Roman"/>
                <w:sz w:val="20"/>
                <w:szCs w:val="20"/>
              </w:rPr>
            </w:pPr>
            <w:r>
              <w:rPr>
                <w:rFonts w:eastAsia="Times New Roman"/>
                <w:sz w:val="20"/>
                <w:szCs w:val="20"/>
              </w:rPr>
              <w:t>●</w:t>
            </w:r>
          </w:p>
        </w:tc>
        <w:tc>
          <w:tcPr>
            <w:tcW w:w="1750" w:type="pct"/>
            <w:hideMark/>
          </w:tcPr>
          <w:p w:rsidR="00000000" w:rsidRDefault="009649C3">
            <w:pPr>
              <w:rPr>
                <w:rFonts w:eastAsia="Times New Roman"/>
                <w:sz w:val="20"/>
                <w:szCs w:val="20"/>
              </w:rPr>
            </w:pPr>
            <w:r>
              <w:rPr>
                <w:rFonts w:eastAsia="Times New Roman"/>
                <w:sz w:val="20"/>
                <w:szCs w:val="20"/>
              </w:rPr>
              <w:t>Non-dendritic brain</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Involved lymph nodes</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Bladder</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Rectal</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Liver</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Gynecological</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Localized prostate</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Spinal</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Pancreas</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Recurrent esophageal</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Head and neck (including sino-nasal and oropharyngeal)</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Ocular melanoma</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Anaplastic thyroid</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After </w:t>
      </w:r>
      <w:r>
        <w:rPr>
          <w:sz w:val="20"/>
          <w:szCs w:val="20"/>
        </w:rPr>
        <w:t>thorough review to prioritize indications, the MAB has selected basal cell and squamous cell carcinoma (skin cancers) as the first Indication for Use to be presented to the FDA. According to American Cancer Society, one out of every three new cancers diagn</w:t>
      </w:r>
      <w:r>
        <w:rPr>
          <w:sz w:val="20"/>
          <w:szCs w:val="20"/>
        </w:rPr>
        <w:t>osed in the U.S. is a cancerous skin lesion of this type, representing 5.5 million tumors annually. The MAB believes RadioGel™ will be the preferred treatment in a reasonable number of cases in a very large market.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i/>
          <w:iCs/>
          <w:sz w:val="20"/>
          <w:szCs w:val="20"/>
        </w:rPr>
        <w:t>Veterinary Sector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There </w:t>
      </w:r>
      <w:r>
        <w:rPr>
          <w:sz w:val="20"/>
          <w:szCs w:val="20"/>
        </w:rPr>
        <w:t>are approximately 150 million pet dogs and cats in the United States. Nearly one-half of dogs and one-third of cats are diagnosed with cancer at some point in their lifetime. The Veterinary Oncology &amp; Hematology Center in Norwalk, Connecticut, reports that</w:t>
      </w:r>
      <w:r>
        <w:rPr>
          <w:sz w:val="20"/>
          <w:szCs w:val="20"/>
        </w:rPr>
        <w:t xml:space="preserve"> cancer is the number one natural cause of death in older cats and dogs, accounting for nearly 50 percent of pet deaths each year. The American Veterinary Medical Association reports that half of the dogs ten years or older will die because of cancer. The </w:t>
      </w:r>
      <w:r>
        <w:rPr>
          <w:sz w:val="20"/>
          <w:szCs w:val="20"/>
        </w:rPr>
        <w:t>National Cancer Institute reports that about six million dogs are diagnosed with cancer each year, translating to more than 16,000 a day.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w:t>
      </w:r>
      <w:r>
        <w:rPr>
          <w:sz w:val="20"/>
          <w:szCs w:val="20"/>
        </w:rPr>
        <w:t xml:space="preserve"> member of the Veterinary Cancer Society and the Chair of our Veterinary Medicine Advisory Board, has been providing guidance to management regarding this market. The Veterinary Medicine Advisory Board gives us recommendations regarding the overall strateg</w:t>
      </w:r>
      <w:r>
        <w:rPr>
          <w:sz w:val="20"/>
          <w:szCs w:val="20"/>
        </w:rPr>
        <w:t>y for our animal business sector. Specially, they recommended the university veterinary hospitals for demonstration therapies, the specific cancers to be treated, and have provided business contact information to the private clinics.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Development of the p</w:t>
      </w:r>
      <w:r>
        <w:rPr>
          <w:sz w:val="20"/>
          <w:szCs w:val="20"/>
        </w:rPr>
        <w:t>roduct and application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Veterinary Medicine Pr</w:t>
      </w:r>
      <w:r>
        <w:rPr>
          <w:sz w:val="20"/>
          <w:szCs w:val="20"/>
        </w:rPr>
        <w:t>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tissue sarcomas.</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2141916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Additionally, </w:t>
      </w:r>
      <w:r>
        <w:rPr>
          <w:sz w:val="20"/>
          <w:szCs w:val="20"/>
        </w:rPr>
        <w:t>after a legal review, the Company believes that the device classification obtained from the FDA Center for Veterinary Medicine is not limited to canine and feline sarcomas, but rather may be extended to a much broader population of veterinary cancers, incl</w:t>
      </w:r>
      <w:r>
        <w:rPr>
          <w:sz w:val="20"/>
          <w:szCs w:val="20"/>
        </w:rPr>
        <w:t>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tumors in animals. The FDA does</w:t>
      </w:r>
      <w:r>
        <w:rPr>
          <w:sz w:val="20"/>
          <w:szCs w:val="20"/>
        </w:rPr>
        <w:t xml:space="preserve"> not have premarket authority over devices with a veterinary classification, and the manufacturers are responsible for assuring that the product is safe, effective, properly labeled, and otherwise in compliance with all applicable laws and regulations.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w:t>
      </w:r>
      <w:r>
        <w:rPr>
          <w:sz w:val="20"/>
          <w:szCs w:val="20"/>
        </w:rPr>
        <w:t>he Company currently intends to utilize university veterinary hospitals for therapy development, given that veterinary hospitals offer superior and plentiful veterinarians and students, a large number of animal patients, radioactive material handling licen</w:t>
      </w:r>
      <w:r>
        <w:rPr>
          <w:sz w:val="20"/>
          <w:szCs w:val="20"/>
        </w:rPr>
        <w:t>ses, and are respected by private veterinary centers and hospitals.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Pursuant to the terms of the grant with Washington State University, it was responsible for conducting studies regarding in vivo dosimetry and toxicity of intralesional Y-90 phosphate na</w:t>
      </w:r>
      <w:r>
        <w:rPr>
          <w:sz w:val="20"/>
          <w:szCs w:val="20"/>
        </w:rPr>
        <w:t>noparticles for the treatment of spontaneous feline and canine sarcomas. The term of the grant was October 1, 2016 through January 31, 2018. The Company provided the university with the RadioGel</w:t>
      </w:r>
      <w:r>
        <w:rPr>
          <w:sz w:val="20"/>
          <w:szCs w:val="20"/>
          <w:vertAlign w:val="superscript"/>
        </w:rPr>
        <w:t>TM</w:t>
      </w:r>
      <w:r>
        <w:rPr>
          <w:sz w:val="20"/>
          <w:szCs w:val="20"/>
        </w:rPr>
        <w:t xml:space="preserve"> required to complete the studies, as well as technical supp</w:t>
      </w:r>
      <w:r>
        <w:rPr>
          <w:sz w:val="20"/>
          <w:szCs w:val="20"/>
        </w:rPr>
        <w:t>ort for dosimetry calculations. All payments provided to Washington State University in relation to the grant were made by Washington State Life Sciences Discovery Fund pursuant to a grant and were not paid by the Company. To compliment the grant, addition</w:t>
      </w:r>
      <w:r>
        <w:rPr>
          <w:sz w:val="20"/>
          <w:szCs w:val="20"/>
        </w:rPr>
        <w:t>al scope was added to explore the option of pre-mixing the vials prior to shipment and the Company was reimbursed $17,583 as a separate contract to the grant.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Pursuant to the terms of the contract with the University of Missouri, it was responsible for c</w:t>
      </w:r>
      <w:r>
        <w:rPr>
          <w:sz w:val="20"/>
          <w:szCs w:val="20"/>
        </w:rPr>
        <w:t xml:space="preserve">onducting studies regarding in vivo dosimetry and toxicity of intralesional Y-90 phosphate nanoparticles for the treatment of soft tissue carcinoma and equine sarcoids. The term of the contract was initially from November 1, 2017 through October 31, 2018, </w:t>
      </w:r>
      <w:r>
        <w:rPr>
          <w:sz w:val="20"/>
          <w:szCs w:val="20"/>
        </w:rPr>
        <w:t>but it has recently been working to extend this contract through testing completion on canine soft tissue sarcoma and equine sarcoids, plus additional tumors of interest defined by the University of Missouri principal investigators. This extension is depen</w:t>
      </w:r>
      <w:r>
        <w:rPr>
          <w:sz w:val="20"/>
          <w:szCs w:val="20"/>
        </w:rPr>
        <w:t>dent upon keeping current with paying for the expenses of the ongoing therapies.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Competitors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pharmaceutical and b</w:t>
      </w:r>
      <w:r>
        <w:rPr>
          <w:sz w:val="20"/>
          <w:szCs w:val="20"/>
        </w:rPr>
        <w:t xml:space="preserve">iotechnology industries are intensely competitive and subject to rapid and significant technological changes. A number of companies are pursuing the development of pharmaceuticals and products that target the same diseases and conditions that our products </w:t>
      </w:r>
      <w:r>
        <w:rPr>
          <w:sz w:val="20"/>
          <w:szCs w:val="20"/>
        </w:rPr>
        <w:t>target. We cannot predict with accuracy the timing or impact of the introduction of potentially competitive products or their possible effect on our sales. Certain potentially competitive products to our products may be in various stages of development. Al</w:t>
      </w:r>
      <w:r>
        <w:rPr>
          <w:sz w:val="20"/>
          <w:szCs w:val="20"/>
        </w:rPr>
        <w:t>so, there may be many ongoing studies with currently marketed products and other developmental products, which may yield new data that could adversely impact the use of our products in their current and potential future Indications for Use. The introductio</w:t>
      </w:r>
      <w:r>
        <w:rPr>
          <w:sz w:val="20"/>
          <w:szCs w:val="20"/>
        </w:rPr>
        <w:t>n of competitive products could significantly reduce our sales, which, in turn would adversely impact our financial and operating results.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General categories of</w:t>
      </w:r>
      <w:r>
        <w:rPr>
          <w:sz w:val="20"/>
          <w:szCs w:val="20"/>
        </w:rPr>
        <w:t xml:space="preserve"> treatment include surgery, chemotherapy, radiation therapy and immunotherapy. These products have a diverse set of success rates and side effects. The Company’s products, including RadioGel™, fall into the brachytherapy treatment category. There are a num</w:t>
      </w:r>
      <w:r>
        <w:rPr>
          <w:sz w:val="20"/>
          <w:szCs w:val="20"/>
        </w:rPr>
        <w:t>ber of brachytherapy devices currently marketed in the U.S. and globally. The traditional iodine-125 (I-125) and palladium-103 (Pd-103) technologies for brachytherapy are well entrenched with powerful market players controlling the market. The industry-sta</w:t>
      </w:r>
      <w:r>
        <w:rPr>
          <w:sz w:val="20"/>
          <w:szCs w:val="20"/>
        </w:rPr>
        <w:t>ndard I-125-based therapy was developed by Oncura, which is a unit of General Electric Company. Additionally, C.R. Bard, a major industry player competes in the I-125 brachytherapy marketplace. These market competitors are also involved in the distribution</w:t>
      </w:r>
      <w:r>
        <w:rPr>
          <w:sz w:val="20"/>
          <w:szCs w:val="20"/>
        </w:rPr>
        <w:t xml:space="preserve"> of Pd-103 based products. Cs-131 brachytherapy products are sold by IsoRay. Several Y-90 therapies have been FDA approved including SIR-Spheres by Sirtex, TheraSphere by Biocompatibles UK and Zevalin by Spectrum Pharmaceuticals.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6283274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 xml:space="preserve">Raw </w:t>
      </w:r>
      <w:r>
        <w:rPr>
          <w:b/>
          <w:bCs/>
          <w:i/>
          <w:iCs/>
          <w:sz w:val="20"/>
          <w:szCs w:val="20"/>
          <w:u w:val="single"/>
        </w:rPr>
        <w:t>Materials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Eckert and Ziegler the only supplier of Y-90 in the United States, is the sole supplier of the Y-90 used by IsoTherapeutics to manufacture the Company’s Radi</w:t>
      </w:r>
      <w:r>
        <w:rPr>
          <w:sz w:val="20"/>
          <w:szCs w:val="20"/>
        </w:rPr>
        <w:t>oGel™. The Company obtains supplies, hardware, handling equipment and packaging from several different U.S. suppliers.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Customers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w:t>
      </w:r>
      <w:r>
        <w:rPr>
          <w:sz w:val="20"/>
          <w:szCs w:val="20"/>
        </w:rPr>
        <w:t>utions and individuals that currently purchase brachytherapy products or other oncology treatment products.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Government Regulation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w:t>
      </w:r>
      <w:r>
        <w:rPr>
          <w:sz w:val="20"/>
          <w:szCs w:val="20"/>
        </w:rPr>
        <w:t>, including RadioGel™, are subject to extensive laws, regulations, regulatory approvals and guidelines. Within the United States, the Company’s therapeutic radiological devices must comply with the U.S. Federal Food, Drug and Cosmetic Act, which is enforce</w:t>
      </w:r>
      <w:r>
        <w:rPr>
          <w:sz w:val="20"/>
          <w:szCs w:val="20"/>
        </w:rPr>
        <w:t>d by FDA. The Company is also required to adhere to applicable FDA Quality System Regulations, also known as the Good Manufacturing Practices, which include extensive record keeping and periodic inspections of manufacturing facilities.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the United Stat</w:t>
      </w:r>
      <w:r>
        <w:rPr>
          <w:sz w:val="20"/>
          <w:szCs w:val="20"/>
        </w:rPr>
        <w:t>es, the FDA regulates, among other things, new product clearances and approvals to establish the safety and efficacy of these products. We are also subject to other federal and state laws and regulations, including the Occupational Safety and Health Act an</w:t>
      </w:r>
      <w:r>
        <w:rPr>
          <w:sz w:val="20"/>
          <w:szCs w:val="20"/>
        </w:rPr>
        <w:t>d the Environmental Protection Act.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Federal Food, Drug, and Cosmetic Act and other federal statutes and regulations govern or influence the research, testing, manufacture, safety, labeling, storage, record keeping, approval, distribution, use, reporting, advertising and promotion of such pro</w:t>
      </w:r>
      <w:r>
        <w:rPr>
          <w:sz w:val="20"/>
          <w:szCs w:val="20"/>
        </w:rPr>
        <w:t>ducts. Noncompliance with applicable requirements can result in civil penalties, recall, injunction or seizure of products, refusal of the government to approve or clear product approval applications, disqualification from sponsoring or conducting clinical</w:t>
      </w:r>
      <w:r>
        <w:rPr>
          <w:sz w:val="20"/>
          <w:szCs w:val="20"/>
        </w:rPr>
        <w:t xml:space="preserve"> investigations, preventing us from entering into government supply contracts, withdrawal of previously approved applications, and criminal prosecution.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the United States, medical devices are classified into three different categories over which the F</w:t>
      </w:r>
      <w:r>
        <w:rPr>
          <w:sz w:val="20"/>
          <w:szCs w:val="20"/>
        </w:rPr>
        <w:t>DA applies increasing levels of regulation: Class I, Class II, and Class III. Most Class I devices are exempt from premarket notification 510(k); most Class II devices require premarket notification 510(k); and most Class III devices require premarket appr</w:t>
      </w:r>
      <w:r>
        <w:rPr>
          <w:sz w:val="20"/>
          <w:szCs w:val="20"/>
        </w:rPr>
        <w:t>oval. RadioGel™ is currently classified as a Class III device.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Approval of new Class III medical devices is a lengthy procedure and can take a number of years and require the expenditure of significant resources. There is a shorter FDA review and clearan</w:t>
      </w:r>
      <w:r>
        <w:rPr>
          <w:sz w:val="20"/>
          <w:szCs w:val="20"/>
        </w:rPr>
        <w:t>ce process for Class II medical devices, the premarket notification or 510(k) process, whereby a company can market certain Class II medical devices that can be shown to be substantially equivalent to other legally marketed devices.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intends t</w:t>
      </w:r>
      <w:r>
        <w:rPr>
          <w:sz w:val="20"/>
          <w:szCs w:val="20"/>
        </w:rPr>
        <w:t xml:space="preserve">o apply for a </w:t>
      </w:r>
      <w:r>
        <w:rPr>
          <w:i/>
          <w:iCs/>
          <w:sz w:val="20"/>
          <w:szCs w:val="20"/>
        </w:rPr>
        <w:t>de novo</w:t>
      </w:r>
      <w:r>
        <w:rPr>
          <w:sz w:val="20"/>
          <w:szCs w:val="20"/>
        </w:rPr>
        <w:t xml:space="preserve"> with an anticipated expenditure of $10.0 million over the next four years. This expenditure estimate includes anticipated costs associated with in vitro and in vivo pre-clinical testing, our application for an Investigational Device E</w:t>
      </w:r>
      <w:r>
        <w:rPr>
          <w:sz w:val="20"/>
          <w:szCs w:val="20"/>
        </w:rPr>
        <w:t xml:space="preserve">xemption, Phase I and Phase II clinical trials and our application for a </w:t>
      </w:r>
      <w:r>
        <w:rPr>
          <w:i/>
          <w:iCs/>
          <w:sz w:val="20"/>
          <w:szCs w:val="20"/>
        </w:rPr>
        <w:t>de novo</w:t>
      </w:r>
      <w:r>
        <w:rPr>
          <w:sz w:val="20"/>
          <w:szCs w:val="20"/>
        </w:rPr>
        <w: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a registered medical device manufacturer with the FDA, we are subject to inspection to ensure compliance with FDA’s current Good Manufacturing Practices, or cGMP. These </w:t>
      </w:r>
      <w:r>
        <w:rPr>
          <w:sz w:val="20"/>
          <w:szCs w:val="20"/>
        </w:rPr>
        <w:t>regulations require that we and any of our contract manufacturers design, manufacture and service products, and maintain documents in a prescribed manner with respect to manufacturing, testing, distribution, storage, design control, and service activities.</w:t>
      </w:r>
      <w:r>
        <w:rPr>
          <w:sz w:val="20"/>
          <w:szCs w:val="20"/>
        </w:rPr>
        <w:t xml:space="preserve"> Modifications or enhancements that could significantly affect the safety or effectiveness of a device or that constitute a major change to the intended use of the device require a new 510(k) premarket notification for any significant product modification.</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8350021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Medical Device Reporting regulation requires that we provide information to the FDA on deaths or serious injuries alleged to be associated with the use of our devices, as well as product malfunctions that are likely to cause or contribute to death or serio</w:t>
      </w:r>
      <w:r>
        <w:rPr>
          <w:sz w:val="20"/>
          <w:szCs w:val="20"/>
        </w:rPr>
        <w:t>us injury if the malfunction were to recur. Labeling and promotional activities are regulated by the FDA and, in some circumstances, by the Federal Trade Commission.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w:t>
      </w:r>
      <w:r>
        <w:rPr>
          <w:sz w:val="20"/>
          <w:szCs w:val="20"/>
        </w:rPr>
        <w:t xml:space="preserve">ed by governmental entities at the federal, state and local levels. For example, our facility is licensed as a medical device manufacturing facility in the State of Washington and is subject to periodic state regulatory inspections. Our customers are also </w:t>
      </w:r>
      <w:r>
        <w:rPr>
          <w:sz w:val="20"/>
          <w:szCs w:val="20"/>
        </w:rPr>
        <w:t>subject to a wide variety of laws and regulations that could affect the nature and scope of their relationships with us.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the United States, as a manufacturer of medical devices and devices utilizing radioactive byproduct material, we are subject to ex</w:t>
      </w:r>
      <w:r>
        <w:rPr>
          <w:sz w:val="20"/>
          <w:szCs w:val="20"/>
        </w:rPr>
        <w:t xml:space="preserve">tensive regulation by not only federal governmental authorities, such as the FDA and FAA, but also by state and local governmental authorities, such as the Washington State Department of Health, to ensure such devices are safe and effective. In Washington </w:t>
      </w:r>
      <w:r>
        <w:rPr>
          <w:sz w:val="20"/>
          <w:szCs w:val="20"/>
        </w:rPr>
        <w:t>State, the Department of Health, by agreement with the federal Nuclear Regulatory Commission (“</w:t>
      </w:r>
      <w:r>
        <w:rPr>
          <w:i/>
          <w:iCs/>
          <w:sz w:val="20"/>
          <w:szCs w:val="20"/>
        </w:rPr>
        <w:t>NRC</w:t>
      </w:r>
      <w:r>
        <w:rPr>
          <w:sz w:val="20"/>
          <w:szCs w:val="20"/>
        </w:rPr>
        <w:t>”), regulates the possession, use, and disposal of radioactive byproduct material as well as the manufacture of radioactive sealed sources to ensure complianc</w:t>
      </w:r>
      <w:r>
        <w:rPr>
          <w:sz w:val="20"/>
          <w:szCs w:val="20"/>
        </w:rPr>
        <w:t>e with state and federal laws and regulations. RadioGel™ constitutes both medical devices and radioactive sealed sources and are subject to these regulations.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w:t>
      </w:r>
      <w:r>
        <w:rPr>
          <w:sz w:val="20"/>
          <w:szCs w:val="20"/>
        </w:rPr>
        <w:t>bject to regulation by several federal and state agencies depending on the nature of the substance or waste material. We believe that we are in compliance with all federal and state regulations for this purpose.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Environmental Regulation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Our business do</w:t>
      </w:r>
      <w:r>
        <w:rPr>
          <w:sz w:val="20"/>
          <w:szCs w:val="20"/>
        </w:rPr>
        <w:t>es not require us to comply with any extraordinary environmental regulations. Our RadioGel™ product is manufactured in an independently owned and operated facility. Any environmental effects or contamination event that could result would be from the shippi</w:t>
      </w:r>
      <w:r>
        <w:rPr>
          <w:sz w:val="20"/>
          <w:szCs w:val="20"/>
        </w:rPr>
        <w:t>ng company during shipment and misuse by the treatment facility upon arrival.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Human Capital</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As of December 31, 2020, the Company had one full-time personnel. The Company utilizes several independent contractors to assist with its operations. The Compan</w:t>
      </w:r>
      <w:r>
        <w:rPr>
          <w:sz w:val="20"/>
          <w:szCs w:val="20"/>
        </w:rPr>
        <w:t>y does not have a collective bargaining agreement with any of its personnel and believes its relations with its personnel are good.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Available Information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prepares and files annual reports on Form 10-K, quarterly reports on Form 10-Q, curren</w:t>
      </w:r>
      <w:r>
        <w:rPr>
          <w:sz w:val="20"/>
          <w:szCs w:val="20"/>
        </w:rPr>
        <w:t>t reports on Form 8-K and certain other information with the United States Securities and Exchange Commission (the “</w:t>
      </w:r>
      <w:r>
        <w:rPr>
          <w:i/>
          <w:iCs/>
          <w:sz w:val="20"/>
          <w:szCs w:val="20"/>
        </w:rPr>
        <w:t>SEC</w:t>
      </w:r>
      <w:r>
        <w:rPr>
          <w:sz w:val="20"/>
          <w:szCs w:val="20"/>
        </w:rPr>
        <w:t>”). The SEC maintains an Internet site that contains reports, proxy and information statements, and other information regarding issuers t</w:t>
      </w:r>
      <w:r>
        <w:rPr>
          <w:sz w:val="20"/>
          <w:szCs w:val="20"/>
        </w:rPr>
        <w:t>hat file electronically with the SEC at http://www.sec.gov. Moreover, the Company maintains a website at http://www.RadioGel.com that contains important information about the Company, including biographies of key management personnel, as well as informatio</w:t>
      </w:r>
      <w:r>
        <w:rPr>
          <w:sz w:val="20"/>
          <w:szCs w:val="20"/>
        </w:rPr>
        <w:t>n about the Company’s business. This information is publicly available and is updated regularly. The content on any website referred to in this Annual Report is not incorporated by reference into this Annual Report, unless (and only to the extent) expressl</w:t>
      </w:r>
      <w:r>
        <w:rPr>
          <w:sz w:val="20"/>
          <w:szCs w:val="20"/>
        </w:rPr>
        <w:t>y so stated herein.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2" w:name="v_003"/>
      <w:bookmarkEnd w:id="2"/>
      <w:r>
        <w:rPr>
          <w:b/>
          <w:bCs/>
          <w:sz w:val="20"/>
          <w:szCs w:val="20"/>
        </w:rPr>
        <w:t>ITEM 1A. RISK FACTORS.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i/>
          <w:iCs/>
          <w:sz w:val="20"/>
          <w:szCs w:val="20"/>
        </w:rPr>
        <w:t xml:space="preserve">Investing </w:t>
      </w:r>
      <w:r>
        <w:rPr>
          <w:i/>
          <w:iCs/>
          <w:sz w:val="20"/>
          <w:szCs w:val="20"/>
        </w:rPr>
        <w:t>in our common stock involves a high degree of risk. You should carefully consider the risks described below, as well as the other information in this Annual Report, including our financial statements and the related notes and “Management’s Discussion and A</w:t>
      </w:r>
      <w:r>
        <w:rPr>
          <w:i/>
          <w:iCs/>
          <w:sz w:val="20"/>
          <w:szCs w:val="20"/>
        </w:rPr>
        <w:t xml:space="preserve">nalysis of Financial Condition and Results of Operations,” before deciding whether to invest in our securities. The occurrence of any of the events or developments described below could harm our business, financial condition, operating results, and growth </w:t>
      </w:r>
      <w:r>
        <w:rPr>
          <w:i/>
          <w:iCs/>
          <w:sz w:val="20"/>
          <w:szCs w:val="20"/>
        </w:rPr>
        <w:t>prospects. In such an event, the market price of our common stock could decline, and you may lose all or part of your investment. Additional risks and uncertainties not presently known to us or that we currently deem immaterial also may impair our business</w:t>
      </w:r>
      <w:r>
        <w:rPr>
          <w:i/>
          <w:iCs/>
          <w:sz w:val="20"/>
          <w:szCs w:val="20"/>
        </w:rPr>
        <w:t xml:space="preserve"> operations. </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2991145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RISKS ASSOCIATED WITH THE COMPANY’S BUSINESS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Our independent registered public accounting firms’ reports on its financial statements questions the Company’s ability to continue as a going concern.</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w:t>
      </w:r>
      <w:r>
        <w:rPr>
          <w:sz w:val="20"/>
          <w:szCs w:val="20"/>
        </w:rPr>
        <w:t>s independent registered public accounting firms’ reports on the Company’s financial statements for the years ended December 31, 2020 and 2019 express substantial doubt about the Company’s ability to continue as a going concern. The reports include an expl</w:t>
      </w:r>
      <w:r>
        <w:rPr>
          <w:sz w:val="20"/>
          <w:szCs w:val="20"/>
        </w:rPr>
        <w:t>anatory paragraph stating that the Company has suffered recurring losses, used significant cash in support of its operating activities and, based on its current operating levels, require additional capital or significant restructuring to sustain its operat</w:t>
      </w:r>
      <w:r>
        <w:rPr>
          <w:sz w:val="20"/>
          <w:szCs w:val="20"/>
        </w:rPr>
        <w:t>ion for the foreseeable future. There is no assurance that the Company will be able to obtain sufficient additional capital to continue its operations and to alleviate doubt about its ability to continue as a going concern. If the Company obtains additiona</w:t>
      </w:r>
      <w:r>
        <w:rPr>
          <w:sz w:val="20"/>
          <w:szCs w:val="20"/>
        </w:rPr>
        <w:t>l financing, such funds may not be available on favorable terms and likely would entail considerable dilution to existing shareholders. Any debt financing, if available, may involve restrictive covenants that restrict its ability to conduct its business. I</w:t>
      </w:r>
      <w:r>
        <w:rPr>
          <w:sz w:val="20"/>
          <w:szCs w:val="20"/>
        </w:rPr>
        <w:t xml:space="preserve">t is extremely remote that the Company could obtain any financing on any basis that did not result in considerable dilution for shareholders. Inclusion of a “going concern qualification” in the report of its independent accountants or in any future report </w:t>
      </w:r>
      <w:r>
        <w:rPr>
          <w:sz w:val="20"/>
          <w:szCs w:val="20"/>
        </w:rPr>
        <w:t>may have a negative impact on its ability to obtain debt or equity financing and may adversely impact its stock price.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A combination of our current financial condition and the FDA’s determinations to date regarding our brachytherapy products raise materi</w:t>
      </w:r>
      <w:r>
        <w:rPr>
          <w:b/>
          <w:bCs/>
          <w:i/>
          <w:iCs/>
          <w:sz w:val="20"/>
          <w:szCs w:val="20"/>
        </w:rPr>
        <w:t>al concerns about ability to continue as a going concern.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will not be able to continue as a going concern unless the Company obtains financing. Depending upon the amount of financing, if any, the Company is able to obtain, the Company may not</w:t>
      </w:r>
      <w:r>
        <w:rPr>
          <w:sz w:val="20"/>
          <w:szCs w:val="20"/>
        </w:rPr>
        <w:t xml:space="preserve"> receive adequate funds to continue the approval process for RadioGel™ or other brachytherapy products with the FDA.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has generated operating losses since inception, which are expected to continue, and has increasing cash requirements, which i</w:t>
      </w:r>
      <w:r>
        <w:rPr>
          <w:b/>
          <w:bCs/>
          <w:i/>
          <w:iCs/>
          <w:sz w:val="20"/>
          <w:szCs w:val="20"/>
        </w:rPr>
        <w:t>t may be unable to satisfy</w:t>
      </w:r>
      <w:r>
        <w:rPr>
          <w:b/>
          <w:bCs/>
          <w:sz w:val="20"/>
          <w:szCs w:val="20"/>
        </w:rPr>
        <w:t>.</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 has generated material operating losses since inception. The Company has had recurring net losses since inception which has resulted in an accumulated deficit of $74,558,101 and $73,601,109 as of December 31, 2020 </w:t>
      </w:r>
      <w:r>
        <w:rPr>
          <w:sz w:val="20"/>
          <w:szCs w:val="20"/>
        </w:rPr>
        <w:t xml:space="preserve">and 2019, respectively including net losses of $956,992 and $1,610,097 for the years ended December 31, 2020 and 2019. Historically, the Company has relied upon investor funds to maintain its operations and develop its business. The Company needs to raise </w:t>
      </w:r>
      <w:r>
        <w:rPr>
          <w:sz w:val="20"/>
          <w:szCs w:val="20"/>
        </w:rPr>
        <w:t xml:space="preserve">additional capital within the next quarter from investors for working capital as well as business expansion, and there is no assurance that additional investor funds will be available on terms acceptable to the Company, or at all. If the Company is unable </w:t>
      </w:r>
      <w:r>
        <w:rPr>
          <w:sz w:val="20"/>
          <w:szCs w:val="20"/>
        </w:rPr>
        <w:t>to unable to obtain additional financing to meet its working capital requirements, the Company likely would cease operations.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requires funding of at least $1.8 million per year to maintain current operating activities. Over the next 24 months</w:t>
      </w:r>
      <w:r>
        <w:rPr>
          <w:sz w:val="20"/>
          <w:szCs w:val="20"/>
        </w:rPr>
        <w:t>, the Company believes it will cost approximately $9 million to fund: (1) 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w:t>
      </w:r>
      <w:r>
        <w:rPr>
          <w:sz w:val="20"/>
          <w:szCs w:val="20"/>
        </w:rPr>
        <w:t>unty, (4) create an independent production center within the current production site to create a template for future international manufacturing, and (5) initiate regulatory approval processes outside of the United States.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36325981"/>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principal variables in the timing and amount of spending for the brachytherapy products in the next 12 to 24 months will be the FDA’s classification of the Company’s brachytherapy products as Class II or Class III devices (or otherwise) and any requirement</w:t>
      </w:r>
      <w:r>
        <w:rPr>
          <w:sz w:val="20"/>
          <w:szCs w:val="20"/>
        </w:rPr>
        <w:t>s for additional studies, which may possibly include clinical studies. Thereafter, the principal variables in the amount of the Company’s spending and its financing requirements would be the timing of any approvals and the nature of the Company’s arrangeme</w:t>
      </w:r>
      <w:r>
        <w:rPr>
          <w:sz w:val="20"/>
          <w:szCs w:val="20"/>
        </w:rPr>
        <w:t>nts with third parties for manufacturing, sales, distribution and licensing of those products and the products’ success in the U.S. and elsewhere. The Company intends to fund its activities through strategic transactions such as licensing and partnership a</w:t>
      </w:r>
      <w:r>
        <w:rPr>
          <w:sz w:val="20"/>
          <w:szCs w:val="20"/>
        </w:rPr>
        <w:t>greements or additional capital raises.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Recent economic events, including the COVID-19 pandemic, the inherent instability in global capital markets, as well as the lack of liquidity in the capital markets, could adversely impact the Company’s ability to </w:t>
      </w:r>
      <w:r>
        <w:rPr>
          <w:sz w:val="20"/>
          <w:szCs w:val="20"/>
        </w:rPr>
        <w:t>obtain financing and its ability to execute its business plan.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has a limited operating history, which may make it difficult to evaluate its business and prospects.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has a limited operating history upon which one can base an evalu</w:t>
      </w:r>
      <w:r>
        <w:rPr>
          <w:sz w:val="20"/>
          <w:szCs w:val="20"/>
        </w:rPr>
        <w:t>ation of its business and prospects. As a company in the development stage, there are substantial risks, uncertainties, expenses and difficulties to which its business is subject. To address these risks and uncertainties, the Company must do the following:</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jc w:val="both"/>
              <w:rPr>
                <w:rFonts w:eastAsia="Times New Roman"/>
                <w:sz w:val="20"/>
                <w:szCs w:val="20"/>
              </w:rPr>
            </w:pPr>
            <w:r>
              <w:rPr>
                <w:rFonts w:eastAsia="Times New Roman"/>
                <w:sz w:val="20"/>
                <w:szCs w:val="20"/>
              </w:rPr>
              <w:t> </w:t>
            </w:r>
          </w:p>
        </w:tc>
        <w:tc>
          <w:tcPr>
            <w:tcW w:w="360" w:type="dxa"/>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successfully develop and execute the business strategy;</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respond to competitive developments; and</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attract, integrate, retain and motivate qualified personnel.</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There </w:t>
      </w:r>
      <w:r>
        <w:rPr>
          <w:sz w:val="20"/>
          <w:szCs w:val="20"/>
        </w:rPr>
        <w:t>is no assurance that the Company will achieve or maintain profitable operations or that the Company will obtain or maintain adequate working capital to meet its obligations as they become due. The Company cannot be certain that its business strategy will b</w:t>
      </w:r>
      <w:r>
        <w:rPr>
          <w:sz w:val="20"/>
          <w:szCs w:val="20"/>
        </w:rPr>
        <w:t>e successfully developed and implemented or that the Company will successfully address the risks that face its business. In the event that the Company does not successfully address these risks, its business, prospects, financial condition, and results of o</w:t>
      </w:r>
      <w:r>
        <w:rPr>
          <w:sz w:val="20"/>
          <w:szCs w:val="20"/>
        </w:rPr>
        <w:t>perations could be materially and adversely affected.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products are regulated and require appropriate clearances and approvals to be marketed in the U.S. and globally.</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is no assurance the FDA or other global regulatory authorities wi</w:t>
      </w:r>
      <w:r>
        <w:rPr>
          <w:sz w:val="20"/>
          <w:szCs w:val="20"/>
        </w:rPr>
        <w:t>ll grant the Company permission to market the Company’s brachytherapy Y-90 RadioGel™ device.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has been working with the FDA to obtain clearance for its brachytherapy Y-90 RadioGel</w:t>
      </w:r>
      <w:r>
        <w:rPr>
          <w:sz w:val="20"/>
          <w:szCs w:val="20"/>
          <w:vertAlign w:val="superscript"/>
        </w:rPr>
        <w:t>TM</w:t>
      </w:r>
      <w:r>
        <w:rPr>
          <w:sz w:val="20"/>
          <w:szCs w:val="20"/>
        </w:rPr>
        <w:t xml:space="preserve"> device, but no assurances have been received. On December 23,</w:t>
      </w:r>
      <w:r>
        <w:rPr>
          <w:sz w:val="20"/>
          <w:szCs w:val="20"/>
        </w:rPr>
        <w:t xml:space="preserve"> 2014, the Company announced that it submitted a </w:t>
      </w:r>
      <w:r>
        <w:rPr>
          <w:i/>
          <w:iCs/>
          <w:sz w:val="20"/>
          <w:szCs w:val="20"/>
        </w:rPr>
        <w:t>de novo</w:t>
      </w:r>
      <w:r>
        <w:rPr>
          <w:sz w:val="20"/>
          <w:szCs w:val="20"/>
        </w:rPr>
        <w:t xml:space="preserve"> to the FDA for marketing clearance for its patented Y-90 RadioGel</w:t>
      </w:r>
      <w:r>
        <w:rPr>
          <w:sz w:val="20"/>
          <w:szCs w:val="20"/>
          <w:vertAlign w:val="superscript"/>
        </w:rPr>
        <w:t>TM</w:t>
      </w:r>
      <w:r>
        <w:rPr>
          <w:sz w:val="20"/>
          <w:szCs w:val="20"/>
        </w:rPr>
        <w:t xml:space="preserve"> device pursuant to Section 513(f)(2) of the U.S. Food, Drug and Cosmetic Act (the “</w:t>
      </w:r>
      <w:r>
        <w:rPr>
          <w:i/>
          <w:iCs/>
          <w:sz w:val="20"/>
          <w:szCs w:val="20"/>
        </w:rPr>
        <w:t>Act</w:t>
      </w:r>
      <w:r>
        <w:rPr>
          <w:sz w:val="20"/>
          <w:szCs w:val="20"/>
        </w:rPr>
        <w:t>”</w:t>
      </w:r>
      <w:r>
        <w:rPr>
          <w:sz w:val="20"/>
          <w:szCs w:val="20"/>
        </w:rPr>
        <w:t xml:space="preserve">). In June 2015, the FDA notified the Company the </w:t>
      </w:r>
      <w:r>
        <w:rPr>
          <w:i/>
          <w:iCs/>
          <w:sz w:val="20"/>
          <w:szCs w:val="20"/>
        </w:rPr>
        <w:t>de novo</w:t>
      </w:r>
      <w:r>
        <w:rPr>
          <w:sz w:val="20"/>
          <w:szCs w:val="20"/>
        </w:rPr>
        <w:t xml:space="preserve"> was not granted. In February 2014, the FDA found the same device under Section 510(k) of the Act not substantially equivalent and concluded that the device is classified by statute as a Class III me</w:t>
      </w:r>
      <w:r>
        <w:rPr>
          <w:sz w:val="20"/>
          <w:szCs w:val="20"/>
        </w:rPr>
        <w:t xml:space="preserve">dical device, unless the device is reclassified. The Company is seeking reclassification of the product to Class II. If the Company is successful in seeking reconsideration of the Company’s </w:t>
      </w:r>
      <w:r>
        <w:rPr>
          <w:i/>
          <w:iCs/>
          <w:sz w:val="20"/>
          <w:szCs w:val="20"/>
        </w:rPr>
        <w:t>de novo</w:t>
      </w:r>
      <w:r>
        <w:rPr>
          <w:sz w:val="20"/>
          <w:szCs w:val="20"/>
        </w:rPr>
        <w:t xml:space="preserve"> application, as a regulatory matter, the device could be o</w:t>
      </w:r>
      <w:r>
        <w:rPr>
          <w:sz w:val="20"/>
          <w:szCs w:val="20"/>
        </w:rPr>
        <w:t>n an easier and faster path to market in the United States. However, there would still be the requirements to complete the in vitro and in vivo testing, and then some human clinical trials. That testing date is submitted in a de novo pre-market application</w:t>
      </w:r>
      <w:r>
        <w:rPr>
          <w:sz w:val="20"/>
          <w:szCs w:val="20"/>
        </w:rPr>
        <w:t xml:space="preserve"> and if accepted we could then go to market. As a practical matter, the Company would still need to secure funding and commercial arrangements before marketing could commence. If the </w:t>
      </w:r>
      <w:r>
        <w:rPr>
          <w:i/>
          <w:iCs/>
          <w:sz w:val="20"/>
          <w:szCs w:val="20"/>
        </w:rPr>
        <w:t>de novo</w:t>
      </w:r>
      <w:r>
        <w:rPr>
          <w:sz w:val="20"/>
          <w:szCs w:val="20"/>
        </w:rPr>
        <w:t xml:space="preserve"> is declined and if the Company obtains funding to permit it to co</w:t>
      </w:r>
      <w:r>
        <w:rPr>
          <w:sz w:val="20"/>
          <w:szCs w:val="20"/>
        </w:rPr>
        <w:t>ntinue operations, the Company will explore steps toward seeking approval for the device as a Class III medical device. Generally, the time period and cost of seeking approval as a Class III medical device is materially greater than the time period and cos</w:t>
      </w:r>
      <w:r>
        <w:rPr>
          <w:sz w:val="20"/>
          <w:szCs w:val="20"/>
        </w:rPr>
        <w:t>t of seeking approval as a Class II medical device. If the Company seeks approval as a Class III device, human clinical trials will be necessary. Generally, human trials for Class III products are larger, of longer duration and costlier than those for Clas</w:t>
      </w:r>
      <w:r>
        <w:rPr>
          <w:sz w:val="20"/>
          <w:szCs w:val="20"/>
        </w:rPr>
        <w:t>s II devices.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0090414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If </w:t>
      </w:r>
      <w:r>
        <w:rPr>
          <w:sz w:val="20"/>
          <w:szCs w:val="20"/>
        </w:rPr>
        <w:t>human clinical trials are necessary, there will be additional cost and time to reach marketing clearance or approval. Unless the Company obtains sufficient funding, it will be unable to do the foregoing activities. There can be no assurance that the produc</w:t>
      </w:r>
      <w:r>
        <w:rPr>
          <w:sz w:val="20"/>
          <w:szCs w:val="20"/>
        </w:rPr>
        <w:t>t will be approved as either a Class II or Class III device by the FDA even if additional data is provided. In August 2017, the Company met again with the FDA in a pre-submission meeting to once again go through the requirements for pre-clinical testing an</w:t>
      </w:r>
      <w:r>
        <w:rPr>
          <w:sz w:val="20"/>
          <w:szCs w:val="20"/>
        </w:rPr>
        <w:t>d to answer the previous FDA questions submitted years before. There can be no assurance that the Company will receive FDA approval, or if it does, the timing thereof.</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If the Company is successful in increasing the size of its organization, the Company m</w:t>
      </w:r>
      <w:r>
        <w:rPr>
          <w:b/>
          <w:bCs/>
          <w:i/>
          <w:iCs/>
          <w:sz w:val="20"/>
          <w:szCs w:val="20"/>
        </w:rPr>
        <w:t>ay experience difficulties in managing growth.</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is a small organization with a minimal number of employees. If the Company is successful, it may experience a period of significant expansion in headcount, facilities, infrastructure and overhead</w:t>
      </w:r>
      <w:r>
        <w:rPr>
          <w:sz w:val="20"/>
          <w:szCs w:val="20"/>
        </w:rPr>
        <w:t xml:space="preserve"> and further expansion may be required to address potential growth and market opportunities. Any such future growth will impose significant added responsibilities on members of management, including the need to improve the Company’s operational and financi</w:t>
      </w:r>
      <w:r>
        <w:rPr>
          <w:sz w:val="20"/>
          <w:szCs w:val="20"/>
        </w:rPr>
        <w:t>al systems and to identify, recruit, maintain and integrate additional managers. The Company’s future financial performance and its ability to compete effectively will depend, in part, on the ability to manage any future growth effectively.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w:t>
      </w:r>
      <w:r>
        <w:rPr>
          <w:b/>
          <w:bCs/>
          <w:i/>
          <w:iCs/>
          <w:sz w:val="20"/>
          <w:szCs w:val="20"/>
        </w:rPr>
        <w:t xml:space="preserve"> business is dependent upon the continued services of the Company’s Chief Executive Officer, Michael Korenko. Should the Company lose the services of Dr. Korenko, the Company’s operations will be negatively impacted.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business is dependent u</w:t>
      </w:r>
      <w:r>
        <w:rPr>
          <w:sz w:val="20"/>
          <w:szCs w:val="20"/>
        </w:rPr>
        <w:t xml:space="preserve">pon the expertise of its Chief Executive Officer, Michael Korenko. Dr. Korenko is essential to the Company’s operations. Accordingly, an investor must rely on Dr. Korenko’s management decisions that will continue to control the Company’s business affairs. </w:t>
      </w:r>
      <w:r>
        <w:rPr>
          <w:sz w:val="20"/>
          <w:szCs w:val="20"/>
        </w:rPr>
        <w:t>The Company does not maintain key man insurance on Dr. Korenko’s life. The loss of the services of Dr. Korenko would have a material adverse effect upon the Company’s business. To mitigate this risk, David Swanberg has been groomed as a replacement candida</w:t>
      </w:r>
      <w:r>
        <w:rPr>
          <w:sz w:val="20"/>
          <w:szCs w:val="20"/>
        </w:rPr>
        <w:t>te. He has extensive experience as a co-founder of IsoRay and has been actively working with Dr. Korenko as a consultant for the last two years.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is heavily dependent on consultants for many of the services necessary to continue operations. The loss of any of these consultants could have a material adverse effect on the Company’s business, results of operations and financial condition.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w:t>
      </w:r>
      <w:r>
        <w:rPr>
          <w:sz w:val="20"/>
          <w:szCs w:val="20"/>
        </w:rPr>
        <w:t xml:space="preserve"> Company’s success is heavily dependent on the continued active participation of certain consultants and collaborating scientists. Certain key employees and consultants have no written employment contracts. Loss of the services of any one or more of its co</w:t>
      </w:r>
      <w:r>
        <w:rPr>
          <w:sz w:val="20"/>
          <w:szCs w:val="20"/>
        </w:rPr>
        <w:t>nsultants could have a material adverse effect upon the Company’s business, results of operations and financial condition.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If the Company is unable to hire and retain additional qualified personnel, the business and financial condition may suffer.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Company’s success and achievement of its growth plans depend on its ability to recruit, hire, train and retain highly qualified technical, scientific, regulatory and managerial employees, consultants and advisors. Competition for qualified personnel among </w:t>
      </w:r>
      <w:r>
        <w:rPr>
          <w:sz w:val="20"/>
          <w:szCs w:val="20"/>
        </w:rPr>
        <w:t>pharmaceutical and biotechnology companies is intense, and an inability to attract and motivate additional highly skilled personnel required for the expansion of the Company’s activities, or the loss of any such persons, could have a material adverse effec</w:t>
      </w:r>
      <w:r>
        <w:rPr>
          <w:sz w:val="20"/>
          <w:szCs w:val="20"/>
        </w:rPr>
        <w:t>t on its business, results of operations and financial condition.</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7978894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revenues have historically been derived from sales made to a small number of customers. The Company has discontinued prior operations related to its core bu</w:t>
      </w:r>
      <w:r>
        <w:rPr>
          <w:b/>
          <w:bCs/>
          <w:i/>
          <w:iCs/>
          <w:sz w:val="20"/>
          <w:szCs w:val="20"/>
        </w:rPr>
        <w:t>siness. To succeed, we will need to recommence our operations and achieve sales to a materially larger number of customers.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During </w:t>
      </w:r>
      <w:r>
        <w:rPr>
          <w:sz w:val="20"/>
          <w:szCs w:val="20"/>
        </w:rPr>
        <w:t>2014, the Company ceased all previous manufacturing and sales activities. Our revenues for the year ended December 31, 2017 consisted of only consulting revenue, and our revenues for the year ended December 31, 2018 consisted of only $17,583 of grant reven</w:t>
      </w:r>
      <w:r>
        <w:rPr>
          <w:sz w:val="20"/>
          <w:szCs w:val="20"/>
        </w:rPr>
        <w:t>ue. The Company’s consulting revenues for the year ended December 31, 2017 were made to one customer, and those sales constituted 100% of total revenues for that years. At such time as the Company recommences active operations, no assurances can be given t</w:t>
      </w:r>
      <w:r>
        <w:rPr>
          <w:sz w:val="20"/>
          <w:szCs w:val="20"/>
        </w:rPr>
        <w:t>hat the Company will be successful in commercializing its products or expanding the number of customers purchasing its products and services. The Company had $7,000 and $9,500 in operating revenues, net of discounts for the years ended December 31, 2020 an</w:t>
      </w:r>
      <w:r>
        <w:rPr>
          <w:sz w:val="20"/>
          <w:szCs w:val="20"/>
        </w:rPr>
        <w:t>d 2019, respectively as they have commenced sales of IsoPet</w:t>
      </w:r>
      <w:r>
        <w:rPr>
          <w:sz w:val="20"/>
          <w:szCs w:val="20"/>
          <w:vertAlign w:val="superscript"/>
        </w:rPr>
        <w:t>®</w:t>
      </w:r>
      <w:r>
        <w:rPr>
          <w:sz w:val="20"/>
          <w:szCs w:val="20"/>
        </w:rPr>
        <w: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Many of the Company’s competitors have greater resources and experience than the Company has.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Many of the Company’s competitors have greater financial resources, longer history, broader expe</w:t>
      </w:r>
      <w:r>
        <w:rPr>
          <w:sz w:val="20"/>
          <w:szCs w:val="20"/>
        </w:rPr>
        <w:t xml:space="preserve">rience, greater name recognition, and more substantial operations than the Company has, and they represent substantial long-term competition for us. The Company’s competitors may be able to devote more financial and human resources than the Company can to </w:t>
      </w:r>
      <w:r>
        <w:rPr>
          <w:sz w:val="20"/>
          <w:szCs w:val="20"/>
        </w:rPr>
        <w:t xml:space="preserve">research, new product development, regulatory approvals, and marketing and sales. The Company’s competitors may develop or market products that are viewed by customers as more effective or more economical than the Company’s products. There is no assurance </w:t>
      </w:r>
      <w:r>
        <w:rPr>
          <w:sz w:val="20"/>
          <w:szCs w:val="20"/>
        </w:rPr>
        <w:t>that the Company will be able to compete effectively against current and future competitors, and such competitive pressures may adversely affect the Company’s business and results of operations.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future revenues depend upon acceptance of its</w:t>
      </w:r>
      <w:r>
        <w:rPr>
          <w:b/>
          <w:bCs/>
          <w:i/>
          <w:iCs/>
          <w:sz w:val="20"/>
          <w:szCs w:val="20"/>
        </w:rPr>
        <w:t xml:space="preserve"> current and future products in the markets in which they compete.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future revenues depend upon receipt of financing, regulatory approval and the successful production, marketing, and sales of the various isotopes the Company might market in</w:t>
      </w:r>
      <w:r>
        <w:rPr>
          <w:sz w:val="20"/>
          <w:szCs w:val="20"/>
        </w:rPr>
        <w:t xml:space="preserve"> the future. The rate and level of market acceptance of each of these products, if any, may vary depending on the perception by physicians and other members of the healthcare community of its safety and efficacy as compared to that of any competing product</w:t>
      </w:r>
      <w:r>
        <w:rPr>
          <w:sz w:val="20"/>
          <w:szCs w:val="20"/>
        </w:rPr>
        <w:t xml:space="preserve">s; the clinical outcomes of any patients treated; the effectiveness of its sales and marketing efforts in the United States, Europe, Far East, Middle East, and Russia; any unfavorable publicity concerning its products or similar products; the price of the </w:t>
      </w:r>
      <w:r>
        <w:rPr>
          <w:sz w:val="20"/>
          <w:szCs w:val="20"/>
        </w:rPr>
        <w:t>Company’s products relative to other products or competing treatments; any decrease in current reimbursement rates from the Centers for Medicare and Medicaid Services or third-party payers; regulatory developments related to the manufacture or continued us</w:t>
      </w:r>
      <w:r>
        <w:rPr>
          <w:sz w:val="20"/>
          <w:szCs w:val="20"/>
        </w:rPr>
        <w:t>e of its products; availability of sufficient supplies to either purchase or manufacture its products; its ability to produce sufficient quantities of its products; and the ability of physicians to properly utilize its products and avoid excessive levels o</w:t>
      </w:r>
      <w:r>
        <w:rPr>
          <w:sz w:val="20"/>
          <w:szCs w:val="20"/>
        </w:rPr>
        <w:t>f radiation to patients. Any material adverse developments with respect to the commercialization of any such products may adversely affect revenues and may cause the Company to continue to incur losses in the future.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currently relies on a sin</w:t>
      </w:r>
      <w:r>
        <w:rPr>
          <w:b/>
          <w:bCs/>
          <w:i/>
          <w:iCs/>
          <w:sz w:val="20"/>
          <w:szCs w:val="20"/>
        </w:rPr>
        <w:t>gle supplier for Y-90 particles, and that supplier is the only supplier in the United States. An inability to procure Y-90 particles will harm the Company’s business.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is only one supplier of Y-90 particles in the United States, requiring us to rely</w:t>
      </w:r>
      <w:r>
        <w:rPr>
          <w:sz w:val="20"/>
          <w:szCs w:val="20"/>
        </w:rPr>
        <w:t xml:space="preserve"> entirely on this supplier to provide the Y-90 particles needed to produce RadioGel</w:t>
      </w:r>
      <w:r>
        <w:rPr>
          <w:sz w:val="20"/>
          <w:szCs w:val="20"/>
          <w:vertAlign w:val="superscript"/>
        </w:rPr>
        <w:t>TM</w:t>
      </w:r>
      <w:r>
        <w:rPr>
          <w:sz w:val="20"/>
          <w:szCs w:val="20"/>
        </w:rPr>
        <w:t>. If we are unable to obtain a sufficient supply of Y-90 particles, we will not be able to proceed with our development of RadioGel</w:t>
      </w:r>
      <w:r>
        <w:rPr>
          <w:sz w:val="20"/>
          <w:szCs w:val="20"/>
          <w:vertAlign w:val="superscript"/>
        </w:rPr>
        <w:t>TM</w:t>
      </w:r>
      <w:r>
        <w:rPr>
          <w:sz w:val="20"/>
          <w:szCs w:val="20"/>
        </w:rPr>
        <w:t xml:space="preserve"> and our business may be materially ha</w:t>
      </w:r>
      <w:r>
        <w:rPr>
          <w:sz w:val="20"/>
          <w:szCs w:val="20"/>
        </w:rPr>
        <w:t>rmed.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to IsoTherapeutics. PerkinElmer Inc. is the sole supplier of the Y-90 particles used by IsoTherapeutics and is the only supplier of Y-90 particles in the United States. In the event</w:t>
      </w:r>
      <w:r>
        <w:rPr>
          <w:sz w:val="20"/>
          <w:szCs w:val="20"/>
        </w:rPr>
        <w:t xml:space="preserve"> PerkinElmer is unable to satisfy our supply requirements or stope producing Y-90 particles, we will be unable to continue with development of RadioGel™ and our business would be materially harmed.</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5011307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will rely heavily on a limited number of suppliers for the foreseeable future.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Some of the products the Company might market, and components thereof are currently available only from a limited number of suppliers, several of which are internation</w:t>
      </w:r>
      <w:r>
        <w:rPr>
          <w:sz w:val="20"/>
          <w:szCs w:val="20"/>
        </w:rPr>
        <w:t>al suppliers. Failure to obtain deliveries from these sources could have a material adverse effect on the Company’s ability to operate.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may incur material losses and costs as a result of product liability claims that may be brought against it</w:t>
      </w:r>
      <w:r>
        <w:rPr>
          <w:b/>
          <w:bCs/>
          <w:i/>
          <w:iCs/>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faces an inherent business risk of exposure to product liability claims in the event that products supplied by the Company fail to perform as expected or such products result, or is alleged to result, in bodily injury. Any such claims may a</w:t>
      </w:r>
      <w:r>
        <w:rPr>
          <w:sz w:val="20"/>
          <w:szCs w:val="20"/>
        </w:rPr>
        <w:t>lso result in adverse publicity, which could damage the Company’s reputation by raising questions about the safety and efficacy of its products and could interfere with its efforts to market its products. A successful product liability claim against the Co</w:t>
      </w:r>
      <w:r>
        <w:rPr>
          <w:sz w:val="20"/>
          <w:szCs w:val="20"/>
        </w:rPr>
        <w:t>mpany in excess of its available insurance coverage or established reserves may have a material adverse effect on its business. Although the Company currently maintains liability insurance in amounts it believes are commercially reasonable, any product lia</w:t>
      </w:r>
      <w:r>
        <w:rPr>
          <w:sz w:val="20"/>
          <w:szCs w:val="20"/>
        </w:rPr>
        <w:t>bility the Company may incur may exceed its insurance coverage.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is subject to the risk that certain third parties may mishandle the Company’s products.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If the Company markets products, the Company likely will rely on third parties, such as </w:t>
      </w:r>
      <w:r>
        <w:rPr>
          <w:sz w:val="20"/>
          <w:szCs w:val="20"/>
        </w:rPr>
        <w:t>commercial air courier companies, to deliver the products, and on other third parties to package the products in certain specialized packaging forms requested by customers. The Company thus would be subject to the risk that these third parties may mishandl</w:t>
      </w:r>
      <w:r>
        <w:rPr>
          <w:sz w:val="20"/>
          <w:szCs w:val="20"/>
        </w:rPr>
        <w:t>e its product, which could result in material adverse effects, particularly given the radioactive nature of some of the products.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is subject to uncertainties regarding reimbursement for use of its products.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Hospitals </w:t>
      </w:r>
      <w:r>
        <w:rPr>
          <w:sz w:val="20"/>
          <w:szCs w:val="20"/>
        </w:rPr>
        <w:t>and freestanding clinics may be less likely to purchase the Company’s products if they cannot be assured of receiving favorable reimbursement for treatments using its products from third-party payers, such as Medicare and private health insurance plans. Th</w:t>
      </w:r>
      <w:r>
        <w:rPr>
          <w:sz w:val="20"/>
          <w:szCs w:val="20"/>
        </w:rPr>
        <w:t>ird-party payers are increasingly challenging the pricing of certain medical services or devices, and there is no assurance that they will reimburse the Company’s customers at levels sufficient for it to maintain favorable sales and price levels for the Co</w:t>
      </w:r>
      <w:r>
        <w:rPr>
          <w:sz w:val="20"/>
          <w:szCs w:val="20"/>
        </w:rPr>
        <w:t>mpany’s products. There is no uniform policy on reimbursement among third-party payers, and there is no assurance that the Company’s products will continue to qualify for reimbursement from all third-party payers or that reimbursement rates will not be red</w:t>
      </w:r>
      <w:r>
        <w:rPr>
          <w:sz w:val="20"/>
          <w:szCs w:val="20"/>
        </w:rPr>
        <w:t>uced. A reduction in or elimination of third-party reimbursement for treatments using the Company’s products would likely have a material adverse effect on the Company’s revenues.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future growth is largely dependent upon its ability to devel</w:t>
      </w:r>
      <w:r>
        <w:rPr>
          <w:b/>
          <w:bCs/>
          <w:i/>
          <w:iCs/>
          <w:sz w:val="20"/>
          <w:szCs w:val="20"/>
        </w:rPr>
        <w:t>op new technologies that achieve market acceptance with appropriate margins.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business operates in global markets that are characterized by rapidly changing technologies and evolving industry standards. Accordingly, future growth rates depen</w:t>
      </w:r>
      <w:r>
        <w:rPr>
          <w:sz w:val="20"/>
          <w:szCs w:val="20"/>
        </w:rPr>
        <w:t>d upon a number of factors, including the Company’s ability to (i) identify emerging technological trends in the Company’s target end-markets, (ii) develop and maintain competitive products, (iii) enhance the Company’s products by adding innovative feature</w:t>
      </w:r>
      <w:r>
        <w:rPr>
          <w:sz w:val="20"/>
          <w:szCs w:val="20"/>
        </w:rPr>
        <w:t>s that differentiate the Company’s products from those of its competitors, and (iv) develop, manufacture and bring products to market quickly and cost-effectively. The Company’s ability to develop new products based on technological innovation can affect t</w:t>
      </w:r>
      <w:r>
        <w:rPr>
          <w:sz w:val="20"/>
          <w:szCs w:val="20"/>
        </w:rPr>
        <w:t>he Company’s competitive position and requires the investment of significant resources. These development efforts divert resources from other potential investments in the Company’s business, and they may not lead to the development of new technologies or p</w:t>
      </w:r>
      <w:r>
        <w:rPr>
          <w:sz w:val="20"/>
          <w:szCs w:val="20"/>
        </w:rPr>
        <w:t>roducts on a timely basis or that meet the needs of the Company’s customers as fully as competitive offerings. In addition, the markets for the Company’s products may not develop or grow as it currently anticipates. The failure of the Company’s technologie</w:t>
      </w:r>
      <w:r>
        <w:rPr>
          <w:sz w:val="20"/>
          <w:szCs w:val="20"/>
        </w:rPr>
        <w:t>s or products to gain market acceptance due to more attractive offerings by the Company’s competitors could significantly reduce the Company’s revenues and adversely affect the Company’s competitive standing and prospects.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8424630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m</w:t>
      </w:r>
      <w:r>
        <w:rPr>
          <w:b/>
          <w:bCs/>
          <w:i/>
          <w:iCs/>
          <w:sz w:val="20"/>
          <w:szCs w:val="20"/>
        </w:rPr>
        <w:t>ay rely on third parties to represent it locally in the marketing and sales of its products in international markets and its revenue may depend on the efforts and results of those third parties.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future success may depend, in part, on its ab</w:t>
      </w:r>
      <w:r>
        <w:rPr>
          <w:sz w:val="20"/>
          <w:szCs w:val="20"/>
        </w:rPr>
        <w:t>ility to enter into and maintain collaborative relationships with one or more third parties, the collaborator’s strategic interest in the Company’s products and the Company’s products under development, and the collaborator’s ability to successfully market</w:t>
      </w:r>
      <w:r>
        <w:rPr>
          <w:sz w:val="20"/>
          <w:szCs w:val="20"/>
        </w:rPr>
        <w:t xml:space="preserve"> and sell any such products.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 intends to pursue collaborative arrangements regarding the marketing and sales of its products; however, it may not be able to establish or maintain such collaborative arrangements, or if it is able to do so, the Company’s collaborators may not be </w:t>
      </w:r>
      <w:r>
        <w:rPr>
          <w:sz w:val="20"/>
          <w:szCs w:val="20"/>
        </w:rPr>
        <w:t>effective in marketing and selling its products. To the extent that the Company decides not to, or is unable to, enter into collaborative arrangements with respect to the sales and marketing of its products, significant capital expenditures, management res</w:t>
      </w:r>
      <w:r>
        <w:rPr>
          <w:sz w:val="20"/>
          <w:szCs w:val="20"/>
        </w:rPr>
        <w:t>ources and time will be required to establish and develop an in-house marketing and sales force with technical expertise. To the extent that the Company depends on third parties for marketing and distribution, any revenues received by the Company will depe</w:t>
      </w:r>
      <w:r>
        <w:rPr>
          <w:sz w:val="20"/>
          <w:szCs w:val="20"/>
        </w:rPr>
        <w:t>nd upon the efforts and results of such third parties, which may or may not be successful.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may pursue strategic acquisitions that may have an adverse impact on its business.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Executing the Company’s business strategy may involve pursuing and</w:t>
      </w:r>
      <w:r>
        <w:rPr>
          <w:sz w:val="20"/>
          <w:szCs w:val="20"/>
        </w:rPr>
        <w:t xml:space="preserve"> consummating strategic transactions to acquire complementary businesses or technologies. In pursuing these strategic transactions, even if the Company does not consummate them, or in consummating such transactions and integrating the acquired business or </w:t>
      </w:r>
      <w:r>
        <w:rPr>
          <w:sz w:val="20"/>
          <w:szCs w:val="20"/>
        </w:rPr>
        <w:t>technology, the Company may expend significant financial and management resources and incur other significant costs and expenses. There is no assurance that any strategic transactions will result in additional revenues or other strategic benefits for the C</w:t>
      </w:r>
      <w:r>
        <w:rPr>
          <w:sz w:val="20"/>
          <w:szCs w:val="20"/>
        </w:rPr>
        <w:t>ompany’s business. The Company may issue the Company’s stock as consideration for acquisitions, joint ventures or other strategic transactions, and the use of stock as purchase consideration could dilute the interests of its current stockholders. In additi</w:t>
      </w:r>
      <w:r>
        <w:rPr>
          <w:sz w:val="20"/>
          <w:szCs w:val="20"/>
        </w:rPr>
        <w:t xml:space="preserve">on, the Company may obtain debt financing in connection with an acquisition. Any such debt financing may involve restrictive covenants relating to capital-raising activities and other financial and operational matters, which may make it more difficult for </w:t>
      </w:r>
      <w:r>
        <w:rPr>
          <w:sz w:val="20"/>
          <w:szCs w:val="20"/>
        </w:rPr>
        <w:t>the Company to obtain additional capital and pursue business opportunities, including potential acquisitions. In addition, such debt financing may impair the Company’s ability to obtain future additional financing for working capital, capital expenditures,</w:t>
      </w:r>
      <w:r>
        <w:rPr>
          <w:sz w:val="20"/>
          <w:szCs w:val="20"/>
        </w:rPr>
        <w:t xml:space="preserve"> acquisitions, general corporate or other purposes, and a substantial portion of cash flows, if any, from the Company’s operations may be dedicated to interest payments and debt repayment, thereby reducing the funds available to the Company for other purpo</w:t>
      </w:r>
      <w:r>
        <w:rPr>
          <w:sz w:val="20"/>
          <w:szCs w:val="20"/>
        </w:rPr>
        <w:t>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will need to hire additional qualified accounting personnel in order to remediate a material weakness in its internal control over financial accounting, and the Company will need to expend any additional resources and efforts that may be</w:t>
      </w:r>
      <w:r>
        <w:rPr>
          <w:b/>
          <w:bCs/>
          <w:i/>
          <w:iCs/>
          <w:sz w:val="20"/>
          <w:szCs w:val="20"/>
        </w:rPr>
        <w:t xml:space="preserve"> necessary to establish and to maintain the effectiveness of its internal control over financial reporting and its disclosure controls and procedures.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As a public company, the Company is subject to the reporting requirements of the Securities Exchange Ac</w:t>
      </w:r>
      <w:r>
        <w:rPr>
          <w:sz w:val="20"/>
          <w:szCs w:val="20"/>
        </w:rPr>
        <w:t>t of 1934, as amended, and the Sarbanes-Oxley Act of 2002. The Company’s management is required to evaluate and disclose its assessment of the effectiveness of the Company’s internal control over financial reporting as of each year-end, including disclosin</w:t>
      </w:r>
      <w:r>
        <w:rPr>
          <w:sz w:val="20"/>
          <w:szCs w:val="20"/>
        </w:rPr>
        <w:t>g any “material weakness” in the Company’s internal control over financial reporting. A material weakness is a control deficiency, or combination of control deficiencies, that results in more than a remote likelihood that a material misstatement of the ann</w:t>
      </w:r>
      <w:r>
        <w:rPr>
          <w:sz w:val="20"/>
          <w:szCs w:val="20"/>
        </w:rPr>
        <w:t>ual or interim financial statements will not be prevented or detected. As a result of its assessment, management has determined that there is a material weakness due to the lack of segregation of duties and, due to this material weakness, management conclu</w:t>
      </w:r>
      <w:r>
        <w:rPr>
          <w:sz w:val="20"/>
          <w:szCs w:val="20"/>
        </w:rPr>
        <w:t>ded that, as of December 31, 2020 and 2019, the Company’s internal control over financial reporting was ineffective. This material weakness has the potential of adversely impacting the Company’s financial reporting process and the Company’s financial repor</w:t>
      </w:r>
      <w:r>
        <w:rPr>
          <w:sz w:val="20"/>
          <w:szCs w:val="20"/>
        </w:rPr>
        <w:t>ts. Because of this material weakness, management also concluded that the Company’s disclosure controls and procedures were ineffective as of December 31, 2020 and 2019. The Company needs to hire additional qualified accounting personnel in order to resolv</w:t>
      </w:r>
      <w:r>
        <w:rPr>
          <w:sz w:val="20"/>
          <w:szCs w:val="20"/>
        </w:rPr>
        <w:t xml:space="preserve">e this material weakness. The Company also will need to expend any additional resources and efforts that may be necessary to establish and to maintain the effectiveness of the Company’s internal control over financial reporting and disclosure controls and </w:t>
      </w:r>
      <w:r>
        <w:rPr>
          <w:sz w:val="20"/>
          <w:szCs w:val="20"/>
        </w:rPr>
        <w:t>procedures.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5100831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may be unable to make timely license and patent payments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Patent </w:t>
      </w:r>
      <w:r>
        <w:rPr>
          <w:sz w:val="20"/>
          <w:szCs w:val="20"/>
        </w:rPr>
        <w:t>costs associated with existing and new technologies are significant; however, the licensing contract with Battelle Pacific Northwest Laboratory (“</w:t>
      </w:r>
      <w:r>
        <w:rPr>
          <w:i/>
          <w:iCs/>
          <w:sz w:val="20"/>
          <w:szCs w:val="20"/>
        </w:rPr>
        <w:t>Battelle</w:t>
      </w:r>
      <w:r>
        <w:rPr>
          <w:sz w:val="20"/>
          <w:szCs w:val="20"/>
        </w:rPr>
        <w:t>”) was re-negotiated to significantly reduce these costs. Existing patent and license fees must be pai</w:t>
      </w:r>
      <w:r>
        <w:rPr>
          <w:sz w:val="20"/>
          <w:szCs w:val="20"/>
        </w:rPr>
        <w:t>d for the Company to maintain rights to its technologies. The Company would forfeit its exclusive rights to licensed technologies in the event it fails to pay patent and rights fees in a timely fashion. No assurance can be given that the Company will be ab</w:t>
      </w:r>
      <w:r>
        <w:rPr>
          <w:sz w:val="20"/>
          <w:szCs w:val="20"/>
        </w:rPr>
        <w:t>le to continue to pay license fees in the event it is unable to secure adequate working capital. Battelle has advised the Company that if we did not make a payment they would not attempt to relicense but would allow the patents to lapse. The Company has de</w:t>
      </w:r>
      <w:r>
        <w:rPr>
          <w:sz w:val="20"/>
          <w:szCs w:val="20"/>
        </w:rPr>
        <w:t>cided to pursue additional patents outside the Battelle contract based on exclusive proprietary manufacturing techniques developed by the Company.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patented or other technologies may infringe on other patents, which may expose it to costly l</w:t>
      </w:r>
      <w:r>
        <w:rPr>
          <w:b/>
          <w:bCs/>
          <w:i/>
          <w:iCs/>
          <w:sz w:val="20"/>
          <w:szCs w:val="20"/>
        </w:rPr>
        <w:t>itigation.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It is possible that the Company’s patented or other technologies may infringe on patents or other rights owned by others. The Company may have to alter its products or processes, pay licensing fees, defend infringement actions or challenge the</w:t>
      </w:r>
      <w:r>
        <w:rPr>
          <w:sz w:val="20"/>
          <w:szCs w:val="20"/>
        </w:rPr>
        <w:t xml:space="preserve"> validity of the patents in court, or cease activities altogether because of patent rights of third parties, thereby causing additional unexpected costs and delays to the Company. Patent litigation is costly and time consuming, and the Company may not have</w:t>
      </w:r>
      <w:r>
        <w:rPr>
          <w:sz w:val="20"/>
          <w:szCs w:val="20"/>
        </w:rPr>
        <w:t xml:space="preserve"> sufficient resources to pursue such litigation. If the Company does not obtain a license under such patents, if it is found liable for infringement, or if it is not able to have such patents declared invalid, the Company may be liable for significant mone</w:t>
      </w:r>
      <w:r>
        <w:rPr>
          <w:sz w:val="20"/>
          <w:szCs w:val="20"/>
        </w:rPr>
        <w:t>y damages, may encounter significant delays in bringing products to market or may be precluded from participating in the manufacture, use or sale of products or methods of treatment requiring such licenses.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Protecting the Company’s intellectual property </w:t>
      </w:r>
      <w:r>
        <w:rPr>
          <w:b/>
          <w:bCs/>
          <w:i/>
          <w:iCs/>
          <w:sz w:val="20"/>
          <w:szCs w:val="20"/>
        </w:rPr>
        <w:t>is critical to its innovation efforts.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owns or has a license to use several U.S. and foreign patents and patent applications, trademarks and copyrights. The Company’s intellectual property rights may be challenged, invalidated or infringed up</w:t>
      </w:r>
      <w:r>
        <w:rPr>
          <w:sz w:val="20"/>
          <w:szCs w:val="20"/>
        </w:rPr>
        <w:t>on by third parties, or it may be unable to maintain, renew or enter into new licenses of third party proprietary intellectual property on commercially reasonable terms. In some non-U.S. countries, laws affecting intellectual property are uncertain in thei</w:t>
      </w:r>
      <w:r>
        <w:rPr>
          <w:sz w:val="20"/>
          <w:szCs w:val="20"/>
        </w:rPr>
        <w:t>r application, which can adversely affect the scope or enforceability of the Company’s patents and other intellectual property rights. Any of these events or factors could diminish or cause the Company to lose the competitive advantages associated with the</w:t>
      </w:r>
      <w:r>
        <w:rPr>
          <w:sz w:val="20"/>
          <w:szCs w:val="20"/>
        </w:rPr>
        <w:t xml:space="preserve"> Company’s intellectual property, subject the Company to judgments, penalties and significant litigation costs, or temporarily or permanently disrupt its sales and marketing of the affected products or services.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may not be able to protect its</w:t>
      </w:r>
      <w:r>
        <w:rPr>
          <w:b/>
          <w:bCs/>
          <w:i/>
          <w:iCs/>
          <w:sz w:val="20"/>
          <w:szCs w:val="20"/>
        </w:rPr>
        <w:t xml:space="preserve"> trade secrets and other unpatented proprietary technology, which could give competitors an advantage.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relies upon trade secrets and other unpatented proprietary technology. The Company may not be able to adequately protect its rights with re</w:t>
      </w:r>
      <w:r>
        <w:rPr>
          <w:sz w:val="20"/>
          <w:szCs w:val="20"/>
        </w:rPr>
        <w:t>gard to such unpatented proprietary technology, or competitors may independently develop substantially equivalent technology. The Company seeks to protect trade secrets and proprietary knowledge, in part through confidentiality agreements with its employee</w:t>
      </w:r>
      <w:r>
        <w:rPr>
          <w:sz w:val="20"/>
          <w:szCs w:val="20"/>
        </w:rPr>
        <w:t>s, consultants, advisors and collaborators. Nevertheless, these agreements may not effectively prevent disclosure of the Company’s confidential information and may not provide the Company with an adequate remedy in the event of unauthorized disclosure of s</w:t>
      </w:r>
      <w:r>
        <w:rPr>
          <w:sz w:val="20"/>
          <w:szCs w:val="20"/>
        </w:rPr>
        <w:t>uch information, and as result the Company’s competitors could gain a competitive advantage.</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0588190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is subject to extensive government regulation in jurisdictions around the world in which it does business. Regulations address, among other things, environmental compliance, import/export restrictions, healthcare services, taxes and financial repor</w:t>
      </w:r>
      <w:r>
        <w:rPr>
          <w:b/>
          <w:bCs/>
          <w:i/>
          <w:iCs/>
          <w:sz w:val="20"/>
          <w:szCs w:val="20"/>
        </w:rPr>
        <w:t>ting, and those regulations can significantly increase the cost of doing business, which in turn can negatively impact operations, financial results and cash flow.</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If </w:t>
      </w:r>
      <w:r>
        <w:rPr>
          <w:sz w:val="20"/>
          <w:szCs w:val="20"/>
        </w:rPr>
        <w:t>the Company is successful in developing manufacturing capability, the Company will be subject to extensive government regulation and intervention both in the U.S. and in all foreign jurisdictions in which it conducts business. Compliance with applicable la</w:t>
      </w:r>
      <w:r>
        <w:rPr>
          <w:sz w:val="20"/>
          <w:szCs w:val="20"/>
        </w:rPr>
        <w:t>ws and regulations will result in higher capital expenditures and operating costs, and changes to current regulations with which the Company complies can necessitate further capital expenditures and increases in operating costs to enable continued complian</w:t>
      </w:r>
      <w:r>
        <w:rPr>
          <w:sz w:val="20"/>
          <w:szCs w:val="20"/>
        </w:rPr>
        <w:t>ce. Additionally, from time to time, the Company may be involved in proceedings under certain of these laws and regulations. Foreign operations are subject to political instabilities, restrictions on funds transfers, import/export restrictions, and currenc</w:t>
      </w:r>
      <w:r>
        <w:rPr>
          <w:sz w:val="20"/>
          <w:szCs w:val="20"/>
        </w:rPr>
        <w:t>y fluctuation.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RISKS RELATED TO THE COMPANY’S COMMON STOCK</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common stock is currently quoted on the OTCQB Marketplace. Failure to develop or maintain a more active trading market may negatively affect the value of the Company’s common stoc</w:t>
      </w:r>
      <w:r>
        <w:rPr>
          <w:b/>
          <w:bCs/>
          <w:i/>
          <w:iCs/>
          <w:sz w:val="20"/>
          <w:szCs w:val="20"/>
        </w:rPr>
        <w:t>k, may deter some potential investors from purchasing the Company’s common stock or other equity securities, and may make it difficult or impossible for stockholders to sell their shares of common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average daily volume of shares trade</w:t>
      </w:r>
      <w:r>
        <w:rPr>
          <w:sz w:val="20"/>
          <w:szCs w:val="20"/>
        </w:rPr>
        <w:t>d for the years ended December 31, 2020 and 2019 was 32,815 and 681,623, respectively. Failure to develop or maintain an active trading market may negatively affect the value of the Company’s common stock, may make some potential investors unwilling to pur</w:t>
      </w:r>
      <w:r>
        <w:rPr>
          <w:sz w:val="20"/>
          <w:szCs w:val="20"/>
        </w:rPr>
        <w:t xml:space="preserve">chase the Company’s common stock or equity securities that are convertible into or exercisable for the Company’s common stock, and may make it difficult or impossible for the Company’s stockholders to sell their shares of common stock and recover any part </w:t>
      </w:r>
      <w:r>
        <w:rPr>
          <w:sz w:val="20"/>
          <w:szCs w:val="20"/>
        </w:rPr>
        <w:t>of their investment.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w:t>
      </w:r>
      <w:r>
        <w:rPr>
          <w:b/>
          <w:bCs/>
          <w:i/>
          <w:iCs/>
          <w:sz w:val="20"/>
          <w:szCs w:val="20"/>
        </w:rPr>
        <w:t xml:space="preserve">s outstanding securities, the stock or other securities that it may become obligated to issue under existing agreements, and certain provisions of those securities, may cause immediate and substantial dilution to existing stockholders and may make it more </w:t>
      </w:r>
      <w:r>
        <w:rPr>
          <w:b/>
          <w:bCs/>
          <w:i/>
          <w:iCs/>
          <w:sz w:val="20"/>
          <w:szCs w:val="20"/>
        </w:rPr>
        <w:t>difficult to raise additional equity capital.</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had 297,346,254 shares of common stock outstanding on March 18, 2021. The Company also had outstanding on that date dilutive securities consisting of preferred stock, restricted stock units, optio</w:t>
      </w:r>
      <w:r>
        <w:rPr>
          <w:sz w:val="20"/>
          <w:szCs w:val="20"/>
        </w:rPr>
        <w:t>ns, warrants, and convertible notes (collectively, “</w:t>
      </w:r>
      <w:r>
        <w:rPr>
          <w:i/>
          <w:iCs/>
          <w:sz w:val="20"/>
          <w:szCs w:val="20"/>
        </w:rPr>
        <w:t>Common Stock Equivalents</w:t>
      </w:r>
      <w:r>
        <w:rPr>
          <w:sz w:val="20"/>
          <w:szCs w:val="20"/>
        </w:rPr>
        <w:t xml:space="preserve">”) that if they had been exercised and converted in full on March 18, 2021, would have resulted in the issuance of up to 90,093,648 additional shares of common stock. The issuance </w:t>
      </w:r>
      <w:r>
        <w:rPr>
          <w:sz w:val="20"/>
          <w:szCs w:val="20"/>
        </w:rPr>
        <w:t>of shares upon the exercise of the Common Stock Equivalents may result in substantial dilution to each stockholder by reducing that stockholder’s percentage ownership of the Company’s total outstanding shares of common stock. The issuance of some or all th</w:t>
      </w:r>
      <w:r>
        <w:rPr>
          <w:sz w:val="20"/>
          <w:szCs w:val="20"/>
        </w:rPr>
        <w:t>ose warrants and any exercise of those warrants will have the effect of further diluting the percentage ownership of the Company’s other stockholders.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5249118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Future sales of the Company’s securities, including sales following exercise or conve</w:t>
      </w:r>
      <w:r>
        <w:rPr>
          <w:b/>
          <w:bCs/>
          <w:i/>
          <w:iCs/>
          <w:sz w:val="20"/>
          <w:szCs w:val="20"/>
        </w:rPr>
        <w:t>rsion of derivative securities, or the perception that such sales may occur, may depress the price of common stock and could encourage short sales.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sale or availability for sale of substantial amounts of the Company’s shares in the public market, inc</w:t>
      </w:r>
      <w:r>
        <w:rPr>
          <w:sz w:val="20"/>
          <w:szCs w:val="20"/>
        </w:rPr>
        <w:t>luding shares issuable upon exercise of the Common Stock Equivalents, or the perception that such sales may occur, may adversely affect the market price of the Company’s common stock. Any decline in the price of the Company’s common stock may encourage sho</w:t>
      </w:r>
      <w:r>
        <w:rPr>
          <w:sz w:val="20"/>
          <w:szCs w:val="20"/>
        </w:rPr>
        <w:t>rt sales, which could place further downward pressure on the price of the Company’s common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stock price is likely to be volatile.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For </w:t>
      </w:r>
      <w:r>
        <w:rPr>
          <w:sz w:val="20"/>
          <w:szCs w:val="20"/>
        </w:rPr>
        <w:t>the year ended December 31, 2020, the reported low closing price for the Company’s common stock was $0.0135 per share, and the reported high closing price was $0.245 per share. For the year ended December 31, 2019, the reported low closing price for the Co</w:t>
      </w:r>
      <w:r>
        <w:rPr>
          <w:sz w:val="20"/>
          <w:szCs w:val="20"/>
        </w:rPr>
        <w:t xml:space="preserve">mpany’s common stock was $0.0112 per share, and the reported high closing price was $0.0893 per share. There is generally significant volatility in the market prices, as well as limited liquidity, of securities of early stage companies, particularly early </w:t>
      </w:r>
      <w:r>
        <w:rPr>
          <w:sz w:val="20"/>
          <w:szCs w:val="20"/>
        </w:rPr>
        <w:t>stage medical product companies. Contributing to this volatility are various events that can affect the Company’s stock price in a positive or negative manner. These events include, but are not limited to: governmental approvals, refusals to approve, regul</w:t>
      </w:r>
      <w:r>
        <w:rPr>
          <w:sz w:val="20"/>
          <w:szCs w:val="20"/>
        </w:rPr>
        <w:t>ations or other actions; market acceptance and sales growth of the Company’s products; litigation involving the Company or the Company’s industry; developments or disputes concerning the Company’s patents or other proprietary rights; changes in the structu</w:t>
      </w:r>
      <w:r>
        <w:rPr>
          <w:sz w:val="20"/>
          <w:szCs w:val="20"/>
        </w:rPr>
        <w:t>re of healthcare payment systems; departure of key personnel; future sales of its securities; fluctuations in its financial results or those of companies that are perceived to be similar to us; investors’ general perception of us; and general economic, ind</w:t>
      </w:r>
      <w:r>
        <w:rPr>
          <w:sz w:val="20"/>
          <w:szCs w:val="20"/>
        </w:rPr>
        <w:t>ustry and market conditions. If any of these events occur, it could cause the Company’s stock price to fall, and any of these events may cause the Company’s stock price to be volatile.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Company’s common stock is subject to the “Penny Stock” rules of t</w:t>
      </w:r>
      <w:r>
        <w:rPr>
          <w:b/>
          <w:bCs/>
          <w:i/>
          <w:iCs/>
          <w:sz w:val="20"/>
          <w:szCs w:val="20"/>
        </w:rPr>
        <w:t>he SEC and the trading market in its securities is limited, which makes transactions in its common stock cumbersome and may reduce the value of an investment in the Company’s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SEC has adopted Rule 3a51-1, which establishes the definition of a “</w:t>
      </w:r>
      <w:r>
        <w:rPr>
          <w:sz w:val="20"/>
          <w:szCs w:val="20"/>
        </w:rPr>
        <w:t>penny stock,” for the purposes relevant to us, as any equity security that has a market price of less than $5.00 per share or with an exercise price of less than $5.00 per share, subject to certain exceptions. For any transaction involving a penny stock, u</w:t>
      </w:r>
      <w:r>
        <w:rPr>
          <w:sz w:val="20"/>
          <w:szCs w:val="20"/>
        </w:rPr>
        <w:t>nless exempt, Rule 15g-9 requires that a broker or dealer approve a person’s account for transactions in penny stocks and that the broker or dealer receive from the investor a written agreement to the transaction, setting forth the identity and quantity of</w:t>
      </w:r>
      <w:r>
        <w:rPr>
          <w:sz w:val="20"/>
          <w:szCs w:val="20"/>
        </w:rPr>
        <w:t xml:space="preserve"> the penny stock to be purchased.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order to approve a person’s account for transactions in penny stocks, the broker or dealer must obtain financial information and investment experience and objectives of the person and must make a reasonable determinat</w:t>
      </w:r>
      <w:r>
        <w:rPr>
          <w:sz w:val="20"/>
          <w:szCs w:val="20"/>
        </w:rPr>
        <w:t>ion that the transactions in penny stocks are suitable for that person and that the person has sufficient knowledge and experience in financial matters to be capable of evaluating the risks of transactions in penny stocks.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broker or dealer must also </w:t>
      </w:r>
      <w:r>
        <w:rPr>
          <w:sz w:val="20"/>
          <w:szCs w:val="20"/>
        </w:rPr>
        <w:t>deliver, prior to any transaction in a penny stock, a disclosure schedule prescribed by the SEC relating to the penny stock market, which sets forth the basis on which the broker or dealer made the suitability determination, and that the broker or dealer r</w:t>
      </w:r>
      <w:r>
        <w:rPr>
          <w:sz w:val="20"/>
          <w:szCs w:val="20"/>
        </w:rPr>
        <w:t>eceived a signed, written agreement from the investor prior to the transaction.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Generally, brokers may be less willing to execute transactions in securities subject to the “penny stock” rules. This may make it more difficult for investors to dispose of t</w:t>
      </w:r>
      <w:r>
        <w:rPr>
          <w:sz w:val="20"/>
          <w:szCs w:val="20"/>
        </w:rPr>
        <w:t>he Company’s common stock and may cause a decline in the market value of its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Disclosure also has to be made about the risks of investing in penny stocks in both public offerings and in secondary trading and about the commissions payable to both th</w:t>
      </w:r>
      <w:r>
        <w:rPr>
          <w:sz w:val="20"/>
          <w:szCs w:val="20"/>
        </w:rPr>
        <w:t>e broker-dealer and the registered representative, current quotations for the securities and the rights and remedies available to an investor in cases of fraud in penny stock transactions. Finally, monthly statements have to be sent disclosing recent price</w:t>
      </w:r>
      <w:r>
        <w:rPr>
          <w:sz w:val="20"/>
          <w:szCs w:val="20"/>
        </w:rPr>
        <w:t xml:space="preserve"> information for the penny stock held in the account and information on the limited market in penny stocks.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5852817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As </w:t>
      </w:r>
      <w:r>
        <w:rPr>
          <w:b/>
          <w:bCs/>
          <w:i/>
          <w:iCs/>
          <w:sz w:val="20"/>
          <w:szCs w:val="20"/>
        </w:rPr>
        <w:t>a result of the Company issuing preferred stock, the rights of holders of the Company’s common stock and the value of the Company’s common stock may be adversely affected.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shd w:val="clear" w:color="auto" w:fill="FFFFFF"/>
        </w:rPr>
        <w:t>The Company’s Board of Directors is authorized to issue classes or series of prefe</w:t>
      </w:r>
      <w:r>
        <w:rPr>
          <w:sz w:val="20"/>
          <w:szCs w:val="20"/>
          <w:shd w:val="clear" w:color="auto" w:fill="FFFFFF"/>
        </w:rPr>
        <w:t>rred stock, without any action on the part of the stockholders. The Company’s Board of Directors also has the power, without stockholder approval, to set the terms of any such classes or series of preferred stock, including voting rights, dividend rights a</w:t>
      </w:r>
      <w:r>
        <w:rPr>
          <w:sz w:val="20"/>
          <w:szCs w:val="20"/>
          <w:shd w:val="clear" w:color="auto" w:fill="FFFFFF"/>
        </w:rPr>
        <w:t>nd preferences over the common stock with respect to dividends or upon the liquidation, dissolution or winding-up of its business, and other terms. The Company has issued preferred stock that has a preference over the common stock with respect to the payme</w:t>
      </w:r>
      <w:r>
        <w:rPr>
          <w:sz w:val="20"/>
          <w:szCs w:val="20"/>
          <w:shd w:val="clear" w:color="auto" w:fill="FFFFFF"/>
        </w:rPr>
        <w:t xml:space="preserve">nt of dividends or upon liquidation, dissolution or winding-up, and with respect to voting rights. In accordance with that and with the issuance of preferred stock, our common stockholders voting rights have been diluted and it is possible that the rights </w:t>
      </w:r>
      <w:r>
        <w:rPr>
          <w:sz w:val="20"/>
          <w:szCs w:val="20"/>
          <w:shd w:val="clear" w:color="auto" w:fill="FFFFFF"/>
        </w:rPr>
        <w:t>of holders of the common stock or the value of the common stock have been adversely affected.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The Company does not expect to pay any dividends on common stock for the foreseeable future.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has not paid any cash dividends on its common stock t</w:t>
      </w:r>
      <w:r>
        <w:rPr>
          <w:sz w:val="20"/>
          <w:szCs w:val="20"/>
        </w:rPr>
        <w:t>o date and does not anticipate it will pay cash dividends on its common stock in the foreseeable future. Accordingly, stockholders must be prepared to rely on sales of their common stock after price appreciation to earn an investment return, which may neve</w:t>
      </w:r>
      <w:r>
        <w:rPr>
          <w:sz w:val="20"/>
          <w:szCs w:val="20"/>
        </w:rPr>
        <w:t>r occur. Any determination to pay dividends in the future will be made at the discretion of the Company’s board of directors and will depend on the Company’s results of operations, financial conditions, contractual restrictions, restrictions imposed by app</w:t>
      </w:r>
      <w:r>
        <w:rPr>
          <w:sz w:val="20"/>
          <w:szCs w:val="20"/>
        </w:rPr>
        <w:t>licable law, and other factors that the Company’s board deems relevant.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b/>
          <w:bCs/>
          <w:i/>
          <w:iCs/>
          <w:sz w:val="20"/>
          <w:szCs w:val="20"/>
        </w:rPr>
        <w:t>Pandemics including COVID-19 may adversely affect our business.</w:t>
      </w:r>
    </w:p>
    <w:p w:rsidR="00000000" w:rsidRDefault="009649C3">
      <w:pPr>
        <w:pStyle w:val="a3"/>
        <w:shd w:val="clear" w:color="auto" w:fill="FFFFFF"/>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The recent unprecedented events related to COVID-19, the disease caused by the novel coronavirus (SARS-CoV-2), have </w:t>
      </w:r>
      <w:r>
        <w:rPr>
          <w:sz w:val="20"/>
          <w:szCs w:val="20"/>
        </w:rPr>
        <w:t>had significant health, economic, and market impacts and may have short-term and long-term adverse effects on our business that we cannot predict as the global pandemic continues to evolve. The extent and effectiveness of responses by governments and other</w:t>
      </w:r>
      <w:r>
        <w:rPr>
          <w:sz w:val="20"/>
          <w:szCs w:val="20"/>
        </w:rPr>
        <w:t xml:space="preserve"> organizations also cannot be predicted.</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Our </w:t>
      </w:r>
      <w:r>
        <w:rPr>
          <w:sz w:val="20"/>
          <w:szCs w:val="20"/>
        </w:rPr>
        <w:t>ability to access the capital markets is unknown during the COVID-19 pandemic. Any such limitation on available financing would adversely affect our business.</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b/>
          <w:bCs/>
          <w:sz w:val="20"/>
          <w:szCs w:val="20"/>
        </w:rPr>
        <w:t>GENERAL RISK FACTORS</w:t>
      </w:r>
    </w:p>
    <w:p w:rsidR="00000000" w:rsidRDefault="009649C3">
      <w:pPr>
        <w:pStyle w:val="a3"/>
        <w:shd w:val="clear" w:color="auto" w:fill="FFFFFF"/>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b/>
          <w:bCs/>
          <w:i/>
          <w:iCs/>
          <w:sz w:val="20"/>
          <w:szCs w:val="20"/>
        </w:rPr>
        <w:t>Volatility in raw material and energy costs, interruption in ordinary so</w:t>
      </w:r>
      <w:r>
        <w:rPr>
          <w:b/>
          <w:bCs/>
          <w:i/>
          <w:iCs/>
          <w:sz w:val="20"/>
          <w:szCs w:val="20"/>
        </w:rPr>
        <w:t>urces of supply, and an inability to recover from unanticipated increases in energy and raw material costs could result in lost sales or could increase significantly the cost of doing business.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Market and economic conditions affecting the costs of raw ma</w:t>
      </w:r>
      <w:r>
        <w:rPr>
          <w:sz w:val="20"/>
          <w:szCs w:val="20"/>
        </w:rPr>
        <w:t>terials, utilities, energy costs, and infrastructure required to provide for the delivery of the Company’s products and services are beyond the Company’s control. Any disruption or halt in supplies, or rapid escalations in costs, could adversely affect the</w:t>
      </w:r>
      <w:r>
        <w:rPr>
          <w:sz w:val="20"/>
          <w:szCs w:val="20"/>
        </w:rPr>
        <w:t xml:space="preserve"> Company’s ability to manufacture products or to competitively price the Company’s products in the marketplace. To date, the ultimate impact of energy costs increases has been mitigated through price increases or offset through improved process efficiencie</w:t>
      </w:r>
      <w:r>
        <w:rPr>
          <w:sz w:val="20"/>
          <w:szCs w:val="20"/>
        </w:rPr>
        <w:t>s; however, continuing escalation of energy costs could have a negative impact upon the Company’s business and financial performance.</w:t>
      </w:r>
    </w:p>
    <w:p w:rsidR="00000000" w:rsidRDefault="009649C3">
      <w:pPr>
        <w:pStyle w:val="a3"/>
        <w:spacing w:before="0" w:beforeAutospacing="0" w:after="0" w:afterAutospacing="0"/>
        <w:jc w:val="both"/>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rPr>
        <w:t xml:space="preserve">General economic conditions in markets in which the Company does business can impact the demand for the Company’s goods </w:t>
      </w:r>
      <w:r>
        <w:rPr>
          <w:b/>
          <w:bCs/>
          <w:i/>
          <w:iCs/>
          <w:sz w:val="20"/>
          <w:szCs w:val="20"/>
        </w:rPr>
        <w:t>and services. Decreased demand for the Company’s products and services could have a negative impact on its financial performance and cash flow.</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Demand for the Company’s products and services, in part, depends on the general economic conditions affecting </w:t>
      </w:r>
      <w:r>
        <w:rPr>
          <w:sz w:val="20"/>
          <w:szCs w:val="20"/>
        </w:rPr>
        <w:t>the countries and industries in which the Company does business. A downturn in economic conditions in a country or industry that the Company serves may adversely affect the demand for the Company’s products and services, in turn negatively impacting the Co</w:t>
      </w:r>
      <w:r>
        <w:rPr>
          <w:sz w:val="20"/>
          <w:szCs w:val="20"/>
        </w:rPr>
        <w:t>mpany’s operations and financial results. Further, changes in demand for the Company’s products and services can magnify the impact of economic cycles on the Company’s businesses. Unanticipated contract terminations by customers can negatively impact opera</w:t>
      </w:r>
      <w:r>
        <w:rPr>
          <w:sz w:val="20"/>
          <w:szCs w:val="20"/>
        </w:rPr>
        <w:t>tions, financial results and cash flow. The Company’s earnings, cash flow and financial position are exposed to financial market risks worldwide, including interest rate and currency exchange rate fluctuations and exchange rate controls. Fluctuations in do</w:t>
      </w:r>
      <w:r>
        <w:rPr>
          <w:sz w:val="20"/>
          <w:szCs w:val="20"/>
        </w:rPr>
        <w:t>mestic and world financial markets could adversely affect interest rates and impact the Company’s ability to obtain credit or attract investors.</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3" w:name="v_004"/>
      <w:bookmarkEnd w:id="3"/>
      <w:r>
        <w:rPr>
          <w:b/>
          <w:bCs/>
          <w:sz w:val="20"/>
          <w:szCs w:val="20"/>
        </w:rPr>
        <w:t>ITEM 1B. UNRESOLVED STAFF COMMENTS.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This item is not applicable to the Company because the Company is a sma</w:t>
      </w:r>
      <w:r>
        <w:rPr>
          <w:sz w:val="20"/>
          <w:szCs w:val="20"/>
        </w:rPr>
        <w:t>ller reporting company as defined by Rule 12b-2 under the Securities Exchange Act of 1934.</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4" w:name="v_005"/>
      <w:bookmarkEnd w:id="4"/>
      <w:r>
        <w:rPr>
          <w:b/>
          <w:bCs/>
          <w:sz w:val="20"/>
          <w:szCs w:val="20"/>
        </w:rPr>
        <w:t>ITEM 2. PROPERTIES.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is headquartered in Richland, Washington. Our Chief Executive Officer currently works from his home office in virtual communicati</w:t>
      </w:r>
      <w:r>
        <w:rPr>
          <w:sz w:val="20"/>
          <w:szCs w:val="20"/>
        </w:rPr>
        <w:t>on with key personnel. Cadwell Laboratories, which is controlled by Carl Cadwell, a director of the Company, provides office space to management on an as-needed basis until such time as the Company leases permanent office space. Management believes that th</w:t>
      </w:r>
      <w:r>
        <w:rPr>
          <w:sz w:val="20"/>
          <w:szCs w:val="20"/>
        </w:rPr>
        <w:t>e Company's sites are adequate to support the business and suitable for present purposes, and the properties and equipment have been well maintained.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5" w:name="v_006"/>
      <w:bookmarkEnd w:id="5"/>
      <w:r>
        <w:rPr>
          <w:b/>
          <w:bCs/>
          <w:sz w:val="20"/>
          <w:szCs w:val="20"/>
        </w:rPr>
        <w:t>ITEM 3. LEGAL PROCEEDINGS.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has agreed to issue 500,000 shares of common stock and 500,000 warrants to the Plaintiff, make an initial payment of $33,503 by December 4, 2019 and beginning on December 16, 2019, the Company will mak</w:t>
      </w:r>
      <w:r>
        <w:rPr>
          <w:sz w:val="20"/>
          <w:szCs w:val="20"/>
        </w:rPr>
        <w:t>e payments of $10,000 per month for 10 months in full satisfaction of the Separation Agreement and General Release originally entered into on July 21, 2017. The Company has satisfied all of the requirements under this Settlement Agreement.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6" w:name="v_007"/>
      <w:bookmarkEnd w:id="6"/>
      <w:r>
        <w:rPr>
          <w:b/>
          <w:bCs/>
          <w:sz w:val="20"/>
          <w:szCs w:val="20"/>
        </w:rPr>
        <w:t>ITEM 4. MINE S</w:t>
      </w:r>
      <w:r>
        <w:rPr>
          <w:b/>
          <w:bCs/>
          <w:sz w:val="20"/>
          <w:szCs w:val="20"/>
        </w:rPr>
        <w:t>AFETY DISCLOSURES.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Not applicable.</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4230883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7" w:name="v_008"/>
      <w:bookmarkEnd w:id="7"/>
      <w:r>
        <w:rPr>
          <w:b/>
          <w:bCs/>
          <w:sz w:val="20"/>
          <w:szCs w:val="20"/>
        </w:rPr>
        <w:t>PART II</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8" w:name="v_009"/>
      <w:bookmarkEnd w:id="8"/>
      <w:r>
        <w:rPr>
          <w:b/>
          <w:bCs/>
          <w:sz w:val="20"/>
          <w:szCs w:val="20"/>
        </w:rPr>
        <w:t>ITEM 5. MARKET FOR REGISTRANT’</w:t>
      </w:r>
      <w:r>
        <w:rPr>
          <w:b/>
          <w:bCs/>
          <w:sz w:val="20"/>
          <w:szCs w:val="20"/>
        </w:rPr>
        <w:t>S COMMON EQUITY, RELATED STOCKHOLDER MATTERS AND ISSUER PURCHASES OF EQUITY SECURITIES.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Market Information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Company’s common stock is traded on the OTCQB Marketplace under the symbol “RDGL.” The following table sets forth, in U.S. dollars, the high </w:t>
      </w:r>
      <w:r>
        <w:rPr>
          <w:sz w:val="20"/>
          <w:szCs w:val="20"/>
        </w:rPr>
        <w:t>and low closing prices for each of the calendar quarters indicated, as reported by the OTCQB Marketplace, for the past two fiscal years. Such OTCQB Marketplace quotations reflect inter-dealer prices, without markup, markdown or commissions and, particularl</w:t>
      </w:r>
      <w:r>
        <w:rPr>
          <w:sz w:val="20"/>
          <w:szCs w:val="20"/>
        </w:rPr>
        <w:t>y because our common stock is traded infrequently, may not necessarily represent actual transactions or a liquid trading market.</w:t>
      </w:r>
    </w:p>
    <w:p w:rsidR="00000000" w:rsidRDefault="009649C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28"/>
        <w:gridCol w:w="78"/>
        <w:gridCol w:w="162"/>
        <w:gridCol w:w="100"/>
        <w:gridCol w:w="1159"/>
        <w:gridCol w:w="79"/>
        <w:gridCol w:w="162"/>
        <w:gridCol w:w="100"/>
        <w:gridCol w:w="1159"/>
        <w:gridCol w:w="7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2019</w:t>
            </w:r>
          </w:p>
        </w:tc>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150" w:type="pct"/>
            <w:shd w:val="clear" w:color="auto" w:fill="FFFFFF"/>
            <w:vAlign w:val="bottom"/>
            <w:hideMark/>
          </w:tcPr>
          <w:p w:rsidR="00000000" w:rsidRDefault="009649C3">
            <w:pPr>
              <w:rPr>
                <w:rFonts w:eastAsia="Times New Roman"/>
                <w:sz w:val="20"/>
                <w:szCs w:val="20"/>
              </w:rPr>
            </w:pPr>
            <w:r>
              <w:rPr>
                <w:rFonts w:eastAsia="Times New Roman"/>
                <w:sz w:val="20"/>
                <w:szCs w:val="20"/>
              </w:rPr>
              <w:t>Quarter ended December 31</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0.057</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0.0275</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0.0893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0.0112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0.0392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0.068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0.0192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2020</w:t>
            </w:r>
          </w:p>
        </w:tc>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Quarter ended December 31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0.245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0.0187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0.0387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0.0226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0.0495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0.0135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0.402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Holders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w:t>
      </w:r>
      <w:r>
        <w:rPr>
          <w:sz w:val="20"/>
          <w:szCs w:val="20"/>
        </w:rPr>
        <w:t>of March 18, 2021, we had 297,346,254 shares of common stock, par value $0.001 per share, issued and outstanding, which were held by approximately 236 shareholders of record. Our transfer agent is Pacific Stock Transfer, 6725 Via Austi Pkwy, Suite 300, Las</w:t>
      </w:r>
      <w:r>
        <w:rPr>
          <w:sz w:val="20"/>
          <w:szCs w:val="20"/>
        </w:rPr>
        <w:t xml:space="preserve"> Vegas, NV 89119.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Securities Authorized for Issuance Under Equity Compensation Plans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information as of December 31, 2020 with respect to the Company’s equity compensation plans previously approved by stockholders and equi</w:t>
      </w:r>
      <w:r>
        <w:rPr>
          <w:sz w:val="20"/>
          <w:szCs w:val="20"/>
        </w:rPr>
        <w:t>ty compensation plans not previously approved by stockholders.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0193414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05"/>
        <w:gridCol w:w="150"/>
        <w:gridCol w:w="67"/>
        <w:gridCol w:w="1147"/>
        <w:gridCol w:w="152"/>
        <w:gridCol w:w="150"/>
        <w:gridCol w:w="101"/>
        <w:gridCol w:w="1147"/>
        <w:gridCol w:w="152"/>
        <w:gridCol w:w="151"/>
        <w:gridCol w:w="79"/>
        <w:gridCol w:w="1137"/>
        <w:gridCol w:w="6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10"/>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Equity Compensation Plan Information</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 xml:space="preserve">Number of securities to be issued upon exercise of outstanding </w:t>
            </w:r>
          </w:p>
          <w:p w:rsidR="00000000" w:rsidRDefault="009649C3">
            <w:pPr>
              <w:pStyle w:val="a3"/>
              <w:spacing w:before="0" w:beforeAutospacing="0" w:after="0" w:afterAutospacing="0"/>
              <w:jc w:val="center"/>
              <w:rPr>
                <w:sz w:val="20"/>
                <w:szCs w:val="20"/>
              </w:rPr>
            </w:pPr>
            <w:r>
              <w:rPr>
                <w:b/>
                <w:bCs/>
                <w:sz w:val="20"/>
                <w:szCs w:val="20"/>
              </w:rPr>
              <w:t xml:space="preserve">options, warrants </w:t>
            </w:r>
          </w:p>
          <w:p w:rsidR="00000000" w:rsidRDefault="009649C3">
            <w:pPr>
              <w:pStyle w:val="a3"/>
              <w:spacing w:before="0" w:beforeAutospacing="0" w:after="0" w:afterAutospacing="0"/>
              <w:jc w:val="center"/>
              <w:rPr>
                <w:sz w:val="20"/>
                <w:szCs w:val="20"/>
              </w:rPr>
            </w:pPr>
            <w:r>
              <w:rPr>
                <w:b/>
                <w:bCs/>
                <w:sz w:val="20"/>
                <w:szCs w:val="20"/>
              </w:rPr>
              <w:t>and rights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Weighted-average</w:t>
            </w:r>
          </w:p>
          <w:p w:rsidR="00000000" w:rsidRDefault="009649C3">
            <w:pPr>
              <w:pStyle w:val="a3"/>
              <w:spacing w:before="0" w:beforeAutospacing="0" w:after="0" w:afterAutospacing="0"/>
              <w:jc w:val="center"/>
              <w:rPr>
                <w:sz w:val="20"/>
                <w:szCs w:val="20"/>
              </w:rPr>
            </w:pPr>
            <w:r>
              <w:rPr>
                <w:b/>
                <w:bCs/>
                <w:sz w:val="20"/>
                <w:szCs w:val="20"/>
              </w:rPr>
              <w:t>exercise price of</w:t>
            </w:r>
          </w:p>
          <w:p w:rsidR="00000000" w:rsidRDefault="009649C3">
            <w:pPr>
              <w:pStyle w:val="a3"/>
              <w:spacing w:before="0" w:beforeAutospacing="0" w:after="0" w:afterAutospacing="0"/>
              <w:jc w:val="center"/>
              <w:rPr>
                <w:sz w:val="20"/>
                <w:szCs w:val="20"/>
              </w:rPr>
            </w:pPr>
            <w:r>
              <w:rPr>
                <w:b/>
                <w:bCs/>
                <w:sz w:val="20"/>
                <w:szCs w:val="20"/>
              </w:rPr>
              <w:t>outstanding options,</w:t>
            </w:r>
          </w:p>
          <w:p w:rsidR="00000000" w:rsidRDefault="009649C3">
            <w:pPr>
              <w:pStyle w:val="a3"/>
              <w:spacing w:before="0" w:beforeAutospacing="0" w:after="0" w:afterAutospacing="0"/>
              <w:jc w:val="center"/>
              <w:rPr>
                <w:sz w:val="20"/>
                <w:szCs w:val="20"/>
              </w:rPr>
            </w:pPr>
            <w:r>
              <w:rPr>
                <w:b/>
                <w:bCs/>
                <w:sz w:val="20"/>
                <w:szCs w:val="20"/>
              </w:rPr>
              <w:t>warrants and rights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Number of securities remaining available for future issuance under</w:t>
            </w:r>
          </w:p>
          <w:p w:rsidR="00000000" w:rsidRDefault="009649C3">
            <w:pPr>
              <w:pStyle w:val="a3"/>
              <w:spacing w:before="0" w:beforeAutospacing="0" w:after="0" w:afterAutospacing="0"/>
              <w:jc w:val="center"/>
              <w:rPr>
                <w:sz w:val="20"/>
                <w:szCs w:val="20"/>
              </w:rPr>
            </w:pPr>
            <w:r>
              <w:rPr>
                <w:b/>
                <w:bCs/>
                <w:sz w:val="20"/>
                <w:szCs w:val="20"/>
              </w:rPr>
              <w:t>equity compensation</w:t>
            </w:r>
          </w:p>
          <w:p w:rsidR="00000000" w:rsidRDefault="009649C3">
            <w:pPr>
              <w:pStyle w:val="a3"/>
              <w:spacing w:before="0" w:beforeAutospacing="0" w:after="0" w:afterAutospacing="0"/>
              <w:jc w:val="center"/>
              <w:rPr>
                <w:sz w:val="20"/>
                <w:szCs w:val="20"/>
              </w:rPr>
            </w:pPr>
            <w:r>
              <w:rPr>
                <w:b/>
                <w:bCs/>
                <w:sz w:val="20"/>
                <w:szCs w:val="20"/>
              </w:rPr>
              <w:t>plans (excluding</w:t>
            </w:r>
          </w:p>
          <w:p w:rsidR="00000000" w:rsidRDefault="009649C3">
            <w:pPr>
              <w:pStyle w:val="a3"/>
              <w:spacing w:before="0" w:beforeAutospacing="0" w:after="0" w:afterAutospacing="0"/>
              <w:jc w:val="center"/>
              <w:rPr>
                <w:sz w:val="20"/>
                <w:szCs w:val="20"/>
              </w:rPr>
            </w:pPr>
            <w:r>
              <w:rPr>
                <w:b/>
                <w:bCs/>
                <w:sz w:val="20"/>
                <w:szCs w:val="20"/>
              </w:rPr>
              <w:t>securities reflected in</w:t>
            </w:r>
          </w:p>
          <w:p w:rsidR="00000000" w:rsidRDefault="009649C3">
            <w:pPr>
              <w:pStyle w:val="a3"/>
              <w:spacing w:before="0" w:beforeAutospacing="0" w:after="0" w:afterAutospacing="0"/>
              <w:jc w:val="center"/>
              <w:rPr>
                <w:sz w:val="20"/>
                <w:szCs w:val="20"/>
              </w:rPr>
            </w:pPr>
            <w:r>
              <w:rPr>
                <w:b/>
                <w:bCs/>
                <w:sz w:val="20"/>
                <w:szCs w:val="20"/>
              </w:rPr>
              <w:t>column (a))</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(a)</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(b)</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(c)</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9649C3">
            <w:pPr>
              <w:rPr>
                <w:rFonts w:eastAsia="Times New Roman"/>
                <w:sz w:val="20"/>
                <w:szCs w:val="20"/>
              </w:rPr>
            </w:pPr>
            <w:r>
              <w:rPr>
                <w:rFonts w:eastAsia="Times New Roman"/>
                <w:sz w:val="20"/>
                <w:szCs w:val="20"/>
              </w:rPr>
              <w:t>Equity compensation plans approved by stockholders</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32,836,047</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Equity compensation plans not approved by stockholders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34,370,493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34,370,493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9649C3">
            <w:pPr>
              <w:rPr>
                <w:rFonts w:eastAsia="Times New Roman"/>
                <w:sz w:val="20"/>
                <w:szCs w:val="20"/>
              </w:rPr>
            </w:pPr>
            <w:r>
              <w:rPr>
                <w:rFonts w:eastAsia="Times New Roman"/>
                <w:sz w:val="20"/>
                <w:szCs w:val="20"/>
                <w:vertAlign w:val="superscript"/>
              </w:rPr>
              <w:t>(1)</w:t>
            </w:r>
          </w:p>
        </w:tc>
        <w:tc>
          <w:tcPr>
            <w:tcW w:w="0" w:type="auto"/>
            <w:hideMark/>
          </w:tcPr>
          <w:p w:rsidR="00000000" w:rsidRDefault="009649C3">
            <w:pPr>
              <w:jc w:val="both"/>
              <w:rPr>
                <w:rFonts w:eastAsia="Times New Roman"/>
                <w:sz w:val="20"/>
                <w:szCs w:val="20"/>
              </w:rPr>
            </w:pPr>
            <w:r>
              <w:rPr>
                <w:rFonts w:eastAsia="Times New Roman"/>
                <w:sz w:val="20"/>
                <w:szCs w:val="20"/>
              </w:rPr>
              <w:t xml:space="preserve">In </w:t>
            </w:r>
            <w:r>
              <w:rPr>
                <w:rFonts w:eastAsia="Times New Roman"/>
                <w:sz w:val="20"/>
                <w:szCs w:val="20"/>
              </w:rPr>
              <w:t>addition to the 2015 Plan (defined below), the Company has individual compensation arrangements under which equity securities are authorized for issuance in exchange for consideration in the form of goods or services of certain individuals.</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2015 Omnibus</w:t>
      </w:r>
      <w:r>
        <w:rPr>
          <w:b/>
          <w:bCs/>
          <w:sz w:val="20"/>
          <w:szCs w:val="20"/>
        </w:rPr>
        <w:t xml:space="preserve"> Securities and Incentive Plan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October 2015, our Board of Directors and stockholders approved the adoption of the 2015 Omnibus Securities and Incentive Plan (the “</w:t>
      </w:r>
      <w:r>
        <w:rPr>
          <w:i/>
          <w:iCs/>
          <w:sz w:val="20"/>
          <w:szCs w:val="20"/>
        </w:rPr>
        <w:t>2015 Plan</w:t>
      </w:r>
      <w:r>
        <w:rPr>
          <w:sz w:val="20"/>
          <w:szCs w:val="20"/>
        </w:rPr>
        <w:t xml:space="preserve">”). The 2015 Plan authorizes an aggregate number of shares of common stock for </w:t>
      </w:r>
      <w:r>
        <w:rPr>
          <w:sz w:val="20"/>
          <w:szCs w:val="20"/>
        </w:rPr>
        <w:t>issuance to all employees of the Company or any subsidiary of the Company, any non-employee director, consultants and independent contractors of the Company or any subsidiary, and any joint venture partners (including, without limitation, officers, directo</w:t>
      </w:r>
      <w:r>
        <w:rPr>
          <w:sz w:val="20"/>
          <w:szCs w:val="20"/>
        </w:rPr>
        <w:t>rs and partners thereof) of the Company or any subsidiary. The aggregate number of shares that may be issued under the Plan shall not exceed twenty percent (20%) of the issued and outstanding shares of common stock on an as converted primary basis on a rol</w:t>
      </w:r>
      <w:r>
        <w:rPr>
          <w:sz w:val="20"/>
          <w:szCs w:val="20"/>
        </w:rPr>
        <w:t>ling basis. For calculation purposes, the As Converted Primary Shares (as defined in the 2015 Plan) shall include all shares of common stock and all shares of common stock issuable upon the conversion of outstanding preferred stock and other convertible se</w:t>
      </w:r>
      <w:r>
        <w:rPr>
          <w:sz w:val="20"/>
          <w:szCs w:val="20"/>
        </w:rPr>
        <w:t>curities, but shall not include any shares of common stock issuable upon the exercise of options, warrants and other convertible securities issued pursuant to the 2015 Plan. As of December 31, 2020, the Converted Primary Shares calculation results in 32,83</w:t>
      </w:r>
      <w:r>
        <w:rPr>
          <w:sz w:val="20"/>
          <w:szCs w:val="20"/>
        </w:rPr>
        <w:t>6,047 aggregate shares that may be issued under the 2015 Plan. The 2015 Plan is administered by the Company’s Compensation Committee, who may issue awards in the form of stock options and/or restricted stock awards. Effective December 31, 2020, an aggregat</w:t>
      </w:r>
      <w:r>
        <w:rPr>
          <w:sz w:val="20"/>
          <w:szCs w:val="20"/>
        </w:rPr>
        <w:t>e total of 1,162,500 restricted stock units (“</w:t>
      </w:r>
      <w:r>
        <w:rPr>
          <w:i/>
          <w:iCs/>
          <w:sz w:val="20"/>
          <w:szCs w:val="20"/>
        </w:rPr>
        <w:t>RSUs</w:t>
      </w:r>
      <w:r>
        <w:rPr>
          <w:sz w:val="20"/>
          <w:szCs w:val="20"/>
        </w:rPr>
        <w:t>”) under the 2015 Plan were authorized, but as of March 18, 2021, 385,000 had been issued.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Recent Sales of Unregistered Securities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Below </w:t>
      </w:r>
      <w:r>
        <w:rPr>
          <w:sz w:val="20"/>
          <w:szCs w:val="20"/>
        </w:rPr>
        <w:t>is a description of all unregistered securities issued by the Company during and subsequent to the quarter ended December 31, 2020, through the date of this report. Each of the issuances identified below were issued in transactions exempt from registration</w:t>
      </w:r>
      <w:r>
        <w:rPr>
          <w:sz w:val="20"/>
          <w:szCs w:val="20"/>
        </w:rPr>
        <w:t xml:space="preserve"> </w:t>
      </w:r>
      <w:r>
        <w:rPr>
          <w:sz w:val="20"/>
          <w:szCs w:val="20"/>
          <w:shd w:val="clear" w:color="auto" w:fill="FFFFFF"/>
        </w:rPr>
        <w:t>under the Securities Act of 1933, as amended, in reliance on Section 3(a)(9) and/or 4(2) thereof.</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Issuances During the Quarter Ended December 31,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During the month of November 2020, the Company issued 933,750 shares of common stock in the exchange</w:t>
      </w:r>
      <w:r>
        <w:rPr>
          <w:sz w:val="20"/>
          <w:szCs w:val="20"/>
        </w:rPr>
        <w:t xml:space="preserve"> of 1,867,500 warrants to an accredited investor.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During the month of December 2020, the Company issued 7,207,400 shares of common stock in consideration for the conversion of 576,592 shares of Series B Convertible Preferred issued to an accredited inves</w:t>
      </w:r>
      <w:r>
        <w:rPr>
          <w:sz w:val="20"/>
          <w:szCs w:val="20"/>
        </w:rPr>
        <w:t>tor.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During the month of December 2020, the Company issued 4,759,435 shares of common stock in the cashless exercise of 6,860,000 warrants.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December 2020, the Chief Executive Officer, exercised 2,500,000 options into shares of common stock valued at</w:t>
      </w:r>
      <w:r>
        <w:rPr>
          <w:sz w:val="20"/>
          <w:szCs w:val="20"/>
        </w:rPr>
        <w:t xml:space="preserve"> $60,000.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addition, the Company raised $1,138,800 in the Regulation A+ from November 30, 2020 through December 3, 2020 and issued 42,177,778 shares of common stock and sold 19,200,000 warrants for $19,200 in these offerings.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5783594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Issuances Subsequent to December 31,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January 2021, the Company issued 1,259,250 shares of common stock in conversion of a convertible note payable of $50,000 and accrued interest of $370. This conversion resulted in a loss on conversion of $176,2</w:t>
      </w:r>
      <w:r>
        <w:rPr>
          <w:sz w:val="20"/>
          <w:szCs w:val="20"/>
        </w:rPr>
        <w:t>95.</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January 2021, the Company issued 3,423,968 shares of common stock in the cashless exercise of 4,875,000 warrants.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January 2021, the Company issued 384,445 shares of common stock in conversion of accounts payable in the amount of $50,000.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9" w:name="v_010"/>
      <w:bookmarkEnd w:id="9"/>
      <w:r>
        <w:rPr>
          <w:b/>
          <w:bCs/>
          <w:sz w:val="20"/>
          <w:szCs w:val="20"/>
        </w:rPr>
        <w:t>IT</w:t>
      </w:r>
      <w:r>
        <w:rPr>
          <w:b/>
          <w:bCs/>
          <w:sz w:val="20"/>
          <w:szCs w:val="20"/>
        </w:rPr>
        <w:t>EM 6. SELECTED FINANCIAL DATA.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 as amended.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0" w:name="v_011"/>
      <w:bookmarkEnd w:id="10"/>
      <w:r>
        <w:rPr>
          <w:b/>
          <w:bCs/>
          <w:sz w:val="20"/>
          <w:szCs w:val="20"/>
        </w:rPr>
        <w:t>ITEM 7. MANAGEMENT’S DISCUSSION AND ANALYSIS OF</w:t>
      </w:r>
      <w:r>
        <w:rPr>
          <w:b/>
          <w:bCs/>
          <w:sz w:val="20"/>
          <w:szCs w:val="20"/>
        </w:rPr>
        <w:t xml:space="preserve"> FINANCIAL CONDITION AND RESULTS OF OPERATIONS.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i/>
          <w:iCs/>
          <w:sz w:val="20"/>
          <w:szCs w:val="20"/>
        </w:rPr>
        <w:t>The following discussion and analysis is intended as a review of significant factors affecting the Company’s financial condition and results of operations for the periods indicated. The discussion should be</w:t>
      </w:r>
      <w:r>
        <w:rPr>
          <w:i/>
          <w:iCs/>
          <w:sz w:val="20"/>
          <w:szCs w:val="20"/>
        </w:rPr>
        <w:t xml:space="preserve"> read in conjunction with the Company’s financial statements and the notes presented herein. In addition to historical information, the following Management’s Discussion and Analysis of Financial Condition and Results of Operations contains forward-looking</w:t>
      </w:r>
      <w:r>
        <w:rPr>
          <w:i/>
          <w:iCs/>
          <w:sz w:val="20"/>
          <w:szCs w:val="20"/>
        </w:rPr>
        <w:t xml:space="preserve"> statements that involve risks and uncertainties. The Company’s actual results could differ significantly from those anticipated in these forward-looking statements as a result of the risk factors set forth above in Item 1A and other factors discussed in t</w:t>
      </w:r>
      <w:r>
        <w:rPr>
          <w:i/>
          <w:iCs/>
          <w:sz w:val="20"/>
          <w:szCs w:val="20"/>
        </w:rPr>
        <w:t>his Annual Report.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0508100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Results of Operations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Comparison for the Year Ended December 31, 2020 and December 31,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information from the Company’</w:t>
      </w:r>
      <w:r>
        <w:rPr>
          <w:sz w:val="20"/>
          <w:szCs w:val="20"/>
        </w:rPr>
        <w:t>s statements of operations for the years ended December 31, 2020 and 2019.</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Revenues, net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9,500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Cost of goods sold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5,608</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6,028</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1,392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3,472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Operating expense</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673,913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1,333,451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(672,521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(1,329,979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Non-operating expense</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(284,471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(280,118</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jc w:val="both"/>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(956,992</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(1,610,097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Revenue and Cost of Goods Sold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We </w:t>
      </w:r>
      <w:r>
        <w:rPr>
          <w:sz w:val="20"/>
          <w:szCs w:val="20"/>
        </w:rPr>
        <w:t>had $7,000 in revenues for the year ended December 31, 2020, compared to $9,500 in revenue for the year ended December 31, 2019, a period over period decrease of $2,500. These revenues are reflected net of discounts. The decrease was a result of the Compan</w:t>
      </w:r>
      <w:r>
        <w:rPr>
          <w:sz w:val="20"/>
          <w:szCs w:val="20"/>
        </w:rPr>
        <w:t>y’s recognition of their sales for IsoPet®.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We had $5,608 in cost of goods sold for the year ended December 31, 2020, compared to $6,028 in cost of goods sold for the year ended December 31, 2019, a period over period decrease of $420. The decrease was a</w:t>
      </w:r>
      <w:r>
        <w:rPr>
          <w:sz w:val="20"/>
          <w:szCs w:val="20"/>
        </w:rPr>
        <w:t xml:space="preserve"> result of the Company’s recognition of their sales for IsoPet®.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Management does not anticipate that the Company will generate sufficient revenue to sustain operations until such time as the Company secures multiple revenue-generating arrangements with r</w:t>
      </w:r>
      <w:r>
        <w:rPr>
          <w:sz w:val="20"/>
          <w:szCs w:val="20"/>
        </w:rPr>
        <w:t>espect to RadioGel™ and/or any of our other brachytherapy technologies.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Operating Expenses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Operating expenses for the years ended December 31, 2020 and 2019 consisted of the following:</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243,942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462,952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Stock options and warrants consideration</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608,588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Payroll expense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234,094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84,668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67,584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General and administrative expense</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109,033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74,327</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673,913</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1,333,451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years ended December 31, 2020 and 2019 were $673,913 and $1,333,451, respectively. The decrease in operating expense from 2019 to 2020 is attributable to a slow down in operations as a result of cash flow issues the Company incurred, decre</w:t>
      </w:r>
      <w:r>
        <w:rPr>
          <w:sz w:val="20"/>
          <w:szCs w:val="20"/>
        </w:rPr>
        <w:t xml:space="preserve">ased stock options and warrants granted ($608,588 for the year ended December 31, 2019 versus $2,176 for the year ended December 31, 2020) as a result of granting of options with respect to revised employment agreements, increased research and development </w:t>
      </w:r>
      <w:r>
        <w:rPr>
          <w:sz w:val="20"/>
          <w:szCs w:val="20"/>
        </w:rPr>
        <w:t xml:space="preserve">($67,584 for the year ended December 31, 2019 versus $84,668 for the year ended December 31, 2020) as a result of a ramp up in testing, increased general and administrative expense ($74,327 for the year ended December 31, 2019 versus $109,033 for the year </w:t>
      </w:r>
      <w:r>
        <w:rPr>
          <w:sz w:val="20"/>
          <w:szCs w:val="20"/>
        </w:rPr>
        <w:t xml:space="preserve">ended December 31, 2020), and decreased professional fees ($462,952 for the year ended December 31, 2019 versus $243,942 for the year ended December 31, 2020), which resulted from decreased consulting expenses of the Company, as the Company was focused on </w:t>
      </w:r>
      <w:r>
        <w:rPr>
          <w:sz w:val="20"/>
          <w:szCs w:val="20"/>
        </w:rPr>
        <w:t>product development.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3903046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Non-Operating Income (Expense)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years ended December 31, 2020 and 2019 consisted of the following:</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(287,471</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(261,374</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Net gain (loss) on settlement of debt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(18,744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Other income</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3,000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(284,471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(280,118</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year ended December 31, 2020 varied from the year ended December 31, 2019 primarily due to an increase in interest expense, attributable to the notes payable activity from 2019 to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Net Loss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net loss for the y</w:t>
      </w:r>
      <w:r>
        <w:rPr>
          <w:sz w:val="20"/>
          <w:szCs w:val="20"/>
        </w:rPr>
        <w:t>ears ended December 31, 2020 and 2019 was $956,992 and $1,610,097, respectively, as a result of the items described above.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Liquidity and Capital Resources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At December 31, 2020, the Company had working capital of $32,034, as compared to negative working</w:t>
      </w:r>
      <w:r>
        <w:rPr>
          <w:sz w:val="20"/>
          <w:szCs w:val="20"/>
        </w:rPr>
        <w:t xml:space="preserve"> capital of $1,479,689 at December 31, 2019. During the year ended December 31, 2020, the Company experienced negative cash flow from operations of $875,807 and realized $1,759,130 of cash flows from financing activities. As of December 31, 2020, the Compa</w:t>
      </w:r>
      <w:r>
        <w:rPr>
          <w:sz w:val="20"/>
          <w:szCs w:val="20"/>
        </w:rPr>
        <w:t>ny did not have any commitments for capital expenditures.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Cash used in operating activities increased from $837,113 for the year ended December 31, 2019 to $875,807 for the year ended December 31, 2020. Cash used in operating activities was primarily a r</w:t>
      </w:r>
      <w:r>
        <w:rPr>
          <w:sz w:val="20"/>
          <w:szCs w:val="20"/>
        </w:rPr>
        <w:t>esult of the Company’s non-cash items, such as loss from operations, loss on preferred and common stock and stock options and warrants issued for services and other expenses. Cash provided from financing activities increased from $852,000 for the year ende</w:t>
      </w:r>
      <w:r>
        <w:rPr>
          <w:sz w:val="20"/>
          <w:szCs w:val="20"/>
        </w:rPr>
        <w:t xml:space="preserve">d December 31, 2019 to $1,759,130 for the year ended December 31, 2020. The increase in cash provided from financing activities was primarily a result of increase in proceeds from the Regulation A+ where the Company raised $1,662,780 from common stock and </w:t>
      </w:r>
      <w:r>
        <w:rPr>
          <w:sz w:val="20"/>
          <w:szCs w:val="20"/>
        </w:rPr>
        <w:t>warrant issuances, $60,000 from the exercise of stock options, plus proceeds of $150,000 from convertible notes, which $50,000 was repaid. In 2019, the Company raised $737,000 from related parties and through convertible notes.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 has generated </w:t>
      </w:r>
      <w:r>
        <w:rPr>
          <w:sz w:val="20"/>
          <w:szCs w:val="20"/>
        </w:rPr>
        <w:t>material operating losses since inception. The Company had a net loss of $956,992 for the year ended December 31, 2020, and a net loss of $1,610,097 for the year ended December 31, 2019. The Company expects to continue to experience net operating losses fo</w:t>
      </w:r>
      <w:r>
        <w:rPr>
          <w:sz w:val="20"/>
          <w:szCs w:val="20"/>
        </w:rPr>
        <w:t>r the foreseeable future. Historically, the Company has relied upon investor funds to maintain its operations and develop the Company’s business. The Company anticipates raising additional capital within the next twelve months for working capital as well a</w:t>
      </w:r>
      <w:r>
        <w:rPr>
          <w:sz w:val="20"/>
          <w:szCs w:val="20"/>
        </w:rPr>
        <w:t>s business expansion, although the Company can provide no assurance that additional capital will be available on terms acceptable to the Company, if at all. If the Company is unable to obtain additional financing to meet its working capital requirements, i</w:t>
      </w:r>
      <w:r>
        <w:rPr>
          <w:sz w:val="20"/>
          <w:szCs w:val="20"/>
        </w:rPr>
        <w:t>t may have to curtail its business or cease all operations.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7783155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Company requires funding of at least $1.8 million per year to maintain current operating activities. Over the next 24 months, the Company believes it will cost approximately $9 million to fund: (1) fund the FDA approval process to conduct human clinical tr</w:t>
      </w:r>
      <w:r>
        <w:rPr>
          <w:sz w:val="20"/>
          <w:szCs w:val="20"/>
        </w:rPr>
        <w:t>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w:t>
      </w:r>
      <w:r>
        <w:rPr>
          <w:sz w:val="20"/>
          <w:szCs w:val="20"/>
        </w:rPr>
        <w:t>anufacturing, and (5) initiate regulatory approval processes outside of the United States.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principal variables in the timing and amount of spending for the brachytherapy products in the next 12 to 24 months will be the FDA’s classification of the Com</w:t>
      </w:r>
      <w:r>
        <w:rPr>
          <w:sz w:val="20"/>
          <w:szCs w:val="20"/>
        </w:rPr>
        <w:t>pany’s brachytherapy products as Class II or Class III devices (or otherwise) and any requirements for additional studies, which may possibly include clinical studies. Thereafter, the principal variables in the amount of the Company’s spending and its fina</w:t>
      </w:r>
      <w:r>
        <w:rPr>
          <w:sz w:val="20"/>
          <w:szCs w:val="20"/>
        </w:rPr>
        <w:t xml:space="preserve">ncing requirements would be the timing of any approvals and the nature of the Company’s arrangements with third parties for manufacturing, sales, distribution and licensing of those products and the products’ success in the U.S. and elsewhere. The Company </w:t>
      </w:r>
      <w:r>
        <w:rPr>
          <w:sz w:val="20"/>
          <w:szCs w:val="20"/>
        </w:rPr>
        <w:t>intends to fund its activities through strategic transactions such as licensing and partnership agreements or additional capital raises.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w:t>
      </w:r>
      <w:r>
        <w:rPr>
          <w:sz w:val="20"/>
          <w:szCs w:val="20"/>
        </w:rPr>
        <w:t>ankers and investors, to date, the Company has not received firm commitments for the required funding. Based upon its discussions, the Company anticipates that if the Company is able to obtain the funding required to retire outstanding debt, pay past due p</w:t>
      </w:r>
      <w:r>
        <w:rPr>
          <w:sz w:val="20"/>
          <w:szCs w:val="20"/>
        </w:rPr>
        <w:t>ayables and maintain its current operating activities, that the terms associated with such funding will result in material dilution to existing shareholders.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Recent geopolitical events, including the inherent instability and volatility in global capital </w:t>
      </w:r>
      <w:r>
        <w:rPr>
          <w:sz w:val="20"/>
          <w:szCs w:val="20"/>
        </w:rPr>
        <w:t>markets, as well as the lack of liquidity in the capital markets, could impact the Company’s ability to obtain financing and its ability to execute its business plan.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 xml:space="preserve">Contractual </w:t>
      </w:r>
      <w:r>
        <w:rPr>
          <w:b/>
          <w:bCs/>
          <w:i/>
          <w:iCs/>
          <w:sz w:val="20"/>
          <w:szCs w:val="20"/>
          <w:u w:val="single"/>
        </w:rPr>
        <w:t>Obligations (payments due by period as of December 31, 2020)</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0"/>
        <w:gridCol w:w="76"/>
        <w:gridCol w:w="101"/>
        <w:gridCol w:w="824"/>
        <w:gridCol w:w="76"/>
        <w:gridCol w:w="76"/>
        <w:gridCol w:w="100"/>
        <w:gridCol w:w="824"/>
        <w:gridCol w:w="100"/>
        <w:gridCol w:w="76"/>
        <w:gridCol w:w="100"/>
        <w:gridCol w:w="824"/>
        <w:gridCol w:w="76"/>
        <w:gridCol w:w="76"/>
        <w:gridCol w:w="100"/>
        <w:gridCol w:w="824"/>
        <w:gridCol w:w="76"/>
        <w:gridCol w:w="76"/>
        <w:gridCol w:w="100"/>
        <w:gridCol w:w="824"/>
        <w:gridCol w:w="77"/>
      </w:tblGrid>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Contractual Obligation</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Total</w:t>
            </w:r>
          </w:p>
          <w:p w:rsidR="00000000" w:rsidRDefault="009649C3">
            <w:pPr>
              <w:pStyle w:val="a3"/>
              <w:spacing w:before="0" w:beforeAutospacing="0" w:after="0" w:afterAutospacing="0"/>
              <w:jc w:val="center"/>
              <w:rPr>
                <w:sz w:val="20"/>
                <w:szCs w:val="20"/>
              </w:rPr>
            </w:pPr>
            <w:r>
              <w:rPr>
                <w:b/>
                <w:bCs/>
                <w:sz w:val="20"/>
                <w:szCs w:val="20"/>
              </w:rPr>
              <w:t>Payments Due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Less than</w:t>
            </w:r>
          </w:p>
          <w:p w:rsidR="00000000" w:rsidRDefault="009649C3">
            <w:pPr>
              <w:pStyle w:val="a3"/>
              <w:spacing w:before="0" w:beforeAutospacing="0" w:after="0" w:afterAutospacing="0"/>
              <w:jc w:val="center"/>
              <w:rPr>
                <w:sz w:val="20"/>
                <w:szCs w:val="20"/>
              </w:rPr>
            </w:pPr>
            <w:r>
              <w:rPr>
                <w:b/>
                <w:bCs/>
                <w:sz w:val="20"/>
                <w:szCs w:val="20"/>
              </w:rPr>
              <w:t>1 Year</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1-3</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3-5</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More than</w:t>
            </w:r>
          </w:p>
          <w:p w:rsidR="00000000" w:rsidRDefault="009649C3">
            <w:pPr>
              <w:pStyle w:val="a3"/>
              <w:spacing w:before="0" w:beforeAutospacing="0" w:after="0" w:afterAutospacing="0"/>
              <w:jc w:val="center"/>
              <w:rPr>
                <w:sz w:val="20"/>
                <w:szCs w:val="20"/>
              </w:rPr>
            </w:pPr>
            <w:r>
              <w:rPr>
                <w:b/>
                <w:bCs/>
                <w:sz w:val="20"/>
                <w:szCs w:val="20"/>
              </w:rPr>
              <w:t>5 Years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9649C3">
            <w:pPr>
              <w:rPr>
                <w:rFonts w:eastAsia="Times New Roman"/>
                <w:sz w:val="20"/>
                <w:szCs w:val="20"/>
              </w:rPr>
            </w:pPr>
            <w:r>
              <w:rPr>
                <w:rFonts w:eastAsia="Times New Roman"/>
                <w:sz w:val="20"/>
                <w:szCs w:val="20"/>
              </w:rPr>
              <w:t>License Agreement with Battelle Memorial Institute</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14,000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left="720"/>
        <w:jc w:val="both"/>
        <w:rPr>
          <w:sz w:val="20"/>
          <w:szCs w:val="20"/>
        </w:rPr>
      </w:pPr>
      <w:r>
        <w:rPr>
          <w:sz w:val="20"/>
          <w:szCs w:val="20"/>
        </w:rPr>
        <w:t>*This was paid December 30, 2020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Our Chief Executive Officer currently </w:t>
      </w:r>
      <w:r>
        <w:rPr>
          <w:sz w:val="20"/>
          <w:szCs w:val="20"/>
        </w:rPr>
        <w:t>works from his home office in virtual communication with key personnel. Cadwell Laboratories, which is controlled by Carl Cadwell, a director of the Company, provides office space to management on an as-needed basis until such time as the Company leases pe</w:t>
      </w:r>
      <w:r>
        <w:rPr>
          <w:sz w:val="20"/>
          <w:szCs w:val="20"/>
        </w:rPr>
        <w:t>rmanent office space.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Off-Balance Sheet Arrangements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does not have any off-balance sheet arrangements that are reasonably likely to have a current or future effect on the Company’s financial condition, revenues, results of operations, liqui</w:t>
      </w:r>
      <w:r>
        <w:rPr>
          <w:sz w:val="20"/>
          <w:szCs w:val="20"/>
        </w:rPr>
        <w:t>dity or capital expenditures.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Accounting Policies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Use of Estimates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preparation of financial statements in accordance with generally accepted accounting principles requires management to make estimates and assumptions that affect the reported amou</w:t>
      </w:r>
      <w:r>
        <w:rPr>
          <w:sz w:val="20"/>
          <w:szCs w:val="20"/>
        </w:rPr>
        <w:t>nts of assets and liabilities and the disclosure of contingent assets and liabilities at the date of financial statements and the reported amounts of revenues and expenses during the reporting period. Estimates the Company considers include criteria for st</w:t>
      </w:r>
      <w:r>
        <w:rPr>
          <w:sz w:val="20"/>
          <w:szCs w:val="20"/>
        </w:rPr>
        <w:t>ock-based compensation expense, and valuation allowances on deferred tax assets. Actual results could differ from those estimates.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0378309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Fixed Assets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Fixed </w:t>
      </w:r>
      <w:r>
        <w:rPr>
          <w:sz w:val="20"/>
          <w:szCs w:val="20"/>
        </w:rPr>
        <w:t>assets are carried at the lower of cost or net realizable value. Production equipment with a cost of $2,500 or greater and other fixed assets with a cost of $1,500 or greater are capitalized. Major betterments that extend the useful lives of assets are als</w:t>
      </w:r>
      <w:r>
        <w:rPr>
          <w:sz w:val="20"/>
          <w:szCs w:val="20"/>
        </w:rPr>
        <w:t>o capitalized. Normal maintenance and repairs are charged to expense as incurred. When assets are sold or otherwise disposed of, the cost and accumulated depreciation are removed from the accounts and any resulting gain or loss is recognized in operations.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Depreciation is computed using the straight-line method over the following estimated useful lives:</w:t>
      </w:r>
    </w:p>
    <w:p w:rsidR="00000000" w:rsidRDefault="009649C3">
      <w:pPr>
        <w:pStyle w:val="a3"/>
        <w:spacing w:before="0" w:beforeAutospacing="0" w:after="0" w:afterAutospacing="0"/>
        <w:ind w:firstLine="720"/>
        <w:jc w:val="center"/>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2849"/>
        <w:gridCol w:w="116"/>
        <w:gridCol w:w="2849"/>
      </w:tblGrid>
      <w:tr w:rsidR="00000000">
        <w:trPr>
          <w:jc w:val="center"/>
        </w:trPr>
        <w:tc>
          <w:tcPr>
            <w:tcW w:w="2450" w:type="pct"/>
            <w:shd w:val="clear" w:color="auto" w:fill="FFFFFF"/>
            <w:hideMark/>
          </w:tcPr>
          <w:p w:rsidR="00000000" w:rsidRDefault="009649C3">
            <w:pPr>
              <w:rPr>
                <w:rFonts w:eastAsia="Times New Roman"/>
                <w:sz w:val="20"/>
                <w:szCs w:val="20"/>
              </w:rPr>
            </w:pPr>
            <w:r>
              <w:rPr>
                <w:rFonts w:eastAsia="Times New Roman"/>
                <w:sz w:val="20"/>
                <w:szCs w:val="20"/>
              </w:rPr>
              <w:t>Production equipment:</w:t>
            </w:r>
          </w:p>
        </w:tc>
        <w:tc>
          <w:tcPr>
            <w:tcW w:w="100" w:type="pct"/>
            <w:shd w:val="clear" w:color="auto" w:fill="FFFFFF"/>
            <w:hideMark/>
          </w:tcPr>
          <w:p w:rsidR="00000000" w:rsidRDefault="009649C3">
            <w:pPr>
              <w:rPr>
                <w:rFonts w:eastAsia="Times New Roman"/>
                <w:sz w:val="20"/>
                <w:szCs w:val="20"/>
              </w:rPr>
            </w:pPr>
            <w:r>
              <w:rPr>
                <w:rFonts w:eastAsia="Times New Roman"/>
                <w:sz w:val="20"/>
                <w:szCs w:val="20"/>
              </w:rPr>
              <w:t> </w:t>
            </w:r>
          </w:p>
        </w:tc>
        <w:tc>
          <w:tcPr>
            <w:tcW w:w="2450" w:type="pct"/>
            <w:shd w:val="clear" w:color="auto" w:fill="FFFFFF"/>
            <w:hideMark/>
          </w:tcPr>
          <w:p w:rsidR="00000000" w:rsidRDefault="009649C3">
            <w:pPr>
              <w:jc w:val="right"/>
              <w:rPr>
                <w:rFonts w:eastAsia="Times New Roman"/>
                <w:sz w:val="20"/>
                <w:szCs w:val="20"/>
              </w:rPr>
            </w:pPr>
            <w:r>
              <w:rPr>
                <w:rFonts w:eastAsia="Times New Roman"/>
                <w:sz w:val="20"/>
                <w:szCs w:val="20"/>
              </w:rPr>
              <w:t>3 to 7 years</w:t>
            </w:r>
          </w:p>
        </w:tc>
      </w:tr>
      <w:tr w:rsidR="00000000">
        <w:trPr>
          <w:jc w:val="center"/>
        </w:trPr>
        <w:tc>
          <w:tcPr>
            <w:tcW w:w="0" w:type="auto"/>
            <w:shd w:val="clear" w:color="auto" w:fill="FFFFFF"/>
            <w:hideMark/>
          </w:tcPr>
          <w:p w:rsidR="00000000" w:rsidRDefault="009649C3">
            <w:pPr>
              <w:rPr>
                <w:rFonts w:eastAsia="Times New Roman"/>
                <w:sz w:val="20"/>
                <w:szCs w:val="20"/>
              </w:rPr>
            </w:pPr>
            <w:r>
              <w:rPr>
                <w:rFonts w:eastAsia="Times New Roman"/>
                <w:sz w:val="20"/>
                <w:szCs w:val="20"/>
              </w:rPr>
              <w:t>Office equipment:</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right"/>
              <w:rPr>
                <w:rFonts w:eastAsia="Times New Roman"/>
                <w:sz w:val="20"/>
                <w:szCs w:val="20"/>
              </w:rPr>
            </w:pPr>
            <w:r>
              <w:rPr>
                <w:rFonts w:eastAsia="Times New Roman"/>
                <w:sz w:val="20"/>
                <w:szCs w:val="20"/>
              </w:rPr>
              <w:t>2 to 5 years</w:t>
            </w:r>
          </w:p>
        </w:tc>
      </w:tr>
      <w:tr w:rsidR="00000000">
        <w:trPr>
          <w:jc w:val="center"/>
        </w:trPr>
        <w:tc>
          <w:tcPr>
            <w:tcW w:w="0" w:type="auto"/>
            <w:shd w:val="clear" w:color="auto" w:fill="FFFFFF"/>
            <w:hideMark/>
          </w:tcPr>
          <w:p w:rsidR="00000000" w:rsidRDefault="009649C3">
            <w:pPr>
              <w:rPr>
                <w:rFonts w:eastAsia="Times New Roman"/>
                <w:sz w:val="20"/>
                <w:szCs w:val="20"/>
              </w:rPr>
            </w:pPr>
            <w:r>
              <w:rPr>
                <w:rFonts w:eastAsia="Times New Roman"/>
                <w:sz w:val="20"/>
                <w:szCs w:val="20"/>
              </w:rPr>
              <w:t>Furniture and fixtures:</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right"/>
              <w:rPr>
                <w:rFonts w:eastAsia="Times New Roman"/>
                <w:sz w:val="20"/>
                <w:szCs w:val="20"/>
              </w:rPr>
            </w:pPr>
            <w:r>
              <w:rPr>
                <w:rFonts w:eastAsia="Times New Roman"/>
                <w:sz w:val="20"/>
                <w:szCs w:val="20"/>
              </w:rPr>
              <w:t>2 to 5 years</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License Fees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periodically reviews the carrying values of capitalized license fees and any impairments are recognized when the expected future operating cash flows to be derived from such assets are less than their carrying value.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Patents and Intell</w:t>
      </w:r>
      <w:r>
        <w:rPr>
          <w:b/>
          <w:bCs/>
          <w:sz w:val="20"/>
          <w:szCs w:val="20"/>
        </w:rPr>
        <w:t>ectual Property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While patents are being developed or pending, they are not being amortized. Management has determined that the economic life of the patents to be ten years and amortization, over such ten-year period and on a straight-line basis will begi</w:t>
      </w:r>
      <w:r>
        <w:rPr>
          <w:sz w:val="20"/>
          <w:szCs w:val="20"/>
        </w:rPr>
        <w:t>n once the patents have been issued and the Company begins utilization of the patents through production and sales, resulting in revenues.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Company evaluates the recoverability of intangible assets, including patents and intellectual property on a continual basis. Several factors are used to evaluate intangibles, including, but not limited to, management’s plans for future operations, recent o</w:t>
      </w:r>
      <w:r>
        <w:rPr>
          <w:sz w:val="20"/>
          <w:szCs w:val="20"/>
        </w:rPr>
        <w:t>perating results and projected and expected undiscounted future cash flows.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Revenue Recognition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In May 2014, the Financial Accounting Standards Board (“</w:t>
      </w:r>
      <w:r>
        <w:rPr>
          <w:i/>
          <w:iCs/>
          <w:sz w:val="20"/>
          <w:szCs w:val="20"/>
        </w:rPr>
        <w:t>FASB</w:t>
      </w:r>
      <w:r>
        <w:rPr>
          <w:sz w:val="20"/>
          <w:szCs w:val="20"/>
        </w:rPr>
        <w:t>”) issued Accounting Standard Update (“</w:t>
      </w:r>
      <w:r>
        <w:rPr>
          <w:i/>
          <w:iCs/>
          <w:sz w:val="20"/>
          <w:szCs w:val="20"/>
        </w:rPr>
        <w:t>ASU</w:t>
      </w:r>
      <w:r>
        <w:rPr>
          <w:sz w:val="20"/>
          <w:szCs w:val="20"/>
        </w:rPr>
        <w:t xml:space="preserve">”) No. 2014-09, Revenue from Contracts with Customers </w:t>
      </w:r>
      <w:r>
        <w:rPr>
          <w:sz w:val="20"/>
          <w:szCs w:val="20"/>
        </w:rPr>
        <w:t>(Topic 606). This standard provides a single set of guidelines for revenue recognition to be used across all industries and requires additional disclosures. The updated guidance introduces a five-step model to achieve its core principal of the entity recog</w:t>
      </w:r>
      <w:r>
        <w:rPr>
          <w:sz w:val="20"/>
          <w:szCs w:val="20"/>
        </w:rPr>
        <w:t>nizing revenue to depict the transfer of goods or services to customers at an amount that reflects the consideration to which the entity expects to be entitled in exchange for those goods or services. The Company adopted the updated guidance effective Janu</w:t>
      </w:r>
      <w:r>
        <w:rPr>
          <w:sz w:val="20"/>
          <w:szCs w:val="20"/>
        </w:rPr>
        <w:t>ary 1, 2018 using the full retrospective method.</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8063556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Under ASC 606, in order to recognize revenue, the Company is required to identify an approved contract with commitments to preform respective obligations, identify rights of each party in</w:t>
      </w:r>
      <w:r>
        <w:rPr>
          <w:sz w:val="20"/>
          <w:szCs w:val="20"/>
        </w:rPr>
        <w:t xml:space="preserve"> the transaction regarding goods to be transferred, identify the payment terms for the goods transferred, verify that the contract has commercial substance and verify that collection of substantially all consideration is probable. The adoption of ASC 606 d</w:t>
      </w:r>
      <w:r>
        <w:rPr>
          <w:sz w:val="20"/>
          <w:szCs w:val="20"/>
        </w:rPr>
        <w:t>id not have an impact on the Company’s operations or cash flows.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Net Loss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 xml:space="preserve">ighted-average number of common shares outstanding (the denominator) for the period and does not include the impact of any potentially dilutive common stock equivalents. The computation of diluted earnings per share is similar to basic earnings per share, </w:t>
      </w:r>
      <w:r>
        <w:rPr>
          <w:sz w:val="20"/>
          <w:szCs w:val="20"/>
        </w:rPr>
        <w:t>except that the denominator is increased to include the number of additional common shares that would have been outstanding if potentially dilutive common shares had been issued. When the Company incurs a loss, the denominator is not increased by the poten</w:t>
      </w:r>
      <w:r>
        <w:rPr>
          <w:sz w:val="20"/>
          <w:szCs w:val="20"/>
        </w:rPr>
        <w:t>tially dilutive common shares as the effect would be anti-dilutive.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Research and Development Costs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Research and developments costs, including salaries, research materials, administrative expenses and contractor fees, are charged to operations as incurr</w:t>
      </w:r>
      <w:r>
        <w:rPr>
          <w:sz w:val="20"/>
          <w:szCs w:val="20"/>
        </w:rPr>
        <w:t>ed. The cost of equipment used in research and development activities which has alternative uses is capitalized as part of fixed assets and not treated as an expense in the period acquired. Depreciation of capitalized equipment used to perform research and</w:t>
      </w:r>
      <w:r>
        <w:rPr>
          <w:sz w:val="20"/>
          <w:szCs w:val="20"/>
        </w:rPr>
        <w:t xml:space="preserve"> development is classified as research and development expense in the year computed.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Income Taxes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accounts for income taxes under FASB ASC Topic 740-10-25 (“</w:t>
      </w:r>
      <w:r>
        <w:rPr>
          <w:i/>
          <w:iCs/>
          <w:sz w:val="20"/>
          <w:szCs w:val="20"/>
        </w:rPr>
        <w:t>ASC 740-10-25</w:t>
      </w:r>
      <w:r>
        <w:rPr>
          <w:sz w:val="20"/>
          <w:szCs w:val="20"/>
        </w:rPr>
        <w:t>”). Under ASC 740-10-25, deferred tax assets and liabilities are recog</w:t>
      </w:r>
      <w:r>
        <w:rPr>
          <w:sz w:val="20"/>
          <w:szCs w:val="20"/>
        </w:rPr>
        <w:t>nized for the future tax consequences attributable to differences between the financial statement carrying amounts of existing assets and liabilities and their respective tax bases. Deferred tax assets and liabilities are measured using enacted tax rates e</w:t>
      </w:r>
      <w:r>
        <w:rPr>
          <w:sz w:val="20"/>
          <w:szCs w:val="20"/>
        </w:rPr>
        <w:t>xpected to apply to taxable income in the years in which those temporary differences are expected to be recovered or settled.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Under ASC 740-10-25, the effect on deferred tax assets and liabilities of a change in tax rates is recognized in income in the p</w:t>
      </w:r>
      <w:r>
        <w:rPr>
          <w:sz w:val="20"/>
          <w:szCs w:val="20"/>
        </w:rPr>
        <w:t>eriod that includes the enactment date.</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2737768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files income tax returns in the U.S. federal jurisdiction.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Interest </w:t>
      </w:r>
      <w:r>
        <w:rPr>
          <w:sz w:val="20"/>
          <w:szCs w:val="20"/>
        </w:rPr>
        <w:t>costs and penalties related to income taxes, if any, will be classified as interest expense and general and administrative costs, respectively, in the Company’s financial statements. For the years ended December 31, 2020 and 2019, the Company did not recog</w:t>
      </w:r>
      <w:r>
        <w:rPr>
          <w:sz w:val="20"/>
          <w:szCs w:val="20"/>
        </w:rPr>
        <w:t>nize any interest or penalty expense related to income taxes. The Company believes that it is not reasonably possible for the amounts of unrecognized tax benefits to significantly increase or decrease within the next 12 months.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Fair Value of Financial In</w:t>
      </w:r>
      <w:r>
        <w:rPr>
          <w:b/>
          <w:bCs/>
          <w:sz w:val="20"/>
          <w:szCs w:val="20"/>
        </w:rPr>
        <w:t>struments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adopted ASC Topic 820 (“</w:t>
      </w:r>
      <w:r>
        <w:rPr>
          <w:i/>
          <w:iCs/>
          <w:sz w:val="20"/>
          <w:szCs w:val="20"/>
        </w:rPr>
        <w:t>Fair Value Measurements</w:t>
      </w:r>
      <w:r>
        <w:rPr>
          <w:sz w:val="20"/>
          <w:szCs w:val="20"/>
        </w:rPr>
        <w:t>”) as of January 1, 2008 for financial instruments measured as fair value on a recurring basis. ASC Topic 820 defines fair value, established a framework for measuring fair value in acc</w:t>
      </w:r>
      <w:r>
        <w:rPr>
          <w:sz w:val="20"/>
          <w:szCs w:val="20"/>
        </w:rPr>
        <w:t>ordance with accounting principles generally accepted in the United States and expands disclosures about fair value measurements.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Fair value is defined as the price that would be received to sell an asset or paid to transfer a liability in an orderly tra</w:t>
      </w:r>
      <w:r>
        <w:rPr>
          <w:sz w:val="20"/>
          <w:szCs w:val="20"/>
        </w:rPr>
        <w:t>nsaction between market participants at the measurement date. ASC Topic 820 established a three-tier fair value hierarchy which prioritizes the inputs used in measuring fair value. The hierarchy gives the highest priority to unadjusted quoted prices in act</w:t>
      </w:r>
      <w:r>
        <w:rPr>
          <w:sz w:val="20"/>
          <w:szCs w:val="20"/>
        </w:rPr>
        <w:t>ive markets for identical assets or liabilities (level 1 measurements) and the lowest priority to unobservable inputs (level 3 measurements). These tiers include:</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9649C3">
            <w:pPr>
              <w:jc w:val="both"/>
              <w:rPr>
                <w:rFonts w:eastAsia="Times New Roman"/>
                <w:sz w:val="20"/>
                <w:szCs w:val="20"/>
              </w:rPr>
            </w:pPr>
            <w:r>
              <w:rPr>
                <w:rFonts w:eastAsia="Times New Roman"/>
                <w:sz w:val="20"/>
                <w:szCs w:val="20"/>
              </w:rPr>
              <w:t> </w:t>
            </w:r>
          </w:p>
        </w:tc>
        <w:tc>
          <w:tcPr>
            <w:tcW w:w="360" w:type="dxa"/>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Level 1, defined as observable inputs such as quoted prices for identical instruments i</w:t>
            </w:r>
            <w:r>
              <w:rPr>
                <w:rFonts w:eastAsia="Times New Roman"/>
                <w:sz w:val="20"/>
                <w:szCs w:val="20"/>
              </w:rPr>
              <w:t>n active markets;</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Level </w:t>
            </w:r>
            <w:r>
              <w:rPr>
                <w:rFonts w:eastAsia="Times New Roman"/>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rFonts w:eastAsia="Times New Roman"/>
                <w:sz w:val="20"/>
                <w:szCs w:val="20"/>
              </w:rPr>
              <w:t>active; and</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Level 3, defined as unobservable inputs in which little or no market data exists, therefore requiring an entity to develop its own assumptions, such as valuations derived from valuation techniques in which one or more significant in</w:t>
            </w:r>
            <w:r>
              <w:rPr>
                <w:rFonts w:eastAsia="Times New Roman"/>
                <w:sz w:val="20"/>
                <w:szCs w:val="20"/>
              </w:rPr>
              <w:t>puts or significant value drivers are unobservable.</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Stock-Based Compensation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recognizes compensation costs under FASB ASC Topic 718, Compensation – Stock Compensation and ASU 2018-07. Companies are required to measure the compensation cost</w:t>
      </w:r>
      <w:r>
        <w:rPr>
          <w:sz w:val="20"/>
          <w:szCs w:val="20"/>
        </w:rPr>
        <w:t>s of share-based compensation arrangements based on the grant-date fair value and recognize the costs in the financial statements over the period during which employees are required to provide services. Share based compensation arrangements include stock o</w:t>
      </w:r>
      <w:r>
        <w:rPr>
          <w:sz w:val="20"/>
          <w:szCs w:val="20"/>
        </w:rPr>
        <w:t>ptions, restricted share plans, performance-based awards, share appreciation rights and employee share purchase plans. As such, compensation cost is measured on the date of grant at their fair value. Such compensation amounts, if any, are amortized over th</w:t>
      </w:r>
      <w:r>
        <w:rPr>
          <w:sz w:val="20"/>
          <w:szCs w:val="20"/>
        </w:rPr>
        <w:t>e respective vesting periods of the option grant.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Derivative Liabilities and Beneficial Conversion Feature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evaluates its convertible debt, options, warrants or other contracts, if any, to determine if those contracts or embedded components</w:t>
      </w:r>
      <w:r>
        <w:rPr>
          <w:sz w:val="20"/>
          <w:szCs w:val="20"/>
        </w:rPr>
        <w:t xml:space="preserve"> of those contracts qualify as derivatives to be separately accounted for in accordance with Accounting Standards Codification Topic 815, Accounting for Derivative Instruments and Hedging Activities (“</w:t>
      </w:r>
      <w:r>
        <w:rPr>
          <w:i/>
          <w:iCs/>
          <w:sz w:val="20"/>
          <w:szCs w:val="20"/>
        </w:rPr>
        <w:t>ASC 815</w:t>
      </w:r>
      <w:r>
        <w:rPr>
          <w:sz w:val="20"/>
          <w:szCs w:val="20"/>
        </w:rPr>
        <w:t>”) as well as related interpretations of this st</w:t>
      </w:r>
      <w:r>
        <w:rPr>
          <w:sz w:val="20"/>
          <w:szCs w:val="20"/>
        </w:rPr>
        <w:t>andard and Accounting Standards Update 2017-11, which was adopted by the Company effective January 1, 2018. In accordance with this standard, derivative instruments are recognized as either assets or liabilities in the balance sheet and are measured at fai</w:t>
      </w:r>
      <w:r>
        <w:rPr>
          <w:sz w:val="20"/>
          <w:szCs w:val="20"/>
        </w:rPr>
        <w:t>r values with gains or losses recognized in earnings. Embedded derivatives that are not clearly and closely related to the host contract are bifurcated and are recognized at fair value with changes in fair value recognized as either a gain or loss in earni</w:t>
      </w:r>
      <w:r>
        <w:rPr>
          <w:sz w:val="20"/>
          <w:szCs w:val="20"/>
        </w:rPr>
        <w:t>ngs.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9503956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result of this accounting treatment is that the fair value of the derivative instrument is marked-to-market each balance sheet date and with the change in fair value recognized in the statement of operations as other income or expense.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Upon conversion, e</w:t>
      </w:r>
      <w:r>
        <w:rPr>
          <w:sz w:val="20"/>
          <w:szCs w:val="20"/>
        </w:rPr>
        <w:t>xercise or cancellation of a derivative instrument, the instrument is marked to fair value at the date of conversion, exercise or cancellation than that the related fair value is removed from the books. Gains or losses on debt extinguishment are recognized</w:t>
      </w:r>
      <w:r>
        <w:rPr>
          <w:sz w:val="20"/>
          <w:szCs w:val="20"/>
        </w:rPr>
        <w:t xml:space="preserve"> in the statement of operations upon conversion, exercise or cancellation of a derivative instrument after any shares issued in such a transaction are recorded at market value. The classification of derivative instruments, including whether such instrument</w:t>
      </w:r>
      <w:r>
        <w:rPr>
          <w:sz w:val="20"/>
          <w:szCs w:val="20"/>
        </w:rPr>
        <w:t xml:space="preserve">s should be recorded as liabilities or as equity, is re-assessed at the end of each reporting period. Equity instruments that are initially classified as equity that become subject to reclassification are reclassified to liability at the fair value of the </w:t>
      </w:r>
      <w:r>
        <w:rPr>
          <w:sz w:val="20"/>
          <w:szCs w:val="20"/>
        </w:rPr>
        <w:t>instrument on the reclassification date. Instruments that become a derivative after inception are recognized as a derivative on the date they become a derivative with the offsetting entry recorded in earnings.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determines the fair value of der</w:t>
      </w:r>
      <w:r>
        <w:rPr>
          <w:sz w:val="20"/>
          <w:szCs w:val="20"/>
        </w:rPr>
        <w:t>ivative instruments and hybrid instruments, considering all of the rights and obligations of each instrument, based on available market data using the Black-Scholes model, adjusted for the effect of dilution, because it embodies all of the requisite assump</w:t>
      </w:r>
      <w:r>
        <w:rPr>
          <w:sz w:val="20"/>
          <w:szCs w:val="20"/>
        </w:rPr>
        <w:t>tions (including trading volatility, estimated terms, dilution and risk-free rates) necessary to fair value these instruments. For instruments in default with no remaining time to maturity the Company uses a one-year term for their years to maturity estima</w:t>
      </w:r>
      <w:r>
        <w:rPr>
          <w:sz w:val="20"/>
          <w:szCs w:val="20"/>
        </w:rPr>
        <w:t>te unless a sooner conversion date can be estimated or is known. Estimating fair values of derivative financial instruments requires the development of significant and subjective estimates that may, and are likely to, change over the duration of the instru</w:t>
      </w:r>
      <w:r>
        <w:rPr>
          <w:sz w:val="20"/>
          <w:szCs w:val="20"/>
        </w:rPr>
        <w:t>ment with related changes in internal and external market factors. In addition, option-based techniques (such as Black-Scholes model) are highly volatile and sensitive to changes in the trading market price of our common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accounts for t</w:t>
      </w:r>
      <w:r>
        <w:rPr>
          <w:sz w:val="20"/>
          <w:szCs w:val="20"/>
        </w:rPr>
        <w:t>he beneficial conversion feature on its convertible instruments in accordance with ASC 470-20. The Beneficial Conversion Feature (“BCF”) is normally characterized as the convertible portion or feature that provides a rate of conversion that is below market</w:t>
      </w:r>
      <w:r>
        <w:rPr>
          <w:sz w:val="20"/>
          <w:szCs w:val="20"/>
        </w:rPr>
        <w:t xml:space="preserve"> value or in the money when issued. The Company records a BCF when these criteria exist, when issued. BCFs that are contingent upon the occurrence of a future event are recorded when the contingency is resolved.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To determine the effective conversion pric</w:t>
      </w:r>
      <w:r>
        <w:rPr>
          <w:sz w:val="20"/>
          <w:szCs w:val="20"/>
        </w:rPr>
        <w:t>e, the Company first allocates the proceeds received to the convertible instrument, and then use those allocated proceeds to determine the effective conversion price. The intrinsic value of the conversion option should be measured using the effective conve</w:t>
      </w:r>
      <w:r>
        <w:rPr>
          <w:sz w:val="20"/>
          <w:szCs w:val="20"/>
        </w:rPr>
        <w:t>rsion price for the convertible instrument on the proceeds allocated to that instrument.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accounting for a BCF requires that the BCF be recognized by allocating the intrinsic value of the conversion option to additional paid in capital, resulting in a</w:t>
      </w:r>
      <w:r>
        <w:rPr>
          <w:sz w:val="20"/>
          <w:szCs w:val="20"/>
        </w:rPr>
        <w:t xml:space="preserve"> discount to the convertible instrument. This discount should be accreted from the date on which the BCF is first recognized through the earliest conversion date for instruments that do not have a stated redemption date.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1" w:name="v_012"/>
      <w:bookmarkEnd w:id="11"/>
      <w:r>
        <w:rPr>
          <w:b/>
          <w:bCs/>
          <w:sz w:val="20"/>
          <w:szCs w:val="20"/>
        </w:rPr>
        <w:t xml:space="preserve">ITEM </w:t>
      </w:r>
      <w:r>
        <w:rPr>
          <w:b/>
          <w:bCs/>
          <w:sz w:val="20"/>
          <w:szCs w:val="20"/>
        </w:rPr>
        <w:t>7A. QUANTITATIVE AND QUALITATIVE DISCLOSURES ABOUT MARKET RISK.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2" w:name="v_013"/>
      <w:bookmarkEnd w:id="12"/>
      <w:r>
        <w:rPr>
          <w:b/>
          <w:bCs/>
          <w:sz w:val="20"/>
          <w:szCs w:val="20"/>
        </w:rPr>
        <w:t>ITEM 8. FINANCIAL STATEMEN</w:t>
      </w:r>
      <w:r>
        <w:rPr>
          <w:b/>
          <w:bCs/>
          <w:sz w:val="20"/>
          <w:szCs w:val="20"/>
        </w:rPr>
        <w:t>TS AND SUPPLEMENTARY DATA.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All financial information required by this Item is included on the pages immediately following the Index to Financial Statements appearing on page F-1 and is hereby incorporated by reference.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3" w:name="v_014"/>
      <w:bookmarkEnd w:id="13"/>
      <w:r>
        <w:rPr>
          <w:b/>
          <w:bCs/>
          <w:sz w:val="20"/>
          <w:szCs w:val="20"/>
        </w:rPr>
        <w:t xml:space="preserve">ITEM 9. </w:t>
      </w:r>
      <w:r>
        <w:rPr>
          <w:b/>
          <w:bCs/>
          <w:caps/>
          <w:sz w:val="20"/>
          <w:szCs w:val="20"/>
        </w:rPr>
        <w:t>Changes in and Disagreeme</w:t>
      </w:r>
      <w:r>
        <w:rPr>
          <w:b/>
          <w:bCs/>
          <w:caps/>
          <w:sz w:val="20"/>
          <w:szCs w:val="20"/>
        </w:rPr>
        <w:t>nts with Accountants on Accounting and Financial Disclosure.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None</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6622977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4" w:name="v_015"/>
      <w:bookmarkEnd w:id="14"/>
      <w:r>
        <w:rPr>
          <w:b/>
          <w:bCs/>
          <w:sz w:val="20"/>
          <w:szCs w:val="20"/>
        </w:rPr>
        <w:t>ITEM 9A. CONTROLS AND PROCEDURES.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Disclosure Controls and Procedures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Based </w:t>
      </w:r>
      <w:r>
        <w:rPr>
          <w:sz w:val="20"/>
          <w:szCs w:val="20"/>
        </w:rPr>
        <w:t xml:space="preserve">on an evaluation as of the date of the end of the period covered by this report, the Company’s Chief Executive Officer and Interim Chief Financial Officer conducted an evaluation of the effectiveness of the design and operation of the Company’s disclosure </w:t>
      </w:r>
      <w:r>
        <w:rPr>
          <w:sz w:val="20"/>
          <w:szCs w:val="20"/>
        </w:rPr>
        <w:t>controls and procedures, as required by Exchange Act Rule 13a-15. Based on that evaluation, the Company’s Chief Executive Officer and Interim Chief Financial Officer concluded that, because of the disclosed material weaknesses in the Company’s internal con</w:t>
      </w:r>
      <w:r>
        <w:rPr>
          <w:sz w:val="20"/>
          <w:szCs w:val="20"/>
        </w:rPr>
        <w:t xml:space="preserve">trol over financial reporting, the Company’s disclosure controls and procedures were ineffective as of the end of the period covered by this report to ensure that information required to be disclosed by the Company in the reports that the Company files or </w:t>
      </w:r>
      <w:r>
        <w:rPr>
          <w:sz w:val="20"/>
          <w:szCs w:val="20"/>
        </w:rPr>
        <w:t>submits under the Exchange Act is recorded, processed, summarized and reported within the time periods specified by the SEC’s rules and forms.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 informati</w:t>
      </w:r>
      <w:r>
        <w:rPr>
          <w:sz w:val="20"/>
          <w:szCs w:val="20"/>
        </w:rPr>
        <w:t>on required to be disclosed in the Company’s reports filed or submitted under the Exchange Act is recorded, processed, summarized and reported, within the time periods specified in the SEC’s rules and forms. Disclosure controls and procedures include, with</w:t>
      </w:r>
      <w:r>
        <w:rPr>
          <w:sz w:val="20"/>
          <w:szCs w:val="20"/>
        </w:rPr>
        <w:t>out limitation, controls and procedures designed to ensure that information required to be disclosed in the Company’s reports filed under the Exchange Act is accumulated and communicated to management, including the Company’s Chief Executive Officer and th</w:t>
      </w:r>
      <w:r>
        <w:rPr>
          <w:sz w:val="20"/>
          <w:szCs w:val="20"/>
        </w:rPr>
        <w:t>e Company’s Interim Chief Financial Officer, to allow timely decisions regarding required disclosure.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Management’s Annual Report on Internal Control Over Financial Reporting</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Management is responsible for establishing and maintaining adequate internal c</w:t>
      </w:r>
      <w:r>
        <w:rPr>
          <w:sz w:val="20"/>
          <w:szCs w:val="20"/>
        </w:rPr>
        <w:t xml:space="preserve">ontrol over financial reporting as defined in Exchange Act Rule 13a-15(f). Management conducted an evaluation of the effectiveness of the internal control over financial reporting as of December 31, 2020, using the criteria established in </w:t>
      </w:r>
      <w:r>
        <w:rPr>
          <w:i/>
          <w:iCs/>
          <w:sz w:val="20"/>
          <w:szCs w:val="20"/>
        </w:rPr>
        <w:t xml:space="preserve">Internal Control </w:t>
      </w:r>
      <w:r>
        <w:rPr>
          <w:i/>
          <w:iCs/>
          <w:sz w:val="20"/>
          <w:szCs w:val="20"/>
        </w:rPr>
        <w:t xml:space="preserve">– Integrated Framework (2013 framework) </w:t>
      </w:r>
      <w:r>
        <w:rPr>
          <w:sz w:val="20"/>
          <w:szCs w:val="20"/>
        </w:rPr>
        <w:t>issued by the Committee of Sponsoring Organizations of the Treadway Commission (“</w:t>
      </w:r>
      <w:r>
        <w:rPr>
          <w:i/>
          <w:iCs/>
          <w:sz w:val="20"/>
          <w:szCs w:val="20"/>
        </w:rPr>
        <w:t>COSO</w:t>
      </w:r>
      <w:r>
        <w:rPr>
          <w:sz w:val="20"/>
          <w:szCs w:val="20"/>
        </w:rPr>
        <w:t>”). Because of its inherent limitations, internal control over financial reporting may not prevent or detect misstatements. Also, p</w:t>
      </w:r>
      <w:r>
        <w:rPr>
          <w:sz w:val="20"/>
          <w:szCs w:val="20"/>
        </w:rPr>
        <w:t>rojections of any evaluation of effectiveness to future periods are subject to the risk that controls may become inadequate because of changes in conditions, or that the degree of compliance with the policies or procedures may deteriorate.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 material wea</w:t>
      </w:r>
      <w:r>
        <w:rPr>
          <w:sz w:val="20"/>
          <w:szCs w:val="20"/>
        </w:rPr>
        <w:t>kness is a control deficiency, or combination of control deficiencies, that results in more than a remote likelihood that a material misstatement of the annual or interim financial statements will not be prevented or detected. As a result of management’s a</w:t>
      </w:r>
      <w:r>
        <w:rPr>
          <w:sz w:val="20"/>
          <w:szCs w:val="20"/>
        </w:rPr>
        <w:t>ssessment, management has determined that there are material weaknesses due to the lack of segregation of duties and, due to the limited resources based on the size of the Company. Due to the material weaknesses management concluded that as of December 31,</w:t>
      </w:r>
      <w:r>
        <w:rPr>
          <w:sz w:val="20"/>
          <w:szCs w:val="20"/>
        </w:rPr>
        <w:t xml:space="preserve"> 2020, the Company’s internal control over financial reporting was ineffective. In order to address and resolve the weaknesses, the Company will endeavor to locate and appoint additional qualified personnel to the board of directors and pertinent officer p</w:t>
      </w:r>
      <w:r>
        <w:rPr>
          <w:sz w:val="20"/>
          <w:szCs w:val="20"/>
        </w:rPr>
        <w:t>ositions as the Company’s financial means allow. To date, the Company’s limited financial resources have not allowed the Company to hire the additional personnel necessary to address the material weaknesses.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Management’s Annual Report on Internal Control</w:t>
      </w:r>
      <w:r>
        <w:rPr>
          <w:b/>
          <w:bCs/>
          <w:i/>
          <w:iCs/>
          <w:sz w:val="20"/>
          <w:szCs w:val="20"/>
          <w:u w:val="single"/>
        </w:rPr>
        <w:t xml:space="preserve"> Over Financial Reporting</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This annual report does not include an attestation report of the Company’s registered public accounting firm regarding internal control over financial reporting. Management’s report was not subject to attestation by the Company’</w:t>
      </w:r>
      <w:r>
        <w:rPr>
          <w:sz w:val="20"/>
          <w:szCs w:val="20"/>
        </w:rPr>
        <w:t>s registered public accounting firm pursuant to temporary rules of the Securities and Exchange Commission that permit the Company to provide only management’s report in this annual report.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4871726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 xml:space="preserve">Changes </w:t>
      </w:r>
      <w:r>
        <w:rPr>
          <w:b/>
          <w:bCs/>
          <w:i/>
          <w:iCs/>
          <w:sz w:val="20"/>
          <w:szCs w:val="20"/>
          <w:u w:val="single"/>
        </w:rPr>
        <w:t>in Internal Control Over Financial Reporting</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occurred during the Company’s last fiscal quarter (the Company’s fourth fiscal quarter in the case of an annual report</w:t>
      </w:r>
      <w:r>
        <w:rPr>
          <w:sz w:val="20"/>
          <w:szCs w:val="20"/>
        </w:rPr>
        <w:t>) that has materially affected, or is reasonably likely to materially affect, the Company’s internal control over financial reporting.</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term “internal control over financial reporting” is defined as a process designed by, or under the supervision of, </w:t>
      </w:r>
      <w:r>
        <w:rPr>
          <w:sz w:val="20"/>
          <w:szCs w:val="20"/>
        </w:rPr>
        <w:t>the registrant’s principal executive and principal financial officers, or persons performing similar functions, and effected by the registrant’s board of directors, management and other personnel, to provide reasonable assurance regarding the reliability o</w:t>
      </w:r>
      <w:r>
        <w:rPr>
          <w:sz w:val="20"/>
          <w:szCs w:val="20"/>
        </w:rPr>
        <w:t>f financial reporting and the preparation of financial statements for external purposes in accordance with generally accepted accounting principles and includes those policies and procedures that: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9649C3">
            <w:pPr>
              <w:rPr>
                <w:rFonts w:eastAsia="Times New Roman"/>
                <w:sz w:val="20"/>
                <w:szCs w:val="20"/>
              </w:rPr>
            </w:pPr>
            <w:r>
              <w:rPr>
                <w:rFonts w:eastAsia="Times New Roman"/>
                <w:sz w:val="20"/>
                <w:szCs w:val="20"/>
              </w:rPr>
              <w:t>(a)</w:t>
            </w:r>
          </w:p>
        </w:tc>
        <w:tc>
          <w:tcPr>
            <w:tcW w:w="0" w:type="auto"/>
            <w:hideMark/>
          </w:tcPr>
          <w:p w:rsidR="00000000" w:rsidRDefault="009649C3">
            <w:pPr>
              <w:jc w:val="both"/>
              <w:rPr>
                <w:rFonts w:eastAsia="Times New Roman"/>
                <w:sz w:val="20"/>
                <w:szCs w:val="20"/>
              </w:rPr>
            </w:pPr>
            <w:r>
              <w:rPr>
                <w:rFonts w:eastAsia="Times New Roman"/>
                <w:sz w:val="20"/>
                <w:szCs w:val="20"/>
              </w:rPr>
              <w:t>Pertain to the maintenance of records that in reasona</w:t>
            </w:r>
            <w:r>
              <w:rPr>
                <w:rFonts w:eastAsia="Times New Roman"/>
                <w:sz w:val="20"/>
                <w:szCs w:val="20"/>
              </w:rPr>
              <w:t>ble detail accurately and fairly reflect the transactions and dispositions of the assets of the registrant;</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(b)</w:t>
            </w:r>
          </w:p>
        </w:tc>
        <w:tc>
          <w:tcPr>
            <w:tcW w:w="0" w:type="auto"/>
            <w:hideMark/>
          </w:tcPr>
          <w:p w:rsidR="00000000" w:rsidRDefault="009649C3">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(c)</w:t>
            </w:r>
          </w:p>
        </w:tc>
        <w:tc>
          <w:tcPr>
            <w:tcW w:w="0" w:type="auto"/>
            <w:hideMark/>
          </w:tcPr>
          <w:p w:rsidR="00000000" w:rsidRDefault="009649C3">
            <w:pPr>
              <w:jc w:val="both"/>
              <w:rPr>
                <w:rFonts w:eastAsia="Times New Roman"/>
                <w:sz w:val="20"/>
                <w:szCs w:val="20"/>
              </w:rPr>
            </w:pPr>
            <w:r>
              <w:rPr>
                <w:rFonts w:eastAsia="Times New Roman"/>
                <w:sz w:val="20"/>
                <w:szCs w:val="20"/>
              </w:rPr>
              <w:t xml:space="preserve">Provide reasonable assurance regarding prevention or timely detection of unauthorized acquisition, use or disposition of the registrant’s assets that could have a material </w:t>
            </w:r>
            <w:r>
              <w:rPr>
                <w:rFonts w:eastAsia="Times New Roman"/>
                <w:sz w:val="20"/>
                <w:szCs w:val="20"/>
              </w:rPr>
              <w:t>effect on the financial statements.</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5" w:name="v_016"/>
      <w:bookmarkEnd w:id="15"/>
      <w:r>
        <w:rPr>
          <w:b/>
          <w:bCs/>
          <w:sz w:val="20"/>
          <w:szCs w:val="20"/>
        </w:rPr>
        <w:t>ITEM 9B. OTHER INFORMATION.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None.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16" w:name="v_017"/>
      <w:bookmarkEnd w:id="16"/>
      <w:r>
        <w:rPr>
          <w:b/>
          <w:bCs/>
          <w:sz w:val="20"/>
          <w:szCs w:val="20"/>
        </w:rPr>
        <w:t>PART III</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7" w:name="v_018"/>
      <w:bookmarkEnd w:id="17"/>
      <w:r>
        <w:rPr>
          <w:b/>
          <w:bCs/>
          <w:sz w:val="20"/>
          <w:szCs w:val="20"/>
        </w:rPr>
        <w:t>ITEM 10. DIRECTORS, EXECUTIVE OFFICERS AND CORPORATE GOVERNANCE.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w:t>
      </w:r>
      <w:r>
        <w:rPr>
          <w:sz w:val="20"/>
          <w:szCs w:val="20"/>
        </w:rPr>
        <w:t>s current directors and executive officers are as follows: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
        <w:gridCol w:w="498"/>
        <w:gridCol w:w="166"/>
        <w:gridCol w:w="4984"/>
      </w:tblGrid>
      <w:tr w:rsidR="00000000">
        <w:tc>
          <w:tcPr>
            <w:tcW w:w="1500" w:type="pct"/>
            <w:tcBorders>
              <w:bottom w:val="single" w:sz="12" w:space="0" w:color="000000"/>
            </w:tcBorders>
            <w:hideMark/>
          </w:tcPr>
          <w:p w:rsidR="00000000" w:rsidRDefault="009649C3">
            <w:pPr>
              <w:rPr>
                <w:rFonts w:eastAsia="Times New Roman"/>
                <w:sz w:val="20"/>
                <w:szCs w:val="20"/>
              </w:rPr>
            </w:pPr>
            <w:r>
              <w:rPr>
                <w:rFonts w:eastAsia="Times New Roman"/>
                <w:b/>
                <w:bCs/>
                <w:sz w:val="20"/>
                <w:szCs w:val="20"/>
              </w:rPr>
              <w:t>NAME</w:t>
            </w:r>
          </w:p>
        </w:tc>
        <w:tc>
          <w:tcPr>
            <w:tcW w:w="100" w:type="pct"/>
            <w:hideMark/>
          </w:tcPr>
          <w:p w:rsidR="00000000" w:rsidRDefault="009649C3">
            <w:pPr>
              <w:rPr>
                <w:rFonts w:eastAsia="Times New Roman"/>
                <w:sz w:val="20"/>
                <w:szCs w:val="20"/>
              </w:rPr>
            </w:pPr>
            <w:r>
              <w:rPr>
                <w:rFonts w:eastAsia="Times New Roman"/>
                <w:sz w:val="20"/>
                <w:szCs w:val="20"/>
              </w:rPr>
              <w:t> </w:t>
            </w:r>
          </w:p>
        </w:tc>
        <w:tc>
          <w:tcPr>
            <w:tcW w:w="300" w:type="pct"/>
            <w:tcBorders>
              <w:bottom w:val="single" w:sz="12" w:space="0" w:color="000000"/>
            </w:tcBorders>
            <w:hideMark/>
          </w:tcPr>
          <w:p w:rsidR="00000000" w:rsidRDefault="009649C3">
            <w:pPr>
              <w:rPr>
                <w:rFonts w:eastAsia="Times New Roman"/>
                <w:sz w:val="20"/>
                <w:szCs w:val="20"/>
              </w:rPr>
            </w:pPr>
            <w:r>
              <w:rPr>
                <w:rFonts w:eastAsia="Times New Roman"/>
                <w:b/>
                <w:bCs/>
                <w:sz w:val="20"/>
                <w:szCs w:val="20"/>
              </w:rPr>
              <w:t>AGE</w:t>
            </w:r>
          </w:p>
        </w:tc>
        <w:tc>
          <w:tcPr>
            <w:tcW w:w="100" w:type="pct"/>
            <w:hideMark/>
          </w:tcPr>
          <w:p w:rsidR="00000000" w:rsidRDefault="009649C3">
            <w:pPr>
              <w:rPr>
                <w:rFonts w:eastAsia="Times New Roman"/>
                <w:sz w:val="20"/>
                <w:szCs w:val="20"/>
              </w:rPr>
            </w:pPr>
            <w:r>
              <w:rPr>
                <w:rFonts w:eastAsia="Times New Roman"/>
                <w:sz w:val="20"/>
                <w:szCs w:val="20"/>
              </w:rPr>
              <w:t> </w:t>
            </w:r>
          </w:p>
        </w:tc>
        <w:tc>
          <w:tcPr>
            <w:tcW w:w="3000" w:type="pct"/>
            <w:tcBorders>
              <w:bottom w:val="single" w:sz="12" w:space="0" w:color="000000"/>
            </w:tcBorders>
            <w:hideMark/>
          </w:tcPr>
          <w:p w:rsidR="00000000" w:rsidRDefault="009649C3">
            <w:pPr>
              <w:rPr>
                <w:rFonts w:eastAsia="Times New Roman"/>
                <w:sz w:val="20"/>
                <w:szCs w:val="20"/>
              </w:rPr>
            </w:pPr>
            <w:r>
              <w:rPr>
                <w:rFonts w:eastAsia="Times New Roman"/>
                <w:b/>
                <w:bCs/>
                <w:sz w:val="20"/>
                <w:szCs w:val="20"/>
              </w:rPr>
              <w:t>POSITION</w:t>
            </w:r>
          </w:p>
        </w:tc>
      </w:tr>
      <w:tr w:rsidR="00000000">
        <w:tc>
          <w:tcPr>
            <w:tcW w:w="0" w:type="auto"/>
            <w:hideMark/>
          </w:tcPr>
          <w:p w:rsidR="00000000" w:rsidRDefault="009649C3">
            <w:pPr>
              <w:rPr>
                <w:rFonts w:eastAsia="Times New Roman"/>
                <w:sz w:val="20"/>
                <w:szCs w:val="20"/>
              </w:rPr>
            </w:pPr>
            <w:r>
              <w:rPr>
                <w:rFonts w:eastAsia="Times New Roman"/>
                <w:sz w:val="20"/>
                <w:szCs w:val="20"/>
              </w:rPr>
              <w:t>Michael K. Korenko</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74</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President, Chief Executive Officer, and Director</w:t>
            </w:r>
          </w:p>
        </w:tc>
      </w:tr>
      <w:tr w:rsidR="00000000">
        <w:tc>
          <w:tcPr>
            <w:tcW w:w="0" w:type="auto"/>
            <w:hideMark/>
          </w:tcPr>
          <w:p w:rsidR="00000000" w:rsidRDefault="009649C3">
            <w:pPr>
              <w:rPr>
                <w:rFonts w:eastAsia="Times New Roman"/>
                <w:sz w:val="20"/>
                <w:szCs w:val="20"/>
              </w:rPr>
            </w:pPr>
            <w:r>
              <w:rPr>
                <w:rFonts w:eastAsia="Times New Roman"/>
                <w:sz w:val="20"/>
                <w:szCs w:val="20"/>
              </w:rPr>
              <w:t>Michael Pollack</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54</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9649C3">
            <w:pPr>
              <w:rPr>
                <w:rFonts w:eastAsia="Times New Roman"/>
                <w:sz w:val="20"/>
                <w:szCs w:val="20"/>
              </w:rPr>
            </w:pPr>
            <w:r>
              <w:rPr>
                <w:rFonts w:eastAsia="Times New Roman"/>
                <w:sz w:val="20"/>
                <w:szCs w:val="20"/>
              </w:rPr>
              <w:t>Carlton M. Cadwell</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76</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Chairman of the Board and Secretary</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Term of Office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All the Company’s directors hold office until the next annual meeting of the stockholders or until their successors is elected and qualified. The Company’s executive officers are appointed by the Comp</w:t>
      </w:r>
      <w:r>
        <w:rPr>
          <w:sz w:val="20"/>
          <w:szCs w:val="20"/>
        </w:rPr>
        <w:t>any’s board of directors and hold office until their resignation, removal, death or retirement.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Background and Business Experience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business experience during the past five years of each of the Company’s directors and executive officers is as follow</w:t>
      </w:r>
      <w:r>
        <w:rPr>
          <w:sz w:val="20"/>
          <w:szCs w:val="20"/>
        </w:rPr>
        <w: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Dr. Michael K. Korenko</w:t>
      </w:r>
      <w:r>
        <w:rPr>
          <w:b/>
          <w:bCs/>
          <w:sz w:val="20"/>
          <w:szCs w:val="20"/>
        </w:rPr>
        <w:t xml:space="preserve">, </w:t>
      </w:r>
      <w:r>
        <w:rPr>
          <w:sz w:val="20"/>
          <w:szCs w:val="20"/>
        </w:rPr>
        <w:t>President and Chief Executive Officer of the Company since December 2016, and a member of the Board of Directors since August 2017, joined the Company as an Advisor to the Board of the Company during 2009 and served as member o</w:t>
      </w:r>
      <w:r>
        <w:rPr>
          <w:sz w:val="20"/>
          <w:szCs w:val="20"/>
        </w:rPr>
        <w:t xml:space="preserve">f the Board from May 2009 to March 2010. Dr. Korenko has also served on the Hanford Advisory Board since 2009. Dr. Korenko served as Business Development Manager for Curtiss-Wright from 2006 to 2009, as Chief Operating Officer for Curtiss-Wright from 2000 </w:t>
      </w:r>
      <w:r>
        <w:rPr>
          <w:sz w:val="20"/>
          <w:szCs w:val="20"/>
        </w:rPr>
        <w:t>to 2005 and was Executive Vice President of Closure for Safe Sites of Colorado at Rocky Flats from 1994 to 2000. Dr. Korenko served as Vice President of Westinghouse from 1987 to 1994 and was responsible for the 300 and 400 areas, including the Fast Flux T</w:t>
      </w:r>
      <w:r>
        <w:rPr>
          <w:sz w:val="20"/>
          <w:szCs w:val="20"/>
        </w:rPr>
        <w:t>esting Facility (“</w:t>
      </w:r>
      <w:r>
        <w:rPr>
          <w:i/>
          <w:iCs/>
          <w:sz w:val="20"/>
          <w:szCs w:val="20"/>
        </w:rPr>
        <w:t>FFTF</w:t>
      </w:r>
      <w:r>
        <w:rPr>
          <w:sz w:val="20"/>
          <w:szCs w:val="20"/>
        </w:rPr>
        <w:t>”) and all engineering, safety analysis, and projects for the Hanford site.</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2771662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Dr. </w:t>
      </w:r>
      <w:r>
        <w:rPr>
          <w:sz w:val="20"/>
          <w:szCs w:val="20"/>
        </w:rPr>
        <w:t xml:space="preserve">Korenko is the author of 28 patents and has received many awards, including the National Energy Resources Organization Research and Development Award, the U.S. Steelworkers Award for Excellence in Promoting Safety, and the Westinghouse Total Quality Award </w:t>
      </w:r>
      <w:r>
        <w:rPr>
          <w:sz w:val="20"/>
          <w:szCs w:val="20"/>
        </w:rPr>
        <w:t>for Performance Manager of the Year. Dr. Korenko has a Doctor of Science from MIT, was a NATO Postdoctoral Fellow at Oxford University, and was selected as a White House Fellow for the Department of Defense, reporting to Secretary Cap Weinberger.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Dr. Kor</w:t>
      </w:r>
      <w:r>
        <w:rPr>
          <w:sz w:val="20"/>
          <w:szCs w:val="20"/>
        </w:rPr>
        <w:t xml:space="preserve">enko brings to the Board over seven years’ experience working with and advising various small businesses, including companies involved in turnarounds. Dr. Korenko has also been involved as an advisor to the Company since 2009 in the development of medical </w:t>
      </w:r>
      <w:r>
        <w:rPr>
          <w:sz w:val="20"/>
          <w:szCs w:val="20"/>
        </w:rPr>
        <w:t>isotopes.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Carlton M. Cadwell</w:t>
      </w:r>
      <w:r>
        <w:rPr>
          <w:i/>
          <w:iCs/>
          <w:sz w:val="20"/>
          <w:szCs w:val="20"/>
        </w:rPr>
        <w:t>,</w:t>
      </w:r>
      <w:r>
        <w:rPr>
          <w:sz w:val="20"/>
          <w:szCs w:val="20"/>
        </w:rPr>
        <w:t xml:space="preserve"> Chairman of the Board and Secretary since December 2016, joined the Company as a director in 2006. Dr. Cadwell brings over 30 years of experience in business management, strategic planning, and implementation. He co-founded </w:t>
      </w:r>
      <w:r>
        <w:rPr>
          <w:sz w:val="20"/>
          <w:szCs w:val="20"/>
        </w:rPr>
        <w:t xml:space="preserve">Cadwell Laboratories, Inc. in 1979 and has served as its President since its inception. Cadwell Laboratories, Inc. is a major international provider of neurodiagnostic medical devices. After receiving his bachelor’s degree from the University of Oregon in </w:t>
      </w:r>
      <w:r>
        <w:rPr>
          <w:sz w:val="20"/>
          <w:szCs w:val="20"/>
        </w:rPr>
        <w:t>1966 and a doctoral degree from the University of Washington in 1970, he began his career serving in the United States Army as a dentist for three years. From 1973 to 1980, Dr. Cadwell practiced dentistry in private practice and since has started several b</w:t>
      </w:r>
      <w:r>
        <w:rPr>
          <w:sz w:val="20"/>
          <w:szCs w:val="20"/>
        </w:rPr>
        <w:t>usinesses.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Mr. Cadwell brings to the Board over ten years of service on the Board and over forty-five years of experience as a successful entrepreneur, as well as medical expertise.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 xml:space="preserve">Michael Pollack CPA, </w:t>
      </w:r>
      <w:r>
        <w:rPr>
          <w:sz w:val="20"/>
          <w:szCs w:val="20"/>
        </w:rPr>
        <w:t>the Interim Chief Financial Officer, joined the C</w:t>
      </w:r>
      <w:r>
        <w:rPr>
          <w:sz w:val="20"/>
          <w:szCs w:val="20"/>
        </w:rPr>
        <w:t>ompany as interim Chief Financial Officer in December 2018. Mr. Pollack has been a partner in a certified public accounting firm for the past fifteen years and specializes in accounting and auditing for small public companies. Mr. Pollack has approximately</w:t>
      </w:r>
      <w:r>
        <w:rPr>
          <w:sz w:val="20"/>
          <w:szCs w:val="20"/>
        </w:rPr>
        <w:t xml:space="preserve"> 30 years of experience in public accounting and consulting to over 100 publicly traded and 250 private companies. Mr. Pollack has also held CFO and Controller positions in an array of industries. Mr. Pollack graduated from the University of Maryland with </w:t>
      </w:r>
      <w:r>
        <w:rPr>
          <w:sz w:val="20"/>
          <w:szCs w:val="20"/>
        </w:rPr>
        <w:t>a Bachelor of Arts in Economics. Mr. Pollack is a member of the American Institute of Certified Public Accountants, as well as licensed to practice in New Jersey, and New York.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Identification of Significant Consultants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 xml:space="preserve">David </w:t>
      </w:r>
      <w:r>
        <w:rPr>
          <w:b/>
          <w:bCs/>
          <w:i/>
          <w:iCs/>
          <w:sz w:val="20"/>
          <w:szCs w:val="20"/>
        </w:rPr>
        <w:t>J. Swanberg, M.S., P.E.</w:t>
      </w:r>
      <w:r>
        <w:rPr>
          <w:sz w:val="20"/>
          <w:szCs w:val="20"/>
        </w:rPr>
        <w:t xml:space="preserve"> Mr. Swanberg has over 30 years’ experience in radiochemical processing, medical isotope production, nuclear waste management, materials science, regulatory affairs, and project management. Mr. Swanberg has worked in diverse organiza</w:t>
      </w:r>
      <w:r>
        <w:rPr>
          <w:sz w:val="20"/>
          <w:szCs w:val="20"/>
        </w:rPr>
        <w:t>tions ranging from small start-up businesses to corporations with multi-billion dollar annual revenues. From 2005 to 2008, he served as Executive Vice President of Operations and as a member of the Board of Directors for IsoRay Medical Inc. from 2005 to 20</w:t>
      </w:r>
      <w:r>
        <w:rPr>
          <w:sz w:val="20"/>
          <w:szCs w:val="20"/>
        </w:rPr>
        <w:t xml:space="preserve">08 managing day-to-day operations, R&amp;D, and New Product Development. Mr. Swanberg was a co-founder of IsoRay and led the initial Cs-131 brachytherapy seed product development, FDA 510(k) submission/clearance, and NRC Sealed Source review and registration. </w:t>
      </w:r>
      <w:r>
        <w:rPr>
          <w:sz w:val="20"/>
          <w:szCs w:val="20"/>
        </w:rPr>
        <w:t>Mr. Swanberg led the radiation dosimetry evaluations to meet American Association of Physicists in Medicine guidelines and is a current member of the AAPM. Mr. Swanberg and participated in several capital financing rounds totaling over $30.0 million. Mr. S</w:t>
      </w:r>
      <w:r>
        <w:rPr>
          <w:sz w:val="20"/>
          <w:szCs w:val="20"/>
        </w:rPr>
        <w:t>wanberg also served as Assistant General Manager of IsoRay LLC from 2000 to 2003, and in additionally in key management roles as IsoRay transitioned from IsoRay LLC to IsoRay Medical, Inc. Mr. Swanberg holds a BA in Chemistry from Bethel University (MN) an</w:t>
      </w:r>
      <w:r>
        <w:rPr>
          <w:sz w:val="20"/>
          <w:szCs w:val="20"/>
        </w:rPr>
        <w:t>d an MS in Chemical Engineering from Montana State University. Mr. Swanberg has numerous technical publications and holds several patents.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sz w:val="20"/>
          <w:szCs w:val="20"/>
        </w:rPr>
        <w:t>Medical and Veterinarian Advisory Boards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b/>
          <w:bCs/>
          <w:i/>
          <w:iCs/>
          <w:sz w:val="20"/>
          <w:szCs w:val="20"/>
        </w:rPr>
        <w:t xml:space="preserve">Dr. Barry D. Pressman MD, FACR - Chairman Medical Advisory Board. </w:t>
      </w:r>
      <w:r>
        <w:rPr>
          <w:sz w:val="20"/>
          <w:szCs w:val="20"/>
        </w:rPr>
        <w:t>Dr. Pr</w:t>
      </w:r>
      <w:r>
        <w:rPr>
          <w:sz w:val="20"/>
          <w:szCs w:val="20"/>
        </w:rPr>
        <w:t xml:space="preserve">essman is Professor and Chairman of the S. Mark Taper Foundation Imaging Centre and Department, and Chief of the Section of Neuroradiology and Head and Neck Radiology at </w:t>
      </w:r>
      <w:r>
        <w:rPr>
          <w:sz w:val="20"/>
          <w:szCs w:val="20"/>
          <w:u w:val="single"/>
        </w:rPr>
        <w:t>Cedars-Sinai Medical Center</w:t>
      </w:r>
      <w:r>
        <w:rPr>
          <w:sz w:val="20"/>
          <w:szCs w:val="20"/>
        </w:rPr>
        <w:t>, located in Los Angeles, California.</w:t>
      </w:r>
    </w:p>
    <w:p w:rsidR="00000000" w:rsidRDefault="009649C3">
      <w:pPr>
        <w:pStyle w:val="a3"/>
        <w:shd w:val="clear" w:color="auto" w:fill="FFFFFF"/>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Dr. Pressman is a p</w:t>
      </w:r>
      <w:r>
        <w:rPr>
          <w:sz w:val="20"/>
          <w:szCs w:val="20"/>
        </w:rPr>
        <w:t>ast President of The American College of Radiology, the Western Neuroradiological Society, as well as past President of the California Radiological Society. Currently he is a member of the American Society of Neuroradiology and the American Society of Pedi</w:t>
      </w:r>
      <w:r>
        <w:rPr>
          <w:sz w:val="20"/>
          <w:szCs w:val="20"/>
        </w:rPr>
        <w:t>atric Neuroradiology.</w:t>
      </w:r>
    </w:p>
    <w:p w:rsidR="00000000" w:rsidRDefault="009649C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5514854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xml:space="preserve">Dr. </w:t>
      </w:r>
      <w:r>
        <w:rPr>
          <w:sz w:val="20"/>
          <w:szCs w:val="20"/>
        </w:rPr>
        <w:t xml:space="preserve">Pressman earned his medical degree Cum Laude from Harvard Medical School after graduating Summa Cum Laude from Dartmouth College. After a surgical internship at Harvard’s Peter Bent Brigham Hospital in Boston, he completed a diagnostic radiology residency </w:t>
      </w:r>
      <w:r>
        <w:rPr>
          <w:sz w:val="20"/>
          <w:szCs w:val="20"/>
        </w:rPr>
        <w:t>at Columbia-Presbyterian Medical Center in New York and a Neuroradiology fellowship at George Washington University Hospital. During this period, he wrote many original papers for Computer Tomography (CT).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b/>
          <w:bCs/>
          <w:i/>
          <w:iCs/>
          <w:sz w:val="20"/>
          <w:szCs w:val="20"/>
        </w:rPr>
        <w:t>Dr. Albert S. DeNittis MD, MS, FCPP - Medical Ad</w:t>
      </w:r>
      <w:r>
        <w:rPr>
          <w:b/>
          <w:bCs/>
          <w:i/>
          <w:iCs/>
          <w:sz w:val="20"/>
          <w:szCs w:val="20"/>
        </w:rPr>
        <w:t xml:space="preserve">visory Board. </w:t>
      </w:r>
      <w:r>
        <w:rPr>
          <w:sz w:val="20"/>
          <w:szCs w:val="20"/>
        </w:rPr>
        <w:t>Dr. Albert S. DeNittis is currently is the Chief of Radiation Oncology at Lankenau Medical Center and Clinical Professor at Lankenau Institute for Medical Research in Wynnewood, Pennsylvania and the Director of Radiation Oncology at Brodesseu</w:t>
      </w:r>
      <w:r>
        <w:rPr>
          <w:sz w:val="20"/>
          <w:szCs w:val="20"/>
        </w:rPr>
        <w:t>r Cancer Center in New Jersey. He is also the Principal Investigator and in charge of a grant awarded by the NIH for its National Cancer Oncology Research Program (NCORP) at Main Line Health. Dr. DeNittis’ practice experience includes image-guided radiosur</w:t>
      </w:r>
      <w:r>
        <w:rPr>
          <w:sz w:val="20"/>
          <w:szCs w:val="20"/>
        </w:rPr>
        <w:t>gery, stereotactic body radiation therapy (SBRT), intensity modulated radiation therapy (IMRT), image guided radiation therapy (IGRT), high-dose rate (HDR) brachytherapy, cranial and extracranial stereotactic radiosurgery, respiratory gating, and Cyberknif</w:t>
      </w:r>
      <w:r>
        <w:rPr>
          <w:sz w:val="20"/>
          <w:szCs w:val="20"/>
        </w:rPr>
        <w:t>e.</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Dr. DeNittis has served on numerous regional, national and government committees related to key issues in Dr. DeNittis earned a BA and a MS at Rutgers University and a MD from the Robert Wood Johnson Medical School at the University of Medicine and De</w:t>
      </w:r>
      <w:r>
        <w:rPr>
          <w:sz w:val="20"/>
          <w:szCs w:val="20"/>
        </w:rPr>
        <w:t>ntistry of New Jersey. He completed postdoctoral training internships and residency at the Department of Radiation Oncology at the Hospital of the University of Pennsylvania. Dr. DeNittis is board certified by the American Board of Radiology and Licensed i</w:t>
      </w:r>
      <w:r>
        <w:rPr>
          <w:sz w:val="20"/>
          <w:szCs w:val="20"/>
        </w:rPr>
        <w:t>n New Jersey and Pennsylvania.</w:t>
      </w:r>
    </w:p>
    <w:p w:rsidR="00000000" w:rsidRDefault="009649C3">
      <w:pPr>
        <w:pStyle w:val="a3"/>
        <w:shd w:val="clear" w:color="auto" w:fill="FFFFFF"/>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 xml:space="preserve">Dr. Alice Villalobos, DVM, FNAP - Chair of the Veterinary Medicine Advisory Board. </w:t>
      </w:r>
      <w:r>
        <w:rPr>
          <w:sz w:val="20"/>
          <w:szCs w:val="20"/>
        </w:rPr>
        <w:t>Dr. Alice Villalobos is a well-known pioneer in the field of cancer care for companion animals and a founding member of the Veterinary Cance</w:t>
      </w:r>
      <w:r>
        <w:rPr>
          <w:sz w:val="20"/>
          <w:szCs w:val="20"/>
        </w:rPr>
        <w:t>r Society. A 1972 graduate of UC Davis, she completed Dr. Gordon Theilen’s first mock residency program in oncology and has served the profession by consulting, writing and lecturing in the rapidly growing field of veterinary oncology and end of life care.</w:t>
      </w:r>
    </w:p>
    <w:p w:rsidR="00000000" w:rsidRDefault="009649C3">
      <w:pPr>
        <w:pStyle w:val="a3"/>
        <w:shd w:val="clear" w:color="auto" w:fill="FFFFFF"/>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Dr. Alice Villalobos is President Emeritus of the Society for Veterinary Medical Ethics, Past President of the American Association of Human Animal Bond Veterinarians and Chair of the Veterinary Academy for the National Academies of Practice. She operat</w:t>
      </w:r>
      <w:r>
        <w:rPr>
          <w:sz w:val="20"/>
          <w:szCs w:val="20"/>
        </w:rPr>
        <w:t xml:space="preserve">ed Coast Pet Clinic/Animal Cancer Center for 25 years, which is now VCA Coast Animal Hospital. She is the author of numerous articles, papers, and including her classic veterinarian textbook, Canine and Feline Geriatric Oncology: Honoring the Human-Animal </w:t>
      </w:r>
      <w:r>
        <w:rPr>
          <w:sz w:val="20"/>
          <w:szCs w:val="20"/>
        </w:rPr>
        <w:t>Bond. She has lectured worldwide on oncology, quality of life, the human-animal bond and end of life care and bioethics. She founded Pawspice, an end of life care program that embraces kinder, gentler palliative cancer medicine and integrative care for pet</w:t>
      </w:r>
      <w:r>
        <w:rPr>
          <w:sz w:val="20"/>
          <w:szCs w:val="20"/>
        </w:rPr>
        <w:t>s with cancer and terminal illness (www.Pawspice.com). Dr. Alice is Director of Animal Oncology Consultation Service in Woodland Hill, California and Pawspice at VCA Coast Animal Hospital in Hermosa Beach, California. Dr. Alice was elected 2016 Hermosa Bea</w:t>
      </w:r>
      <w:r>
        <w:rPr>
          <w:sz w:val="20"/>
          <w:szCs w:val="20"/>
        </w:rPr>
        <w:t>ch Woman of the Year.</w:t>
      </w:r>
    </w:p>
    <w:p w:rsidR="00000000" w:rsidRDefault="009649C3">
      <w:pPr>
        <w:pStyle w:val="a3"/>
        <w:shd w:val="clear" w:color="auto" w:fill="FFFFFF"/>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Dr. Villalobos’ role with the Company is to support the commercialization of the Company’s yttrium-90 brachytherapy products for use in companion animals.</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b/>
          <w:bCs/>
          <w:i/>
          <w:iCs/>
          <w:sz w:val="20"/>
          <w:szCs w:val="20"/>
        </w:rPr>
        <w:t xml:space="preserve">Dr. </w:t>
      </w:r>
      <w:r>
        <w:rPr>
          <w:b/>
          <w:bCs/>
          <w:i/>
          <w:iCs/>
          <w:sz w:val="20"/>
          <w:szCs w:val="20"/>
        </w:rPr>
        <w:t>Richard Weller, DVM, DACVIM (Internal Medicine; Oncology) DipMS - Veterinary Medicine Advisory Board Member</w:t>
      </w:r>
      <w:r>
        <w:rPr>
          <w:b/>
          <w:bCs/>
          <w:sz w:val="20"/>
          <w:szCs w:val="20"/>
        </w:rPr>
        <w:t>.</w:t>
      </w:r>
      <w:r>
        <w:rPr>
          <w:sz w:val="20"/>
          <w:szCs w:val="20"/>
        </w:rPr>
        <w:t xml:space="preserve"> Prior to his retirement in 2014, Dr. Weller was a Senior Program Manager in the Radiation Biology Group of the Biological Sciences Division at Paci</w:t>
      </w:r>
      <w:r>
        <w:rPr>
          <w:sz w:val="20"/>
          <w:szCs w:val="20"/>
        </w:rPr>
        <w:t xml:space="preserve">fic Northwest National Laboratory (PNNL), where he was involved in the development of RadioGel. A 1973 graduate of Washington State University. Dr. Weller has extensive experience in designing and executing clinical studies, treatment planning, mechanisms </w:t>
      </w:r>
      <w:r>
        <w:rPr>
          <w:sz w:val="20"/>
          <w:szCs w:val="20"/>
        </w:rPr>
        <w:t>of carcinogenesis, radiation biology, targeted delivery systems for chemotherapeutic and radio-therapeutic agents, bio-markers of disease, and comparative oncology; as well as over 30 years of experience developing and using animal models, including the us</w:t>
      </w:r>
      <w:r>
        <w:rPr>
          <w:sz w:val="20"/>
          <w:szCs w:val="20"/>
        </w:rPr>
        <w:t>e of spontaneous tumors in companion animals, for bio-medical applications.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Dr. Weller is board-certified by the American College of Veterinary Internal Medicine in Internal Medicine (1980) and Oncology (1987), Past Chairperson of the Organizing Committe</w:t>
      </w:r>
      <w:r>
        <w:rPr>
          <w:sz w:val="20"/>
          <w:szCs w:val="20"/>
        </w:rPr>
        <w:t>e for the Specialty of Veterinary Medical Oncology, Past Chairperson of the Board of Regents of the American College of Veterinary Internal Medicine, Past President of the Board of Regents of the American College of Veterinary Internal Medicine, Past Presi</w:t>
      </w:r>
      <w:r>
        <w:rPr>
          <w:sz w:val="20"/>
          <w:szCs w:val="20"/>
        </w:rPr>
        <w:t>dent of the Specialty of Oncology, and a Charter Member of the Veterinary Cancer Society which he served as Treasurer for 16 years. He is an Honorary Professor of the Institute of Veterinary Medicine in Kyiv, Ukraine. Dr. Weller has lectured and trained ve</w:t>
      </w:r>
      <w:r>
        <w:rPr>
          <w:sz w:val="20"/>
          <w:szCs w:val="20"/>
        </w:rPr>
        <w:t>terinarians worldwide and has authored or co-authored over 250 articles, technical reports, book chapters, and presentations in his fields of expertise.</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1431365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Section 16(a) Beneficial Ownership Reporting Compliance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Section 16(a) of the Secu</w:t>
      </w:r>
      <w:r>
        <w:rPr>
          <w:sz w:val="20"/>
          <w:szCs w:val="20"/>
        </w:rPr>
        <w:t>rities Exchange Act of 1934 requires the Company’s executive officers, directors and persons who own more than 10% of the Company’s common stock to file with the SEC initial reports of beneficial ownership on Form 3, changes in beneficial ownership on Form</w:t>
      </w:r>
      <w:r>
        <w:rPr>
          <w:sz w:val="20"/>
          <w:szCs w:val="20"/>
        </w:rPr>
        <w:t xml:space="preserve"> 4, and an annual statement of beneficial ownership on Form 5. Such executive officers, directors and greater than 10% stockholders are required by SEC rules to furnish the Company with copies of all such forms that they have filed.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Based </w:t>
      </w:r>
      <w:r>
        <w:rPr>
          <w:sz w:val="20"/>
          <w:szCs w:val="20"/>
        </w:rPr>
        <w:t>solely on its review of such forms filed with the SEC and received by the Company and representations from certain reporting persons, the Company believes that all reports required to be filed by each of each of its executive officers, directors and 10% st</w:t>
      </w:r>
      <w:r>
        <w:rPr>
          <w:sz w:val="20"/>
          <w:szCs w:val="20"/>
        </w:rPr>
        <w:t>ockholders were filed during the year ended December 31, 2020 and that such reports were timely.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Code of Ethics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Board of Directors has not adopted a code of ethics that applies to the principal executive officer, principal financial offic</w:t>
      </w:r>
      <w:r>
        <w:rPr>
          <w:sz w:val="20"/>
          <w:szCs w:val="20"/>
        </w:rPr>
        <w:t>er, principal accounting officer or controller, or persons performing similar functions, because of the Company’s limited number of executive officers and employees that would be covered by such a code and the Company’s limited financial resources. The Com</w:t>
      </w:r>
      <w:r>
        <w:rPr>
          <w:sz w:val="20"/>
          <w:szCs w:val="20"/>
        </w:rPr>
        <w:t>pany anticipates that it will adopt a code of ethics after it increases the number of executive officers and employees and obtain additional financial resources.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Audit Committee and Audit Committee Financial Expert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As of the date of this report, the Co</w:t>
      </w:r>
      <w:r>
        <w:rPr>
          <w:sz w:val="20"/>
          <w:szCs w:val="20"/>
        </w:rPr>
        <w:t>mpany has not established an audit committee, and therefore, the Company’s full board of directors performs the functions that customarily would be undertaken by an audit committee. The Company’s board of directors during 2020 was comprised of two director</w:t>
      </w:r>
      <w:r>
        <w:rPr>
          <w:sz w:val="20"/>
          <w:szCs w:val="20"/>
        </w:rPr>
        <w:t>s, one of whom the Company had determined satisfied the general independence standards of the NASDAQ listing requirements.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Company’s Board of Directors has determined that none of its current members qualifies as an “audit committee financial expert,</w:t>
      </w:r>
      <w:r>
        <w:rPr>
          <w:sz w:val="20"/>
          <w:szCs w:val="20"/>
        </w:rPr>
        <w:t>” as defined by the rules of the SEC. In the future, the Company intends to establish board committees and to appoint such persons to those committees as are necessary to meet the corporate governance requirements imposed by a national securities exchange,</w:t>
      </w:r>
      <w:r>
        <w:rPr>
          <w:sz w:val="20"/>
          <w:szCs w:val="20"/>
        </w:rPr>
        <w:t xml:space="preserve"> although it is not required to comply with such requirements until the Company elects to seek listing on a national securities exchange.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Board of Directors; Attendance at Meetings</w:t>
      </w:r>
    </w:p>
    <w:p w:rsidR="00000000" w:rsidRDefault="009649C3">
      <w:pPr>
        <w:pStyle w:val="a3"/>
        <w:spacing w:before="0" w:beforeAutospacing="0" w:after="0" w:afterAutospacing="0"/>
        <w:ind w:firstLine="900"/>
        <w:jc w:val="both"/>
        <w:rPr>
          <w:sz w:val="20"/>
          <w:szCs w:val="20"/>
        </w:rPr>
      </w:pPr>
      <w:r>
        <w:rPr>
          <w:sz w:val="20"/>
          <w:szCs w:val="20"/>
        </w:rPr>
        <w:t> </w:t>
      </w:r>
    </w:p>
    <w:p w:rsidR="00000000" w:rsidRDefault="009649C3">
      <w:pPr>
        <w:pStyle w:val="a3"/>
        <w:spacing w:before="0" w:beforeAutospacing="0" w:after="0" w:afterAutospacing="0"/>
        <w:ind w:firstLine="900"/>
        <w:jc w:val="both"/>
        <w:rPr>
          <w:sz w:val="20"/>
          <w:szCs w:val="20"/>
        </w:rPr>
      </w:pPr>
      <w:r>
        <w:rPr>
          <w:sz w:val="20"/>
          <w:szCs w:val="20"/>
        </w:rPr>
        <w:t xml:space="preserve">The Board held two meetings and acted by unanimous written consent two </w:t>
      </w:r>
      <w:r>
        <w:rPr>
          <w:sz w:val="20"/>
          <w:szCs w:val="20"/>
        </w:rPr>
        <w:t>times during the year ended December 31, 2020. Each director attended both Board meetings during the year ended December 31, 2020. We have no formal policy with respect to the attendance of Board members at annual meetings of shareholders, but encourage al</w:t>
      </w:r>
      <w:r>
        <w:rPr>
          <w:sz w:val="20"/>
          <w:szCs w:val="20"/>
        </w:rPr>
        <w:t>l incumbent directors and director nominees to attend each annual meeting of shareholders.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18" w:name="v_019"/>
      <w:bookmarkEnd w:id="18"/>
      <w:r>
        <w:rPr>
          <w:b/>
          <w:bCs/>
          <w:sz w:val="20"/>
          <w:szCs w:val="20"/>
        </w:rPr>
        <w:t>ITEM 11. EXECUTIVE COMPENSATION.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Summary Compensation Table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the compensation paid to the Company’s Chief Executive Officer and t</w:t>
      </w:r>
      <w:r>
        <w:rPr>
          <w:sz w:val="20"/>
          <w:szCs w:val="20"/>
        </w:rPr>
        <w:t>hose executive officers that earned in excess of $100,000 during the year ended December 31, 2020 (collectively, the “</w:t>
      </w:r>
      <w:r>
        <w:rPr>
          <w:i/>
          <w:iCs/>
          <w:sz w:val="20"/>
          <w:szCs w:val="20"/>
        </w:rPr>
        <w:t>Named Executive Officers</w:t>
      </w:r>
      <w:r>
        <w:rPr>
          <w:sz w:val="20"/>
          <w:szCs w:val="20"/>
        </w:rPr>
        <w: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70"/>
        <w:gridCol w:w="114"/>
        <w:gridCol w:w="50"/>
        <w:gridCol w:w="429"/>
        <w:gridCol w:w="50"/>
        <w:gridCol w:w="97"/>
        <w:gridCol w:w="100"/>
        <w:gridCol w:w="650"/>
        <w:gridCol w:w="152"/>
        <w:gridCol w:w="114"/>
        <w:gridCol w:w="100"/>
        <w:gridCol w:w="550"/>
        <w:gridCol w:w="50"/>
        <w:gridCol w:w="98"/>
        <w:gridCol w:w="100"/>
        <w:gridCol w:w="534"/>
        <w:gridCol w:w="50"/>
        <w:gridCol w:w="99"/>
        <w:gridCol w:w="100"/>
        <w:gridCol w:w="650"/>
        <w:gridCol w:w="50"/>
        <w:gridCol w:w="99"/>
        <w:gridCol w:w="100"/>
        <w:gridCol w:w="650"/>
        <w:gridCol w:w="50"/>
      </w:tblGrid>
      <w:tr w:rsidR="00000000">
        <w:tc>
          <w:tcPr>
            <w:tcW w:w="0" w:type="auto"/>
            <w:tcBorders>
              <w:bottom w:val="single" w:sz="12" w:space="0" w:color="000000"/>
            </w:tcBorders>
            <w:vAlign w:val="bottom"/>
            <w:hideMark/>
          </w:tcPr>
          <w:p w:rsidR="00000000" w:rsidRDefault="009649C3">
            <w:pPr>
              <w:rPr>
                <w:rFonts w:eastAsia="Times New Roman"/>
                <w:sz w:val="20"/>
                <w:szCs w:val="20"/>
              </w:rPr>
            </w:pPr>
            <w:r>
              <w:rPr>
                <w:rFonts w:eastAsia="Times New Roman"/>
                <w:sz w:val="20"/>
                <w:szCs w:val="20"/>
              </w:rPr>
              <w:t xml:space="preserve">Name and Principal Position </w:t>
            </w:r>
            <w:r>
              <w:rPr>
                <w:rFonts w:eastAsia="Times New Roman"/>
                <w:sz w:val="20"/>
                <w:szCs w:val="20"/>
                <w:vertAlign w:val="superscript"/>
              </w:rPr>
              <w:t>(1)</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Year</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Salary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Bonus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Stock </w:t>
            </w:r>
            <w:r>
              <w:rPr>
                <w:rFonts w:eastAsia="Times New Roman"/>
                <w:sz w:val="20"/>
                <w:szCs w:val="20"/>
              </w:rPr>
              <w:br/>
              <w:t>Awards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sz w:val="20"/>
                <w:szCs w:val="20"/>
              </w:rPr>
              <w:t>Option</w:t>
            </w:r>
          </w:p>
          <w:p w:rsidR="00000000" w:rsidRDefault="009649C3">
            <w:pPr>
              <w:pStyle w:val="a3"/>
              <w:spacing w:before="0" w:beforeAutospacing="0" w:after="0" w:afterAutospacing="0"/>
              <w:jc w:val="center"/>
              <w:rPr>
                <w:sz w:val="20"/>
                <w:szCs w:val="20"/>
              </w:rPr>
            </w:pPr>
            <w:r>
              <w:rPr>
                <w:sz w:val="20"/>
                <w:szCs w:val="20"/>
              </w:rPr>
              <w:t>Awards</w:t>
            </w:r>
            <w:r>
              <w:rPr>
                <w:sz w:val="20"/>
                <w:szCs w:val="20"/>
              </w:rPr>
              <w:br/>
              <w:t>($)</w:t>
            </w:r>
            <w:r>
              <w:rPr>
                <w:sz w:val="20"/>
                <w:szCs w:val="20"/>
                <w:vertAlign w:val="superscript"/>
              </w:rPr>
              <w:t>(2)</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Total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9649C3">
            <w:pPr>
              <w:rPr>
                <w:rFonts w:eastAsia="Times New Roman"/>
                <w:sz w:val="20"/>
                <w:szCs w:val="20"/>
              </w:rPr>
            </w:pPr>
            <w:r>
              <w:rPr>
                <w:rFonts w:eastAsia="Times New Roman"/>
                <w:sz w:val="20"/>
                <w:szCs w:val="20"/>
              </w:rPr>
              <w:t>Dr. Michael K. Korenko</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2020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120,086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vertAlign w:val="superscript"/>
              </w:rPr>
              <w:t>(3)</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98,165</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218,251</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CEO, President and Director</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2019</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120,000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585,144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705,144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95392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9649C3">
            <w:pPr>
              <w:rPr>
                <w:rFonts w:eastAsia="Times New Roman"/>
                <w:sz w:val="20"/>
                <w:szCs w:val="20"/>
              </w:rPr>
            </w:pPr>
            <w:r>
              <w:rPr>
                <w:rFonts w:eastAsia="Times New Roman"/>
                <w:sz w:val="20"/>
                <w:szCs w:val="20"/>
              </w:rPr>
              <w:t> </w:t>
            </w:r>
          </w:p>
        </w:tc>
        <w:tc>
          <w:tcPr>
            <w:tcW w:w="360" w:type="dxa"/>
            <w:hideMark/>
          </w:tcPr>
          <w:p w:rsidR="00000000" w:rsidRDefault="009649C3">
            <w:pPr>
              <w:rPr>
                <w:rFonts w:eastAsia="Times New Roman"/>
                <w:sz w:val="20"/>
                <w:szCs w:val="20"/>
              </w:rPr>
            </w:pPr>
            <w:r>
              <w:rPr>
                <w:rFonts w:eastAsia="Times New Roman"/>
                <w:sz w:val="20"/>
                <w:szCs w:val="20"/>
              </w:rPr>
              <w:t>(1)</w:t>
            </w:r>
          </w:p>
        </w:tc>
        <w:tc>
          <w:tcPr>
            <w:tcW w:w="0" w:type="auto"/>
            <w:hideMark/>
          </w:tcPr>
          <w:p w:rsidR="00000000" w:rsidRDefault="009649C3">
            <w:pPr>
              <w:jc w:val="both"/>
              <w:rPr>
                <w:rFonts w:eastAsia="Times New Roman"/>
                <w:sz w:val="20"/>
                <w:szCs w:val="20"/>
              </w:rPr>
            </w:pPr>
            <w:r>
              <w:rPr>
                <w:rFonts w:eastAsia="Times New Roman"/>
                <w:sz w:val="20"/>
                <w:szCs w:val="20"/>
              </w:rPr>
              <w:t>Michael Pollack began serving as the Company’</w:t>
            </w:r>
            <w:r>
              <w:rPr>
                <w:rFonts w:eastAsia="Times New Roman"/>
                <w:sz w:val="20"/>
                <w:szCs w:val="20"/>
              </w:rPr>
              <w:t>s Interim Chief Financial Officer in December 2018 and was paid no compensation in 2018 or 2019. Accordingly, he has not been included in this table.</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(2)</w:t>
            </w:r>
          </w:p>
        </w:tc>
        <w:tc>
          <w:tcPr>
            <w:tcW w:w="0" w:type="auto"/>
            <w:hideMark/>
          </w:tcPr>
          <w:p w:rsidR="00000000" w:rsidRDefault="009649C3">
            <w:pPr>
              <w:jc w:val="both"/>
              <w:rPr>
                <w:rFonts w:eastAsia="Times New Roman"/>
                <w:sz w:val="20"/>
                <w:szCs w:val="20"/>
              </w:rPr>
            </w:pPr>
            <w:r>
              <w:rPr>
                <w:rFonts w:eastAsia="Times New Roman"/>
                <w:sz w:val="20"/>
                <w:szCs w:val="20"/>
              </w:rPr>
              <w:t>The amounts in this column represent the grant date fair value of stock option awards, compu</w:t>
            </w:r>
            <w:r>
              <w:rPr>
                <w:rFonts w:eastAsia="Times New Roman"/>
                <w:sz w:val="20"/>
                <w:szCs w:val="20"/>
              </w:rPr>
              <w:t>ted in accordance with FASB ASC Topic 718.</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(3)</w:t>
            </w:r>
          </w:p>
        </w:tc>
        <w:tc>
          <w:tcPr>
            <w:tcW w:w="0" w:type="auto"/>
            <w:hideMark/>
          </w:tcPr>
          <w:p w:rsidR="00000000" w:rsidRDefault="009649C3">
            <w:pPr>
              <w:jc w:val="both"/>
              <w:rPr>
                <w:rFonts w:eastAsia="Times New Roman"/>
                <w:sz w:val="20"/>
                <w:szCs w:val="20"/>
              </w:rPr>
            </w:pPr>
            <w:r>
              <w:rPr>
                <w:rFonts w:eastAsia="Times New Roman"/>
                <w:sz w:val="20"/>
                <w:szCs w:val="20"/>
              </w:rPr>
              <w:t>Of the $120,000 due Mr. Korenko for 2019, $100,000 is accrued for as of December 31, 2019, and as of December 31, 2020, the Company has $69,914 in accrued compensation to Mr. Korenko.</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Narrative Disclosure to Summary Compensation Table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i/>
          <w:iCs/>
          <w:sz w:val="20"/>
          <w:szCs w:val="20"/>
        </w:rPr>
        <w:t xml:space="preserve">Dr. Michael K. Korenko. </w:t>
      </w:r>
      <w:r>
        <w:rPr>
          <w:sz w:val="20"/>
          <w:szCs w:val="20"/>
        </w:rPr>
        <w:t>On October 24, 2018, Mr. Korenko entered into an employment agreement with the Company (the “</w:t>
      </w:r>
      <w:r>
        <w:rPr>
          <w:i/>
          <w:iCs/>
          <w:sz w:val="20"/>
          <w:szCs w:val="20"/>
        </w:rPr>
        <w:t>Old Employment Agreement</w:t>
      </w:r>
      <w:r>
        <w:rPr>
          <w:sz w:val="20"/>
          <w:szCs w:val="20"/>
        </w:rPr>
        <w:t xml:space="preserve">”), which was scheduled to terminate on December 31, 2019. On </w:t>
      </w:r>
      <w:r>
        <w:rPr>
          <w:sz w:val="20"/>
          <w:szCs w:val="20"/>
        </w:rPr>
        <w:t>June 4, 2019, Mr. Korenko and the Company entered into a new employment agreement, effective June 11, 2019, which shall terminate on December 31, 2020 and December 31 of subsequent years (the “</w:t>
      </w:r>
      <w:r>
        <w:rPr>
          <w:i/>
          <w:iCs/>
          <w:sz w:val="20"/>
          <w:szCs w:val="20"/>
        </w:rPr>
        <w:t>Termination Date</w:t>
      </w:r>
      <w:r>
        <w:rPr>
          <w:sz w:val="20"/>
          <w:szCs w:val="20"/>
        </w:rPr>
        <w:t>”) if the agreement is extended pursuant to its</w:t>
      </w:r>
      <w:r>
        <w:rPr>
          <w:sz w:val="20"/>
          <w:szCs w:val="20"/>
        </w:rPr>
        <w:t xml:space="preserve"> terms. Under the terms of his employment agreement, the Company may terminate Dr. Korenko’s employment either with or without cause prior to the Termination Date, but in the event of a termination without cause, Dr. Korenko shall be entitled to receive mo</w:t>
      </w:r>
      <w:r>
        <w:rPr>
          <w:sz w:val="20"/>
          <w:szCs w:val="20"/>
        </w:rPr>
        <w:t>nthly payments of his base salary for a period of six months thereafter, all of Dr. Korenko’s outstanding options, if any, shall vest, and Dr. Korenko shall be entitled to receive all past due compensation within three weeks of the date of termination. The</w:t>
      </w:r>
      <w:r>
        <w:rPr>
          <w:sz w:val="20"/>
          <w:szCs w:val="20"/>
        </w:rPr>
        <w:t xml:space="preserve"> employment agreement automatically renewed for another year through December 31, 2021.</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shall pay to Dr. Korenko an annual base compensation of $180,000, which is payable in equal monthly intervals. Of the $180,000 in annual base salary, $60,</w:t>
      </w:r>
      <w:r>
        <w:rPr>
          <w:sz w:val="20"/>
          <w:szCs w:val="20"/>
        </w:rPr>
        <w:t>000 of annual pay shall be deferred and accrued until the Company’s cash balance exceeds $1,000,000, which occurred in December 2020. Dr. Korenko’s employment agreement provides that he shall receive a stock option grant issued under the Company’s 2015 Omn</w:t>
      </w:r>
      <w:r>
        <w:rPr>
          <w:sz w:val="20"/>
          <w:szCs w:val="20"/>
        </w:rPr>
        <w:t>ibus Securities and Incentive Plan in an amount equal to 21 million options ten days after the Company’s 1-for-8 reverse split, which was consummated in late June 2019. The options shall have a seven year term, shall be exercisable at a price of $0.024 per</w:t>
      </w:r>
      <w:r>
        <w:rPr>
          <w:sz w:val="20"/>
          <w:szCs w:val="20"/>
        </w:rPr>
        <w:t xml:space="preserve"> share, and shall vest as follows: 50% shall vest in equal amounts at the end of each quarter for the two quarters after grant date, 25% shall vest upon the Company filing for a patent, and the remaining 25% shall vest upon the first commercial sale of Iso</w:t>
      </w:r>
      <w:r>
        <w:rPr>
          <w:sz w:val="20"/>
          <w:szCs w:val="20"/>
        </w:rPr>
        <w:t>Pet. In December 2020, Mr. Korenko exercised 2,500,000 of these options for $60,000.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Pursuant to Dr. Korenko’s Old Employment Agreement, the Company agreed to issue to Dr. Korenko 3,500,000 shares of common stock and warrants to purchase 1,762,321 shares</w:t>
      </w:r>
      <w:r>
        <w:rPr>
          <w:sz w:val="20"/>
          <w:szCs w:val="20"/>
        </w:rPr>
        <w:t xml:space="preserve"> of common stock in satisfaction of his past due and accrued compensation. In addition, in consideration for Dr. Korenko’s past performance, the Company agreed to compensate Dr. Korenko with a cash bonus in the amount of $200,000, which will be deferred un</w:t>
      </w:r>
      <w:r>
        <w:rPr>
          <w:sz w:val="20"/>
          <w:szCs w:val="20"/>
        </w:rPr>
        <w:t>til the cash balance exceeds $2,000,000. The Company also granted Dr. Korenko a stock option grant of 8,120,152 options under the 2015 Omnibus Securities and Incentive Plan on October 24, 2018. The options vested immediately upon issuance, have a term of s</w:t>
      </w:r>
      <w:r>
        <w:rPr>
          <w:sz w:val="20"/>
          <w:szCs w:val="20"/>
        </w:rPr>
        <w:t>even years, and are exercisable at a price of $0.112 per share.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 paid bonuses to certain employees based on their performance, the Company’s need to retain such employees, and funds available. All bonus payments were approved by the Company’s </w:t>
      </w:r>
      <w:r>
        <w:rPr>
          <w:sz w:val="20"/>
          <w:szCs w:val="20"/>
        </w:rPr>
        <w:t>Board of Directors.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4279525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center"/>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Outstanding Equity Awards at Fiscal Year-End Table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all outstanding equity awards held by the Company’</w:t>
      </w:r>
      <w:r>
        <w:rPr>
          <w:sz w:val="20"/>
          <w:szCs w:val="20"/>
        </w:rPr>
        <w:t>s Named Executive Officers as of the end of last fiscal year.</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8"/>
        <w:gridCol w:w="152"/>
        <w:gridCol w:w="84"/>
        <w:gridCol w:w="916"/>
        <w:gridCol w:w="69"/>
        <w:gridCol w:w="152"/>
        <w:gridCol w:w="96"/>
        <w:gridCol w:w="1048"/>
        <w:gridCol w:w="69"/>
        <w:gridCol w:w="152"/>
        <w:gridCol w:w="101"/>
        <w:gridCol w:w="900"/>
        <w:gridCol w:w="69"/>
        <w:gridCol w:w="152"/>
        <w:gridCol w:w="69"/>
        <w:gridCol w:w="900"/>
        <w:gridCol w:w="6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Option Awards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9649C3">
            <w:pPr>
              <w:rPr>
                <w:rFonts w:eastAsia="Times New Roman"/>
                <w:sz w:val="20"/>
                <w:szCs w:val="20"/>
              </w:rPr>
            </w:pPr>
            <w:r>
              <w:rPr>
                <w:rFonts w:eastAsia="Times New Roman"/>
                <w:sz w:val="20"/>
                <w:szCs w:val="20"/>
              </w:rPr>
              <w:t>Name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Number of Securities Underlying Unexercised Options(#) Exercisable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Number of Securities Underlying Unexercised Options (#) Unexercisable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Option </w:t>
            </w:r>
            <w:r>
              <w:rPr>
                <w:rFonts w:eastAsia="Times New Roman"/>
                <w:sz w:val="20"/>
                <w:szCs w:val="20"/>
              </w:rPr>
              <w:br/>
              <w:t xml:space="preserve">Exercise </w:t>
            </w:r>
            <w:r>
              <w:rPr>
                <w:rFonts w:eastAsia="Times New Roman"/>
                <w:sz w:val="20"/>
                <w:szCs w:val="20"/>
              </w:rPr>
              <w:br/>
              <w:t>Price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 xml:space="preserve">Option </w:t>
            </w:r>
            <w:r>
              <w:rPr>
                <w:rFonts w:eastAsia="Times New Roman"/>
                <w:sz w:val="20"/>
                <w:szCs w:val="20"/>
              </w:rPr>
              <w:br/>
              <w:t>Exercise Date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9649C3">
            <w:pPr>
              <w:rPr>
                <w:rFonts w:eastAsia="Times New Roman"/>
                <w:sz w:val="20"/>
                <w:szCs w:val="20"/>
              </w:rPr>
            </w:pPr>
            <w:r>
              <w:rPr>
                <w:rFonts w:eastAsia="Times New Roman"/>
                <w:sz w:val="20"/>
                <w:szCs w:val="20"/>
              </w:rPr>
              <w:t xml:space="preserve">Michael Korenko </w:t>
            </w:r>
            <w:r>
              <w:rPr>
                <w:rFonts w:eastAsia="Times New Roman"/>
                <w:sz w:val="20"/>
                <w:szCs w:val="20"/>
                <w:vertAlign w:val="superscript"/>
              </w:rPr>
              <w:t>(1)</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8,120,152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0.112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10/24/25</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Michael Korenko</w:t>
            </w:r>
            <w:r>
              <w:rPr>
                <w:rFonts w:eastAsia="Times New Roman"/>
                <w:sz w:val="20"/>
                <w:szCs w:val="20"/>
                <w:vertAlign w:val="superscript"/>
              </w:rPr>
              <w:t>(2)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18,500,000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0.024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7/7/26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7"/>
        <w:gridCol w:w="359"/>
        <w:gridCol w:w="7870"/>
      </w:tblGrid>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(1)</w:t>
            </w:r>
          </w:p>
        </w:tc>
        <w:tc>
          <w:tcPr>
            <w:tcW w:w="0" w:type="auto"/>
            <w:hideMark/>
          </w:tcPr>
          <w:p w:rsidR="00000000" w:rsidRDefault="009649C3">
            <w:pPr>
              <w:rPr>
                <w:rFonts w:eastAsia="Times New Roman"/>
                <w:sz w:val="20"/>
                <w:szCs w:val="20"/>
              </w:rPr>
            </w:pPr>
            <w:r>
              <w:rPr>
                <w:rFonts w:eastAsia="Times New Roman"/>
                <w:sz w:val="20"/>
                <w:szCs w:val="20"/>
              </w:rPr>
              <w:t xml:space="preserve">Issued pursuant to employment contract dated October 24, 2018 </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(2)</w:t>
            </w:r>
          </w:p>
        </w:tc>
        <w:tc>
          <w:tcPr>
            <w:tcW w:w="0" w:type="auto"/>
            <w:hideMark/>
          </w:tcPr>
          <w:p w:rsidR="00000000" w:rsidRDefault="009649C3">
            <w:pPr>
              <w:rPr>
                <w:rFonts w:eastAsia="Times New Roman"/>
                <w:sz w:val="20"/>
                <w:szCs w:val="20"/>
              </w:rPr>
            </w:pPr>
            <w:r>
              <w:rPr>
                <w:rFonts w:eastAsia="Times New Roman"/>
                <w:sz w:val="20"/>
                <w:szCs w:val="20"/>
              </w:rPr>
              <w:t xml:space="preserve">Issued pursuant to employment contract dated July 7, 2019 </w:t>
            </w:r>
          </w:p>
        </w:tc>
      </w:tr>
    </w:tbl>
    <w:p w:rsidR="00000000" w:rsidRDefault="009649C3">
      <w:pPr>
        <w:pStyle w:val="a3"/>
        <w:spacing w:before="0" w:beforeAutospacing="0" w:after="0" w:afterAutospacing="0"/>
        <w:ind w:left="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Compensation of Directors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During </w:t>
      </w:r>
      <w:r>
        <w:rPr>
          <w:sz w:val="20"/>
          <w:szCs w:val="20"/>
        </w:rPr>
        <w:t>the year ended December 31, 2020, the Company’s non-employee directors were not paid any compensation.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for each of the Company’s non-employee directors who served during 2020, the aggregate number of stock awards and the a</w:t>
      </w:r>
      <w:r>
        <w:rPr>
          <w:sz w:val="20"/>
          <w:szCs w:val="20"/>
        </w:rPr>
        <w:t>ggregate number of stock option awards that were outstanding as of December 31, 2020:</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r>
      <w:tr w:rsidR="00000000">
        <w:tc>
          <w:tcPr>
            <w:tcW w:w="3000" w:type="pct"/>
            <w:tcBorders>
              <w:bottom w:val="single" w:sz="12" w:space="0" w:color="000000"/>
            </w:tcBorders>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Name</w:t>
            </w:r>
          </w:p>
        </w:tc>
        <w:tc>
          <w:tcPr>
            <w:tcW w:w="100" w:type="pct"/>
            <w:shd w:val="clear" w:color="auto" w:fill="FFFFFF"/>
            <w:tcMar>
              <w:top w:w="0" w:type="dxa"/>
              <w:left w:w="0" w:type="dxa"/>
              <w:bottom w:w="30" w:type="dxa"/>
              <w:right w:w="0" w:type="dxa"/>
            </w:tcMar>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50" w:type="pct"/>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Awards (#)</w:t>
            </w:r>
          </w:p>
        </w:tc>
        <w:tc>
          <w:tcPr>
            <w:tcW w:w="50" w:type="pct"/>
            <w:shd w:val="clear" w:color="auto" w:fill="FFFFFF"/>
            <w:tcMar>
              <w:top w:w="0" w:type="dxa"/>
              <w:left w:w="0" w:type="dxa"/>
              <w:bottom w:w="30" w:type="dxa"/>
              <w:right w:w="0" w:type="dxa"/>
            </w:tcMar>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100" w:type="pct"/>
            <w:shd w:val="clear" w:color="auto" w:fill="FFFFFF"/>
            <w:tcMar>
              <w:top w:w="0" w:type="dxa"/>
              <w:left w:w="0" w:type="dxa"/>
              <w:bottom w:w="30" w:type="dxa"/>
              <w:right w:w="0" w:type="dxa"/>
            </w:tcMar>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50" w:type="pct"/>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Options (#)</w:t>
            </w:r>
          </w:p>
        </w:tc>
        <w:tc>
          <w:tcPr>
            <w:tcW w:w="50" w:type="pct"/>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During </w:t>
      </w:r>
      <w:r>
        <w:rPr>
          <w:sz w:val="20"/>
          <w:szCs w:val="20"/>
        </w:rPr>
        <w:t>June 2016, the Company granted to Mr. Cadwell options to purchase 12,500 shares of common stock at an exercise price of $8.00 per share, which options expired June 21, 2019. These options had a grant date fair value of $34,771, which amounts were calculate</w:t>
      </w:r>
      <w:r>
        <w:rPr>
          <w:sz w:val="20"/>
          <w:szCs w:val="20"/>
        </w:rPr>
        <w:t>d in accordance with ASC Topic 718.</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Additionally, </w:t>
      </w:r>
      <w:r>
        <w:rPr>
          <w:sz w:val="20"/>
          <w:szCs w:val="20"/>
        </w:rPr>
        <w:t>the Company granted warrants to purchase 6,425,503 shares of Company common stock to Carlton Cadwell in 2018 as a result of the Path Forward Agreements and conversion of his advances to the Company. These warrants expired in October 2020.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There are no em</w:t>
      </w:r>
      <w:r>
        <w:rPr>
          <w:sz w:val="20"/>
          <w:szCs w:val="20"/>
        </w:rPr>
        <w:t>ployment contracts or compensatory plans or arrangements with respect to any director that would result in payments by the Company to such person because of his or her resignation as a director or any change in control of the Company.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Compensation Commit</w:t>
      </w:r>
      <w:r>
        <w:rPr>
          <w:b/>
          <w:bCs/>
          <w:i/>
          <w:iCs/>
          <w:sz w:val="20"/>
          <w:szCs w:val="20"/>
          <w:u w:val="single"/>
        </w:rPr>
        <w:t>tee Interlocks and Insider Participation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None of our officers currently serves, or has served during the last completed fiscal year, on the compensation committee or board of directors of any other entity that has one or more officers serving as a member</w:t>
      </w:r>
      <w:r>
        <w:rPr>
          <w:sz w:val="20"/>
          <w:szCs w:val="20"/>
        </w:rPr>
        <w:t xml:space="preserve"> of our board of directors.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1298557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r>
        <w:rPr>
          <w:b/>
          <w:bCs/>
          <w:sz w:val="20"/>
          <w:szCs w:val="20"/>
        </w:rPr>
        <w:t> </w:t>
      </w:r>
    </w:p>
    <w:p w:rsidR="00000000" w:rsidRDefault="009649C3">
      <w:pPr>
        <w:pStyle w:val="a3"/>
        <w:spacing w:before="0" w:beforeAutospacing="0" w:after="0" w:afterAutospacing="0"/>
        <w:jc w:val="both"/>
        <w:rPr>
          <w:sz w:val="20"/>
          <w:szCs w:val="20"/>
        </w:rPr>
      </w:pPr>
      <w:bookmarkStart w:id="19" w:name="v_020"/>
      <w:bookmarkEnd w:id="19"/>
      <w:r>
        <w:rPr>
          <w:b/>
          <w:bCs/>
          <w:sz w:val="20"/>
          <w:szCs w:val="20"/>
        </w:rPr>
        <w:t>ITEM 12. SECURITY OWNERSHIP OF CERTAIN BENEFICIAL OWNERS AND MANAGEMENT AND RELATED STOCKHOLDER MATTERS.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Beneficial Ownership of the Company’s Common Stock</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as of March 18, 2021, the number of shares of common stock beneficially owned by the following persons: (i) all persons the Company knows to be beneficial owners of at least 5% of the Company’s common stock, (ii) the Company’s c</w:t>
      </w:r>
      <w:r>
        <w:rPr>
          <w:sz w:val="20"/>
          <w:szCs w:val="20"/>
        </w:rPr>
        <w:t>urrent directors, (iii) the Company’s current executive officers, and (iv) all current directors and executive officers as a group.</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of March 18, 2021, there were 297,346,254 shares of common stock outstanding and up to 90,093,648 shares issuable upon </w:t>
      </w:r>
      <w:r>
        <w:rPr>
          <w:sz w:val="20"/>
          <w:szCs w:val="20"/>
        </w:rPr>
        <w:t>exercise of common stock equivalents, assuming exercise and conversion occurred as of that date, for a total of 387,439,902 shares.</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61"/>
        <w:gridCol w:w="143"/>
        <w:gridCol w:w="65"/>
        <w:gridCol w:w="1301"/>
        <w:gridCol w:w="60"/>
        <w:gridCol w:w="143"/>
        <w:gridCol w:w="60"/>
        <w:gridCol w:w="1306"/>
        <w:gridCol w:w="267"/>
      </w:tblGrid>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9649C3">
            <w:pPr>
              <w:pStyle w:val="a3"/>
              <w:spacing w:before="0" w:beforeAutospacing="0" w:after="0" w:afterAutospacing="0"/>
              <w:jc w:val="center"/>
              <w:rPr>
                <w:sz w:val="20"/>
                <w:szCs w:val="20"/>
              </w:rPr>
            </w:pPr>
            <w:r>
              <w:rPr>
                <w:b/>
                <w:bCs/>
                <w:sz w:val="20"/>
                <w:szCs w:val="20"/>
              </w:rPr>
              <w:t>of Beneficial</w:t>
            </w:r>
          </w:p>
          <w:p w:rsidR="00000000" w:rsidRDefault="009649C3">
            <w:pPr>
              <w:pStyle w:val="a3"/>
              <w:spacing w:before="0" w:beforeAutospacing="0" w:after="0" w:afterAutospacing="0"/>
              <w:jc w:val="center"/>
              <w:rPr>
                <w:sz w:val="20"/>
                <w:szCs w:val="20"/>
              </w:rPr>
            </w:pPr>
            <w:r>
              <w:rPr>
                <w:b/>
                <w:bCs/>
                <w:sz w:val="20"/>
                <w:szCs w:val="20"/>
              </w:rPr>
              <w:t>Ownership</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26,912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p>
        </w:tc>
        <w:tc>
          <w:tcPr>
            <w:tcW w:w="800" w:type="pct"/>
            <w:shd w:val="clear" w:color="auto" w:fill="CCEEFF"/>
            <w:vAlign w:val="bottom"/>
            <w:hideMark/>
          </w:tcPr>
          <w:p w:rsidR="00000000" w:rsidRDefault="009649C3">
            <w:pPr>
              <w:rPr>
                <w:rFonts w:eastAsia="Times New Roman"/>
                <w:sz w:val="20"/>
                <w:szCs w:val="20"/>
              </w:rPr>
            </w:pP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 xml:space="preserve">Carlton M. Cadwell </w:t>
            </w:r>
            <w:r>
              <w:rPr>
                <w:rFonts w:eastAsia="Times New Roman"/>
                <w:sz w:val="20"/>
                <w:szCs w:val="20"/>
                <w:vertAlign w:val="superscript"/>
              </w:rPr>
              <w:t>(3)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14,113,442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 xml:space="preserve">Michael K. Korenko </w:t>
            </w:r>
            <w:r>
              <w:rPr>
                <w:rFonts w:eastAsia="Times New Roman"/>
                <w:sz w:val="20"/>
                <w:szCs w:val="20"/>
                <w:vertAlign w:val="superscript"/>
              </w:rPr>
              <w:t>(4)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34,140,222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8.8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Michael Pollack</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16,000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All Current Directors and Executive Officers as a group (3 individuals)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48,296,576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12.4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360"/>
        <w:jc w:val="both"/>
        <w:rPr>
          <w:sz w:val="20"/>
          <w:szCs w:val="20"/>
        </w:rPr>
      </w:pPr>
      <w:r>
        <w:rPr>
          <w:sz w:val="20"/>
          <w:szCs w:val="20"/>
        </w:rPr>
        <w:t>*Less than 1%</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9649C3">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9649C3">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the Cadwell Family Irrevocable Trust (the “</w:t>
            </w:r>
            <w:r>
              <w:rPr>
                <w:rFonts w:eastAsia="Times New Roman"/>
                <w:i/>
                <w:iCs/>
                <w:sz w:val="20"/>
                <w:szCs w:val="20"/>
              </w:rPr>
              <w:t>Cadwell Trust</w:t>
            </w:r>
            <w:r>
              <w:rPr>
                <w:rFonts w:eastAsia="Times New Roman"/>
                <w:sz w:val="20"/>
                <w:szCs w:val="20"/>
              </w:rPr>
              <w:t>”) is 909 North Kellogg Street, Kennewick, WA 99336.</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9649C3">
            <w:pPr>
              <w:jc w:val="both"/>
              <w:rPr>
                <w:rFonts w:eastAsia="Times New Roman"/>
                <w:sz w:val="20"/>
                <w:szCs w:val="20"/>
              </w:rPr>
            </w:pPr>
            <w:r>
              <w:rPr>
                <w:rFonts w:eastAsia="Times New Roman"/>
                <w:sz w:val="20"/>
                <w:szCs w:val="20"/>
              </w:rPr>
              <w:t xml:space="preserve">In </w:t>
            </w:r>
            <w:r>
              <w:rPr>
                <w:rFonts w:eastAsia="Times New Roman"/>
                <w:sz w:val="20"/>
                <w:szCs w:val="20"/>
              </w:rPr>
              <w:t>determining beneficial ownership of the Company’s common stock as of a given date, the number of shares shown includes shares of common stock which may be acquired upon exercise of the common stock equivalents within 60 days of that date. In determining th</w:t>
            </w:r>
            <w:r>
              <w:rPr>
                <w:rFonts w:eastAsia="Times New Roman"/>
                <w:sz w:val="20"/>
                <w:szCs w:val="20"/>
              </w:rPr>
              <w:t>e percent of common stock owned by a person or entity on March 18, 2021, (a) the numerator is the number of shares of the class beneficially owned by such person or entity, including shares which may be acquired within 60 days on exercise of the common sto</w:t>
            </w:r>
            <w:r>
              <w:rPr>
                <w:rFonts w:eastAsia="Times New Roman"/>
                <w:sz w:val="20"/>
                <w:szCs w:val="20"/>
              </w:rPr>
              <w:t xml:space="preserve">ck equivalents, and (b) the denominator is the sum of (i) the total shares of common stock outstanding on March 18, 2021, and (ii) the total number of shares that the beneficial owner may acquire upon conversion of the common stock equivalents. Subject to </w:t>
            </w:r>
            <w:r>
              <w:rPr>
                <w:rFonts w:eastAsia="Times New Roman"/>
                <w:sz w:val="20"/>
                <w:szCs w:val="20"/>
              </w:rPr>
              <w:t>community property laws where applicable, the Company believes that each beneficial owner has sole power to vote and dispose of its shares, except that under the terms of the Cadwell Trust, Dr. Cadwell does not have or share voting or investment power over</w:t>
            </w:r>
            <w:r>
              <w:rPr>
                <w:rFonts w:eastAsia="Times New Roman"/>
                <w:sz w:val="20"/>
                <w:szCs w:val="20"/>
              </w:rPr>
              <w:t xml:space="preserve"> the shares beneficially owned by the Cadwell Trust.</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9649C3">
            <w:pPr>
              <w:jc w:val="both"/>
              <w:rPr>
                <w:rFonts w:eastAsia="Times New Roman"/>
                <w:sz w:val="20"/>
                <w:szCs w:val="20"/>
              </w:rPr>
            </w:pPr>
            <w:r>
              <w:rPr>
                <w:rFonts w:eastAsia="Times New Roman"/>
                <w:sz w:val="20"/>
                <w:szCs w:val="20"/>
              </w:rPr>
              <w:t>Includes 1,136,137 shares issuable upon conversion of Series A Preferred; and 4,816,275 shares issuable upon conversion of Series C Preferred.</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(4)</w:t>
            </w:r>
          </w:p>
        </w:tc>
        <w:tc>
          <w:tcPr>
            <w:tcW w:w="0" w:type="auto"/>
            <w:hideMark/>
          </w:tcPr>
          <w:p w:rsidR="00000000" w:rsidRDefault="009649C3">
            <w:pPr>
              <w:jc w:val="both"/>
              <w:rPr>
                <w:rFonts w:eastAsia="Times New Roman"/>
                <w:sz w:val="20"/>
                <w:szCs w:val="20"/>
              </w:rPr>
            </w:pPr>
            <w:r>
              <w:rPr>
                <w:rFonts w:eastAsia="Times New Roman"/>
                <w:sz w:val="20"/>
                <w:szCs w:val="20"/>
              </w:rPr>
              <w:t>Includes 125,000 shares issuable upon co</w:t>
            </w:r>
            <w:r>
              <w:rPr>
                <w:rFonts w:eastAsia="Times New Roman"/>
                <w:sz w:val="20"/>
                <w:szCs w:val="20"/>
              </w:rPr>
              <w:t>nversion of Series A Preferred; 825,000 of vested Restricted Stock Units; 26,620,152 shares issuable upon the exercise of stock options exercisable within 60 days of March 18, 2021; and 225,000 shares issuable upon the exercise of warrants that may be exer</w:t>
            </w:r>
            <w:r>
              <w:rPr>
                <w:rFonts w:eastAsia="Times New Roman"/>
                <w:sz w:val="20"/>
                <w:szCs w:val="20"/>
              </w:rPr>
              <w:t>cised within 60 days of March 18, 2021.</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0486614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Beneficial Ownership of the Company’s Series A Convertible Preferred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w:t>
      </w:r>
      <w:r>
        <w:rPr>
          <w:sz w:val="20"/>
          <w:szCs w:val="20"/>
        </w:rPr>
        <w:t>of March 18, 2021, there were 2,171,007 shares of Series A Preferred issued and outstanding, convertible into 2,713,759 shares of the Company’s common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as of March 18, 2021, the number of shares of Series A Preferred</w:t>
      </w:r>
      <w:r>
        <w:rPr>
          <w:sz w:val="20"/>
          <w:szCs w:val="20"/>
        </w:rPr>
        <w:t xml:space="preserve"> beneficially owned by the following persons: (i) all persons the Company known to be beneficial owners of at least 5% of the Company’s Series A Preferred, (ii) the Company’s current directors, (iii) the Company’s current executive officers, and (iv) all c</w:t>
      </w:r>
      <w:r>
        <w:rPr>
          <w:sz w:val="20"/>
          <w:szCs w:val="20"/>
        </w:rPr>
        <w:t>urrent directors and executive officers as a group.</w:t>
      </w:r>
    </w:p>
    <w:p w:rsidR="00000000" w:rsidRDefault="009649C3">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9649C3">
            <w:pPr>
              <w:pStyle w:val="a3"/>
              <w:shd w:val="clear" w:color="auto" w:fill="FFFFFF"/>
              <w:spacing w:before="0" w:beforeAutospacing="0" w:after="0" w:afterAutospacing="0"/>
              <w:jc w:val="center"/>
              <w:rPr>
                <w:sz w:val="20"/>
                <w:szCs w:val="20"/>
              </w:rPr>
            </w:pPr>
            <w:r>
              <w:rPr>
                <w:b/>
                <w:bCs/>
                <w:sz w:val="20"/>
                <w:szCs w:val="20"/>
              </w:rPr>
              <w:t>of Beneficial</w:t>
            </w:r>
          </w:p>
          <w:p w:rsidR="00000000" w:rsidRDefault="009649C3">
            <w:pPr>
              <w:pStyle w:val="a3"/>
              <w:shd w:val="clear" w:color="auto" w:fill="FFFFFF"/>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148,309</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6.8</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908,910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41.9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Michael K. Korenko</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All Current Directors and Executive Officers as a group (2 individuals)</w:t>
            </w:r>
            <w:r>
              <w:rPr>
                <w:rFonts w:eastAsia="Times New Roman"/>
                <w:b/>
                <w:bCs/>
                <w:sz w:val="20"/>
                <w:szCs w:val="20"/>
                <w:vertAlign w:val="superscript"/>
              </w:rPr>
              <w:t>(3)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1,157,219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53.3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Firstfire Global Opportunities Fund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113,724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L. Bruce Jolliff</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197,979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Stoel Rives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133,333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9649C3">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9649C3">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(i) the Cadwell Family Irrevocable Trust (the “</w:t>
            </w:r>
            <w:r>
              <w:rPr>
                <w:rFonts w:eastAsia="Times New Roman"/>
                <w:i/>
                <w:iCs/>
                <w:sz w:val="20"/>
                <w:szCs w:val="20"/>
              </w:rPr>
              <w:t>Cadwell Trust</w:t>
            </w:r>
            <w:r>
              <w:rPr>
                <w:rFonts w:eastAsia="Times New Roman"/>
                <w:sz w:val="20"/>
                <w:szCs w:val="20"/>
              </w:rPr>
              <w:t>” ) is 909 North Kellogg Street, Kennewick, WA 99336; (ii) Firstf</w:t>
            </w:r>
            <w:r>
              <w:rPr>
                <w:rFonts w:eastAsia="Times New Roman"/>
                <w:sz w:val="20"/>
                <w:szCs w:val="20"/>
              </w:rPr>
              <w:t>ire Global Opportunities Fund LLC is 1040 First Avenue, Suite 190, New York, NY 10022; (iii) L. Bruce Jolliff is 206 N 41st St. Unit 1, Yakima, WA 98901; and (iv) Stoel Rives is One Union Square, 600 University Street, Suite 3600, Seattle, WA 98101.</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9649C3">
            <w:pPr>
              <w:jc w:val="both"/>
              <w:rPr>
                <w:rFonts w:eastAsia="Times New Roman"/>
                <w:sz w:val="20"/>
                <w:szCs w:val="20"/>
              </w:rPr>
            </w:pPr>
            <w:r>
              <w:rPr>
                <w:rFonts w:eastAsia="Times New Roman"/>
                <w:sz w:val="20"/>
                <w:szCs w:val="20"/>
              </w:rPr>
              <w:t>Subject to community property laws where applicable, the Company believes that each beneficial owner has sole power to vote and dispose of its shares, except that Dr. Cadwell under the terms of the Cadwell Trust does not have or share voting or investm</w:t>
            </w:r>
            <w:r>
              <w:rPr>
                <w:rFonts w:eastAsia="Times New Roman"/>
                <w:sz w:val="20"/>
                <w:szCs w:val="20"/>
              </w:rPr>
              <w:t>ent power over the Series A Convertible Preferred beneficially owned by the Cadwell Trust.</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9649C3">
            <w:pPr>
              <w:jc w:val="both"/>
              <w:rPr>
                <w:rFonts w:eastAsia="Times New Roman"/>
                <w:sz w:val="20"/>
                <w:szCs w:val="20"/>
              </w:rPr>
            </w:pPr>
            <w:r>
              <w:rPr>
                <w:rFonts w:eastAsia="Times New Roman"/>
                <w:sz w:val="20"/>
                <w:szCs w:val="20"/>
              </w:rPr>
              <w:t>Michael Pollack, the Company’s Interim Chief Financial Officer, does not hold any Company Series A Convertible Preferred, and has therefore been omitted fr</w:t>
            </w:r>
            <w:r>
              <w:rPr>
                <w:rFonts w:eastAsia="Times New Roman"/>
                <w:sz w:val="20"/>
                <w:szCs w:val="20"/>
              </w:rPr>
              <w:t>om this table.</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5087162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Beneficial Ownership of the Company’s Series B Convertible Preferred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w:t>
      </w:r>
      <w:r>
        <w:rPr>
          <w:sz w:val="20"/>
          <w:szCs w:val="20"/>
        </w:rPr>
        <w:t>of March 18, 2021, there were 436,653 shares of Series B Preferred issued and outstanding, convertible into 5,458,163 shares of the Company’s common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as of March 18, 2021, the number of shares of Series B Preferred b</w:t>
      </w:r>
      <w:r>
        <w:rPr>
          <w:sz w:val="20"/>
          <w:szCs w:val="20"/>
        </w:rPr>
        <w:t>eneficially owned by the following persons: (i) all persons the Company known to be beneficial owners of at least 5% of the Company’s Series B Preferred, (ii) the Company’s current directors, (iii) the Company’s current executive officers, and (iv) all cur</w:t>
      </w:r>
      <w:r>
        <w:rPr>
          <w:sz w:val="20"/>
          <w:szCs w:val="20"/>
        </w:rPr>
        <w:t>rent directors and executive officers as a group.</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61"/>
        <w:gridCol w:w="143"/>
        <w:gridCol w:w="60"/>
        <w:gridCol w:w="1306"/>
        <w:gridCol w:w="60"/>
        <w:gridCol w:w="143"/>
        <w:gridCol w:w="60"/>
        <w:gridCol w:w="1306"/>
        <w:gridCol w:w="267"/>
      </w:tblGrid>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9649C3">
            <w:pPr>
              <w:pStyle w:val="a3"/>
              <w:spacing w:before="0" w:beforeAutospacing="0" w:after="0" w:afterAutospacing="0"/>
              <w:jc w:val="center"/>
              <w:rPr>
                <w:sz w:val="20"/>
                <w:szCs w:val="20"/>
              </w:rPr>
            </w:pPr>
            <w:r>
              <w:rPr>
                <w:b/>
                <w:bCs/>
                <w:sz w:val="20"/>
                <w:szCs w:val="20"/>
              </w:rPr>
              <w:t>of Beneficial</w:t>
            </w:r>
          </w:p>
          <w:p w:rsidR="00000000" w:rsidRDefault="009649C3">
            <w:pPr>
              <w:pStyle w:val="a3"/>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9649C3">
            <w:pPr>
              <w:rPr>
                <w:rFonts w:eastAsia="Times New Roman"/>
                <w:b/>
                <w:bCs/>
                <w:sz w:val="20"/>
                <w:szCs w:val="20"/>
              </w:rPr>
            </w:pPr>
            <w:r>
              <w:rPr>
                <w:rFonts w:eastAsia="Times New Roman"/>
                <w:b/>
                <w:bCs/>
                <w:sz w:val="20"/>
                <w:szCs w:val="20"/>
              </w:rPr>
              <w:t>All Current Directors and Executive Officers as a group (3 individuals)</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p>
        </w:tc>
        <w:tc>
          <w:tcPr>
            <w:tcW w:w="800" w:type="pct"/>
            <w:shd w:val="clear" w:color="auto" w:fill="CCEEFF"/>
            <w:vAlign w:val="bottom"/>
            <w:hideMark/>
          </w:tcPr>
          <w:p w:rsidR="00000000" w:rsidRDefault="009649C3">
            <w:pPr>
              <w:rPr>
                <w:rFonts w:eastAsia="Times New Roman"/>
                <w:sz w:val="20"/>
                <w:szCs w:val="20"/>
              </w:rPr>
            </w:pP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Jason Adelman</w:t>
            </w:r>
            <w:r>
              <w:rPr>
                <w:rFonts w:eastAsia="Times New Roman"/>
                <w:sz w:val="20"/>
                <w:szCs w:val="20"/>
                <w:vertAlign w:val="superscript"/>
              </w:rPr>
              <w:t>(3)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436,290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left="360"/>
        <w:jc w:val="both"/>
        <w:rPr>
          <w:sz w:val="20"/>
          <w:szCs w:val="20"/>
        </w:rPr>
      </w:pPr>
      <w:r>
        <w:rPr>
          <w:sz w:val="20"/>
          <w:szCs w:val="20"/>
        </w:rPr>
        <w:t>*Less than 1%</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tcMar>
              <w:top w:w="0" w:type="dxa"/>
              <w:left w:w="0" w:type="dxa"/>
              <w:bottom w:w="0" w:type="dxa"/>
              <w:right w:w="2" w:type="dxa"/>
            </w:tcMar>
            <w:hideMark/>
          </w:tcPr>
          <w:p w:rsidR="00000000" w:rsidRDefault="009649C3">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9649C3">
            <w:pPr>
              <w:jc w:val="both"/>
              <w:rPr>
                <w:rFonts w:eastAsia="Times New Roman"/>
                <w:sz w:val="20"/>
                <w:szCs w:val="20"/>
              </w:rPr>
            </w:pPr>
            <w:r>
              <w:rPr>
                <w:rFonts w:eastAsia="Times New Roman"/>
                <w:sz w:val="20"/>
                <w:szCs w:val="20"/>
              </w:rPr>
              <w:t xml:space="preserve">None </w:t>
            </w:r>
            <w:r>
              <w:rPr>
                <w:rFonts w:eastAsia="Times New Roman"/>
                <w:sz w:val="20"/>
                <w:szCs w:val="20"/>
              </w:rPr>
              <w:t>of the Company’s directors and executive officers hold any shares of the Company’s Series B Convertible Preferred, and they have therefore been omitted from this table. The address of each of the beneficial owners are as follows: (i) Jason Adelman is 40 Ea</w:t>
            </w:r>
            <w:r>
              <w:rPr>
                <w:rFonts w:eastAsia="Times New Roman"/>
                <w:sz w:val="20"/>
                <w:szCs w:val="20"/>
              </w:rPr>
              <w:t>st 66th St., New York, NY 10065; and (ii) Cipher 06, LLC, c/o Ellis Lake Capital, 444 Madison Avenue, 40</w:t>
            </w:r>
            <w:r>
              <w:rPr>
                <w:rFonts w:eastAsia="Times New Roman"/>
                <w:sz w:val="20"/>
                <w:szCs w:val="20"/>
                <w:vertAlign w:val="superscript"/>
              </w:rPr>
              <w:t xml:space="preserve">th </w:t>
            </w:r>
            <w:r>
              <w:rPr>
                <w:rFonts w:eastAsia="Times New Roman"/>
                <w:sz w:val="20"/>
                <w:szCs w:val="20"/>
              </w:rPr>
              <w:t>Floor, New York, NY 10022.</w:t>
            </w:r>
          </w:p>
        </w:tc>
      </w:tr>
      <w:tr w:rsidR="00000000">
        <w:tc>
          <w:tcPr>
            <w:tcW w:w="0" w:type="auto"/>
            <w:tcMar>
              <w:top w:w="0" w:type="dxa"/>
              <w:left w:w="0" w:type="dxa"/>
              <w:bottom w:w="0" w:type="dxa"/>
              <w:right w:w="2" w:type="dxa"/>
            </w:tcMar>
            <w:hideMark/>
          </w:tcPr>
          <w:p w:rsidR="00000000" w:rsidRDefault="009649C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2" w:type="dxa"/>
            </w:tcMar>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9649C3">
            <w:pPr>
              <w:jc w:val="both"/>
              <w:rPr>
                <w:rFonts w:eastAsia="Times New Roman"/>
                <w:sz w:val="20"/>
                <w:szCs w:val="20"/>
              </w:rPr>
            </w:pPr>
            <w:r>
              <w:rPr>
                <w:rFonts w:eastAsia="Times New Roman"/>
                <w:sz w:val="20"/>
                <w:szCs w:val="20"/>
              </w:rPr>
              <w:t>Subject to community property laws where applicable, the Company believes that each beneficial owner has sole po</w:t>
            </w:r>
            <w:r>
              <w:rPr>
                <w:rFonts w:eastAsia="Times New Roman"/>
                <w:sz w:val="20"/>
                <w:szCs w:val="20"/>
              </w:rPr>
              <w:t>wer to vote and dispose of its shares.</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9649C3">
            <w:pPr>
              <w:jc w:val="both"/>
              <w:rPr>
                <w:rFonts w:eastAsia="Times New Roman"/>
                <w:sz w:val="20"/>
                <w:szCs w:val="20"/>
              </w:rPr>
            </w:pPr>
            <w:r>
              <w:rPr>
                <w:rFonts w:eastAsia="Times New Roman"/>
                <w:sz w:val="20"/>
                <w:szCs w:val="20"/>
              </w:rPr>
              <w:t>Includes 200,000 shares of Series B Preferred held by JTA Resources LLC.</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u w:val="single"/>
        </w:rPr>
        <w:t>Beneficial Ownership of the Company’s Series C Convertible Preferred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As </w:t>
      </w:r>
      <w:r>
        <w:rPr>
          <w:sz w:val="20"/>
          <w:szCs w:val="20"/>
        </w:rPr>
        <w:t>of March 18, 2021, there were 385,302 shares of Series C Preferred issued and outstanding, convertible into 4,816,275 shares of the Company’s common stock.</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following table sets forth, as of March 18, 2021, the number of shares of Series C Preferred b</w:t>
      </w:r>
      <w:r>
        <w:rPr>
          <w:sz w:val="20"/>
          <w:szCs w:val="20"/>
        </w:rPr>
        <w:t>eneficially owned by the following persons: (i) all persons the Company known to be beneficial owners of at least 5% of the Company’s Series C Preferred, (ii) the Company’s current directors, (iii) the Company’s current executive officers, and (iv) all cur</w:t>
      </w:r>
      <w:r>
        <w:rPr>
          <w:sz w:val="20"/>
          <w:szCs w:val="20"/>
        </w:rPr>
        <w:t>rent directors and executive officers as a group.</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Name and Address of Beneficial Owner (1)</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Amount and</w:t>
            </w:r>
          </w:p>
          <w:p w:rsidR="00000000" w:rsidRDefault="009649C3">
            <w:pPr>
              <w:pStyle w:val="a3"/>
              <w:spacing w:before="0" w:beforeAutospacing="0" w:after="0" w:afterAutospacing="0"/>
              <w:jc w:val="center"/>
              <w:rPr>
                <w:sz w:val="20"/>
                <w:szCs w:val="20"/>
              </w:rPr>
            </w:pPr>
            <w:r>
              <w:rPr>
                <w:b/>
                <w:bCs/>
                <w:sz w:val="20"/>
                <w:szCs w:val="20"/>
              </w:rPr>
              <w:t>Nature</w:t>
            </w:r>
          </w:p>
          <w:p w:rsidR="00000000" w:rsidRDefault="009649C3">
            <w:pPr>
              <w:pStyle w:val="a3"/>
              <w:spacing w:before="0" w:beforeAutospacing="0" w:after="0" w:afterAutospacing="0"/>
              <w:jc w:val="center"/>
              <w:rPr>
                <w:sz w:val="20"/>
                <w:szCs w:val="20"/>
              </w:rPr>
            </w:pPr>
            <w:r>
              <w:rPr>
                <w:b/>
                <w:bCs/>
                <w:sz w:val="20"/>
                <w:szCs w:val="20"/>
              </w:rPr>
              <w:t>of Beneficial</w:t>
            </w:r>
          </w:p>
          <w:p w:rsidR="00000000" w:rsidRDefault="009649C3">
            <w:pPr>
              <w:pStyle w:val="a3"/>
              <w:spacing w:before="0" w:beforeAutospacing="0" w:after="0" w:afterAutospacing="0"/>
              <w:jc w:val="center"/>
              <w:rPr>
                <w:sz w:val="20"/>
                <w:szCs w:val="20"/>
              </w:rPr>
            </w:pPr>
            <w:r>
              <w:rPr>
                <w:b/>
                <w:bCs/>
                <w:sz w:val="20"/>
                <w:szCs w:val="20"/>
              </w:rPr>
              <w:t>Ownership (2)</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sz w:val="20"/>
                <w:szCs w:val="20"/>
              </w:rPr>
            </w:pPr>
            <w:r>
              <w:rPr>
                <w:b/>
                <w:bCs/>
                <w:sz w:val="20"/>
                <w:szCs w:val="20"/>
              </w:rPr>
              <w:t>Percent of</w:t>
            </w:r>
          </w:p>
          <w:p w:rsidR="00000000" w:rsidRDefault="009649C3">
            <w:pPr>
              <w:pStyle w:val="a3"/>
              <w:spacing w:before="0" w:beforeAutospacing="0" w:after="0" w:afterAutospacing="0"/>
              <w:jc w:val="center"/>
              <w:rPr>
                <w:sz w:val="20"/>
                <w:szCs w:val="20"/>
              </w:rPr>
            </w:pPr>
            <w:r>
              <w:rPr>
                <w:b/>
                <w:bCs/>
                <w:sz w:val="20"/>
                <w:szCs w:val="20"/>
              </w:rPr>
              <w:t>Class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Carlton M. Cadwell</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385,302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b/>
                <w:bCs/>
                <w:sz w:val="20"/>
                <w:szCs w:val="20"/>
              </w:rPr>
              <w:t xml:space="preserve">All </w:t>
            </w:r>
            <w:r>
              <w:rPr>
                <w:rFonts w:eastAsia="Times New Roman"/>
                <w:b/>
                <w:bCs/>
                <w:sz w:val="20"/>
                <w:szCs w:val="20"/>
              </w:rPr>
              <w:t xml:space="preserve">Current Directors and Executive Officers as a group (3 individuals) </w:t>
            </w:r>
            <w:r>
              <w:rPr>
                <w:rFonts w:eastAsia="Times New Roman"/>
                <w:b/>
                <w:bCs/>
                <w:sz w:val="20"/>
                <w:szCs w:val="20"/>
                <w:vertAlign w:val="superscript"/>
              </w:rPr>
              <w:t>(3)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385,302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88298525"/>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9649C3">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9649C3">
            <w:pPr>
              <w:jc w:val="both"/>
              <w:rPr>
                <w:rFonts w:eastAsia="Times New Roman"/>
                <w:sz w:val="20"/>
                <w:szCs w:val="20"/>
              </w:rPr>
            </w:pPr>
            <w:r>
              <w:rPr>
                <w:rFonts w:eastAsia="Times New Roman"/>
                <w:sz w:val="20"/>
                <w:szCs w:val="20"/>
              </w:rPr>
              <w:t xml:space="preserve">The </w:t>
            </w:r>
            <w:r>
              <w:rPr>
                <w:rFonts w:eastAsia="Times New Roman"/>
                <w:sz w:val="20"/>
                <w:szCs w:val="20"/>
              </w:rPr>
              <w:t xml:space="preserve">address of each of the beneficial owners above is c/o Vivos Inc, 719 Jadwin Avenue, Richland, WA 99336., </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9649C3">
            <w:pPr>
              <w:jc w:val="both"/>
              <w:rPr>
                <w:rFonts w:eastAsia="Times New Roman"/>
                <w:sz w:val="20"/>
                <w:szCs w:val="20"/>
              </w:rPr>
            </w:pPr>
            <w:r>
              <w:rPr>
                <w:rFonts w:eastAsia="Times New Roman"/>
                <w:sz w:val="20"/>
                <w:szCs w:val="20"/>
              </w:rPr>
              <w:t>Subject to community property laws where applicable, the Company believes that each beneficial owner has sole power to vote and dispose of i</w:t>
            </w:r>
            <w:r>
              <w:rPr>
                <w:rFonts w:eastAsia="Times New Roman"/>
                <w:sz w:val="20"/>
                <w:szCs w:val="20"/>
              </w:rPr>
              <w:t>ts shares, except that Dr. Cadwell under the terms of the Cadwell Trust does not have or share voting or investment power over the Series C Preferred beneficially owned by the Cadwell Trust.</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9649C3">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9649C3">
            <w:pPr>
              <w:jc w:val="both"/>
              <w:rPr>
                <w:rFonts w:eastAsia="Times New Roman"/>
                <w:sz w:val="20"/>
                <w:szCs w:val="20"/>
              </w:rPr>
            </w:pPr>
            <w:r>
              <w:rPr>
                <w:rFonts w:eastAsia="Times New Roman"/>
                <w:sz w:val="20"/>
                <w:szCs w:val="20"/>
              </w:rPr>
              <w:t xml:space="preserve">Neither </w:t>
            </w:r>
            <w:r>
              <w:rPr>
                <w:rFonts w:eastAsia="Times New Roman"/>
                <w:sz w:val="20"/>
                <w:szCs w:val="20"/>
              </w:rPr>
              <w:t>Michael Korenko, the Company’s Chief Executive Officer, nor Michael Pollack, the Company’s Interim Chief Financial Officer, hold any shares of the Company’s Series C Preferred, and they have therefore been omitted from this table.</w:t>
            </w:r>
          </w:p>
        </w:tc>
      </w:tr>
    </w:tbl>
    <w:p w:rsidR="00000000" w:rsidRDefault="009649C3">
      <w:pPr>
        <w:pStyle w:val="a3"/>
        <w:spacing w:before="0" w:beforeAutospacing="0" w:after="0" w:afterAutospacing="0"/>
        <w:jc w:val="both"/>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Changes in Control</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w:t>
      </w:r>
      <w:r>
        <w:rPr>
          <w:sz w:val="20"/>
          <w:szCs w:val="20"/>
        </w:rPr>
        <w:t>he Company does not know of any arrangements, including any pledges of the Company’s securities that may result in a change in control of the Company.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20" w:name="v_021"/>
      <w:bookmarkEnd w:id="20"/>
      <w:r>
        <w:rPr>
          <w:b/>
          <w:bCs/>
          <w:sz w:val="20"/>
          <w:szCs w:val="20"/>
        </w:rPr>
        <w:t>ITEM 13. CERTAIN RELATIONSHIPS AND RELATED TRANSACTIONS, AND DIRECTOR INDEPENDENCE.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Indebtedness from</w:t>
      </w:r>
      <w:r>
        <w:rPr>
          <w:b/>
          <w:bCs/>
          <w:i/>
          <w:iCs/>
          <w:sz w:val="20"/>
          <w:szCs w:val="20"/>
          <w:u w:val="single"/>
        </w:rPr>
        <w:t xml:space="preserve"> Related Parties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January 24, 2019, the Company entered into a note payable with a trust related to Mr. Cadwell in the amount of $60,000. The note is for a one-year period maturing January 24, 2020 and bears interest at an annual rate of 8.0%. This not</w:t>
      </w:r>
      <w:r>
        <w:rPr>
          <w:sz w:val="20"/>
          <w:szCs w:val="20"/>
        </w:rPr>
        <w:t>e is currently in default.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0060854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On </w:t>
      </w:r>
      <w:r>
        <w:rPr>
          <w:sz w:val="20"/>
          <w:szCs w:val="20"/>
        </w:rPr>
        <w:t>March 27, 2019 the Company entered into a note payable with a trust related to Mr. Cadwell in the amount of $48,000. The note is for a one-year period maturing March 27, 2020 and bears interest at an annual rate of 8.0%. This note is currently in default.</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April 29, 2019, the Company entered into a note payable with a trust related to Mr. Cadwell in the amount of $29,000. The note is for a one-year period maturing April 29, 2020 and bears interest at an annual rate of 8.0%.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May 20, 2019 and May 23,</w:t>
      </w:r>
      <w:r>
        <w:rPr>
          <w:sz w:val="20"/>
          <w:szCs w:val="20"/>
        </w:rPr>
        <w:t xml:space="preserve"> 2019, Mr. Korenko advanced $20,000 collectively to the Company. Mr. Korenko is not charging interest on these amounts advanced and they are short-term advances, due on demand. Of this amount $5,000 was repaid and the balance of $15,000 was converted into </w:t>
      </w:r>
      <w:r>
        <w:rPr>
          <w:sz w:val="20"/>
          <w:szCs w:val="20"/>
        </w:rPr>
        <w:t>a convertible note payable at an annual interest rate of 8% due January 15, 2020. This note was converted in April 2020.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July 5, 2019, the Company entered into a note payable with a trust related to Mr. Cadwell in the amount of $50,000. The note is fo</w:t>
      </w:r>
      <w:r>
        <w:rPr>
          <w:sz w:val="20"/>
          <w:szCs w:val="20"/>
        </w:rPr>
        <w:t>r a one-year period maturing July 5, 2020 and bears interest at an annual rate of 8.0%.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On November 25, 2019, the Company entered into a note payable with a trust related to Mr. Cadwell in the amount of $50,000. The note is for a one-year period maturing</w:t>
      </w:r>
      <w:r>
        <w:rPr>
          <w:sz w:val="20"/>
          <w:szCs w:val="20"/>
        </w:rPr>
        <w:t xml:space="preserve"> November 25, 2020 and bears interest at an annual rate of 8.0%.</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Company borrowed $107,000 in the year ended December 31, 2020 from its CEO and repaid these amounts in full.</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Independent Directors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Company’s common stock is traded on the OTCQB </w:t>
      </w:r>
      <w:r>
        <w:rPr>
          <w:sz w:val="20"/>
          <w:szCs w:val="20"/>
        </w:rPr>
        <w:t>Marketplace, which does not impose any independence requirements on the Board of Directors or the board committees of the companies whose stock is traded on that market. The Company has decided to adopt the independence standards of the Nasdaq listing rule</w:t>
      </w:r>
      <w:r>
        <w:rPr>
          <w:sz w:val="20"/>
          <w:szCs w:val="20"/>
        </w:rPr>
        <w:t>s in determining whether the Company’s directors are independent. Generally, under those rules a director does not qualify as an independent director if the director or a member of the director’s immediate family has had in the past three years certain rel</w:t>
      </w:r>
      <w:r>
        <w:rPr>
          <w:sz w:val="20"/>
          <w:szCs w:val="20"/>
        </w:rPr>
        <w:t>ationships or affiliations with the Company, the Company’s auditors, or other companies that do business with the Company. The Company’s Board of Directors has determined that Mr. Cadwell is qualified as an independent director under those Nasdaq rules, an</w:t>
      </w:r>
      <w:r>
        <w:rPr>
          <w:sz w:val="20"/>
          <w:szCs w:val="20"/>
        </w:rPr>
        <w:t>d accordingly, would have been qualified under those rules to serve on a compensation committee or a nominating committee, if the Company had established such committees of the Company’s Board of Directors. Dr. Korenko is not an independent director due to</w:t>
      </w:r>
      <w:r>
        <w:rPr>
          <w:sz w:val="20"/>
          <w:szCs w:val="20"/>
        </w:rPr>
        <w:t xml:space="preserve"> his employment by the Company as an executive officer.</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21" w:name="v_022"/>
      <w:bookmarkEnd w:id="21"/>
      <w:r>
        <w:rPr>
          <w:b/>
          <w:bCs/>
          <w:sz w:val="20"/>
          <w:szCs w:val="20"/>
        </w:rPr>
        <w:t>ITEM 14. PRINCIPAL ACCOUNTANT FEES AND SERVICES.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Audit Fees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aggregate fees incurred by the Company’</w:t>
      </w:r>
      <w:r>
        <w:rPr>
          <w:sz w:val="20"/>
          <w:szCs w:val="20"/>
        </w:rPr>
        <w:t>s principal accountant for the audit of the Company’s annual financial statements, review of financial statements included in the quarterly reports and other fees that are normally provided by the accountant in connection with statutory and regulatory fili</w:t>
      </w:r>
      <w:r>
        <w:rPr>
          <w:sz w:val="20"/>
          <w:szCs w:val="20"/>
        </w:rPr>
        <w:t>ngs or engagements for the years ended December 31, 2020 and 2019 were $61,500 and $61,500, respectively, all of which was paid to Fruci &amp; Associates II, PLLC.</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Audit Related Fees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The aggregate fees billed for professional services that are reasonably r</w:t>
      </w:r>
      <w:r>
        <w:rPr>
          <w:sz w:val="20"/>
          <w:szCs w:val="20"/>
        </w:rPr>
        <w:t>elated to the performance of the audit or review of the Company’s financial statements but are not reported “Audit Fees” for the years ended December 31, 2020 and 2019 in the amounts of $7,250 and $7,250, respectively. All services performed by the Company</w:t>
      </w:r>
      <w:r>
        <w:rPr>
          <w:sz w:val="20"/>
          <w:szCs w:val="20"/>
        </w:rPr>
        <w:t>’s Registered Public Accounting Firm, Fruci &amp; Associates II, PLLC have been pre-approved by the Company’s Board of Directors.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4219753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Tax Fees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The </w:t>
      </w:r>
      <w:r>
        <w:rPr>
          <w:sz w:val="20"/>
          <w:szCs w:val="20"/>
        </w:rPr>
        <w:t>aggregate fees billed for professional services rendered by principal accountant for tax compliance, tax advice and tax planning during the years ended December 31, 2020 and 2019 were $2,750 and $2,750, respectively, all of which was paid to Fruci &amp; Associ</w:t>
      </w:r>
      <w:r>
        <w:rPr>
          <w:sz w:val="20"/>
          <w:szCs w:val="20"/>
        </w:rPr>
        <w:t>ates II, PLLC.</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u w:val="single"/>
        </w:rPr>
        <w:t>All Other Fees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Other fees billed for products or services provided by the Company’s principal accountant during the years ended December 31, 2020 and 2019 There were no fees incurred to Fruci &amp; Associates II, PLLC related to all other fe</w:t>
      </w:r>
      <w:r>
        <w:rPr>
          <w:sz w:val="20"/>
          <w:szCs w:val="20"/>
        </w:rPr>
        <w: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22" w:name="v_023"/>
      <w:bookmarkEnd w:id="22"/>
      <w:r>
        <w:rPr>
          <w:b/>
          <w:bCs/>
          <w:sz w:val="20"/>
          <w:szCs w:val="20"/>
        </w:rPr>
        <w:t>PART IV</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bookmarkStart w:id="23" w:name="v_024"/>
      <w:bookmarkEnd w:id="23"/>
      <w:r>
        <w:rPr>
          <w:b/>
          <w:bCs/>
          <w:sz w:val="20"/>
          <w:szCs w:val="20"/>
        </w:rPr>
        <w:t>ITEM 15. EXHIBITS AND FINANCIAL STATEMENT SCHEDULES.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 Documents filed as part of this Report.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9649C3">
            <w:pPr>
              <w:rPr>
                <w:rFonts w:eastAsia="Times New Roman"/>
                <w:sz w:val="20"/>
                <w:szCs w:val="20"/>
              </w:rPr>
            </w:pPr>
            <w:r>
              <w:rPr>
                <w:rFonts w:eastAsia="Times New Roman"/>
                <w:b/>
                <w:bCs/>
                <w:i/>
                <w:iCs/>
                <w:sz w:val="20"/>
                <w:szCs w:val="20"/>
              </w:rPr>
              <w:t>1.</w:t>
            </w:r>
          </w:p>
        </w:tc>
        <w:tc>
          <w:tcPr>
            <w:tcW w:w="0" w:type="auto"/>
            <w:hideMark/>
          </w:tcPr>
          <w:p w:rsidR="00000000" w:rsidRDefault="009649C3">
            <w:pPr>
              <w:jc w:val="both"/>
              <w:rPr>
                <w:rFonts w:eastAsia="Times New Roman"/>
                <w:sz w:val="20"/>
                <w:szCs w:val="20"/>
              </w:rPr>
            </w:pPr>
            <w:r>
              <w:rPr>
                <w:rFonts w:eastAsia="Times New Roman"/>
                <w:b/>
                <w:bCs/>
                <w:i/>
                <w:iCs/>
                <w:sz w:val="20"/>
                <w:szCs w:val="20"/>
                <w:u w:val="single"/>
              </w:rPr>
              <w:t>Financial Statements</w:t>
            </w:r>
            <w:r>
              <w:rPr>
                <w:rFonts w:eastAsia="Times New Roman"/>
                <w:b/>
                <w:bCs/>
                <w:i/>
                <w:iCs/>
                <w:sz w:val="20"/>
                <w:szCs w:val="20"/>
              </w:rPr>
              <w:t xml:space="preserve">. </w:t>
            </w:r>
            <w:r>
              <w:rPr>
                <w:rFonts w:eastAsia="Times New Roman"/>
                <w:sz w:val="20"/>
                <w:szCs w:val="20"/>
              </w:rPr>
              <w:t>The Vivos Inc. Balance Sheets as of December 31, 2020 and 2019, the Statements of Operations for the years ended December 31, 2020 and 2019, the Statements of Changes in Stockholders’ Deficit for the years ended December 31, 2020 and 2019, and the Statemen</w:t>
            </w:r>
            <w:r>
              <w:rPr>
                <w:rFonts w:eastAsia="Times New Roman"/>
                <w:sz w:val="20"/>
                <w:szCs w:val="20"/>
              </w:rPr>
              <w:t>ts of Cash Flows for the years ended December 31, 2020 and 2019, together with the notes thereto and the reports of Fruci &amp; Associates II, PLLC as required by Item 8 are included in this 2020 Annual Report on Form 10-K as set forth in Item 8 above.</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b/>
                <w:bCs/>
                <w:i/>
                <w:iCs/>
                <w:sz w:val="20"/>
                <w:szCs w:val="20"/>
              </w:rPr>
              <w:t>2.</w:t>
            </w:r>
          </w:p>
        </w:tc>
        <w:tc>
          <w:tcPr>
            <w:tcW w:w="0" w:type="auto"/>
            <w:hideMark/>
          </w:tcPr>
          <w:p w:rsidR="00000000" w:rsidRDefault="009649C3">
            <w:pPr>
              <w:jc w:val="both"/>
              <w:rPr>
                <w:rFonts w:eastAsia="Times New Roman"/>
                <w:sz w:val="20"/>
                <w:szCs w:val="20"/>
              </w:rPr>
            </w:pPr>
            <w:r>
              <w:rPr>
                <w:rFonts w:eastAsia="Times New Roman"/>
                <w:b/>
                <w:bCs/>
                <w:i/>
                <w:iCs/>
                <w:sz w:val="20"/>
                <w:szCs w:val="20"/>
                <w:u w:val="single"/>
              </w:rPr>
              <w:t>Financial Statement Schedules</w:t>
            </w:r>
            <w:r>
              <w:rPr>
                <w:rFonts w:eastAsia="Times New Roman"/>
                <w:sz w:val="20"/>
                <w:szCs w:val="20"/>
              </w:rPr>
              <w:t>. All financial statement schedules have been omitted since they are either not required or not applicable, or because the information required is included in the financial statements or the notes thereto.</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b/>
                <w:bCs/>
                <w:i/>
                <w:iCs/>
                <w:sz w:val="20"/>
                <w:szCs w:val="20"/>
              </w:rPr>
              <w:t>3.</w:t>
            </w:r>
          </w:p>
        </w:tc>
        <w:tc>
          <w:tcPr>
            <w:tcW w:w="0" w:type="auto"/>
            <w:hideMark/>
          </w:tcPr>
          <w:p w:rsidR="00000000" w:rsidRDefault="009649C3">
            <w:pPr>
              <w:jc w:val="both"/>
              <w:rPr>
                <w:rFonts w:eastAsia="Times New Roman"/>
                <w:sz w:val="20"/>
                <w:szCs w:val="20"/>
              </w:rPr>
            </w:pPr>
            <w:r>
              <w:rPr>
                <w:rFonts w:eastAsia="Times New Roman"/>
                <w:b/>
                <w:bCs/>
                <w:i/>
                <w:iCs/>
                <w:sz w:val="20"/>
                <w:szCs w:val="20"/>
                <w:u w:val="single"/>
              </w:rPr>
              <w:t>Exhibits</w:t>
            </w:r>
            <w:r>
              <w:rPr>
                <w:rFonts w:eastAsia="Times New Roman"/>
                <w:sz w:val="20"/>
                <w:szCs w:val="20"/>
              </w:rPr>
              <w:t>.</w:t>
            </w:r>
            <w:r>
              <w:rPr>
                <w:rFonts w:eastAsia="Times New Roman"/>
                <w:sz w:val="20"/>
                <w:szCs w:val="20"/>
              </w:rPr>
              <w:t xml:space="preserve"> The following exhibits are either filed as a part hereof or are incorporated by reference. Exhibit numbers correspond to the numbering system in Item 601 of Regulation S-K.</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tcBorders>
              <w:bottom w:val="single" w:sz="12" w:space="0" w:color="000000"/>
            </w:tcBorders>
            <w:hideMark/>
          </w:tcPr>
          <w:p w:rsidR="00000000" w:rsidRDefault="009649C3">
            <w:pPr>
              <w:pStyle w:val="a3"/>
              <w:spacing w:before="0" w:beforeAutospacing="0" w:after="0" w:afterAutospacing="0"/>
              <w:jc w:val="both"/>
              <w:rPr>
                <w:sz w:val="20"/>
                <w:szCs w:val="20"/>
              </w:rPr>
            </w:pPr>
            <w:r>
              <w:rPr>
                <w:b/>
                <w:bCs/>
                <w:sz w:val="20"/>
                <w:szCs w:val="20"/>
              </w:rPr>
              <w:t>Exhibit</w:t>
            </w:r>
          </w:p>
          <w:p w:rsidR="00000000" w:rsidRDefault="009649C3">
            <w:pPr>
              <w:pStyle w:val="a3"/>
              <w:spacing w:before="0" w:beforeAutospacing="0" w:after="0" w:afterAutospacing="0"/>
              <w:rPr>
                <w:sz w:val="20"/>
                <w:szCs w:val="20"/>
              </w:rPr>
            </w:pPr>
            <w:r>
              <w:rPr>
                <w:b/>
                <w:bCs/>
                <w:sz w:val="20"/>
                <w:szCs w:val="20"/>
              </w:rPr>
              <w:t>Number</w:t>
            </w:r>
          </w:p>
        </w:tc>
        <w:tc>
          <w:tcPr>
            <w:tcW w:w="150" w:type="dxa"/>
            <w:tcMar>
              <w:top w:w="0" w:type="dxa"/>
              <w:left w:w="0" w:type="dxa"/>
              <w:bottom w:w="30" w:type="dxa"/>
              <w:right w:w="0" w:type="dxa"/>
            </w:tcMar>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49C3">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3.1</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4" w:history="1">
              <w:r>
                <w:rPr>
                  <w:rStyle w:val="a4"/>
                  <w:rFonts w:eastAsia="Times New Roman"/>
                  <w:sz w:val="20"/>
                  <w:szCs w:val="20"/>
                </w:rPr>
                <w:t>Certificate of Incorporation of Savage Mountain Sports Corporation, dated January 11, 2000 (incorporated by reference to Exhibit 3.1 to the Company’s Registr</w:t>
              </w:r>
              <w:r>
                <w:rPr>
                  <w:rStyle w:val="a4"/>
                  <w:rFonts w:eastAsia="Times New Roman"/>
                  <w:sz w:val="20"/>
                  <w:szCs w:val="20"/>
                </w:rPr>
                <w:t>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3.2</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5" w:history="1">
              <w:r>
                <w:rPr>
                  <w:rStyle w:val="a4"/>
                  <w:rFonts w:eastAsia="Times New Roman"/>
                  <w:sz w:val="20"/>
                  <w:szCs w:val="20"/>
                </w:rPr>
                <w:t>By-Laws (incorporated by reference to Exhibit 3.2 to the Company’s Re</w:t>
              </w:r>
              <w:r>
                <w:rPr>
                  <w:rStyle w:val="a4"/>
                  <w:rFonts w:eastAsia="Times New Roman"/>
                  <w:sz w:val="20"/>
                  <w:szCs w:val="20"/>
                </w:rPr>
                <w:t>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3.3</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6" w:history="1">
              <w:r>
                <w:rPr>
                  <w:rStyle w:val="a4"/>
                  <w:rFonts w:eastAsia="Times New Roman"/>
                  <w:sz w:val="20"/>
                  <w:szCs w:val="20"/>
                </w:rPr>
                <w:t>Certificate of Amendment of Certificate of Incorporation changin</w:t>
              </w:r>
              <w:r>
                <w:rPr>
                  <w:rStyle w:val="a4"/>
                  <w:rFonts w:eastAsia="Times New Roman"/>
                  <w:sz w:val="20"/>
                  <w:szCs w:val="20"/>
                </w:rPr>
                <w:t>g the name of the Company to Advanced Medical Isotope Corporation, dated May 23, 2006 (incorporated by reference to Exhibit 3.5 to the Company’s Registration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3.4</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7" w:history="1">
              <w:r>
                <w:rPr>
                  <w:rStyle w:val="a4"/>
                  <w:rFonts w:eastAsia="Times New Roman"/>
                  <w:sz w:val="20"/>
                  <w:szCs w:val="20"/>
                </w:rPr>
                <w:t>Certificate of Amendment of Certificate of Incorporation increasing authorized capital dated September 26, 2006 (incorporated by reference to Exhibit 3.6 to the Company’s Re</w:t>
              </w:r>
              <w:r>
                <w:rPr>
                  <w:rStyle w:val="a4"/>
                  <w:rFonts w:eastAsia="Times New Roman"/>
                  <w:sz w:val="20"/>
                  <w:szCs w:val="20"/>
                </w:rPr>
                <w:t>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3.5</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8" w:history="1">
              <w:r>
                <w:rPr>
                  <w:rStyle w:val="a4"/>
                  <w:rFonts w:eastAsia="Times New Roman"/>
                  <w:sz w:val="20"/>
                  <w:szCs w:val="20"/>
                </w:rPr>
                <w:t>Certificate of Amendment to the Certificate of Incorporation inc</w:t>
              </w:r>
              <w:r>
                <w:rPr>
                  <w:rStyle w:val="a4"/>
                  <w:rFonts w:eastAsia="Times New Roman"/>
                  <w:sz w:val="20"/>
                  <w:szCs w:val="20"/>
                </w:rPr>
                <w:t>reasing authorized common stock and authorizing preferred stock, dated May 18, 2011 (incorporated by reference to Exhibit 3.1 to the Company’s Current Report on Form 8-K filed on May 18, 2011).</w:t>
              </w:r>
            </w:hyperlink>
          </w:p>
        </w:tc>
      </w:tr>
      <w:tr w:rsidR="00000000">
        <w:tc>
          <w:tcPr>
            <w:tcW w:w="1080" w:type="dxa"/>
            <w:hideMark/>
          </w:tcPr>
          <w:p w:rsidR="00000000" w:rsidRDefault="009649C3">
            <w:pPr>
              <w:jc w:val="center"/>
              <w:rPr>
                <w:rFonts w:eastAsia="Times New Roman"/>
                <w:sz w:val="20"/>
                <w:szCs w:val="20"/>
              </w:rPr>
            </w:pPr>
            <w:r>
              <w:rPr>
                <w:rFonts w:eastAsia="Times New Roman"/>
                <w:sz w:val="20"/>
                <w:szCs w:val="20"/>
              </w:rPr>
              <w:t>3.6</w:t>
            </w:r>
          </w:p>
        </w:tc>
        <w:tc>
          <w:tcPr>
            <w:tcW w:w="150" w:type="dxa"/>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9" w:history="1">
              <w:r>
                <w:rPr>
                  <w:rStyle w:val="a4"/>
                  <w:rFonts w:eastAsia="Times New Roman"/>
                  <w:sz w:val="20"/>
                  <w:szCs w:val="20"/>
                </w:rPr>
                <w:t>Certificate of Amendment to the Certificate of Incorporation authorizing a series of Preferred Stock to be named “Series A Convertible Preferred Stock”, consisting of 2,500,000 shares, which series shall have spe</w:t>
              </w:r>
              <w:r>
                <w:rPr>
                  <w:rStyle w:val="a4"/>
                  <w:rFonts w:eastAsia="Times New Roman"/>
                  <w:sz w:val="20"/>
                  <w:szCs w:val="20"/>
                </w:rPr>
                <w:t>cific designations, powers, preferences and relative and other special rights, qualifications, limitations and restrictions as outlined in the Certificate of Designations, filed June 30, 2015 (incorporated by reference to Exhibit 4.1 to the Company’s Curre</w:t>
              </w:r>
              <w:r>
                <w:rPr>
                  <w:rStyle w:val="a4"/>
                  <w:rFonts w:eastAsia="Times New Roman"/>
                  <w:sz w:val="20"/>
                  <w:szCs w:val="20"/>
                </w:rPr>
                <w:t>nt Report on Form 8-K filed on July 7, 2015).</w:t>
              </w:r>
            </w:hyperlink>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05764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hideMark/>
          </w:tcPr>
          <w:p w:rsidR="00000000" w:rsidRDefault="009649C3">
            <w:pPr>
              <w:jc w:val="center"/>
              <w:rPr>
                <w:rFonts w:eastAsia="Times New Roman"/>
                <w:sz w:val="20"/>
                <w:szCs w:val="20"/>
              </w:rPr>
            </w:pPr>
            <w:r>
              <w:rPr>
                <w:rFonts w:eastAsia="Times New Roman"/>
                <w:sz w:val="20"/>
                <w:szCs w:val="20"/>
              </w:rPr>
              <w:t>3.7</w:t>
            </w:r>
          </w:p>
        </w:tc>
        <w:tc>
          <w:tcPr>
            <w:tcW w:w="150" w:type="dxa"/>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0" w:history="1">
              <w:r>
                <w:rPr>
                  <w:rStyle w:val="a4"/>
                  <w:rFonts w:eastAsia="Times New Roman"/>
                  <w:sz w:val="20"/>
                  <w:szCs w:val="20"/>
                </w:rPr>
                <w:t xml:space="preserve">Certificate of Amendment to the Certificate of Incorporation increasing the authorized series of “Series A Convertible Preferred Stock” to 5,000,000 shares, filed March 31, 2016 (incorporated by reference to Exhibit 10.1 to the Company’s Current Report on </w:t>
              </w:r>
              <w:r>
                <w:rPr>
                  <w:rStyle w:val="a4"/>
                  <w:rFonts w:eastAsia="Times New Roman"/>
                  <w:sz w:val="20"/>
                  <w:szCs w:val="20"/>
                </w:rPr>
                <w:t>Form 8-K filed on April 7, 2016).</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3.8</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1" w:history="1">
              <w:r>
                <w:rPr>
                  <w:rStyle w:val="a4"/>
                  <w:rFonts w:eastAsia="Times New Roman"/>
                  <w:sz w:val="20"/>
                  <w:szCs w:val="20"/>
                </w:rPr>
                <w:t>Certificate of Amendment to the Certificate of Incorporation authorizing a series of Preferred Stock to be named “Series B</w:t>
              </w:r>
              <w:r>
                <w:rPr>
                  <w:rStyle w:val="a4"/>
                  <w:rFonts w:eastAsia="Times New Roman"/>
                  <w:sz w:val="20"/>
                  <w:szCs w:val="20"/>
                </w:rPr>
                <w:t xml:space="preserve"> Convertible Preferred Stock”, consisting of 5,000,000 shares, which series shall have specific designations, powers, preferences and relative and other special rights, qualifications, limitations and restrictions as outlined in the Certificate of Designat</w:t>
              </w:r>
              <w:r>
                <w:rPr>
                  <w:rStyle w:val="a4"/>
                  <w:rFonts w:eastAsia="Times New Roman"/>
                  <w:sz w:val="20"/>
                  <w:szCs w:val="20"/>
                </w:rPr>
                <w:t>ions, filed October 10, 2018 (incorporated by reference to Exhibit 3.1 to the Company’s Current Report on Form 8-K filed on October 17, 2018).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4.1</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2" w:history="1">
              <w:r>
                <w:rPr>
                  <w:rStyle w:val="a4"/>
                  <w:rFonts w:eastAsia="Times New Roman"/>
                  <w:sz w:val="20"/>
                  <w:szCs w:val="20"/>
                </w:rPr>
                <w:t>Form of Warrant (incorporated by reference to Exhibit 4.1 to the Company’</w:t>
              </w:r>
              <w:r>
                <w:rPr>
                  <w:rStyle w:val="a4"/>
                  <w:rFonts w:eastAsia="Times New Roman"/>
                  <w:sz w:val="20"/>
                  <w:szCs w:val="20"/>
                </w:rPr>
                <w:t>s Current Report on Form 8-K filed on October 17, 2018).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3" w:history="1">
              <w:r>
                <w:rPr>
                  <w:rStyle w:val="a4"/>
                  <w:rFonts w:eastAsia="Times New Roman"/>
                  <w:sz w:val="20"/>
                  <w:szCs w:val="20"/>
                </w:rPr>
                <w:t>Agreement and Plan of Reorganization, dated as of December 15, 1998, by and among HHH Enter</w:t>
              </w:r>
              <w:r>
                <w:rPr>
                  <w:rStyle w:val="a4"/>
                  <w:rFonts w:eastAsia="Times New Roman"/>
                  <w:sz w:val="20"/>
                  <w:szCs w:val="20"/>
                </w:rPr>
                <w:t>tainment, Inc. and Earth Sports Products, Inc. (incorporated by reference to Exhibit 10.1 to the Company’s Registration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10.2</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4" w:history="1">
              <w:r>
                <w:rPr>
                  <w:rStyle w:val="a4"/>
                  <w:rFonts w:eastAsia="Times New Roman"/>
                  <w:sz w:val="20"/>
                  <w:szCs w:val="20"/>
                </w:rPr>
                <w:t>Agreement and Plan of Merger of HHH Entertainment, Inc. and Savage Mountain Sports Corporation, dated as of January 6, 2000 (incorporated by reference to Exhibit 10.2 to the Company’s Registration Statement on</w:t>
              </w:r>
              <w:r>
                <w:rPr>
                  <w:rStyle w:val="a4"/>
                  <w:rFonts w:eastAsia="Times New Roman"/>
                  <w:sz w:val="20"/>
                  <w:szCs w:val="20"/>
                </w:rPr>
                <w:t xml:space="preserve">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10.3</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5" w:history="1">
              <w:r>
                <w:rPr>
                  <w:rStyle w:val="a4"/>
                  <w:rFonts w:eastAsia="Times New Roman"/>
                  <w:sz w:val="20"/>
                  <w:szCs w:val="20"/>
                </w:rPr>
                <w:t>Agreement and Plan of Acquisition by and between Neu-Hope Technologies, Inc., UTEK C</w:t>
              </w:r>
              <w:r>
                <w:rPr>
                  <w:rStyle w:val="a4"/>
                  <w:rFonts w:eastAsia="Times New Roman"/>
                  <w:sz w:val="20"/>
                  <w:szCs w:val="20"/>
                </w:rPr>
                <w:t>orporation and Advanced Medical Isotope Corporation, dated September 22, 2006 (incorporated by reference to Exhibit 10.4 to the Company’s Registration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10.4</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6" w:history="1">
              <w:r>
                <w:rPr>
                  <w:rStyle w:val="a4"/>
                  <w:rFonts w:eastAsia="Times New Roman"/>
                  <w:sz w:val="20"/>
                  <w:szCs w:val="20"/>
                </w:rPr>
                <w:t>Agreement and Plan of Acquisition by and between Isonics Corporation and Advanced Medical Isotope Corporation dated June 13, 2007 (incorporated by reference to Exhibit 10.6 to t</w:t>
              </w:r>
              <w:r>
                <w:rPr>
                  <w:rStyle w:val="a4"/>
                  <w:rFonts w:eastAsia="Times New Roman"/>
                  <w:sz w:val="20"/>
                  <w:szCs w:val="20"/>
                </w:rPr>
                <w:t>he Company’s Registration Statement on Form 10-12G (File No. 000-53497), filed on November 12, 2008).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10.5</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7" w:history="1">
              <w:r>
                <w:rPr>
                  <w:rStyle w:val="a4"/>
                  <w:rFonts w:eastAsia="Times New Roman"/>
                  <w:sz w:val="20"/>
                  <w:szCs w:val="20"/>
                </w:rPr>
                <w:t>Form of Non-Statutory Stock Option Agreement (</w:t>
              </w:r>
              <w:r>
                <w:rPr>
                  <w:rStyle w:val="a4"/>
                  <w:rFonts w:eastAsia="Times New Roman"/>
                  <w:sz w:val="20"/>
                  <w:szCs w:val="20"/>
                </w:rPr>
                <w:t>incorporated by reference to Exhibit 10.1 to the Company’s Current Report on Form 8-K filed on March 15, 2012).</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10.6</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8" w:history="1">
              <w:r>
                <w:rPr>
                  <w:rStyle w:val="a4"/>
                  <w:rFonts w:eastAsia="Times New Roman"/>
                  <w:sz w:val="20"/>
                  <w:szCs w:val="20"/>
                </w:rPr>
                <w:t xml:space="preserve">Promissory Note dated December 16, 2008 between Advanced Medical Isotope Corporation and Carlton M. Cadwell (incorporated by reference to Exhibit 10.11 to </w:t>
              </w:r>
              <w:r>
                <w:rPr>
                  <w:rStyle w:val="a4"/>
                  <w:rFonts w:eastAsia="Times New Roman"/>
                  <w:sz w:val="20"/>
                  <w:szCs w:val="20"/>
                </w:rPr>
                <w:t>the Company’s Annual Report on Form 10-K filed on March 3, 2012).</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10.7</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19" w:history="1">
              <w:r>
                <w:rPr>
                  <w:rStyle w:val="a4"/>
                  <w:rFonts w:eastAsia="Times New Roman"/>
                  <w:sz w:val="20"/>
                  <w:szCs w:val="20"/>
                </w:rPr>
                <w:t xml:space="preserve">2015 Omnibus Securities and Incentive Plan (incorporated by reference to Exhibit 10.12 </w:t>
              </w:r>
              <w:r>
                <w:rPr>
                  <w:rStyle w:val="a4"/>
                  <w:rFonts w:eastAsia="Times New Roman"/>
                  <w:sz w:val="20"/>
                  <w:szCs w:val="20"/>
                </w:rPr>
                <w:t>to the Company’s Annual Report on Form 10-K, filed May 25, 2016).</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10.8</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0" w:history="1">
              <w:r>
                <w:rPr>
                  <w:rStyle w:val="a4"/>
                  <w:rFonts w:eastAsia="Times New Roman"/>
                  <w:sz w:val="20"/>
                  <w:szCs w:val="20"/>
                </w:rPr>
                <w:t>Washington State University Sub-Award Agreement for the period December 15, 2017 throug</w:t>
              </w:r>
              <w:r>
                <w:rPr>
                  <w:rStyle w:val="a4"/>
                  <w:rFonts w:eastAsia="Times New Roman"/>
                  <w:sz w:val="20"/>
                  <w:szCs w:val="20"/>
                </w:rPr>
                <w:t>h January 31, 2018.(incorporated by reference to Exhibit 10.13 to the Company’s Annual report on Form 10-K, filed April 2, 2018).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10.9</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1" w:history="1">
              <w:r>
                <w:rPr>
                  <w:rStyle w:val="a4"/>
                  <w:rFonts w:eastAsia="Times New Roman"/>
                  <w:sz w:val="20"/>
                  <w:szCs w:val="20"/>
                </w:rPr>
                <w:t>The Curators of the Uni</w:t>
              </w:r>
              <w:r>
                <w:rPr>
                  <w:rStyle w:val="a4"/>
                  <w:rFonts w:eastAsia="Times New Roman"/>
                  <w:sz w:val="20"/>
                  <w:szCs w:val="20"/>
                </w:rPr>
                <w:t>versity of Missouri Sponsored Research Contract for the period November 1, 2017 through October 31, 2018. (incorporated by reference to Exhibit 10.14 to the Company’s Annual report on Form 10-K, filed April 2, 2018).</w:t>
              </w:r>
            </w:hyperlink>
            <w:r>
              <w:rPr>
                <w:rFonts w:eastAsia="Times New Roman"/>
                <w:sz w:val="20"/>
                <w:szCs w:val="20"/>
              </w:rPr>
              <w:t xml:space="preserve"> </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10.10</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2" w:history="1">
              <w:r>
                <w:rPr>
                  <w:rStyle w:val="a4"/>
                  <w:rFonts w:eastAsia="Times New Roman"/>
                  <w:sz w:val="20"/>
                  <w:szCs w:val="20"/>
                </w:rPr>
                <w:t>Form of Securities Purchase Agreement (incorporated by reference to Exhibit 10.1 to the Company’s Current Report on Form 8-K filed on October 17, 2018).</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10.11</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3" w:history="1">
              <w:r>
                <w:rPr>
                  <w:rStyle w:val="a4"/>
                  <w:rFonts w:eastAsia="Times New Roman"/>
                  <w:sz w:val="20"/>
                  <w:szCs w:val="20"/>
                </w:rPr>
                <w:t>Employment Agreement by and between Vivos Inc. and Michael Korenko, dated June 4, 2019 (incorporated by reference to Exhibit 6.18 to the Company’s Offering Statement on Form 1-A filed on July</w:t>
              </w:r>
              <w:r>
                <w:rPr>
                  <w:rStyle w:val="a4"/>
                  <w:rFonts w:eastAsia="Times New Roman"/>
                  <w:sz w:val="20"/>
                  <w:szCs w:val="20"/>
                </w:rPr>
                <w:t xml:space="preserve"> 29, 2019).</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23</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pStyle w:val="a3"/>
              <w:spacing w:before="0" w:beforeAutospacing="0" w:after="0" w:afterAutospacing="0"/>
              <w:jc w:val="both"/>
              <w:rPr>
                <w:sz w:val="20"/>
                <w:szCs w:val="20"/>
              </w:rPr>
            </w:pPr>
            <w:hyperlink r:id="rId24" w:history="1">
              <w:r>
                <w:rPr>
                  <w:rStyle w:val="a4"/>
                  <w:sz w:val="20"/>
                  <w:szCs w:val="20"/>
                </w:rPr>
                <w:t>Consent of Independent Registered Public Accounting Firm</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31.1*</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5" w:history="1">
              <w:r>
                <w:rPr>
                  <w:rStyle w:val="a4"/>
                  <w:rFonts w:eastAsia="Times New Roman"/>
                  <w:sz w:val="20"/>
                  <w:szCs w:val="20"/>
                </w:rPr>
                <w:t>Certification of Chief Executive Officer pursuant to Sec. 302 of the Sarbanes-Oxley Act of 2002 (4)</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31.2*</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6" w:history="1">
              <w:r>
                <w:rPr>
                  <w:rStyle w:val="a4"/>
                  <w:rFonts w:eastAsia="Times New Roman"/>
                  <w:sz w:val="20"/>
                  <w:szCs w:val="20"/>
                </w:rPr>
                <w:t>Certification of Chief Financial Officer pursuant to Sec. 302 of the Sarbanes-Oxley Act of 2002 (4)</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32.1*</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hyperlink r:id="rId27" w:history="1">
              <w:r>
                <w:rPr>
                  <w:rStyle w:val="a4"/>
                  <w:rFonts w:eastAsia="Times New Roman"/>
                  <w:sz w:val="20"/>
                  <w:szCs w:val="20"/>
                </w:rPr>
                <w:t>Certification of Chief Executive Officer and Chief Financial Officer pursuant to 18 U.S.C. Section 1350 (4)</w:t>
              </w:r>
            </w:hyperlink>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101.INS*</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101.SCH*</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101.CAL*</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101.DEF*</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101.LAB*</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9649C3">
            <w:pPr>
              <w:jc w:val="center"/>
              <w:rPr>
                <w:rFonts w:eastAsia="Times New Roman"/>
                <w:sz w:val="20"/>
                <w:szCs w:val="20"/>
              </w:rPr>
            </w:pPr>
            <w:r>
              <w:rPr>
                <w:rFonts w:eastAsia="Times New Roman"/>
                <w:sz w:val="20"/>
                <w:szCs w:val="20"/>
              </w:rPr>
              <w:t>101.PRE*</w:t>
            </w:r>
          </w:p>
        </w:tc>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XBRL Taxonomy Extension Presentation Linkbase</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Filed herewith.</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6360636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center"/>
        <w:rPr>
          <w:sz w:val="20"/>
          <w:szCs w:val="20"/>
        </w:rPr>
      </w:pPr>
      <w:r>
        <w:rPr>
          <w:b/>
          <w:bCs/>
          <w:sz w:val="20"/>
          <w:szCs w:val="20"/>
        </w:rPr>
        <w:t> </w:t>
      </w:r>
    </w:p>
    <w:p w:rsidR="00000000" w:rsidRDefault="009649C3">
      <w:pPr>
        <w:pStyle w:val="a3"/>
        <w:spacing w:before="0" w:beforeAutospacing="0" w:after="0" w:afterAutospacing="0"/>
        <w:jc w:val="center"/>
        <w:rPr>
          <w:sz w:val="20"/>
          <w:szCs w:val="20"/>
        </w:rPr>
      </w:pPr>
      <w:r>
        <w:rPr>
          <w:b/>
          <w:bCs/>
          <w:sz w:val="20"/>
          <w:szCs w:val="20"/>
        </w:rPr>
        <w:t>SIGNATURES</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gridSpan w:val="2"/>
            <w:hideMark/>
          </w:tcPr>
          <w:p w:rsidR="00000000" w:rsidRDefault="009649C3">
            <w:pPr>
              <w:rPr>
                <w:rFonts w:eastAsia="Times New Roman"/>
                <w:sz w:val="20"/>
                <w:szCs w:val="20"/>
              </w:rPr>
            </w:pPr>
            <w:r>
              <w:rPr>
                <w:rFonts w:eastAsia="Times New Roman"/>
                <w:sz w:val="20"/>
                <w:szCs w:val="20"/>
              </w:rPr>
              <w:t>VIVOS INC.</w:t>
            </w:r>
          </w:p>
        </w:tc>
      </w:tr>
      <w:tr w:rsidR="00000000">
        <w:tc>
          <w:tcPr>
            <w:tcW w:w="2500" w:type="pct"/>
            <w:hideMark/>
          </w:tcPr>
          <w:p w:rsidR="00000000" w:rsidRDefault="009649C3">
            <w:pPr>
              <w:rPr>
                <w:rFonts w:eastAsia="Times New Roman"/>
                <w:sz w:val="20"/>
                <w:szCs w:val="20"/>
              </w:rPr>
            </w:pPr>
            <w:r>
              <w:rPr>
                <w:rFonts w:eastAsia="Times New Roman"/>
                <w:sz w:val="20"/>
                <w:szCs w:val="20"/>
              </w:rPr>
              <w:t> </w:t>
            </w:r>
          </w:p>
        </w:tc>
        <w:tc>
          <w:tcPr>
            <w:tcW w:w="250" w:type="pct"/>
            <w:hideMark/>
          </w:tcPr>
          <w:p w:rsidR="00000000" w:rsidRDefault="009649C3">
            <w:pPr>
              <w:rPr>
                <w:rFonts w:eastAsia="Times New Roman"/>
                <w:sz w:val="20"/>
                <w:szCs w:val="20"/>
              </w:rPr>
            </w:pPr>
            <w:r>
              <w:rPr>
                <w:rFonts w:eastAsia="Times New Roman"/>
                <w:sz w:val="20"/>
                <w:szCs w:val="20"/>
              </w:rPr>
              <w:t> </w:t>
            </w:r>
          </w:p>
        </w:tc>
        <w:tc>
          <w:tcPr>
            <w:tcW w:w="2250" w:type="pct"/>
            <w:hideMark/>
          </w:tcPr>
          <w:p w:rsidR="00000000" w:rsidRDefault="009649C3">
            <w:pPr>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 xml:space="preserve">Date: </w:t>
            </w:r>
            <w:r>
              <w:rPr>
                <w:rFonts w:eastAsia="Times New Roman"/>
                <w:sz w:val="20"/>
                <w:szCs w:val="20"/>
              </w:rPr>
              <w:t>March 24, 2021</w:t>
            </w:r>
          </w:p>
        </w:tc>
        <w:tc>
          <w:tcPr>
            <w:tcW w:w="0" w:type="auto"/>
            <w:hideMark/>
          </w:tcPr>
          <w:p w:rsidR="00000000" w:rsidRDefault="009649C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9649C3">
            <w:pPr>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Name:</w:t>
            </w:r>
          </w:p>
        </w:tc>
        <w:tc>
          <w:tcPr>
            <w:tcW w:w="0" w:type="auto"/>
            <w:hideMark/>
          </w:tcPr>
          <w:p w:rsidR="00000000" w:rsidRDefault="009649C3">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xml:space="preserve">Title: </w:t>
            </w:r>
          </w:p>
        </w:tc>
        <w:tc>
          <w:tcPr>
            <w:tcW w:w="0" w:type="auto"/>
            <w:hideMark/>
          </w:tcPr>
          <w:p w:rsidR="00000000" w:rsidRDefault="009649C3">
            <w:pPr>
              <w:rPr>
                <w:rFonts w:eastAsia="Times New Roman"/>
                <w:sz w:val="20"/>
                <w:szCs w:val="20"/>
              </w:rPr>
            </w:pPr>
            <w:r>
              <w:rPr>
                <w:rFonts w:eastAsia="Times New Roman"/>
                <w:sz w:val="20"/>
                <w:szCs w:val="20"/>
              </w:rPr>
              <w:t>Chief Executive Officer</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Pursuant to the requirements of the Securities Exchange Act of 1934, this report has been signed below by the following persons on behalf of the Re</w:t>
      </w:r>
      <w:r>
        <w:rPr>
          <w:sz w:val="20"/>
          <w:szCs w:val="20"/>
        </w:rPr>
        <w:t>gistrant and in the capacities and on the dates indicated.</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9649C3">
            <w:pPr>
              <w:rPr>
                <w:rFonts w:eastAsia="Times New Roman"/>
                <w:sz w:val="20"/>
                <w:szCs w:val="20"/>
              </w:rPr>
            </w:pPr>
            <w:r>
              <w:rPr>
                <w:rFonts w:eastAsia="Times New Roman"/>
                <w:sz w:val="20"/>
                <w:szCs w:val="20"/>
              </w:rPr>
              <w:t>Date: March 24, 2021</w:t>
            </w:r>
          </w:p>
        </w:tc>
        <w:tc>
          <w:tcPr>
            <w:tcW w:w="250" w:type="pct"/>
            <w:hideMark/>
          </w:tcPr>
          <w:p w:rsidR="00000000" w:rsidRDefault="009649C3">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9649C3">
            <w:pPr>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Name:</w:t>
            </w:r>
          </w:p>
        </w:tc>
        <w:tc>
          <w:tcPr>
            <w:tcW w:w="0" w:type="auto"/>
            <w:hideMark/>
          </w:tcPr>
          <w:p w:rsidR="00000000" w:rsidRDefault="009649C3">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xml:space="preserve">Title: </w:t>
            </w:r>
          </w:p>
        </w:tc>
        <w:tc>
          <w:tcPr>
            <w:tcW w:w="0" w:type="auto"/>
            <w:hideMark/>
          </w:tcPr>
          <w:p w:rsidR="00000000" w:rsidRDefault="009649C3">
            <w:pPr>
              <w:pStyle w:val="a3"/>
              <w:spacing w:before="0" w:beforeAutospacing="0" w:after="0" w:afterAutospacing="0"/>
              <w:jc w:val="both"/>
              <w:rPr>
                <w:sz w:val="20"/>
                <w:szCs w:val="20"/>
              </w:rPr>
            </w:pPr>
            <w:r>
              <w:rPr>
                <w:sz w:val="20"/>
                <w:szCs w:val="20"/>
              </w:rPr>
              <w:t>Chief Executive Officer</w:t>
            </w:r>
          </w:p>
          <w:p w:rsidR="00000000" w:rsidRDefault="009649C3">
            <w:pPr>
              <w:pStyle w:val="a3"/>
              <w:spacing w:before="0" w:beforeAutospacing="0" w:after="0" w:afterAutospacing="0"/>
              <w:rPr>
                <w:sz w:val="20"/>
                <w:szCs w:val="20"/>
              </w:rPr>
            </w:pPr>
            <w:r>
              <w:rPr>
                <w:sz w:val="20"/>
                <w:szCs w:val="20"/>
              </w:rPr>
              <w:t>(Principal Executive Officer)</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Date: March 24, 2021</w:t>
            </w:r>
          </w:p>
        </w:tc>
        <w:tc>
          <w:tcPr>
            <w:tcW w:w="0" w:type="auto"/>
            <w:hideMark/>
          </w:tcPr>
          <w:p w:rsidR="00000000" w:rsidRDefault="009649C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9649C3">
            <w:pPr>
              <w:rPr>
                <w:rFonts w:eastAsia="Times New Roman"/>
                <w:sz w:val="20"/>
                <w:szCs w:val="20"/>
              </w:rPr>
            </w:pPr>
            <w:r>
              <w:rPr>
                <w:rFonts w:eastAsia="Times New Roman"/>
                <w:i/>
                <w:iCs/>
                <w:sz w:val="20"/>
                <w:szCs w:val="20"/>
              </w:rPr>
              <w:t xml:space="preserve">/s/ </w:t>
            </w:r>
            <w:r>
              <w:rPr>
                <w:rFonts w:eastAsia="Times New Roman"/>
                <w:i/>
                <w:iCs/>
                <w:sz w:val="20"/>
                <w:szCs w:val="20"/>
              </w:rPr>
              <w:t xml:space="preserve">Michael Pollack </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Name:</w:t>
            </w:r>
          </w:p>
        </w:tc>
        <w:tc>
          <w:tcPr>
            <w:tcW w:w="0" w:type="auto"/>
            <w:hideMark/>
          </w:tcPr>
          <w:p w:rsidR="00000000" w:rsidRDefault="009649C3">
            <w:pPr>
              <w:rPr>
                <w:rFonts w:eastAsia="Times New Roman"/>
                <w:sz w:val="20"/>
                <w:szCs w:val="20"/>
              </w:rPr>
            </w:pPr>
            <w:r>
              <w:rPr>
                <w:rFonts w:eastAsia="Times New Roman"/>
                <w:sz w:val="20"/>
                <w:szCs w:val="20"/>
              </w:rPr>
              <w:t>Michael Pollack</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xml:space="preserve">Title: </w:t>
            </w:r>
          </w:p>
        </w:tc>
        <w:tc>
          <w:tcPr>
            <w:tcW w:w="0" w:type="auto"/>
            <w:hideMark/>
          </w:tcPr>
          <w:p w:rsidR="00000000" w:rsidRDefault="009649C3">
            <w:pPr>
              <w:pStyle w:val="a3"/>
              <w:spacing w:before="0" w:beforeAutospacing="0" w:after="0" w:afterAutospacing="0"/>
              <w:jc w:val="both"/>
              <w:rPr>
                <w:sz w:val="20"/>
                <w:szCs w:val="20"/>
              </w:rPr>
            </w:pPr>
            <w:r>
              <w:rPr>
                <w:sz w:val="20"/>
                <w:szCs w:val="20"/>
              </w:rPr>
              <w:t>Interim Chief Financial Officer</w:t>
            </w:r>
          </w:p>
          <w:p w:rsidR="00000000" w:rsidRDefault="009649C3">
            <w:pPr>
              <w:pStyle w:val="a3"/>
              <w:spacing w:before="0" w:beforeAutospacing="0" w:after="0" w:afterAutospacing="0"/>
              <w:rPr>
                <w:sz w:val="20"/>
                <w:szCs w:val="20"/>
              </w:rPr>
            </w:pPr>
            <w:r>
              <w:rPr>
                <w:sz w:val="20"/>
                <w:szCs w:val="20"/>
              </w:rPr>
              <w:t>(Principal Financial and Accounting Officer)</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r>
      <w:tr w:rsidR="00000000">
        <w:tc>
          <w:tcPr>
            <w:tcW w:w="0" w:type="auto"/>
            <w:hideMark/>
          </w:tcPr>
          <w:p w:rsidR="00000000" w:rsidRDefault="009649C3">
            <w:pPr>
              <w:rPr>
                <w:rFonts w:eastAsia="Times New Roman"/>
                <w:sz w:val="20"/>
                <w:szCs w:val="20"/>
              </w:rPr>
            </w:pPr>
            <w:r>
              <w:rPr>
                <w:rFonts w:eastAsia="Times New Roman"/>
                <w:sz w:val="20"/>
                <w:szCs w:val="20"/>
              </w:rPr>
              <w:t>Date: March 24, 2021</w:t>
            </w:r>
          </w:p>
        </w:tc>
        <w:tc>
          <w:tcPr>
            <w:tcW w:w="0" w:type="auto"/>
            <w:hideMark/>
          </w:tcPr>
          <w:p w:rsidR="00000000" w:rsidRDefault="009649C3">
            <w:pPr>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9649C3">
            <w:pPr>
              <w:rPr>
                <w:rFonts w:eastAsia="Times New Roman"/>
                <w:sz w:val="20"/>
                <w:szCs w:val="20"/>
              </w:rPr>
            </w:pPr>
            <w:r>
              <w:rPr>
                <w:rFonts w:eastAsia="Times New Roman"/>
                <w:i/>
                <w:iCs/>
                <w:sz w:val="20"/>
                <w:szCs w:val="20"/>
              </w:rPr>
              <w:t xml:space="preserve">/s/ Carlton M. Cadwell </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xml:space="preserve">Name: </w:t>
            </w:r>
          </w:p>
        </w:tc>
        <w:tc>
          <w:tcPr>
            <w:tcW w:w="0" w:type="auto"/>
            <w:hideMark/>
          </w:tcPr>
          <w:p w:rsidR="00000000" w:rsidRDefault="009649C3">
            <w:pPr>
              <w:rPr>
                <w:rFonts w:eastAsia="Times New Roman"/>
                <w:sz w:val="20"/>
                <w:szCs w:val="20"/>
              </w:rPr>
            </w:pPr>
            <w:r>
              <w:rPr>
                <w:rFonts w:eastAsia="Times New Roman"/>
                <w:sz w:val="20"/>
                <w:szCs w:val="20"/>
              </w:rPr>
              <w:t>Carlton M. Cadwell</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xml:space="preserve">Title: </w:t>
            </w:r>
          </w:p>
        </w:tc>
        <w:tc>
          <w:tcPr>
            <w:tcW w:w="0" w:type="auto"/>
            <w:hideMark/>
          </w:tcPr>
          <w:p w:rsidR="00000000" w:rsidRDefault="009649C3">
            <w:pPr>
              <w:rPr>
                <w:rFonts w:eastAsia="Times New Roman"/>
                <w:sz w:val="20"/>
                <w:szCs w:val="20"/>
              </w:rPr>
            </w:pPr>
            <w:r>
              <w:rPr>
                <w:rFonts w:eastAsia="Times New Roman"/>
                <w:sz w:val="20"/>
                <w:szCs w:val="20"/>
              </w:rPr>
              <w:t xml:space="preserve">Secretary </w:t>
            </w:r>
            <w:r>
              <w:rPr>
                <w:rFonts w:eastAsia="Times New Roman"/>
                <w:sz w:val="20"/>
                <w:szCs w:val="20"/>
              </w:rPr>
              <w:t>and Chairman of the Board</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9229911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center"/>
        <w:rPr>
          <w:sz w:val="20"/>
          <w:szCs w:val="20"/>
        </w:rPr>
      </w:pPr>
      <w:r>
        <w:rPr>
          <w:b/>
          <w:bCs/>
          <w:sz w:val="20"/>
          <w:szCs w:val="20"/>
        </w:rPr>
        <w:t>Vivos Inc.</w:t>
      </w:r>
    </w:p>
    <w:p w:rsidR="00000000" w:rsidRDefault="009649C3">
      <w:pPr>
        <w:pStyle w:val="a3"/>
        <w:spacing w:before="0" w:beforeAutospacing="0" w:after="0" w:afterAutospacing="0"/>
        <w:jc w:val="center"/>
        <w:rPr>
          <w:sz w:val="20"/>
          <w:szCs w:val="20"/>
        </w:rPr>
      </w:pPr>
      <w:r>
        <w:rPr>
          <w:b/>
          <w:bCs/>
          <w:sz w:val="20"/>
          <w:szCs w:val="20"/>
        </w:rPr>
        <w:t>Index to Financial Statements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36"/>
        <w:gridCol w:w="150"/>
        <w:gridCol w:w="720"/>
      </w:tblGrid>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150" w:type="dxa"/>
            <w:hideMark/>
          </w:tcPr>
          <w:p w:rsidR="00000000" w:rsidRDefault="009649C3">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9649C3">
            <w:pPr>
              <w:jc w:val="center"/>
              <w:rPr>
                <w:rFonts w:eastAsia="Times New Roman"/>
                <w:sz w:val="20"/>
                <w:szCs w:val="20"/>
              </w:rPr>
            </w:pPr>
            <w:r>
              <w:rPr>
                <w:rFonts w:eastAsia="Times New Roman"/>
                <w:b/>
                <w:bCs/>
                <w:sz w:val="20"/>
                <w:szCs w:val="20"/>
              </w:rPr>
              <w:t>Pages</w:t>
            </w:r>
          </w:p>
        </w:tc>
      </w:tr>
      <w:tr w:rsidR="00000000">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5" w:history="1">
              <w:r>
                <w:rPr>
                  <w:rStyle w:val="a4"/>
                  <w:rFonts w:eastAsia="Times New Roman"/>
                  <w:sz w:val="20"/>
                  <w:szCs w:val="20"/>
                </w:rPr>
                <w:t xml:space="preserve">Report of Independent Registered Public Accounting Firm </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r>
              <w:rPr>
                <w:rFonts w:eastAsia="Times New Roman"/>
                <w:b/>
                <w:bCs/>
                <w:sz w:val="20"/>
                <w:szCs w:val="20"/>
              </w:rPr>
              <w:t>Financial Statements:</w:t>
            </w:r>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6" w:history="1">
              <w:r>
                <w:rPr>
                  <w:rStyle w:val="a4"/>
                  <w:rFonts w:eastAsia="Times New Roman"/>
                  <w:sz w:val="20"/>
                  <w:szCs w:val="20"/>
                </w:rPr>
                <w:t>Balance Sheets as of December 31, 2020 and 2019</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7" w:history="1">
              <w:r>
                <w:rPr>
                  <w:rStyle w:val="a4"/>
                  <w:rFonts w:eastAsia="Times New Roman"/>
                  <w:sz w:val="20"/>
                  <w:szCs w:val="20"/>
                </w:rPr>
                <w:t>Statements of Operations for the years ended December 31, 2020 and 2019</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8" w:history="1">
              <w:r>
                <w:rPr>
                  <w:rStyle w:val="a4"/>
                  <w:rFonts w:eastAsia="Times New Roman"/>
                  <w:sz w:val="20"/>
                  <w:szCs w:val="20"/>
                </w:rPr>
                <w:t xml:space="preserve">Statement of Changes in </w:t>
              </w:r>
              <w:r>
                <w:rPr>
                  <w:rStyle w:val="a4"/>
                  <w:rFonts w:eastAsia="Times New Roman"/>
                  <w:sz w:val="20"/>
                  <w:szCs w:val="20"/>
                </w:rPr>
                <w:t>Stockholders’ Deficit for the years ended December 31, 2020 and 2019</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29" w:history="1">
              <w:r>
                <w:rPr>
                  <w:rStyle w:val="a4"/>
                  <w:rFonts w:eastAsia="Times New Roman"/>
                  <w:sz w:val="20"/>
                  <w:szCs w:val="20"/>
                </w:rPr>
                <w:t>Statements of Cash Flow for the years ended December 31, 2020 and 2019</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9649C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9649C3">
            <w:pPr>
              <w:rPr>
                <w:rFonts w:eastAsia="Times New Roman"/>
                <w:sz w:val="20"/>
                <w:szCs w:val="20"/>
              </w:rPr>
            </w:pPr>
            <w:hyperlink w:anchor="v_030" w:history="1">
              <w:r>
                <w:rPr>
                  <w:rStyle w:val="a4"/>
                  <w:rFonts w:eastAsia="Times New Roman"/>
                  <w:sz w:val="20"/>
                  <w:szCs w:val="20"/>
                </w:rPr>
                <w:t>Notes to Financial Statements</w:t>
              </w:r>
            </w:hyperlink>
          </w:p>
        </w:tc>
        <w:tc>
          <w:tcPr>
            <w:tcW w:w="0" w:type="auto"/>
            <w:shd w:val="clear" w:color="auto" w:fill="CCEEFF"/>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49C3">
            <w:pPr>
              <w:jc w:val="center"/>
              <w:rPr>
                <w:rFonts w:eastAsia="Times New Roman"/>
                <w:sz w:val="20"/>
                <w:szCs w:val="20"/>
              </w:rPr>
            </w:pPr>
            <w:r>
              <w:rPr>
                <w:rFonts w:eastAsia="Times New Roman"/>
                <w:sz w:val="20"/>
                <w:szCs w:val="20"/>
              </w:rPr>
              <w:t>F-6</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7693138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4</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right"/>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24" w:name="v_025"/>
      <w:bookmarkEnd w:id="24"/>
      <w:r>
        <w:rPr>
          <w:b/>
          <w:bCs/>
          <w:caps/>
          <w:sz w:val="20"/>
          <w:szCs w:val="20"/>
        </w:rPr>
        <w:t>Report of Independent Registered Public Accounting Firm</w:t>
      </w:r>
    </w:p>
    <w:p w:rsidR="00000000" w:rsidRDefault="009649C3">
      <w:pPr>
        <w:pStyle w:val="a3"/>
        <w:spacing w:before="0" w:beforeAutospacing="0" w:after="0" w:afterAutospacing="0"/>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sz w:val="20"/>
          <w:szCs w:val="20"/>
        </w:rPr>
        <w:t>To the Board of Directors and Shareholders of Vivos, Inc.</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Opinion on the Financial Statem</w:t>
      </w:r>
      <w:r>
        <w:rPr>
          <w:b/>
          <w:bCs/>
          <w:sz w:val="20"/>
          <w:szCs w:val="20"/>
        </w:rPr>
        <w:t>ents</w:t>
      </w:r>
    </w:p>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sz w:val="20"/>
          <w:szCs w:val="20"/>
        </w:rPr>
        <w:t>We have audited the accompanying balance sheets of Vivos, Inc. (“the Company”) as of December 31, 2020 and 2019, and the related statements of operations, changes in stockholders’ equity (deficit), and cash flows for each of the years in the two-yea</w:t>
      </w:r>
      <w:r>
        <w:rPr>
          <w:sz w:val="20"/>
          <w:szCs w:val="20"/>
        </w:rPr>
        <w:t>r period ended December 31, 2020, and the related notes (collectively referred to as the financial statements). In our opinion, the financial statements present fairly, in all material respects, the financial position of the Company as of December 31, 2020</w:t>
      </w:r>
      <w:r>
        <w:rPr>
          <w:sz w:val="20"/>
          <w:szCs w:val="20"/>
        </w:rPr>
        <w:t xml:space="preserve"> and 2019, and the results of its operations and its cash flows for each of the years in the two-year period ended December 31, 2020, in conformity with accounting principles generally accepted in the United States of America.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Going Concern</w:t>
      </w:r>
    </w:p>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sz w:val="20"/>
          <w:szCs w:val="20"/>
        </w:rPr>
        <w:t>The accompa</w:t>
      </w:r>
      <w:r>
        <w:rPr>
          <w:sz w:val="20"/>
          <w:szCs w:val="20"/>
        </w:rPr>
        <w:t>nying financial statements have been prepared assuming that the Company will continue as a going concern. As discussed in Note 1 to the financial statements, the Company has suffered recurring losses, has utilized significant cash in operations, and its ca</w:t>
      </w:r>
      <w:r>
        <w:rPr>
          <w:sz w:val="20"/>
          <w:szCs w:val="20"/>
        </w:rPr>
        <w:t>sh position is not sufficient to support operations. These factors raise substantial doubt about the Company’s ability to continue as a going concern. Management’s plans in regard to these matters are also described in Note 1. The financial statements do n</w:t>
      </w:r>
      <w:r>
        <w:rPr>
          <w:sz w:val="20"/>
          <w:szCs w:val="20"/>
        </w:rPr>
        <w:t>ot include any adjustments that might result from the outcome of this uncertainty.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Basis for Opinion</w:t>
      </w:r>
    </w:p>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sz w:val="20"/>
          <w:szCs w:val="20"/>
        </w:rPr>
        <w:t>These financial statements are the responsibility of the Company’</w:t>
      </w:r>
      <w:r>
        <w:rPr>
          <w:sz w:val="20"/>
          <w:szCs w:val="20"/>
        </w:rPr>
        <w:t>s management. Our responsibility is to express an opinion on the Company’s financial statements based on our audits. We are a public accounting firm registered with the Public Company Accounting Oversight Board (United States) (PCAOB) and are required to b</w:t>
      </w:r>
      <w:r>
        <w:rPr>
          <w:sz w:val="20"/>
          <w:szCs w:val="20"/>
        </w:rPr>
        <w:t>e independent with respect to the Company in accordance with the U.S. federal securities laws and the applicable rules and regulations of the Securities and Exchange Commission and the PCAOB.</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We conducted our audits in accordance with the standards of th</w:t>
      </w:r>
      <w:r>
        <w:rPr>
          <w:sz w:val="20"/>
          <w:szCs w:val="20"/>
        </w:rPr>
        <w:t>e PCAOB. Those standards require that we plan and perform the audit to obtain reasonable assurance about whether the financial statements are free of material misstatement, whether due to error or fraud. The Company is not required to have, nor were we eng</w:t>
      </w:r>
      <w:r>
        <w:rPr>
          <w:sz w:val="20"/>
          <w:szCs w:val="20"/>
        </w:rPr>
        <w:t>aged to perform, an audit of its internal control over financial reporting. As part of our audits, we are required to obtain an understanding of internal control over financial reporting, but not for the purpose of expressing an opinion on the effectivenes</w:t>
      </w:r>
      <w:r>
        <w:rPr>
          <w:sz w:val="20"/>
          <w:szCs w:val="20"/>
        </w:rPr>
        <w:t>s of the Company’s internal control over financial reporting. Accordingly, we express no such opinion.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Our audits included performing procedures to assess the risks of material misstatement of the financial statements, whether due to error or fraud, and </w:t>
      </w:r>
      <w:r>
        <w:rPr>
          <w:sz w:val="20"/>
          <w:szCs w:val="20"/>
        </w:rPr>
        <w:t>performing procedures that respond to those risks. Such procedures included examining, on a test basis, evidence regarding the amounts and disclosures in the financial statements. Our audits also included evaluating the accounting principles used and signi</w:t>
      </w:r>
      <w:r>
        <w:rPr>
          <w:sz w:val="20"/>
          <w:szCs w:val="20"/>
        </w:rPr>
        <w:t>ficant estimates made by management, as well as evaluating the overall presentation of the financial statements. We believe that our audits provide a reasonable basis for our opinion.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Critical Audit Matters</w:t>
      </w:r>
    </w:p>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sz w:val="20"/>
          <w:szCs w:val="20"/>
        </w:rPr>
        <w:t>The critical audit matters communicated below</w:t>
      </w:r>
      <w:r>
        <w:rPr>
          <w:sz w:val="20"/>
          <w:szCs w:val="20"/>
        </w:rPr>
        <w:t xml:space="preserve"> are matters arising from the current period audit of the financial statements that were communicated or required to be communicated to the audit committee and that: (1) relate to accounts or disclosures that are material to the financial statements and (2</w:t>
      </w:r>
      <w:r>
        <w:rPr>
          <w:sz w:val="20"/>
          <w:szCs w:val="20"/>
        </w:rPr>
        <w:t>) involved our especially challenging, subjective, or complex judgments. The communication of critical audit matters does not alter in any way our opinion on the financial statements, taken as a whole, and we are not, by communicating the critical audit ma</w:t>
      </w:r>
      <w:r>
        <w:rPr>
          <w:sz w:val="20"/>
          <w:szCs w:val="20"/>
        </w:rPr>
        <w:t>tters below, providing separate opinions on the critical audit matters or on the accounts or disclosures to which they relate.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left="720"/>
        <w:jc w:val="both"/>
        <w:rPr>
          <w:sz w:val="20"/>
          <w:szCs w:val="20"/>
        </w:rPr>
      </w:pPr>
      <w:r>
        <w:rPr>
          <w:b/>
          <w:bCs/>
          <w:i/>
          <w:iCs/>
          <w:sz w:val="20"/>
          <w:szCs w:val="20"/>
        </w:rPr>
        <w:t xml:space="preserve">Recognition of common stock warrant transactions </w:t>
      </w:r>
    </w:p>
    <w:p w:rsidR="00000000" w:rsidRDefault="009649C3">
      <w:pPr>
        <w:pStyle w:val="a3"/>
        <w:spacing w:before="0" w:beforeAutospacing="0" w:after="0" w:afterAutospacing="0"/>
        <w:ind w:left="720"/>
        <w:jc w:val="both"/>
        <w:rPr>
          <w:sz w:val="20"/>
          <w:szCs w:val="20"/>
        </w:rPr>
      </w:pPr>
      <w:r>
        <w:rPr>
          <w:b/>
          <w:bCs/>
          <w:i/>
          <w:iCs/>
          <w:sz w:val="20"/>
          <w:szCs w:val="20"/>
        </w:rPr>
        <w:t> </w:t>
      </w:r>
    </w:p>
    <w:p w:rsidR="00000000" w:rsidRDefault="009649C3">
      <w:pPr>
        <w:pStyle w:val="a3"/>
        <w:spacing w:before="0" w:beforeAutospacing="0" w:after="0" w:afterAutospacing="0"/>
        <w:ind w:left="720"/>
        <w:jc w:val="both"/>
        <w:rPr>
          <w:sz w:val="20"/>
          <w:szCs w:val="20"/>
        </w:rPr>
      </w:pPr>
      <w:r>
        <w:rPr>
          <w:i/>
          <w:iCs/>
          <w:sz w:val="20"/>
          <w:szCs w:val="20"/>
        </w:rPr>
        <w:t xml:space="preserve">Description of the Critical Audit Matter </w:t>
      </w:r>
    </w:p>
    <w:p w:rsidR="00000000" w:rsidRDefault="009649C3">
      <w:pPr>
        <w:pStyle w:val="a3"/>
        <w:spacing w:before="0" w:beforeAutospacing="0" w:after="0" w:afterAutospacing="0"/>
        <w:ind w:left="720"/>
        <w:jc w:val="both"/>
        <w:rPr>
          <w:sz w:val="20"/>
          <w:szCs w:val="20"/>
        </w:rPr>
      </w:pPr>
      <w:r>
        <w:rPr>
          <w:i/>
          <w:iCs/>
          <w:sz w:val="20"/>
          <w:szCs w:val="20"/>
        </w:rPr>
        <w:t> </w:t>
      </w:r>
    </w:p>
    <w:p w:rsidR="00000000" w:rsidRDefault="009649C3">
      <w:pPr>
        <w:pStyle w:val="a3"/>
        <w:spacing w:before="0" w:beforeAutospacing="0" w:after="0" w:afterAutospacing="0"/>
        <w:ind w:left="720"/>
        <w:jc w:val="both"/>
        <w:rPr>
          <w:sz w:val="20"/>
          <w:szCs w:val="20"/>
        </w:rPr>
      </w:pPr>
      <w:r>
        <w:rPr>
          <w:sz w:val="20"/>
          <w:szCs w:val="20"/>
        </w:rPr>
        <w:t>As discussed in Note 8 to the f</w:t>
      </w:r>
      <w:r>
        <w:rPr>
          <w:sz w:val="20"/>
          <w:szCs w:val="20"/>
        </w:rPr>
        <w:t>inancial statements, the Company issued a number of common stock warrants during the period alongside various agreements. The Company’s initial recognition of outstanding warrants and the evaluation of common shares issued in exchange for stock warrants in</w:t>
      </w:r>
      <w:r>
        <w:rPr>
          <w:sz w:val="20"/>
          <w:szCs w:val="20"/>
        </w:rPr>
        <w:t>volved complexity and judgement in applying the relevant accounting standards when auditing management’s conclusions on the classification and recognition of warrants on issuance and on exercise.</w:t>
      </w:r>
    </w:p>
    <w:p w:rsidR="00000000" w:rsidRDefault="009649C3">
      <w:pPr>
        <w:pStyle w:val="a3"/>
        <w:spacing w:before="0" w:beforeAutospacing="0" w:after="0" w:afterAutospacing="0"/>
        <w:ind w:left="720"/>
        <w:jc w:val="both"/>
        <w:rPr>
          <w:sz w:val="20"/>
          <w:szCs w:val="20"/>
        </w:rPr>
      </w:pPr>
      <w:r>
        <w:rPr>
          <w:sz w:val="20"/>
          <w:szCs w:val="20"/>
        </w:rPr>
        <w:t> </w:t>
      </w:r>
    </w:p>
    <w:p w:rsidR="00000000" w:rsidRDefault="009649C3">
      <w:pPr>
        <w:pStyle w:val="a3"/>
        <w:spacing w:before="0" w:beforeAutospacing="0" w:after="0" w:afterAutospacing="0"/>
        <w:ind w:left="720"/>
        <w:jc w:val="both"/>
        <w:rPr>
          <w:sz w:val="20"/>
          <w:szCs w:val="20"/>
        </w:rPr>
      </w:pPr>
      <w:r>
        <w:rPr>
          <w:i/>
          <w:iCs/>
          <w:sz w:val="20"/>
          <w:szCs w:val="20"/>
        </w:rPr>
        <w:t>How the Critical Audit Matter Was Addressed in the Audit</w:t>
      </w:r>
    </w:p>
    <w:p w:rsidR="00000000" w:rsidRDefault="009649C3">
      <w:pPr>
        <w:pStyle w:val="a3"/>
        <w:spacing w:before="0" w:beforeAutospacing="0" w:after="0" w:afterAutospacing="0"/>
        <w:ind w:left="720"/>
        <w:jc w:val="both"/>
        <w:rPr>
          <w:sz w:val="20"/>
          <w:szCs w:val="20"/>
        </w:rPr>
      </w:pPr>
      <w:r>
        <w:rPr>
          <w:i/>
          <w:iCs/>
          <w:sz w:val="20"/>
          <w:szCs w:val="20"/>
        </w:rPr>
        <w:t> </w:t>
      </w:r>
    </w:p>
    <w:p w:rsidR="00000000" w:rsidRDefault="009649C3">
      <w:pPr>
        <w:pStyle w:val="a3"/>
        <w:spacing w:before="0" w:beforeAutospacing="0" w:after="0" w:afterAutospacing="0"/>
        <w:ind w:left="720"/>
        <w:jc w:val="both"/>
        <w:rPr>
          <w:sz w:val="20"/>
          <w:szCs w:val="20"/>
        </w:rPr>
      </w:pPr>
      <w:r>
        <w:rPr>
          <w:sz w:val="20"/>
          <w:szCs w:val="20"/>
        </w:rPr>
        <w:t>Our principal audit procedures to evaluate management’s calculation of common shares issued for exchange of stock warrants included the following:</w:t>
      </w:r>
    </w:p>
    <w:p w:rsidR="00000000" w:rsidRDefault="009649C3">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8"/>
        <w:gridCol w:w="288"/>
        <w:gridCol w:w="7010"/>
      </w:tblGrid>
      <w:tr w:rsidR="00000000">
        <w:trPr>
          <w:tblCellSpacing w:w="0" w:type="dxa"/>
        </w:trPr>
        <w:tc>
          <w:tcPr>
            <w:tcW w:w="1008" w:type="dxa"/>
            <w:hideMark/>
          </w:tcPr>
          <w:p w:rsidR="00000000" w:rsidRDefault="009649C3">
            <w:pPr>
              <w:rPr>
                <w:sz w:val="20"/>
                <w:szCs w:val="20"/>
              </w:rPr>
            </w:pPr>
          </w:p>
        </w:tc>
        <w:tc>
          <w:tcPr>
            <w:tcW w:w="288" w:type="dxa"/>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We evaluated the appropriateness and consistency of management’s methods and assumptions used in the id</w:t>
            </w:r>
            <w:r>
              <w:rPr>
                <w:rFonts w:eastAsia="Times New Roman"/>
                <w:sz w:val="20"/>
                <w:szCs w:val="20"/>
              </w:rPr>
              <w:t>entification, recognition, measurement, and disclosure of considerations of the underlying warrants, including the classification with respect to the terms and in considering applicable generally accepted accounting standards.</w:t>
            </w:r>
          </w:p>
        </w:tc>
      </w:tr>
      <w:tr w:rsidR="00000000">
        <w:trPr>
          <w:tblCellSpacing w:w="0" w:type="dxa"/>
        </w:trPr>
        <w:tc>
          <w:tcPr>
            <w:tcW w:w="0" w:type="auto"/>
            <w:hideMark/>
          </w:tcPr>
          <w:p w:rsidR="00000000" w:rsidRDefault="009649C3">
            <w:pPr>
              <w:jc w:val="both"/>
              <w:rPr>
                <w:rFonts w:eastAsia="Times New Roman"/>
                <w:sz w:val="20"/>
                <w:szCs w:val="20"/>
              </w:rPr>
            </w:pP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We </w:t>
            </w:r>
            <w:r>
              <w:rPr>
                <w:rFonts w:eastAsia="Times New Roman"/>
                <w:sz w:val="20"/>
                <w:szCs w:val="20"/>
              </w:rPr>
              <w:t>read the applicable agreements and compared the key terms to management’s analysis of the transaction.</w:t>
            </w:r>
          </w:p>
        </w:tc>
      </w:tr>
      <w:tr w:rsidR="00000000">
        <w:trPr>
          <w:tblCellSpacing w:w="0" w:type="dxa"/>
        </w:trPr>
        <w:tc>
          <w:tcPr>
            <w:tcW w:w="0" w:type="auto"/>
            <w:hideMark/>
          </w:tcPr>
          <w:p w:rsidR="00000000" w:rsidRDefault="009649C3">
            <w:pPr>
              <w:jc w:val="both"/>
              <w:rPr>
                <w:rFonts w:eastAsia="Times New Roman"/>
                <w:sz w:val="20"/>
                <w:szCs w:val="20"/>
              </w:rPr>
            </w:pP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We read, evaluated, and tested the reasonableness of management’s calculation utilized in the determination of common shares issued in exchange for s</w:t>
            </w:r>
            <w:r>
              <w:rPr>
                <w:rFonts w:eastAsia="Times New Roman"/>
                <w:sz w:val="20"/>
                <w:szCs w:val="20"/>
              </w:rPr>
              <w:t>tock warrants.</w:t>
            </w:r>
          </w:p>
        </w:tc>
      </w:tr>
      <w:tr w:rsidR="00000000">
        <w:trPr>
          <w:tblCellSpacing w:w="0" w:type="dxa"/>
        </w:trPr>
        <w:tc>
          <w:tcPr>
            <w:tcW w:w="0" w:type="auto"/>
            <w:hideMark/>
          </w:tcPr>
          <w:p w:rsidR="00000000" w:rsidRDefault="009649C3">
            <w:pPr>
              <w:jc w:val="both"/>
              <w:rPr>
                <w:rFonts w:eastAsia="Times New Roman"/>
                <w:sz w:val="20"/>
                <w:szCs w:val="20"/>
              </w:rPr>
            </w:pP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We evaluated whether management had appropriately considered new information that could significantly change the measurement or disclosure of common shares issued in exchange for stock warrants, and evaluated the disclosures related to t</w:t>
            </w:r>
            <w:r>
              <w:rPr>
                <w:rFonts w:eastAsia="Times New Roman"/>
                <w:sz w:val="20"/>
                <w:szCs w:val="20"/>
              </w:rPr>
              <w:t>he financial statement impacts of the transactions.</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rPr>
          <w:sz w:val="20"/>
          <w:szCs w:val="20"/>
        </w:rPr>
      </w:pPr>
      <w:r>
        <w:rPr>
          <w:sz w:val="20"/>
          <w:szCs w:val="20"/>
        </w:rPr>
        <w:t>We have served as the Company’s auditor since 2016.</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rPr>
          <w:sz w:val="20"/>
          <w:szCs w:val="20"/>
        </w:rPr>
      </w:pPr>
      <w:r>
        <w:rPr>
          <w:sz w:val="20"/>
          <w:szCs w:val="20"/>
        </w:rPr>
        <w:t>Spokane, Washington</w:t>
      </w:r>
    </w:p>
    <w:p w:rsidR="00000000" w:rsidRDefault="009649C3">
      <w:pPr>
        <w:pStyle w:val="a3"/>
        <w:spacing w:before="0" w:beforeAutospacing="0" w:after="0" w:afterAutospacing="0"/>
        <w:rPr>
          <w:sz w:val="20"/>
          <w:szCs w:val="20"/>
        </w:rPr>
      </w:pPr>
      <w:r>
        <w:rPr>
          <w:sz w:val="20"/>
          <w:szCs w:val="20"/>
        </w:rPr>
        <w:t>March 24, 2021</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8131303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vAlign w:val="bottom"/>
            <w:hideMark/>
          </w:tcPr>
          <w:p w:rsidR="00000000" w:rsidRDefault="009649C3">
            <w:pPr>
              <w:jc w:val="center"/>
              <w:rPr>
                <w:rFonts w:eastAsia="Times New Roman"/>
                <w:sz w:val="20"/>
                <w:szCs w:val="20"/>
              </w:rPr>
            </w:pPr>
            <w:bookmarkStart w:id="25" w:name="v_026"/>
            <w:bookmarkEnd w:id="25"/>
            <w:r>
              <w:rPr>
                <w:rFonts w:eastAsia="Times New Roman"/>
                <w:b/>
                <w:bCs/>
                <w:sz w:val="20"/>
                <w:szCs w:val="20"/>
              </w:rPr>
              <w:t>VIVOS INC</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BALANCE SHEETS</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DECEMBER 31, 2020 AND 2019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44"/>
        <w:gridCol w:w="161"/>
        <w:gridCol w:w="101"/>
        <w:gridCol w:w="1241"/>
        <w:gridCol w:w="78"/>
        <w:gridCol w:w="161"/>
        <w:gridCol w:w="101"/>
        <w:gridCol w:w="1241"/>
        <w:gridCol w:w="7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9649C3">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100" w:type="pct"/>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Cash</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903,704</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20,381</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33,835</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23,492</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center"/>
              <w:rPr>
                <w:rFonts w:eastAsia="Times New Roman"/>
                <w:b/>
                <w:bCs/>
                <w:sz w:val="20"/>
                <w:szCs w:val="20"/>
                <w:u w:val="single"/>
              </w:rPr>
            </w:pPr>
            <w:r>
              <w:rPr>
                <w:rFonts w:eastAsia="Times New Roman"/>
                <w:b/>
                <w:bCs/>
                <w:sz w:val="20"/>
                <w:szCs w:val="20"/>
                <w:u w:val="single"/>
              </w:rPr>
              <w:t>LIABILITIES AND STOCKHOLDERS’ EQUITY (DEFICIT)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361,880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511,817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100,954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93,249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Convertible notes payable, related party, net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14,500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Convertible notes payable, net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107,418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434,886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Promissory notes payable, net of discount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1,523,562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1,523,562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STOCKHOLDERS’ EQUITY (DEFICIT)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Preferred stock, par value, $0.001, 20,000,000 shares authorized, Series A Convertible Preferred, 5,000,000 shares authorized, 2,171,007 and 2,552,642 shares issued and outstanding, respectively</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2,171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 xml:space="preserve">Additional paid in capital - Series </w:t>
            </w:r>
            <w:r>
              <w:rPr>
                <w:rFonts w:eastAsia="Times New Roman"/>
                <w:sz w:val="20"/>
                <w:szCs w:val="20"/>
              </w:rPr>
              <w:t>A Convertible preferred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8,870,626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Series B Convertible Preferred, 5,000,000 shares authorized, 436,653 and 1,113,245 shares issued and outstanding, respectively</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1,113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665,195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Series C Convertible Preferred, 5,000,000 shares authorized, 385,302 and 821,292 shares issued and outstanding, respectively</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821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674,457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Common stock, par value, $0.001, 950,000,000 shares authorized, 292,278,591 and 184,845,821 issued and outstanding, respectively</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292,279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184,846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Add</w:t>
            </w:r>
            <w:r>
              <w:rPr>
                <w:rFonts w:eastAsia="Times New Roman"/>
                <w:sz w:val="20"/>
                <w:szCs w:val="20"/>
              </w:rPr>
              <w:t>itional paid in capital - common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64,551,764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61,721,809</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(74,558,101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(73,601,109</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Total Stockholders’ Equity (Deficit)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32,034</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(1,479,689</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TOTAL LIABILITIES AND STOCKHOLDERS’ EQUITY (DEFICIT)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9649C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0417341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vAlign w:val="bottom"/>
            <w:hideMark/>
          </w:tcPr>
          <w:p w:rsidR="00000000" w:rsidRDefault="009649C3">
            <w:pPr>
              <w:jc w:val="center"/>
              <w:rPr>
                <w:rFonts w:eastAsia="Times New Roman"/>
                <w:sz w:val="20"/>
                <w:szCs w:val="20"/>
              </w:rPr>
            </w:pPr>
            <w:bookmarkStart w:id="26" w:name="v_027"/>
            <w:bookmarkEnd w:id="26"/>
            <w:r>
              <w:rPr>
                <w:rFonts w:eastAsia="Times New Roman"/>
                <w:b/>
                <w:bCs/>
                <w:sz w:val="20"/>
                <w:szCs w:val="20"/>
              </w:rPr>
              <w:t>VIVOS INC</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STATEMENTS OF OPERATIONS</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FOR </w:t>
            </w:r>
            <w:r>
              <w:rPr>
                <w:rFonts w:eastAsia="Times New Roman"/>
                <w:b/>
                <w:bCs/>
                <w:sz w:val="20"/>
                <w:szCs w:val="20"/>
              </w:rPr>
              <w:t>THE YEARS ENDED DECEMBER 31, 2020 AND 2019</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b/>
                <w:bCs/>
                <w:sz w:val="20"/>
                <w:szCs w:val="20"/>
              </w:rPr>
            </w:pPr>
            <w:r>
              <w:rPr>
                <w:rFonts w:eastAsia="Times New Roman"/>
                <w:b/>
                <w:bCs/>
                <w:sz w:val="20"/>
                <w:szCs w:val="20"/>
              </w:rPr>
              <w:t>Revenues, net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9,500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(5,608</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(6,028</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1,392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3,472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Professional fees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243,942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462,952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608,588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234,094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84,668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67,584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109,033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74,327</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673,913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1,333,451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OPERATING LOSS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(672,521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(1,329,979</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NON-OPERATING INCOME (EXPENSE)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(287,471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(261,374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Other income - SBA</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(18,744</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(284,471</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(280,118</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(956,992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(1,610,097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(956,992</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(1,610,097</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222,804,039</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175,195,600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4091466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vAlign w:val="bottom"/>
            <w:hideMark/>
          </w:tcPr>
          <w:p w:rsidR="00000000" w:rsidRDefault="009649C3">
            <w:pPr>
              <w:jc w:val="center"/>
              <w:rPr>
                <w:rFonts w:eastAsia="Times New Roman"/>
                <w:sz w:val="20"/>
                <w:szCs w:val="20"/>
              </w:rPr>
            </w:pPr>
            <w:bookmarkStart w:id="27" w:name="v_028"/>
            <w:bookmarkEnd w:id="27"/>
            <w:r>
              <w:rPr>
                <w:rFonts w:eastAsia="Times New Roman"/>
                <w:b/>
                <w:bCs/>
                <w:sz w:val="20"/>
                <w:szCs w:val="20"/>
              </w:rPr>
              <w:t>VIVOS INC</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STATEMENT OF CHANGES IN STOCKHOLDERS’ EQUITY (DEFICIT) </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FOR THE YEARS ENDED DECEMBER 31, 2020 AND 2019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29"/>
        <w:gridCol w:w="40"/>
        <w:gridCol w:w="40"/>
        <w:gridCol w:w="640"/>
        <w:gridCol w:w="54"/>
        <w:gridCol w:w="40"/>
        <w:gridCol w:w="281"/>
        <w:gridCol w:w="360"/>
        <w:gridCol w:w="54"/>
        <w:gridCol w:w="40"/>
        <w:gridCol w:w="365"/>
        <w:gridCol w:w="640"/>
        <w:gridCol w:w="54"/>
        <w:gridCol w:w="40"/>
        <w:gridCol w:w="40"/>
        <w:gridCol w:w="694"/>
        <w:gridCol w:w="54"/>
        <w:gridCol w:w="40"/>
        <w:gridCol w:w="281"/>
        <w:gridCol w:w="414"/>
        <w:gridCol w:w="54"/>
        <w:gridCol w:w="40"/>
        <w:gridCol w:w="365"/>
        <w:gridCol w:w="640"/>
        <w:gridCol w:w="54"/>
        <w:gridCol w:w="40"/>
        <w:gridCol w:w="40"/>
        <w:gridCol w:w="574"/>
        <w:gridCol w:w="54"/>
        <w:gridCol w:w="40"/>
        <w:gridCol w:w="281"/>
        <w:gridCol w:w="294"/>
        <w:gridCol w:w="54"/>
        <w:gridCol w:w="40"/>
        <w:gridCol w:w="365"/>
        <w:gridCol w:w="574"/>
        <w:gridCol w:w="54"/>
        <w:gridCol w:w="40"/>
        <w:gridCol w:w="40"/>
        <w:gridCol w:w="800"/>
        <w:gridCol w:w="54"/>
        <w:gridCol w:w="40"/>
        <w:gridCol w:w="80"/>
        <w:gridCol w:w="520"/>
        <w:gridCol w:w="40"/>
        <w:gridCol w:w="90"/>
        <w:gridCol w:w="80"/>
        <w:gridCol w:w="720"/>
        <w:gridCol w:w="54"/>
        <w:gridCol w:w="40"/>
        <w:gridCol w:w="454"/>
        <w:gridCol w:w="774"/>
        <w:gridCol w:w="54"/>
        <w:gridCol w:w="40"/>
        <w:gridCol w:w="80"/>
        <w:gridCol w:w="694"/>
        <w:gridCol w:w="54"/>
      </w:tblGrid>
      <w:tr w:rsidR="00000000">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6"/>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9649C3">
            <w:pPr>
              <w:rPr>
                <w:rFonts w:eastAsia="Times New Roman"/>
                <w:b/>
                <w:bCs/>
                <w:sz w:val="20"/>
                <w:szCs w:val="20"/>
              </w:rPr>
            </w:pPr>
          </w:p>
        </w:tc>
        <w:tc>
          <w:tcPr>
            <w:tcW w:w="0" w:type="auto"/>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r>
      <w:tr w:rsidR="00000000">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A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9649C3">
            <w:pPr>
              <w:pStyle w:val="a3"/>
              <w:spacing w:before="0" w:beforeAutospacing="0" w:after="0" w:afterAutospacing="0"/>
              <w:jc w:val="center"/>
              <w:rPr>
                <w:b/>
                <w:bCs/>
                <w:sz w:val="20"/>
                <w:szCs w:val="20"/>
              </w:rPr>
            </w:pPr>
            <w:r>
              <w:rPr>
                <w:b/>
                <w:bCs/>
                <w:sz w:val="16"/>
                <w:szCs w:val="16"/>
              </w:rPr>
              <w:t>Paid-In</w:t>
            </w:r>
          </w:p>
          <w:p w:rsidR="00000000" w:rsidRDefault="009649C3">
            <w:pPr>
              <w:pStyle w:val="a3"/>
              <w:spacing w:before="0" w:beforeAutospacing="0" w:after="0" w:afterAutospacing="0"/>
              <w:jc w:val="center"/>
              <w:rPr>
                <w:b/>
                <w:bCs/>
                <w:sz w:val="20"/>
                <w:szCs w:val="20"/>
              </w:rPr>
            </w:pPr>
            <w:r>
              <w:rPr>
                <w:b/>
                <w:bCs/>
                <w:sz w:val="16"/>
                <w:szCs w:val="16"/>
              </w:rPr>
              <w:t>Capital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B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9649C3">
            <w:pPr>
              <w:pStyle w:val="a3"/>
              <w:spacing w:before="0" w:beforeAutospacing="0" w:after="0" w:afterAutospacing="0"/>
              <w:jc w:val="center"/>
              <w:rPr>
                <w:b/>
                <w:bCs/>
                <w:sz w:val="20"/>
                <w:szCs w:val="20"/>
              </w:rPr>
            </w:pPr>
            <w:r>
              <w:rPr>
                <w:b/>
                <w:bCs/>
                <w:sz w:val="16"/>
                <w:szCs w:val="16"/>
              </w:rPr>
              <w:t>Paid-In</w:t>
            </w:r>
          </w:p>
          <w:p w:rsidR="00000000" w:rsidRDefault="009649C3">
            <w:pPr>
              <w:pStyle w:val="a3"/>
              <w:spacing w:before="0" w:beforeAutospacing="0" w:after="0" w:afterAutospacing="0"/>
              <w:jc w:val="center"/>
              <w:rPr>
                <w:b/>
                <w:bCs/>
                <w:sz w:val="20"/>
                <w:szCs w:val="20"/>
              </w:rPr>
            </w:pPr>
            <w:r>
              <w:rPr>
                <w:b/>
                <w:bCs/>
                <w:sz w:val="16"/>
                <w:szCs w:val="16"/>
              </w:rPr>
              <w:t>Capital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C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9649C3">
            <w:pPr>
              <w:pStyle w:val="a3"/>
              <w:spacing w:before="0" w:beforeAutospacing="0" w:after="0" w:afterAutospacing="0"/>
              <w:jc w:val="center"/>
              <w:rPr>
                <w:b/>
                <w:bCs/>
                <w:sz w:val="20"/>
                <w:szCs w:val="20"/>
              </w:rPr>
            </w:pPr>
            <w:r>
              <w:rPr>
                <w:b/>
                <w:bCs/>
                <w:sz w:val="16"/>
                <w:szCs w:val="16"/>
              </w:rPr>
              <w:t>Paid-In</w:t>
            </w:r>
          </w:p>
          <w:p w:rsidR="00000000" w:rsidRDefault="009649C3">
            <w:pPr>
              <w:pStyle w:val="a3"/>
              <w:spacing w:before="0" w:beforeAutospacing="0" w:after="0" w:afterAutospacing="0"/>
              <w:jc w:val="center"/>
              <w:rPr>
                <w:b/>
                <w:bCs/>
                <w:sz w:val="20"/>
                <w:szCs w:val="20"/>
              </w:rPr>
            </w:pPr>
            <w:r>
              <w:rPr>
                <w:b/>
                <w:bCs/>
                <w:sz w:val="16"/>
                <w:szCs w:val="16"/>
              </w:rPr>
              <w:t>Capital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pStyle w:val="a3"/>
              <w:spacing w:before="0" w:beforeAutospacing="0" w:after="0" w:afterAutospacing="0"/>
              <w:rPr>
                <w:b/>
                <w:bCs/>
                <w:sz w:val="20"/>
                <w:szCs w:val="20"/>
              </w:rPr>
            </w:pPr>
            <w:r>
              <w:rPr>
                <w:b/>
                <w:bCs/>
                <w:sz w:val="20"/>
                <w:szCs w:val="20"/>
              </w:rPr>
              <w:t> </w:t>
            </w:r>
            <w:r>
              <w:rPr>
                <w:b/>
                <w:bCs/>
                <w:sz w:val="16"/>
                <w:szCs w:val="16"/>
              </w:rPr>
              <w:t> </w:t>
            </w:r>
          </w:p>
        </w:tc>
        <w:tc>
          <w:tcPr>
            <w:tcW w:w="0" w:type="auto"/>
            <w:gridSpan w:val="2"/>
            <w:tcMar>
              <w:top w:w="0" w:type="dxa"/>
              <w:left w:w="0" w:type="dxa"/>
              <w:bottom w:w="30" w:type="dxa"/>
              <w:right w:w="0" w:type="dxa"/>
            </w:tcMar>
            <w:vAlign w:val="bottom"/>
            <w:hideMark/>
          </w:tcPr>
          <w:p w:rsidR="00000000" w:rsidRDefault="009649C3">
            <w:pPr>
              <w:pStyle w:val="a3"/>
              <w:spacing w:before="0" w:beforeAutospacing="0" w:after="0" w:afterAutospacing="0"/>
              <w:jc w:val="center"/>
              <w:rPr>
                <w:b/>
                <w:bCs/>
                <w:sz w:val="20"/>
                <w:szCs w:val="20"/>
              </w:rPr>
            </w:pPr>
            <w:r>
              <w:rPr>
                <w:b/>
                <w:bCs/>
                <w:sz w:val="16"/>
                <w:szCs w:val="16"/>
              </w:rPr>
              <w:t>Additional</w:t>
            </w:r>
            <w:r>
              <w:rPr>
                <w:b/>
                <w:bCs/>
                <w:sz w:val="20"/>
                <w:szCs w:val="20"/>
              </w:rPr>
              <w:t xml:space="preserve"> </w:t>
            </w:r>
            <w:r>
              <w:rPr>
                <w:b/>
                <w:bCs/>
                <w:sz w:val="16"/>
                <w:szCs w:val="16"/>
              </w:rPr>
              <w:t>Paid-In</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9649C3">
            <w:pPr>
              <w:rPr>
                <w:rFonts w:eastAsia="Times New Roman"/>
                <w:b/>
                <w:bCs/>
                <w:sz w:val="20"/>
                <w:szCs w:val="20"/>
              </w:rPr>
            </w:pP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A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B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Series C Preferred</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b/>
                <w:bCs/>
                <w:sz w:val="20"/>
                <w:szCs w:val="20"/>
              </w:rPr>
            </w:pPr>
            <w:r>
              <w:rPr>
                <w:b/>
                <w:bCs/>
                <w:sz w:val="16"/>
                <w:szCs w:val="16"/>
              </w:rPr>
              <w:t>Capital -</w:t>
            </w:r>
          </w:p>
          <w:p w:rsidR="00000000" w:rsidRDefault="009649C3">
            <w:pPr>
              <w:pStyle w:val="a3"/>
              <w:spacing w:before="0" w:beforeAutospacing="0" w:after="0" w:afterAutospacing="0"/>
              <w:jc w:val="center"/>
              <w:rPr>
                <w:b/>
                <w:bCs/>
                <w:sz w:val="20"/>
                <w:szCs w:val="20"/>
              </w:rPr>
            </w:pPr>
            <w:r>
              <w:rPr>
                <w:b/>
                <w:bCs/>
                <w:sz w:val="16"/>
                <w:szCs w:val="16"/>
              </w:rPr>
              <w:t>Common</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pStyle w:val="a3"/>
              <w:spacing w:before="0" w:beforeAutospacing="0" w:after="0" w:afterAutospacing="0"/>
              <w:jc w:val="center"/>
              <w:rPr>
                <w:b/>
                <w:bCs/>
                <w:sz w:val="20"/>
                <w:szCs w:val="20"/>
              </w:rPr>
            </w:pPr>
            <w:r>
              <w:rPr>
                <w:b/>
                <w:bCs/>
                <w:sz w:val="16"/>
                <w:szCs w:val="16"/>
              </w:rPr>
              <w:t>Accumulated</w:t>
            </w:r>
          </w:p>
          <w:p w:rsidR="00000000" w:rsidRDefault="009649C3">
            <w:pPr>
              <w:pStyle w:val="a3"/>
              <w:spacing w:before="0" w:beforeAutospacing="0" w:after="0" w:afterAutospacing="0"/>
              <w:jc w:val="center"/>
              <w:rPr>
                <w:b/>
                <w:bCs/>
                <w:sz w:val="20"/>
                <w:szCs w:val="20"/>
              </w:rPr>
            </w:pPr>
            <w:r>
              <w:rPr>
                <w:b/>
                <w:bCs/>
                <w:sz w:val="20"/>
                <w:szCs w:val="20"/>
              </w:rPr>
              <w:t> </w:t>
            </w:r>
            <w:r>
              <w:rPr>
                <w:b/>
                <w:bCs/>
                <w:sz w:val="16"/>
                <w:szCs w:val="16"/>
              </w:rPr>
              <w:t>Deficit</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c>
          <w:tcPr>
            <w:tcW w:w="0" w:type="auto"/>
            <w:gridSpan w:val="2"/>
            <w:vAlign w:val="bottom"/>
            <w:hideMark/>
          </w:tcPr>
          <w:p w:rsidR="00000000" w:rsidRDefault="009649C3">
            <w:pPr>
              <w:rPr>
                <w:rFonts w:eastAsia="Times New Roman"/>
                <w:sz w:val="20"/>
                <w:szCs w:val="20"/>
              </w:rPr>
            </w:pPr>
            <w:r>
              <w:rPr>
                <w:rFonts w:eastAsia="Times New Roman"/>
                <w:sz w:val="16"/>
                <w:szCs w:val="16"/>
              </w:rPr>
              <w:t> </w:t>
            </w:r>
          </w:p>
        </w:tc>
        <w:tc>
          <w:tcPr>
            <w:tcW w:w="0" w:type="auto"/>
            <w:vAlign w:val="bottom"/>
            <w:hideMark/>
          </w:tcPr>
          <w:p w:rsidR="00000000" w:rsidRDefault="009649C3">
            <w:pPr>
              <w:rPr>
                <w:rFonts w:eastAsia="Times New Roman"/>
                <w:sz w:val="20"/>
                <w:szCs w:val="20"/>
              </w:rPr>
            </w:pPr>
            <w:r>
              <w:rPr>
                <w:rFonts w:eastAsia="Times New Roman"/>
                <w:sz w:val="16"/>
                <w:szCs w:val="16"/>
              </w:rPr>
              <w:t> </w:t>
            </w:r>
          </w:p>
        </w:tc>
      </w:tr>
      <w:tr w:rsidR="009649C3">
        <w:tc>
          <w:tcPr>
            <w:tcW w:w="2200" w:type="pct"/>
            <w:shd w:val="clear" w:color="auto" w:fill="CCEEFF"/>
            <w:vAlign w:val="bottom"/>
            <w:hideMark/>
          </w:tcPr>
          <w:p w:rsidR="00000000" w:rsidRDefault="009649C3">
            <w:pPr>
              <w:rPr>
                <w:rFonts w:eastAsia="Times New Roman"/>
                <w:sz w:val="20"/>
                <w:szCs w:val="20"/>
              </w:rPr>
            </w:pPr>
            <w:r>
              <w:rPr>
                <w:rFonts w:eastAsia="Times New Roman"/>
                <w:sz w:val="16"/>
                <w:szCs w:val="16"/>
              </w:rPr>
              <w:t>Balance - December 31, 2018</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2,552,642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2,553</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8,870,626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3,305,755</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3,306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1,876,768</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163,445,736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163,446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60,132,139</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(71,991,012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9649C3">
            <w:pPr>
              <w:jc w:val="right"/>
              <w:rPr>
                <w:rFonts w:eastAsia="Times New Roman"/>
                <w:sz w:val="20"/>
                <w:szCs w:val="20"/>
              </w:rPr>
            </w:pPr>
            <w:r>
              <w:rPr>
                <w:rFonts w:eastAsia="Times New Roman"/>
                <w:sz w:val="16"/>
                <w:szCs w:val="16"/>
              </w:rPr>
              <w:t>(942,174</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49,900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1,250,000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1,250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48,750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Accounts payable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1,062,500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1,063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42,837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43,900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Services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312,500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312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12,188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12,500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Adjustment for fractional shares in reverse split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(140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Conversion of restricted stock units into common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Conversion of preferred stock into common stock</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(1,471,218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(1,472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(587,016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18,390,225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18,390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570,098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Conversion of Series B Preferred into Series C Preferred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(821,292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(821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(674,457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821,292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821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674,457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Warrants issued with notes payable (discount)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151,049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151,049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Warrants issued in settlement of litgation</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18,500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18,500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Warrants issued for extension of notes payable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25,656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25,656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Options issued for settlement of accounts payable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48,641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48,641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612,379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612,379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BCF recognized on convertible notes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59,957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59,957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Net loss for the year</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(1,610,097</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16"/>
                <w:szCs w:val="16"/>
              </w:rPr>
              <w:t>(1,610,097</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Balance - December 31, 2019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2,552,642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2,553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8,870,626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1,113,245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1,113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665,195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821,292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821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674,457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184,845,821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184,846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61,721,809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(73,601,109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(1,479,689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60,617,778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60,618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1,576,062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1,636,680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Note conversions/settlements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25,964,594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25,965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675,079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701,044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16"/>
                <w:szCs w:val="16"/>
              </w:rPr>
              <w:t>Warrant exercises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8,193,185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8,193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51,807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60,000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Redemption of preferred stock in convertible note agreement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(100,000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(49,900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Redemption of preferred stock for cash</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(381,635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(382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(13,268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(13,650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Conversion of preferred stock into common stock</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(576,592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(577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(230,060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(435,990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(436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(173,950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12,657,275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12,657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392,366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Warrants issued with notes payable (discount)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Warrants purchased for cash</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26,100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26,100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Options and warrants issued for services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80,059</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16"/>
                <w:szCs w:val="16"/>
              </w:rPr>
              <w:t>80,059</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Share adjustment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(62</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Net loss for the year</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(956,992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(956,992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16"/>
                <w:szCs w:val="16"/>
              </w:rPr>
              <w:t>)</w:t>
            </w:r>
          </w:p>
        </w:tc>
      </w:tr>
      <w:tr w:rsidR="009649C3">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16"/>
                <w:szCs w:val="16"/>
              </w:rPr>
              <w:t> </w:t>
            </w:r>
          </w:p>
        </w:tc>
      </w:tr>
      <w:tr w:rsidR="009649C3">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Balance - December 31, 2020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2,171,007</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2,171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8,857,358</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436,653</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436</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385,235</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292,278,591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292,279</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64,551,764</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(74,558,101</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16"/>
                <w:szCs w:val="16"/>
              </w:rPr>
              <w:t>32,034</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16"/>
                <w:szCs w:val="16"/>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9699760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vAlign w:val="bottom"/>
            <w:hideMark/>
          </w:tcPr>
          <w:p w:rsidR="00000000" w:rsidRDefault="009649C3">
            <w:pPr>
              <w:jc w:val="center"/>
              <w:rPr>
                <w:rFonts w:eastAsia="Times New Roman"/>
                <w:sz w:val="20"/>
                <w:szCs w:val="20"/>
              </w:rPr>
            </w:pPr>
            <w:bookmarkStart w:id="28" w:name="v_029"/>
            <w:bookmarkEnd w:id="28"/>
            <w:r>
              <w:rPr>
                <w:rFonts w:eastAsia="Times New Roman"/>
                <w:b/>
                <w:bCs/>
                <w:sz w:val="20"/>
                <w:szCs w:val="20"/>
              </w:rPr>
              <w:t>VIVOS INC</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STATEMENTS OF CASH FLOWS </w:t>
            </w:r>
          </w:p>
        </w:tc>
      </w:tr>
      <w:tr w:rsidR="00000000">
        <w:tc>
          <w:tcPr>
            <w:tcW w:w="0" w:type="auto"/>
            <w:noWrap/>
            <w:vAlign w:val="bottom"/>
            <w:hideMark/>
          </w:tcPr>
          <w:p w:rsidR="00000000" w:rsidRDefault="009649C3">
            <w:pPr>
              <w:jc w:val="center"/>
              <w:rPr>
                <w:rFonts w:eastAsia="Times New Roman"/>
                <w:sz w:val="20"/>
                <w:szCs w:val="20"/>
              </w:rPr>
            </w:pPr>
            <w:r>
              <w:rPr>
                <w:rFonts w:eastAsia="Times New Roman"/>
                <w:b/>
                <w:bCs/>
                <w:sz w:val="20"/>
                <w:szCs w:val="20"/>
              </w:rPr>
              <w:t xml:space="preserve">FOR </w:t>
            </w:r>
            <w:r>
              <w:rPr>
                <w:rFonts w:eastAsia="Times New Roman"/>
                <w:b/>
                <w:bCs/>
                <w:sz w:val="20"/>
                <w:szCs w:val="20"/>
              </w:rPr>
              <w:t>THE YEARS ENDED DECEMBER 31, 2020 AND 2019</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(956,992</w:t>
            </w:r>
          </w:p>
        </w:tc>
        <w:tc>
          <w:tcPr>
            <w:tcW w:w="50" w:type="pct"/>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(1,610,097</w:t>
            </w:r>
          </w:p>
        </w:tc>
        <w:tc>
          <w:tcPr>
            <w:tcW w:w="50" w:type="pct"/>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134,034</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55,740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Common stock issued for services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12,500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612,379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Warrants issued for interest expense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77,883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25,656</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Exchange premium in conversion of notes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98,508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b/>
                <w:bCs/>
                <w:sz w:val="20"/>
                <w:szCs w:val="20"/>
              </w:rPr>
            </w:pPr>
            <w:r>
              <w:rPr>
                <w:rFonts w:eastAsia="Times New Roman"/>
                <w:b/>
                <w:bCs/>
                <w:sz w:val="20"/>
                <w:szCs w:val="20"/>
              </w:rPr>
              <w:t>Changes in assets and liabilities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(10,343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(12,500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(149,937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(136,371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(33,857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88,549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Accrued interest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37,041</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33,603</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Total adjustments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81,185</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772,984</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(875,807</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(837,113</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CASH FLOWS FROM FINANCING ACTIVITES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related party notes payable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237,000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Redemption of preferred stock</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(63,650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sale of preferred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sale of common stock</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sale of common stock and warrants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1,662,780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the exercise of stock options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pStyle w:val="a3"/>
              <w:spacing w:before="0" w:beforeAutospacing="0" w:after="0" w:afterAutospacing="0"/>
              <w:jc w:val="right"/>
              <w:rPr>
                <w:sz w:val="20"/>
                <w:szCs w:val="20"/>
              </w:rPr>
            </w:pPr>
            <w:r>
              <w:rPr>
                <w:sz w:val="20"/>
                <w:szCs w:val="20"/>
              </w:rPr>
              <w:t>60,000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pStyle w:val="a3"/>
              <w:spacing w:before="0" w:beforeAutospacing="0" w:after="0" w:afterAutospacing="0"/>
              <w:jc w:val="right"/>
              <w:rPr>
                <w:sz w:val="20"/>
                <w:szCs w:val="20"/>
              </w:rPr>
            </w:pPr>
            <w:r>
              <w:rPr>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rPr>
                <w:rFonts w:eastAsia="Times New Roman"/>
                <w:sz w:val="20"/>
                <w:szCs w:val="20"/>
              </w:rPr>
            </w:pPr>
            <w:r>
              <w:rPr>
                <w:rFonts w:eastAsia="Times New Roman"/>
                <w:sz w:val="20"/>
                <w:szCs w:val="20"/>
              </w:rPr>
              <w:t>Proceeds from promissory notes - related party, net of repayments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Payment of notes payable</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1,759,130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852,000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NET INCREASE IN CASH</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883,323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14,887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CASH - BEGINNING OF YEAR</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b/>
                <w:bCs/>
                <w:sz w:val="20"/>
                <w:szCs w:val="20"/>
              </w:rPr>
            </w:pPr>
            <w:r>
              <w:rPr>
                <w:rFonts w:eastAsia="Times New Roman"/>
                <w:b/>
                <w:bCs/>
                <w:sz w:val="20"/>
                <w:szCs w:val="20"/>
              </w:rPr>
              <w:t>CASH - END OF YEAR</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903,704</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13,442</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Cashless exercise of warrants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pStyle w:val="a3"/>
              <w:spacing w:before="0" w:beforeAutospacing="0" w:after="0" w:afterAutospacing="0"/>
              <w:jc w:val="right"/>
              <w:rPr>
                <w:sz w:val="20"/>
                <w:szCs w:val="20"/>
              </w:rPr>
            </w:pPr>
            <w:r>
              <w:rPr>
                <w:sz w:val="20"/>
                <w:szCs w:val="20"/>
              </w:rPr>
              <w:t>5,693</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Conversion of preferred stock into common stock</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405,023</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588,487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675,278</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28,482</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151,048</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701,044</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Recognition of BCF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59,957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Common stock issued in settlement of accounts payable</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43,900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Stock options issued in settlement of accounts payable</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48,643</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Reclassification of notes payable and accrued interest into common stock</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Warrants issued for settlement of litigation</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18,500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1878362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center"/>
        <w:rPr>
          <w:sz w:val="20"/>
          <w:szCs w:val="20"/>
        </w:rPr>
      </w:pPr>
      <w:bookmarkStart w:id="29" w:name="v_030"/>
      <w:bookmarkEnd w:id="29"/>
      <w:r>
        <w:rPr>
          <w:b/>
          <w:bCs/>
          <w:sz w:val="20"/>
          <w:szCs w:val="20"/>
        </w:rPr>
        <w:t>Vivos Inc.</w:t>
      </w:r>
    </w:p>
    <w:p w:rsidR="00000000" w:rsidRDefault="009649C3">
      <w:pPr>
        <w:pStyle w:val="a3"/>
        <w:spacing w:before="0" w:beforeAutospacing="0" w:after="0" w:afterAutospacing="0"/>
        <w:jc w:val="center"/>
        <w:rPr>
          <w:sz w:val="20"/>
          <w:szCs w:val="20"/>
        </w:rPr>
      </w:pPr>
      <w:r>
        <w:rPr>
          <w:b/>
          <w:bCs/>
          <w:sz w:val="20"/>
          <w:szCs w:val="20"/>
        </w:rPr>
        <w:t>Notes to Financial Statements</w:t>
      </w:r>
    </w:p>
    <w:p w:rsidR="00000000" w:rsidRDefault="009649C3">
      <w:pPr>
        <w:pStyle w:val="a3"/>
        <w:spacing w:before="0" w:beforeAutospacing="0" w:after="0" w:afterAutospacing="0"/>
        <w:jc w:val="center"/>
        <w:rPr>
          <w:sz w:val="20"/>
          <w:szCs w:val="20"/>
        </w:rPr>
      </w:pPr>
      <w:r>
        <w:rPr>
          <w:b/>
          <w:bCs/>
          <w:sz w:val="20"/>
          <w:szCs w:val="20"/>
        </w:rPr>
        <w:t xml:space="preserve">For </w:t>
      </w:r>
      <w:r>
        <w:rPr>
          <w:b/>
          <w:bCs/>
          <w:sz w:val="20"/>
          <w:szCs w:val="20"/>
        </w:rPr>
        <w:t>the Years Ended December 31, 2020 and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1: ORGANIZATION &amp; BASIS OF PRESENTATION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Business Overview</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Vivos Inc. (the “</w:t>
      </w:r>
      <w:r>
        <w:rPr>
          <w:i/>
          <w:iCs/>
          <w:sz w:val="20"/>
          <w:szCs w:val="20"/>
        </w:rPr>
        <w:t>Company</w:t>
      </w:r>
      <w:r>
        <w:rPr>
          <w:sz w:val="20"/>
          <w:szCs w:val="20"/>
        </w:rPr>
        <w:t>”) was incorporated under the laws of Delaware on December 23, 1994 as Savage Mountain Sports Corporation (“</w:t>
      </w:r>
      <w:r>
        <w:rPr>
          <w:i/>
          <w:iCs/>
          <w:sz w:val="20"/>
          <w:szCs w:val="20"/>
        </w:rPr>
        <w:t>SMSC</w:t>
      </w:r>
      <w:r>
        <w:rPr>
          <w:sz w:val="20"/>
          <w:szCs w:val="20"/>
        </w:rPr>
        <w:t>”). On S</w:t>
      </w:r>
      <w:r>
        <w:rPr>
          <w:sz w:val="20"/>
          <w:szCs w:val="20"/>
        </w:rPr>
        <w:t>eptember 6, 2006, the Company changed its name to Advanced Medical Isotope Corporation, and on December 28, 2017, the Company began operating as Vivos Inc. The Company has authorized capital of 950,000,000 shares of common stock, $0.001 par value per share</w:t>
      </w:r>
      <w:r>
        <w:rPr>
          <w:sz w:val="20"/>
          <w:szCs w:val="20"/>
        </w:rPr>
        <w:t>, and 20,000,000 shares of preferred stock, $0.001 par value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Our principal place of business is located at 719 Jadwin Avenue, Richland, WA 99352. Our telephone number is (509) 736-4000. Our corporate website address is http://www.radiogel.com.</w:t>
      </w:r>
      <w:r>
        <w:rPr>
          <w:sz w:val="20"/>
          <w:szCs w:val="20"/>
        </w:rPr>
        <w:t xml:space="preserve"> Our common stock is currently quoted on the OTC Pink Marketplace under the symbol “RDGL.”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w:t>
      </w:r>
      <w:r>
        <w:rPr>
          <w:sz w:val="20"/>
          <w:szCs w:val="20"/>
        </w:rPr>
        <w:t xml:space="preserve"> non-resectable tumors. A prominent team of radiochemists, scientists and engineers, collaborating with strategic partners, including national laboratories, universities and private corporations, lead the Company’s development efforts. The Company’s overal</w:t>
      </w:r>
      <w:r>
        <w:rPr>
          <w:sz w:val="20"/>
          <w:szCs w:val="20"/>
        </w:rPr>
        <w:t>l vision is to globally empower physicians, medical researchers and patients by providing them with new isotope technologies that offer safe and effective treatments for cancer.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January 2018, the Center for Veterinary Medicine Product Classification G</w:t>
      </w:r>
      <w:r>
        <w:rPr>
          <w:sz w:val="20"/>
          <w:szCs w:val="20"/>
        </w:rPr>
        <w:t>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believes that the device classification obtained from the Food and Drug Admin</w:t>
      </w:r>
      <w:r>
        <w:rPr>
          <w:sz w:val="20"/>
          <w:szCs w:val="20"/>
        </w:rPr>
        <w:t>istration (“</w:t>
      </w:r>
      <w:r>
        <w:rPr>
          <w:i/>
          <w:iCs/>
          <w:sz w:val="20"/>
          <w:szCs w:val="20"/>
        </w:rPr>
        <w:t>FDA</w:t>
      </w:r>
      <w:r>
        <w:rPr>
          <w:sz w:val="20"/>
          <w:szCs w:val="20"/>
        </w:rPr>
        <w:t>”) Center for Veterinary Medicine is not limited to canine and feline sarcomas, but rather may be extended to a much broader population of veterinary cancers, including all or most solid tumors in animals. We expect the result of such classi</w:t>
      </w:r>
      <w:r>
        <w:rPr>
          <w:sz w:val="20"/>
          <w:szCs w:val="20"/>
        </w:rPr>
        <w:t>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w:t>
      </w:r>
      <w:r>
        <w:rPr>
          <w:sz w:val="20"/>
          <w:szCs w:val="20"/>
        </w:rPr>
        <w:t>nufacturers are responsible for assuring that the product is safe, effective, properly labeled, and otherwise in compliance with all applicable laws and regulations.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w:t>
      </w:r>
      <w:r>
        <w:rPr>
          <w:sz w:val="20"/>
          <w:szCs w:val="20"/>
        </w:rPr>
        <w:t>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w:t>
      </w:r>
      <w:r>
        <w:rPr>
          <w:sz w:val="20"/>
          <w:szCs w:val="20"/>
        </w:rPr>
        <w:t>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 for a</w:t>
      </w:r>
      <w:r>
        <w:rPr>
          <w:sz w:val="20"/>
          <w:szCs w:val="20"/>
        </w:rPr>
        <w:t>nimal therapy, through the Company’s IsoPet® Solutions division.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IsoPet Solutions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 A contract was signed with University of Missouri to treat canine sarcomas and equine</w:t>
      </w:r>
      <w:r>
        <w:rPr>
          <w:sz w:val="20"/>
          <w:szCs w:val="20"/>
        </w:rPr>
        <w:t xml:space="preserve"> sarcoids starting in November 2017.</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8536927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w:t>
      </w:r>
      <w:r>
        <w:rPr>
          <w:sz w:val="20"/>
          <w:szCs w:val="20"/>
        </w:rPr>
        <w:t>, stay the same (stabilize), or worsen (progress) during treatment. The criteria were published by an international collaboration including the European Organisation for Research and Treatment of Cancer (“EORTC”), National Cancer Institute of the United St</w:t>
      </w:r>
      <w:r>
        <w:rPr>
          <w:sz w:val="20"/>
          <w:szCs w:val="20"/>
        </w:rPr>
        <w:t>ates, and the National Cancer Institute of Canada Clinical Trials Group.</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9649C3">
      <w:pPr>
        <w:pStyle w:val="a3"/>
        <w:spacing w:before="0" w:beforeAutospacing="0" w:after="0" w:afterAutospacing="0"/>
        <w:ind w:firstLine="70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rsidR="00000000" w:rsidRDefault="009649C3">
      <w:pPr>
        <w:pStyle w:val="a3"/>
        <w:shd w:val="clear" w:color="auto" w:fill="FFFFFF"/>
        <w:spacing w:before="0" w:beforeAutospacing="0" w:after="0" w:afterAutospacing="0"/>
        <w:ind w:firstLine="72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sales of RadioGel™ (under the name IsoPet®) and related services, and from licensing to private medical and veterinary clinics i</w:t>
      </w:r>
      <w:r>
        <w:rPr>
          <w:sz w:val="20"/>
          <w:szCs w:val="20"/>
        </w:rPr>
        <w:t>n the U.S. and internationally. The Company intends to report the results from the IsoPet® Solutions division as a separate operating segment in accordance with GAAP.</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Commencing in July 2019, the Company recognized its first commercial sale of IsoPet®. A</w:t>
      </w:r>
      <w:r>
        <w:rPr>
          <w:sz w:val="20"/>
          <w:szCs w:val="20"/>
        </w:rPr>
        <w:t xml:space="preserve"> veterinarian from Alaska brought his cat with a re-occurrent spindle cell sarcoma tumor on his face. The cat had previously received external beam therapy, but now the tumor was growing rapidly. He was given a high dose of 400Gy with heavy therapy at the </w:t>
      </w:r>
      <w:r>
        <w:rPr>
          <w:sz w:val="20"/>
          <w:szCs w:val="20"/>
        </w:rPr>
        <w:t>margins. This sale met the revenue recognition requirements under ASC 606 as the performance obligation was satisfied. The Company completed sales for an additional four animals that received the IsoPet® during 2019.</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Our plan is to incorporate the data a</w:t>
      </w:r>
      <w:r>
        <w:rPr>
          <w:sz w:val="20"/>
          <w:szCs w:val="20"/>
        </w:rPr>
        <w:t xml:space="preserve">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w:t>
      </w:r>
      <w:r>
        <w:rPr>
          <w:sz w:val="20"/>
          <w:szCs w:val="20"/>
        </w:rPr>
        <w:t xml:space="preserve">n injectable particle-gel for brachytherapy radiation treatment of cancerous tumors in people and animals. RadioGel™ is comprised of a hydrogel, or a substance that is liquid at room temperature and then gels when reaching body temperature after injection </w:t>
      </w:r>
      <w:r>
        <w:rPr>
          <w:sz w:val="20"/>
          <w:szCs w:val="20"/>
        </w:rPr>
        <w:t>into a tumor. In the gel are small, less than two microns,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w:t>
      </w:r>
      <w:r>
        <w:rPr>
          <w:sz w:val="20"/>
          <w:szCs w:val="20"/>
        </w:rPr>
        <w:t>nsisting of high-speed electrons. These electrons only travel a short distance so the device can deliver high radiation to the tumor with minimal dose to the surrounding tissue. Optimally, patients can go home immediately following treatment without the ri</w:t>
      </w:r>
      <w:r>
        <w:rPr>
          <w:sz w:val="20"/>
          <w:szCs w:val="20"/>
        </w:rPr>
        <w:t>sk of radiation exposure to family members. Since Y-90 has a half-life of 2.7 days, the radioactivity drops to 5% of its original value after ten days.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Recently, the Company modified its Indication for Use from skin cancel to cancerous tissue or solid t</w:t>
      </w:r>
      <w:r>
        <w:rPr>
          <w:sz w:val="20"/>
          <w:szCs w:val="20"/>
        </w:rPr>
        <w:t>umors pathologically associated with locoregional papillary thyroid carcinoma and recurrent papillary thyroid carcinoma having discernable tumors associated with metastatic lymph nodes or extranodal disease in patients who are not surgical candidates or wh</w:t>
      </w:r>
      <w:r>
        <w:rPr>
          <w:sz w:val="20"/>
          <w:szCs w:val="20"/>
        </w:rPr>
        <w:t>o have declined surgery, or patients who require post-surgical remnant ablation (for example, after prior incomplete radioiodine therapy). Papillary thyroid carcinoma belongs to the general class of head and neck tumors for which tumors are accessible by i</w:t>
      </w:r>
      <w:r>
        <w:rPr>
          <w:sz w:val="20"/>
          <w:szCs w:val="20"/>
        </w:rPr>
        <w:t>ntraoperative direct needle injection. The Company’s Medical Advisory Board felt that demonstrating efficacy in clinical trials was much easier with this new indication.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Company’s lead brachytherapy products, including RadioGel™, incorporate patented</w:t>
      </w:r>
      <w:r>
        <w:rPr>
          <w:sz w:val="20"/>
          <w:szCs w:val="20"/>
        </w:rPr>
        <w:t xml:space="preserve">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w:t>
      </w:r>
      <w:r>
        <w:rPr>
          <w:sz w:val="20"/>
          <w:szCs w:val="20"/>
        </w:rPr>
        <w:t xml:space="preserve"> manufacturing, processing and applications of RadioGel™ (the “</w:t>
      </w:r>
      <w:r>
        <w:rPr>
          <w:i/>
          <w:iCs/>
          <w:sz w:val="20"/>
          <w:szCs w:val="20"/>
        </w:rPr>
        <w:t>Battelle License</w:t>
      </w:r>
      <w:r>
        <w:rPr>
          <w:sz w:val="20"/>
          <w:szCs w:val="20"/>
        </w:rPr>
        <w:t>”). This exclusive license is to terminate upon the expiration of the last patent included in this agreement (March 2022). Other intellectual property protection includes propri</w:t>
      </w:r>
      <w:r>
        <w:rPr>
          <w:sz w:val="20"/>
          <w:szCs w:val="20"/>
        </w:rPr>
        <w:t>etary production processes and trademark protection in 17 countries. The Company plans to continue efforts to develop new refinements on the production process, and the product and application hardware, as a basis for future patents.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received</w:t>
      </w:r>
      <w:r>
        <w:rPr>
          <w:sz w:val="20"/>
          <w:szCs w:val="20"/>
        </w:rPr>
        <w:t xml:space="preserve"> the Patent Cooperation Treaty (“PCT”) International Search Report on our patent application (No.1811.191). Seven of our claims were immediately ruled as having novelty, inventive step and industrial applicability. This gives us the basis to extend for man</w:t>
      </w:r>
      <w:r>
        <w:rPr>
          <w:sz w:val="20"/>
          <w:szCs w:val="20"/>
        </w:rPr>
        <w:t xml:space="preserve">y years the patent protection for our proprietary Yttrium-90 phosphate particles utilized in Isopet® and Radiogel™. As part of the normal review process, we have also submitted the technical justification for seven additional claims. We are in the process </w:t>
      </w:r>
      <w:r>
        <w:rPr>
          <w:sz w:val="20"/>
          <w:szCs w:val="20"/>
        </w:rPr>
        <w:t>of filing patent claims in Canada, UK (Great Britain, Scotland, Wales and Ireland), Japan, Germany, Italy, France, Australia, Brazil, China, India, North Countries (Sweden, Norway, Finland, and Denmark).</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0683565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Going Concern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$2 million annually to maintain current operating activities.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rPr>
        <w:t>The Company has completed its reverse stock split</w:t>
      </w:r>
      <w:r>
        <w:rPr>
          <w:sz w:val="20"/>
          <w:szCs w:val="20"/>
        </w:rPr>
        <w:t xml:space="preserve"> which was approved by FINRA and went effective on June 28,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rPr>
        <w:t>The Company’s stock offering under Regulation A+ was qualified by the Securities and Exchange Commission (“SEC”) on June 3, 2020 and have issued the first tranche of shares under the Regul</w:t>
      </w:r>
      <w:r>
        <w:rPr>
          <w:sz w:val="20"/>
          <w:szCs w:val="20"/>
        </w:rPr>
        <w:t>ation A+ on June 10, 2020. The intent is to raise up to $1,800,000 over the next 12-18 months, which may be completed in separate closings.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intends to use the proceeds generated from the sale of shares under Regulation A+ as follows: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For th</w:t>
      </w:r>
      <w:r>
        <w:rPr>
          <w:sz w:val="20"/>
          <w:szCs w:val="20"/>
        </w:rPr>
        <w:t>e animal therapy market: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9649C3">
            <w:pPr>
              <w:jc w:val="both"/>
              <w:rPr>
                <w:rFonts w:eastAsia="Times New Roman"/>
                <w:sz w:val="20"/>
                <w:szCs w:val="20"/>
              </w:rPr>
            </w:pPr>
            <w:r>
              <w:rPr>
                <w:rFonts w:eastAsia="Times New Roman"/>
                <w:sz w:val="20"/>
                <w:szCs w:val="20"/>
              </w:rPr>
              <w:t> </w:t>
            </w:r>
          </w:p>
        </w:tc>
        <w:tc>
          <w:tcPr>
            <w:tcW w:w="360" w:type="dxa"/>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tc>
          <w:tcPr>
            <w:tcW w:w="0" w:type="auto"/>
            <w:hideMark/>
          </w:tcPr>
          <w:p w:rsidR="00000000" w:rsidRDefault="009649C3">
            <w:pPr>
              <w:jc w:val="both"/>
              <w:rPr>
                <w:rFonts w:eastAsia="Times New Roman"/>
                <w:sz w:val="20"/>
                <w:szCs w:val="20"/>
              </w:rPr>
            </w:pPr>
            <w:r>
              <w:rPr>
                <w:rFonts w:eastAsia="Times New Roman"/>
                <w:sz w:val="20"/>
                <w:szCs w:val="20"/>
              </w:rPr>
              <w:t> </w:t>
            </w:r>
          </w:p>
        </w:tc>
        <w:tc>
          <w:tcPr>
            <w:tcW w:w="0" w:type="auto"/>
            <w:hideMark/>
          </w:tcPr>
          <w:p w:rsidR="00000000" w:rsidRDefault="009649C3">
            <w:pPr>
              <w:jc w:val="both"/>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Assist a new regional clinic with their license and certification tra</w:t>
            </w:r>
            <w:r>
              <w:rPr>
                <w:rFonts w:eastAsia="Times New Roman"/>
                <w:sz w:val="20"/>
                <w:szCs w:val="20"/>
              </w:rPr>
              <w:t>ining.</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For the human market:</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9649C3">
            <w:pPr>
              <w:rPr>
                <w:rFonts w:eastAsia="Times New Roman"/>
                <w:sz w:val="20"/>
                <w:szCs w:val="20"/>
              </w:rPr>
            </w:pPr>
            <w:r>
              <w:rPr>
                <w:rFonts w:eastAsia="Times New Roman"/>
                <w:sz w:val="20"/>
                <w:szCs w:val="20"/>
              </w:rPr>
              <w:t> </w:t>
            </w:r>
          </w:p>
        </w:tc>
        <w:tc>
          <w:tcPr>
            <w:tcW w:w="360" w:type="dxa"/>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rPr>
                <w:rFonts w:eastAsia="Times New Roman"/>
                <w:sz w:val="20"/>
                <w:szCs w:val="20"/>
              </w:rPr>
            </w:pPr>
            <w:r>
              <w:rPr>
                <w:rFonts w:eastAsia="Times New Roman"/>
                <w:sz w:val="20"/>
                <w:szCs w:val="20"/>
              </w:rPr>
              <w:t>Enhance the pedigree of the Quality Management System.</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rPr>
          <w:tblCellSpacing w:w="0" w:type="dxa"/>
        </w:trPr>
        <w:tc>
          <w:tcPr>
            <w:tcW w:w="0" w:type="auto"/>
            <w:hideMark/>
          </w:tcPr>
          <w:p w:rsidR="00000000" w:rsidRDefault="009649C3">
            <w:pPr>
              <w:rPr>
                <w:rFonts w:eastAsia="Times New Roman"/>
                <w:sz w:val="20"/>
                <w:szCs w:val="20"/>
              </w:rPr>
            </w:pPr>
            <w:r>
              <w:rPr>
                <w:rFonts w:eastAsia="Times New Roman"/>
                <w:sz w:val="20"/>
                <w:szCs w:val="20"/>
              </w:rPr>
              <w:t> </w:t>
            </w:r>
          </w:p>
        </w:tc>
        <w:tc>
          <w:tcPr>
            <w:tcW w:w="0" w:type="auto"/>
            <w:hideMark/>
          </w:tcPr>
          <w:p w:rsidR="00000000" w:rsidRDefault="009649C3">
            <w:pPr>
              <w:rPr>
                <w:rFonts w:eastAsia="Times New Roman"/>
                <w:sz w:val="20"/>
                <w:szCs w:val="20"/>
              </w:rPr>
            </w:pPr>
            <w:r>
              <w:rPr>
                <w:rFonts w:eastAsia="Times New Roman"/>
                <w:sz w:val="20"/>
                <w:szCs w:val="20"/>
              </w:rPr>
              <w:t>●</w:t>
            </w:r>
          </w:p>
        </w:tc>
        <w:tc>
          <w:tcPr>
            <w:tcW w:w="0" w:type="auto"/>
            <w:hideMark/>
          </w:tcPr>
          <w:p w:rsidR="00000000" w:rsidRDefault="009649C3">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759333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received $497,880 which were deposited into the Company’</w:t>
      </w:r>
      <w:r>
        <w:rPr>
          <w:sz w:val="20"/>
          <w:szCs w:val="20"/>
        </w:rPr>
        <w:t>s accounts between April and June 2020. Following the clearance of the Regulation A+ offering by the SEC on June 3, 2020, the common shares for these proceeds were issued. In addition, the Company exchanged their outstanding convertible notes payable of $5</w:t>
      </w:r>
      <w:r>
        <w:rPr>
          <w:sz w:val="20"/>
          <w:szCs w:val="20"/>
        </w:rPr>
        <w:t>25,000, $27,536 in accrued interest and $98,508 in an exchange premium stipulated in the note agreements into shares of common stock. In addition, the Company raised $1,138,800 in the Regulation A+ from November 30, 2020 through December 3, 2020 and issued</w:t>
      </w:r>
      <w:r>
        <w:rPr>
          <w:sz w:val="20"/>
          <w:szCs w:val="20"/>
        </w:rPr>
        <w:t xml:space="preserve"> 42,177,778 shares of common stock and sold 19,200,000 warrants for $19,200 in these offerings.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sale of equity and debt securities. The Company re</w:t>
      </w:r>
      <w:r>
        <w:rPr>
          <w:sz w:val="20"/>
          <w:szCs w:val="20"/>
        </w:rPr>
        <w:t xml:space="preserve">quires funding of approximately $2 million annually to maintain current operating activities. Over the next 12 to 24 months, the Company believes it will cost approximately $9 million to: (1) fund the FDA approval process to conduct human clinical trials, </w:t>
      </w:r>
      <w:r>
        <w:rPr>
          <w:sz w:val="20"/>
          <w:szCs w:val="20"/>
        </w:rPr>
        <w:t>(2)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manufac</w:t>
      </w:r>
      <w:r>
        <w:rPr>
          <w:sz w:val="20"/>
          <w:szCs w:val="20"/>
        </w:rPr>
        <w:t>turing, and (5) initiate regulatory approval processes outside of the United States.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continued deployment of the brachytherapy products and a worldwide regulatory approval effort will require additional resources and personnel. The principal variable</w:t>
      </w:r>
      <w:r>
        <w:rPr>
          <w:sz w:val="20"/>
          <w:szCs w:val="20"/>
        </w:rPr>
        <w:t>s in the timing and amount of spending for the brachytherapy products in the next 12 to 24 months will be the FDA’s classification of the Company’s brachytherapy products as Class II or Class III devices (or otherwise) and any requirements for additional s</w:t>
      </w:r>
      <w:r>
        <w:rPr>
          <w:sz w:val="20"/>
          <w:szCs w:val="20"/>
        </w:rPr>
        <w:t>tudies which may possibly include clinical studies. Thereafter, the principal variables in the amount of the Company’s spending and its financing requirements would be the timing of any approvals and the nature of the Company’s arrangements with third part</w:t>
      </w:r>
      <w:r>
        <w:rPr>
          <w:sz w:val="20"/>
          <w:szCs w:val="20"/>
        </w:rPr>
        <w:t>ies for manufacturing, sales, distribution and licensing of those products and the products’ success in the U.S. and elsewhere. The Company intends to fund its activities through strategic transactions such as licensing and partnership agreements or additi</w:t>
      </w:r>
      <w:r>
        <w:rPr>
          <w:sz w:val="20"/>
          <w:szCs w:val="20"/>
        </w:rPr>
        <w:t>onal capital raises.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Following receipt of required regulatory approvals and financing, in the U.S., the Company intends to outsource material aspects of manufacturing, distribution, sales and marketing. Outside of the U.S., the Company intends to pursue </w:t>
      </w:r>
      <w:r>
        <w:rPr>
          <w:sz w:val="20"/>
          <w:szCs w:val="20"/>
        </w:rPr>
        <w:t>licensing arrangements and/or partnerships to facilitate its global commercialization strategy.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the longer-term, subject to the Company receiving adequate funding, regulatory approval for RadioGel™ and other brachytherapy products, and thereafter bein</w:t>
      </w:r>
      <w:r>
        <w:rPr>
          <w:sz w:val="20"/>
          <w:szCs w:val="20"/>
        </w:rPr>
        <w:t>g able to successfully commercialize its brachytherapy products, the Company intends to consider resuming research efforts with respect to other products and technologies intended to help improve the diagnosis and treatment of cancer and other illnesses.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Based on the Company’s financial history since inception, the Company’s independent registered public accounting firm has expressed substantial doubt as to the Company’s ability to continue as a going concern. The Company has limited revenue, nominal cash</w:t>
      </w:r>
      <w:r>
        <w:rPr>
          <w:sz w:val="20"/>
          <w:szCs w:val="20"/>
        </w:rPr>
        <w:t>, and has accumulated deficits since inception. If the Company cannot obtain sufficient additional capital, the Company will be required to delay the implementation of its business strategy and may not be able to continue operations.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has been</w:t>
      </w:r>
      <w:r>
        <w:rPr>
          <w:sz w:val="20"/>
          <w:szCs w:val="20"/>
        </w:rPr>
        <w:t xml:space="preserve"> impacted from the effects of COVID-19. The Company’s headquarters are in Northeast Washington however there focus of the animal therapy market has been the Northwestern sector of the United States, the initial epicenter of the COVID-19 outbreak in the Uni</w:t>
      </w:r>
      <w:r>
        <w:rPr>
          <w:sz w:val="20"/>
          <w:szCs w:val="20"/>
        </w:rPr>
        <w:t>ted States. In addition to a slow down in the marketing of the services, the volatility of the stock market has contributed to a lack of funds that ordinarily may have been available to the Company. The Company is hopeful that by the end of the third quart</w:t>
      </w:r>
      <w:r>
        <w:rPr>
          <w:sz w:val="20"/>
          <w:szCs w:val="20"/>
        </w:rPr>
        <w:t>er of 2021, they will be allowed to continue their marketing to the animal therapy market and attempt to increase the exposure to their product and generate revenue accordingly.</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9573058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As </w:t>
      </w:r>
      <w:r>
        <w:rPr>
          <w:sz w:val="20"/>
          <w:szCs w:val="20"/>
        </w:rPr>
        <w:t>of December 31, 2020, the Company has $903,704 cash on hand. There are currently commitments to vendors for products and services purchased that will necessitate liquidation of the Company if it is unable to raise additional capital. The current level of c</w:t>
      </w:r>
      <w:r>
        <w:rPr>
          <w:sz w:val="20"/>
          <w:szCs w:val="20"/>
        </w:rPr>
        <w:t>ash is not enough to cover the fixed and variable obligations of the Company.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Assuming the Company is successful in the Company’s sales/development effort, it believes that it will be able to raise additional funds through strategic agreements or the sal</w:t>
      </w:r>
      <w:r>
        <w:rPr>
          <w:sz w:val="20"/>
          <w:szCs w:val="20"/>
        </w:rPr>
        <w:t>e of the Company’s stock to either current or new stockholders. There is no guarantee that the Company will be able to raise additional funds or to do so at an advantageous price.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financial statements do not include any adjustments relating to the re</w:t>
      </w:r>
      <w:r>
        <w:rPr>
          <w:sz w:val="20"/>
          <w:szCs w:val="20"/>
        </w:rPr>
        <w:t>coverability and classification of liabilities that might be necessary should the Company be unable to continue as a going concern. The Company’s continuation as a going concern is dependent upon its ability to generate sufficient cash flow to meet its obl</w:t>
      </w:r>
      <w:r>
        <w:rPr>
          <w:sz w:val="20"/>
          <w:szCs w:val="20"/>
        </w:rPr>
        <w:t>igations on a timely basis and ultimately to attain profitability. The Company plans to seek additional funding to maintain its operations through debt and equity financing and to improve operating performance through a focus on strategic products and incr</w:t>
      </w:r>
      <w:r>
        <w:rPr>
          <w:sz w:val="20"/>
          <w:szCs w:val="20"/>
        </w:rPr>
        <w:t xml:space="preserve">eased efficiencies in business processes and improvements to the cost structure. There is no assurance that the Company will be successful in its efforts to raise additional working capital or achieve profitable operations. The financial statements do not </w:t>
      </w:r>
      <w:r>
        <w:rPr>
          <w:sz w:val="20"/>
          <w:szCs w:val="20"/>
        </w:rPr>
        <w:t>include any adjustments that might result from the outcome of this uncertainty.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2: SUMMARY OF SIGNIFICANT ACCOUNTING POLICIES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Use of Estimates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preparation of financial statements in accordance with generally accepted accounting principles re</w:t>
      </w:r>
      <w:r>
        <w:rPr>
          <w:sz w:val="20"/>
          <w:szCs w:val="20"/>
        </w:rPr>
        <w:t>quires management to make estimates and assumptions that affect the reported amounts of assets and liabilities and the disclosure of contingent assets and liabilities at the date of financial statements and the reported amounts of revenues and expenses dur</w:t>
      </w:r>
      <w:r>
        <w:rPr>
          <w:sz w:val="20"/>
          <w:szCs w:val="20"/>
        </w:rPr>
        <w:t>ing the reporting period. Estimates the Company considers include criteria for stock-based compensation expense, and valuation allowances on deferred tax assets. Actual results could differ from those estimates.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 xml:space="preserve">Financial </w:t>
      </w:r>
      <w:r>
        <w:rPr>
          <w:b/>
          <w:bCs/>
          <w:sz w:val="20"/>
          <w:szCs w:val="20"/>
        </w:rPr>
        <w:t>Statement Reclassification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Certain account balances from prior periods have been reclassified in these audited financial statements so as to conform to current period classifications.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Cash Equivalents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For the purposes of the statement of cash flows, </w:t>
      </w:r>
      <w:r>
        <w:rPr>
          <w:sz w:val="20"/>
          <w:szCs w:val="20"/>
        </w:rPr>
        <w:t>the Company considers all highly liquid debt instruments purchased with an original maturity of three months or less to be cash equivalents.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occasionally maintains cash balances in excess of the FDIC insured limit. The Company does not consid</w:t>
      </w:r>
      <w:r>
        <w:rPr>
          <w:sz w:val="20"/>
          <w:szCs w:val="20"/>
        </w:rPr>
        <w:t>er this risk to be material.</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6100199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b/>
          <w:bCs/>
          <w:sz w:val="20"/>
          <w:szCs w:val="20"/>
        </w:rPr>
        <w:t>Fair Value of Financial Instruments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Fair </w:t>
      </w:r>
      <w:r>
        <w:rPr>
          <w:sz w:val="20"/>
          <w:szCs w:val="20"/>
        </w:rPr>
        <w:t>value of financial instruments requires disclosure of the fair value information, whether or not recognized in the balance sheet, where it is practicable to estimate that value. As of December 31, 2020 and 2019, the balances reported for cash, prepaid expe</w:t>
      </w:r>
      <w:r>
        <w:rPr>
          <w:sz w:val="20"/>
          <w:szCs w:val="20"/>
        </w:rPr>
        <w:t>nses, accounts receivable, accounts payable, and accrued expenses, approximate the fair value because of their short maturities.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orderly tran</w:t>
      </w:r>
      <w:r>
        <w:rPr>
          <w:sz w:val="20"/>
          <w:szCs w:val="20"/>
        </w:rPr>
        <w:t>saction between market participants at the measurement date. Accounting Standards Codification (“</w:t>
      </w:r>
      <w:r>
        <w:rPr>
          <w:i/>
          <w:iCs/>
          <w:sz w:val="20"/>
          <w:szCs w:val="20"/>
        </w:rPr>
        <w:t>ASC</w:t>
      </w:r>
      <w:r>
        <w:rPr>
          <w:sz w:val="20"/>
          <w:szCs w:val="20"/>
        </w:rPr>
        <w:t>”) Topic 820 established a three-tier fair value hierarchy which prioritizes the inputs used in measuring fair value. The hierarchy gives the highest priori</w:t>
      </w:r>
      <w:r>
        <w:rPr>
          <w:sz w:val="20"/>
          <w:szCs w:val="20"/>
        </w:rPr>
        <w:t>ty to unadjusted quoted prices in active markets for identical assets or liabilities (level 1 measurements) and the lowest priority to unobservable inputs (level 3 measurements). These tiers include: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Level 1, defined as observable inputs such as quoted p</w:t>
      </w:r>
      <w:r>
        <w:rPr>
          <w:sz w:val="20"/>
          <w:szCs w:val="20"/>
        </w:rPr>
        <w:t>rices for identical instruments in active markets;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quoted prices for similar instruments in active markets or quoted prices fo</w:t>
      </w:r>
      <w:r>
        <w:rPr>
          <w:sz w:val="20"/>
          <w:szCs w:val="20"/>
        </w:rPr>
        <w:t>r identical or similar instruments in markets that are not active; and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w:t>
      </w:r>
      <w:r>
        <w:rPr>
          <w:sz w:val="20"/>
          <w:szCs w:val="20"/>
        </w:rPr>
        <w:t>on techniques in which one or more significant inputs or significant value drivers are unobservable.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Derivati</w:t>
      </w:r>
      <w:r>
        <w:rPr>
          <w:b/>
          <w:bCs/>
          <w:sz w:val="20"/>
          <w:szCs w:val="20"/>
        </w:rPr>
        <w:t>ve Liabilities and Beneficial Conversion Feature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contracts or embedded components of those contracts qualify as derivatives to be separately a</w:t>
      </w:r>
      <w:r>
        <w:rPr>
          <w:sz w:val="20"/>
          <w:szCs w:val="20"/>
        </w:rPr>
        <w:t>ccounted for in accordance with ASC Topic 815, Accounting for Derivative Instruments and Hedging Activities (“</w:t>
      </w:r>
      <w:r>
        <w:rPr>
          <w:i/>
          <w:iCs/>
          <w:sz w:val="20"/>
          <w:szCs w:val="20"/>
        </w:rPr>
        <w:t>ASC 815</w:t>
      </w:r>
      <w:r>
        <w:rPr>
          <w:sz w:val="20"/>
          <w:szCs w:val="20"/>
        </w:rPr>
        <w:t xml:space="preserve">”) as well as related interpretations of this standard and Accounting Standards Update 2017-11, which was adopted by the Company effective </w:t>
      </w:r>
      <w:r>
        <w:rPr>
          <w:sz w:val="20"/>
          <w:szCs w:val="20"/>
        </w:rPr>
        <w:t>January 1, 2018. In accordance with this standard, derivative instruments are recognized as either assets or liabilities in the balance sheet and are measured at fair values with gains or losses recognized in earnings. Embedded derivatives that are not cle</w:t>
      </w:r>
      <w:r>
        <w:rPr>
          <w:sz w:val="20"/>
          <w:szCs w:val="20"/>
        </w:rPr>
        <w:t>arly and closely related to the host contract are bifurcated and are recognized at fair value with changes in fair value recognized as either a gain or loss in earnings.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result of this accounting treatment is that the fair value of the derivative ins</w:t>
      </w:r>
      <w:r>
        <w:rPr>
          <w:sz w:val="20"/>
          <w:szCs w:val="20"/>
        </w:rPr>
        <w:t>trument is marked-to-market each balance sheet date and with the change in fair value recognized in the statement of operations as other income or expense.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Upon conversion, exercise or cancellation of a derivative instrument, the instrument is marked to </w:t>
      </w:r>
      <w:r>
        <w:rPr>
          <w:sz w:val="20"/>
          <w:szCs w:val="20"/>
        </w:rPr>
        <w:t>fair value at the date of conversion, exercise or cancellation than that the related fair value is removed from the books. Gains or losses on debt extinguishment are recognized in the statement of operations upon conversion, exercise or cancellation of a d</w:t>
      </w:r>
      <w:r>
        <w:rPr>
          <w:sz w:val="20"/>
          <w:szCs w:val="20"/>
        </w:rPr>
        <w:t>erivative instrument after any shares issued in such a transaction are recorded at market value.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w:t>
      </w:r>
      <w:r>
        <w:rPr>
          <w:sz w:val="20"/>
          <w:szCs w:val="20"/>
        </w:rPr>
        <w:t xml:space="preserve"> each reporting period. Equity instruments that are initially classified as equity that become subject to reclassification are reclassified to liability at the fair value of the instrument on the reclassification date. Instruments that become a derivative </w:t>
      </w:r>
      <w:r>
        <w:rPr>
          <w:sz w:val="20"/>
          <w:szCs w:val="20"/>
        </w:rPr>
        <w:t>after inception are recognized as a derivative on the date they become a derivative with the offsetting entry recorded in earnings.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determines the fair value of derivative instruments and hybrid instruments, considering all of the rights and </w:t>
      </w:r>
      <w:r>
        <w:rPr>
          <w:sz w:val="20"/>
          <w:szCs w:val="20"/>
        </w:rPr>
        <w:t>obligations of each instrument, based on available market data using a binomial model, adjusted for the effect of dilution, because it embodies all of the requisite assumptions (including trading volatility, estimated terms, dilution and risk-free rates) n</w:t>
      </w:r>
      <w:r>
        <w:rPr>
          <w:sz w:val="20"/>
          <w:szCs w:val="20"/>
        </w:rPr>
        <w:t>ecessary to fair value these instruments. For instruments in default with no remaining time to maturity the Company uses a one-year term for their years to maturity estimate unless a sooner conversion date can be estimated or is known. Estimating fair valu</w:t>
      </w:r>
      <w:r>
        <w:rPr>
          <w:sz w:val="20"/>
          <w:szCs w:val="20"/>
        </w:rPr>
        <w:t>es of derivative financial instruments requires the development of significant and subjective estimates that may, and are likely to, change over the duration of the instrument with related changes in internal and external market factors. In addition, optio</w:t>
      </w:r>
      <w:r>
        <w:rPr>
          <w:sz w:val="20"/>
          <w:szCs w:val="20"/>
        </w:rPr>
        <w:t>n-based techniques (such as Black-Scholes model) are highly volatile and sensitive to changes in the trading market price of our common stock.</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393786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accounts for the beneficial conversion feature on its convertible instruments in accordance with ASC 470-20. The Beneficial Conversion Feature (“BCF”) is normally characterized as the convertible portion or feature that provides a rate of conversio</w:t>
      </w:r>
      <w:r>
        <w:rPr>
          <w:sz w:val="20"/>
          <w:szCs w:val="20"/>
        </w:rPr>
        <w:t>n that is below market value or in the money when issued. The Company records a BCF when these criteria exist, when issued. BCFs that are contingent upon the occurrence of a future event are recorded when the contingency is resolved.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To determine the eff</w:t>
      </w:r>
      <w:r>
        <w:rPr>
          <w:sz w:val="20"/>
          <w:szCs w:val="20"/>
        </w:rPr>
        <w:t>ective conversion price, the Company first allocates the proceeds received to the convertible instrument, and then use those allocated proceeds to determine the effective conversion price. The intrinsic value of the conversion option should be measured usi</w:t>
      </w:r>
      <w:r>
        <w:rPr>
          <w:sz w:val="20"/>
          <w:szCs w:val="20"/>
        </w:rPr>
        <w:t>ng the effective conversion price for the convertible instrument on the proceeds allocated to that instrument.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w:t>
      </w:r>
      <w:r>
        <w:rPr>
          <w:sz w:val="20"/>
          <w:szCs w:val="20"/>
        </w:rPr>
        <w:t>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9649C3">
      <w:pPr>
        <w:pStyle w:val="a3"/>
        <w:spacing w:before="0" w:beforeAutospacing="0" w:after="0" w:afterAutospacing="0"/>
        <w:jc w:val="both"/>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w:t>
      </w:r>
      <w:r>
        <w:rPr>
          <w:sz w:val="20"/>
          <w:szCs w:val="20"/>
        </w:rPr>
        <w:t>ts are also capitalized. Normal maintenance and repairs are charged to expense as incurred. When assets are sold or otherwise disposed of, the cost and accumulated depreciation are removed from the accounts and any resulting gain or loss is recognized in o</w:t>
      </w:r>
      <w:r>
        <w:rPr>
          <w:sz w:val="20"/>
          <w:szCs w:val="20"/>
        </w:rPr>
        <w:t>perations.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9649C3">
      <w:pPr>
        <w:pStyle w:val="a3"/>
        <w:spacing w:before="0" w:beforeAutospacing="0" w:after="0" w:afterAutospacing="0"/>
        <w:ind w:firstLine="720"/>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5316"/>
        <w:gridCol w:w="1329"/>
      </w:tblGrid>
      <w:tr w:rsidR="00000000">
        <w:trPr>
          <w:jc w:val="center"/>
        </w:trPr>
        <w:tc>
          <w:tcPr>
            <w:tcW w:w="4000" w:type="pct"/>
            <w:hideMark/>
          </w:tcPr>
          <w:p w:rsidR="00000000" w:rsidRDefault="009649C3">
            <w:pPr>
              <w:rPr>
                <w:rFonts w:eastAsia="Times New Roman"/>
                <w:sz w:val="20"/>
                <w:szCs w:val="20"/>
              </w:rPr>
            </w:pPr>
            <w:r>
              <w:rPr>
                <w:rFonts w:eastAsia="Times New Roman"/>
                <w:sz w:val="20"/>
                <w:szCs w:val="20"/>
              </w:rPr>
              <w:t>Production equipment:</w:t>
            </w:r>
          </w:p>
        </w:tc>
        <w:tc>
          <w:tcPr>
            <w:tcW w:w="1000" w:type="pct"/>
            <w:hideMark/>
          </w:tcPr>
          <w:p w:rsidR="00000000" w:rsidRDefault="009649C3">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9649C3">
            <w:pPr>
              <w:rPr>
                <w:rFonts w:eastAsia="Times New Roman"/>
                <w:sz w:val="20"/>
                <w:szCs w:val="20"/>
              </w:rPr>
            </w:pPr>
            <w:r>
              <w:rPr>
                <w:rFonts w:eastAsia="Times New Roman"/>
                <w:sz w:val="20"/>
                <w:szCs w:val="20"/>
              </w:rPr>
              <w:t>Office equipment:</w:t>
            </w:r>
          </w:p>
        </w:tc>
        <w:tc>
          <w:tcPr>
            <w:tcW w:w="0" w:type="auto"/>
            <w:hideMark/>
          </w:tcPr>
          <w:p w:rsidR="00000000" w:rsidRDefault="009649C3">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9649C3">
            <w:pPr>
              <w:rPr>
                <w:rFonts w:eastAsia="Times New Roman"/>
                <w:sz w:val="20"/>
                <w:szCs w:val="20"/>
              </w:rPr>
            </w:pPr>
            <w:r>
              <w:rPr>
                <w:rFonts w:eastAsia="Times New Roman"/>
                <w:sz w:val="20"/>
                <w:szCs w:val="20"/>
              </w:rPr>
              <w:t>Furniture and fixtures:</w:t>
            </w:r>
          </w:p>
        </w:tc>
        <w:tc>
          <w:tcPr>
            <w:tcW w:w="0" w:type="auto"/>
            <w:hideMark/>
          </w:tcPr>
          <w:p w:rsidR="00000000" w:rsidRDefault="009649C3">
            <w:pPr>
              <w:rPr>
                <w:rFonts w:eastAsia="Times New Roman"/>
                <w:sz w:val="20"/>
                <w:szCs w:val="20"/>
              </w:rPr>
            </w:pPr>
            <w:r>
              <w:rPr>
                <w:rFonts w:eastAsia="Times New Roman"/>
                <w:sz w:val="20"/>
                <w:szCs w:val="20"/>
              </w:rPr>
              <w:t>2 to 5 years</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License Fees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2592259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Future minimum roy</w:t>
      </w:r>
      <w:r>
        <w:rPr>
          <w:sz w:val="20"/>
          <w:szCs w:val="20"/>
        </w:rPr>
        <w:t>alties for the years ended December 31 are noted below:</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49C3">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9649C3">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3900" w:type="pct"/>
            <w:shd w:val="clear" w:color="auto" w:fill="CCEEFF"/>
            <w:vAlign w:val="bottom"/>
            <w:hideMark/>
          </w:tcPr>
          <w:p w:rsidR="00000000" w:rsidRDefault="009649C3">
            <w:pPr>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14,000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2021 fee was paid in Dece</w:t>
      </w:r>
      <w:r>
        <w:rPr>
          <w:sz w:val="20"/>
          <w:szCs w:val="20"/>
        </w:rPr>
        <w:t>mber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Patents and Intellectual Property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While patents are being developed or pending, they are not being amortized. Management has determined that the economic life of the patents to be ten years and amortization, over such 10-year period and on a</w:t>
      </w:r>
      <w:r>
        <w:rPr>
          <w:sz w:val="20"/>
          <w:szCs w:val="20"/>
        </w:rPr>
        <w:t xml:space="preserve"> straight-line basis will begin once the patents have been issued and the Company begins utilization of the patents through production and sales, resulting in revenues.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evaluates the recoverability of intangible assets, including patents and </w:t>
      </w:r>
      <w:r>
        <w:rPr>
          <w:sz w:val="20"/>
          <w:szCs w:val="20"/>
        </w:rPr>
        <w:t>intellectual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w:t>
      </w:r>
      <w:r>
        <w:rPr>
          <w:sz w:val="20"/>
          <w:szCs w:val="20"/>
        </w:rPr>
        <w:t>re have been no such capitalized costs in the years ended December 31, 2020 and 2019, respectively. However, a patent was filed on July 1, 2019 (No. 1811.191) filed by Michael Korenko and David Swanberg and assigned to the Company based on the Company’s pr</w:t>
      </w:r>
      <w:r>
        <w:rPr>
          <w:sz w:val="20"/>
          <w:szCs w:val="20"/>
        </w:rPr>
        <w:t>oprietary particle manufacturing process. The timing of this filing was important given the Company’s plans to make IsoPet® commercially available, which it did on or about July 9, 2019. This additional patent protection will strengthen the Company’s compe</w:t>
      </w:r>
      <w:r>
        <w:rPr>
          <w:sz w:val="20"/>
          <w:szCs w:val="20"/>
        </w:rPr>
        <w:t>titive position. It is the Company’s intention to further extend this patent protection to several key countries within one year, as permitted under international patent laws and treaties.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Revenue Recognition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May 2014, the Financial Accounting Stand</w:t>
      </w:r>
      <w:r>
        <w:rPr>
          <w:sz w:val="20"/>
          <w:szCs w:val="20"/>
        </w:rPr>
        <w:t>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w:t>
      </w:r>
      <w:r>
        <w:rPr>
          <w:sz w:val="20"/>
          <w:szCs w:val="20"/>
        </w:rPr>
        <w:t xml:space="preserve"> disclosures. The updated guidance introduces a five-step model to achieve its core principal of the entity recognizing revenue to depict the transfer of goods or services to customers at an amount that reflects the consideration to which the entity expect</w:t>
      </w:r>
      <w:r>
        <w:rPr>
          <w:sz w:val="20"/>
          <w:szCs w:val="20"/>
        </w:rPr>
        <w:t>s to be entitled in exchange for those goods or services. The Company adopted the updated guidance effective January 1, 2018 using the full retrospective method.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Under ASC 606, in order to recognize revenue, the Company is required to identify an approve</w:t>
      </w:r>
      <w:r>
        <w:rPr>
          <w:sz w:val="20"/>
          <w:szCs w:val="20"/>
        </w:rPr>
        <w:t>d contract with commitments to preform respective obligations, identify rights of each party in the transaction regarding goods to be transferred, identify the payment terms for the goods transferred, verify that the contract has commercial substance and v</w:t>
      </w:r>
      <w:r>
        <w:rPr>
          <w:sz w:val="20"/>
          <w:szCs w:val="20"/>
        </w:rPr>
        <w:t>erify that collection of substantially all consideration is probable. The adoption of ASC 606 did not have an impact on the Company’s operations or cash flows.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2265472"/>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recognized revenue as they (i) identified the contracts with ach customer; (ii) identified the performance obligation in each contract; (iii) determined the transaction price in each contract; (iv) were able to allocate the transaction price to the</w:t>
      </w:r>
      <w:r>
        <w:rPr>
          <w:sz w:val="20"/>
          <w:szCs w:val="20"/>
        </w:rPr>
        <w:t xml:space="preserve"> performance obligations in the contract; and (v) recognized revenue upon the satisfaction of the performance obligation. Upon the sales of the product to complete the procedures on the animals, the Company recognized revenue as that was considered the per</w:t>
      </w:r>
      <w:r>
        <w:rPr>
          <w:sz w:val="20"/>
          <w:szCs w:val="20"/>
        </w:rPr>
        <w:t>formance obligation.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All revenue generated during the years ended December 31, 2020 and 2019 related to sales of product.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Loss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w:t>
      </w:r>
      <w:r>
        <w:rPr>
          <w:sz w:val="20"/>
          <w:szCs w:val="20"/>
        </w:rPr>
        <w:t xml:space="preserve"> basic and diluted earnings per share. Basic loss per share is computed by dividing loss available to common stockholders (the numerator) by the weighted-average number of common shares outstanding (the denominator) for the period, and does not include the</w:t>
      </w:r>
      <w:r>
        <w:rPr>
          <w:sz w:val="20"/>
          <w:szCs w:val="20"/>
        </w:rPr>
        <w:t xml:space="preserve"> impact of any potentially dilutive common stock equivalents since the impact would be anti-dilutive. The computation of diluted earnings per share is similar to basic earnings per share, except that the denominator is increased to include the number of ad</w:t>
      </w:r>
      <w:r>
        <w:rPr>
          <w:sz w:val="20"/>
          <w:szCs w:val="20"/>
        </w:rPr>
        <w:t>ditional common shares that would have been outstanding if potentially dilutive common shares had been issued. For the given periods of loss, of the periods ended in the years ended December 31, 2020 and 2019, the basic earnings per share equals the dilute</w:t>
      </w:r>
      <w:r>
        <w:rPr>
          <w:sz w:val="20"/>
          <w:szCs w:val="20"/>
        </w:rPr>
        <w:t>d earnings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following represent common stock equivalents that could be dilutive in the future as of December 31, 2020 and 2019, which include the following:</w:t>
      </w:r>
    </w:p>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1,252,456</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10,914,782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12,998,195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27,372,515</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32,064,375</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31,286,847</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75,190,487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104,098,724</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Research and Development Costs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incurred $84,</w:t>
      </w:r>
      <w:r>
        <w:rPr>
          <w:sz w:val="20"/>
          <w:szCs w:val="20"/>
        </w:rPr>
        <w:t>668 and $67,584 research and development costs for the years ended December 31, 2020 and 2019, respectively, all of which were recorded in the Company’s operating expenses noted on the statements of operations for the years then ended.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Advertising and Ma</w:t>
      </w:r>
      <w:r>
        <w:rPr>
          <w:b/>
          <w:bCs/>
          <w:sz w:val="20"/>
          <w:szCs w:val="20"/>
        </w:rPr>
        <w:t>rketing Costs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years ended December 31, 2020 and 2019, the Company incurred $6,182 and $0 in advertising a</w:t>
      </w:r>
      <w:r>
        <w:rPr>
          <w:sz w:val="20"/>
          <w:szCs w:val="20"/>
        </w:rPr>
        <w:t>nd marketing costs which are included in general and administrative expenses.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3231103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Contingencies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w:t>
      </w:r>
      <w:r>
        <w:rPr>
          <w:sz w:val="20"/>
          <w:szCs w:val="20"/>
        </w:rPr>
        <w:t xml:space="preserve">the ordinary course of business, the Company is involved in legal proceedings involving contractual and employment relationships, product liability claims, patent rights, and a variety of other matters. The Company records contingent liabilities resulting </w:t>
      </w:r>
      <w:r>
        <w:rPr>
          <w:sz w:val="20"/>
          <w:szCs w:val="20"/>
        </w:rPr>
        <w:t>from asserted and unasserted claims against it, when it is probable that a liability has been incurred and the amount of the loss is reasonably estimable. The Company discloses contingent liabilities when there is a reasonable possibility that the ultimate</w:t>
      </w:r>
      <w:r>
        <w:rPr>
          <w:sz w:val="20"/>
          <w:szCs w:val="20"/>
        </w:rPr>
        <w:t xml:space="preserve"> loss will exceed the recorded liability. Estimated probable losses require analysis of multiple factors, in some cases including judgments about the potential actions of third-party claimants and courts. Therefore, actual losses in any future period are i</w:t>
      </w:r>
      <w:r>
        <w:rPr>
          <w:sz w:val="20"/>
          <w:szCs w:val="20"/>
        </w:rPr>
        <w:t>nherently uncertain. The Company has entered into various agreements that require them to pay certain fees to consultants and/or employees that have been fully accrued for as of December 31, 2020 and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Income Taxes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To address accounting for uncerta</w:t>
      </w:r>
      <w:r>
        <w:rPr>
          <w:sz w:val="20"/>
          <w:szCs w:val="20"/>
        </w:rPr>
        <w:t>inty in tax positions, the Company clarifies the accounting for income taxes by prescribing a minimum recognition threshold that a tax position is required to meet before being recognized in the financial statements. The Company also provides guidance on d</w:t>
      </w:r>
      <w:r>
        <w:rPr>
          <w:sz w:val="20"/>
          <w:szCs w:val="20"/>
        </w:rPr>
        <w:t>e-recognition, measurement, classification, interest, and penalties, accounting in interim periods, disclosure and transition.</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files income tax returns in the U.S. federal jurisdiction. The Company did not have any tax expense for the years e</w:t>
      </w:r>
      <w:r>
        <w:rPr>
          <w:sz w:val="20"/>
          <w:szCs w:val="20"/>
        </w:rPr>
        <w:t>nded December 31, 2020 and 2019. The Company did not have any deferred tax liability or asset on its balance sheet on December 31, 2020 and 2019.</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Interest costs and penalties related to income taxes, if any, will be classified as interest expense and gen</w:t>
      </w:r>
      <w:r>
        <w:rPr>
          <w:sz w:val="20"/>
          <w:szCs w:val="20"/>
        </w:rPr>
        <w:t>eral and administrative costs, respectively, in the Company’s financial statements. For the years ended December 31, 2020 and 2019, the Company did not recognize any interest or penalty expense related to income taxes. The Company believes that it is not r</w:t>
      </w:r>
      <w:r>
        <w:rPr>
          <w:sz w:val="20"/>
          <w:szCs w:val="20"/>
        </w:rPr>
        <w:t>easonably possible for the amounts of unrecognized tax benefits to significantly increase or decrease within the next twelve months.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Stock-Based Compensation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recognizes compensation costs under FASB ASC Topic 718, Compensation – Stock Compensation and ASU 2018-07. Companies are required to measure the compensation costs of share-based compensation arrangements based on the grant-date fair value and reco</w:t>
      </w:r>
      <w:r>
        <w:rPr>
          <w:sz w:val="20"/>
          <w:szCs w:val="20"/>
        </w:rPr>
        <w:t>gnize the costs in the financial statements over the period during which employees are required to provide services. Share based compensation arrangements include stock options, restricted share plans, performance-based awards, share appreciation rights an</w:t>
      </w:r>
      <w:r>
        <w:rPr>
          <w:sz w:val="20"/>
          <w:szCs w:val="20"/>
        </w:rPr>
        <w:t>d employee share purchase plans. As such, compensation cost is measured on the date of grant at their fair value. Such compensation amounts, if any, are amortized over the respective vesting periods of the option grant.</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6699374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May 2017, t</w:t>
      </w:r>
      <w:r>
        <w:rPr>
          <w:sz w:val="20"/>
          <w:szCs w:val="20"/>
        </w:rPr>
        <w:t>he FASB issued ASU 2017-09, “Compensation - Stock Compensation.” The update provides guidance about which changes to the terms or conditions of a share-based payment award require an entity to apply modification accounting in ASC Topic 718. An entity shall</w:t>
      </w:r>
      <w:r>
        <w:rPr>
          <w:sz w:val="20"/>
          <w:szCs w:val="20"/>
        </w:rPr>
        <w:t xml:space="preserve"> account for the effects of a modification described in ASC paragraphs 718-20-35-3 through 35-9, unless all the following are met: (1) The fair value of the modified award is the same as the fair value of the original award immediately before the original </w:t>
      </w:r>
      <w:r>
        <w:rPr>
          <w:sz w:val="20"/>
          <w:szCs w:val="20"/>
        </w:rPr>
        <w:t xml:space="preserve">award is modified; (2) The vesting conditions of the modified award are the same as the vesting conditions of the original award immediately before the original award is modified; and (3) The classification of the modified award as an equity instrument or </w:t>
      </w:r>
      <w:r>
        <w:rPr>
          <w:sz w:val="20"/>
          <w:szCs w:val="20"/>
        </w:rPr>
        <w:t>a liability instrument is the same as the classification of the original award immediately before the original award is modified. The provisions of this update become effective for annual periods and interim periods within those annual periods beginning af</w:t>
      </w:r>
      <w:r>
        <w:rPr>
          <w:sz w:val="20"/>
          <w:szCs w:val="20"/>
        </w:rPr>
        <w:t>ter December 15, 2017. The Company’s adoption of this guidance on January 1, 2018 did not have a material impact on the Company’s results of operations, financial position and related disclosures.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June 2018, the FASB issued ASU No. 2018-07 “Compensati</w:t>
      </w:r>
      <w:r>
        <w:rPr>
          <w:sz w:val="20"/>
          <w:szCs w:val="20"/>
        </w:rPr>
        <w:t>on - Stock Compensation (Topic 718): Improvements to Nonemployee Share-Based Payment Accounting.” These amendments expand the scope of Topic 718, Compensation - Stock Compensation (which currently only includes share-based payments to employees) to include</w:t>
      </w:r>
      <w:r>
        <w:rPr>
          <w:sz w:val="20"/>
          <w:szCs w:val="20"/>
        </w:rPr>
        <w:t xml:space="preserve"> share-based payments issued to nonemployees for goods or services. Consequently, the accounting for share-based payments to nonemployees and employees will be substantially aligned. The ASU supersedes Subtopic 505-50, Equity - Equity-Based Payments to Non</w:t>
      </w:r>
      <w:r>
        <w:rPr>
          <w:sz w:val="20"/>
          <w:szCs w:val="20"/>
        </w:rPr>
        <w:t>-Employees. The guidance is effective for public companies for fiscal years, and interim fiscal periods within those fiscal years, beginning after December 15, 2018. Early adoption is permitted, but no earlier than a company’s adoption date of Topic 606, R</w:t>
      </w:r>
      <w:r>
        <w:rPr>
          <w:sz w:val="20"/>
          <w:szCs w:val="20"/>
        </w:rPr>
        <w:t>evenue from Contracts with Customers. The adoption of this standard did not have a material impact on its financial statements. The Company has determined that no amounts had to be revalued upon adoption of this amendment.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August, the Financial Accounting Standards Board (“FASB”) issued Accounting Standards Update (“ASU”) No. 2020-06, Debt with Conversion and Other Options (Subtopic 470-20) and Derivatives and Hedging-Contracts in Entity’s Own Equity (Subtopic 815-40)</w:t>
      </w:r>
      <w:r>
        <w:rPr>
          <w:sz w:val="20"/>
          <w:szCs w:val="20"/>
        </w:rPr>
        <w:t>, Accounting for Convertible Instruments and Contract’s in an Entity’s Own Equity. The ASU simplifies accounting for convertible instruments by removing major separation models required under current GAAP. Consequently, more convertible debt instruments wi</w:t>
      </w:r>
      <w:r>
        <w:rPr>
          <w:sz w:val="20"/>
          <w:szCs w:val="20"/>
        </w:rPr>
        <w:t>ll be reported as a single liability instrument with no separate accounting for embedded conversion features. The ASU removes certain settlement conditions that are required for equity contracts to qualify for the derivative scope exception, which will per</w:t>
      </w:r>
      <w:r>
        <w:rPr>
          <w:sz w:val="20"/>
          <w:szCs w:val="20"/>
        </w:rPr>
        <w:t>mit more equity contracts to qualify for it. The ASU simplifies the diluted net income per share calculation in certain areas. The ASU is effective for annual and interim periods beginning after December 31, 2021, and early adoption is permitted for fiscal</w:t>
      </w:r>
      <w:r>
        <w:rPr>
          <w:sz w:val="20"/>
          <w:szCs w:val="20"/>
        </w:rPr>
        <w:t xml:space="preserve"> years beginning after December 15, 2020, and interim periods within those fiscal years. The Company is currently evaluating the impact that this new guidance will have on its financial statements.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does not discuss recent pronouncements that are not anticipated to have an impact on or are unrelated to its financial condition, results of operations, cash flows or disclosures.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3: FIXED ASSETS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Fixed assets consist of the following at De</w:t>
      </w:r>
      <w:r>
        <w:rPr>
          <w:sz w:val="20"/>
          <w:szCs w:val="20"/>
        </w:rPr>
        <w:t>cember 31, 2020 and 2019:</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shd w:val="clear" w:color="auto" w:fill="FFFFFF"/>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sz w:val="20"/>
                <w:szCs w:val="20"/>
              </w:rPr>
            </w:pPr>
            <w:r>
              <w:rPr>
                <w:rFonts w:eastAsia="Times New Roman"/>
                <w:sz w:val="20"/>
                <w:szCs w:val="20"/>
              </w:rPr>
              <w:t>December 31, 2020</w:t>
            </w:r>
          </w:p>
        </w:tc>
        <w:tc>
          <w:tcPr>
            <w:tcW w:w="0" w:type="auto"/>
            <w:shd w:val="clear" w:color="auto" w:fill="FFFFFF"/>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sz w:val="20"/>
                <w:szCs w:val="20"/>
              </w:rPr>
            </w:pPr>
            <w:r>
              <w:rPr>
                <w:rFonts w:eastAsia="Times New Roman"/>
                <w:sz w:val="20"/>
                <w:szCs w:val="20"/>
              </w:rPr>
              <w:t>December 31, 2019</w:t>
            </w:r>
          </w:p>
        </w:tc>
        <w:tc>
          <w:tcPr>
            <w:tcW w:w="0" w:type="auto"/>
            <w:shd w:val="clear" w:color="auto" w:fill="FFFFFF"/>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years ended December 31, 2020 and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June 2019, the Company sold the one piece of equipment still held for $0. The basis of this piece of equipment was also $0, resulting in no gain or loss on the sale.</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6302604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4: RELATED PARTY TRANSACTIONS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Related Party Convertible Notes Payable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As </w:t>
      </w:r>
      <w:r>
        <w:rPr>
          <w:sz w:val="20"/>
          <w:szCs w:val="20"/>
        </w:rPr>
        <w:t>of December 31, 2020 and 2019, the Company had the following related party convertible notes outstanding:</w:t>
      </w:r>
    </w:p>
    <w:p w:rsidR="00000000" w:rsidRDefault="009649C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5"/>
        <w:gridCol w:w="121"/>
        <w:gridCol w:w="101"/>
        <w:gridCol w:w="1052"/>
        <w:gridCol w:w="55"/>
        <w:gridCol w:w="122"/>
        <w:gridCol w:w="100"/>
        <w:gridCol w:w="1052"/>
        <w:gridCol w:w="67"/>
      </w:tblGrid>
      <w:tr w:rsidR="00000000">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Total Convertible Notes Payable, Net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15,000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14,500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from time to time receives non-interest bearing advancers from its Chief Executive Officer that are due on demand. During the year ended December 31, 2019, the Company received $20,000 in advances and repaid $5,000 of these and had $15,000 outstand</w:t>
      </w:r>
      <w:r>
        <w:rPr>
          <w:sz w:val="20"/>
          <w:szCs w:val="20"/>
        </w:rPr>
        <w:t>ing at September 24, 2019. On September 24, 2019, these advances were converted into a convertible note at 8% interest which matures January 15, 2020. Interest on this note for the period ended December 31, 2019 amounted to $321, and this amount is accrued</w:t>
      </w:r>
      <w:r>
        <w:rPr>
          <w:sz w:val="20"/>
          <w:szCs w:val="20"/>
        </w:rPr>
        <w:t xml:space="preserve"> at December 31, 2019. The Chief Executive Officer received 150,000 warrants when the advances were converted into this convertible note payable. The Company recognized a discount on the convertible note of $3,721 as a result of the warrants which are bein</w:t>
      </w:r>
      <w:r>
        <w:rPr>
          <w:sz w:val="20"/>
          <w:szCs w:val="20"/>
        </w:rPr>
        <w:t>g amortized over the life of the note through January 15, 2020. The Company is in default of this note. As a result of the default, the interest rate charged was changed to 12.5% through conversion of this note in April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Interest expense for the yea</w:t>
      </w:r>
      <w:r>
        <w:rPr>
          <w:sz w:val="20"/>
          <w:szCs w:val="20"/>
        </w:rPr>
        <w:t>rs ended December 31, 2020 and 2019 on the related party convertible notes payable amounted to $298 and $321, respectively.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Related Party Notes Payable</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As of December 31, 2020 and 2019, the Company had the following related party notes outstanding:</w:t>
      </w:r>
    </w:p>
    <w:p w:rsidR="00000000" w:rsidRDefault="009649C3">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9649C3">
            <w:pPr>
              <w:rPr>
                <w:rFonts w:eastAsia="Times New Roman"/>
                <w:sz w:val="20"/>
                <w:szCs w:val="20"/>
              </w:rPr>
            </w:pPr>
            <w:r>
              <w:rPr>
                <w:rFonts w:eastAsia="Times New Roman"/>
                <w:sz w:val="20"/>
                <w:szCs w:val="20"/>
              </w:rPr>
              <w:t>January 2019 $60,000 Note, 8% interest, due January 2020</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60,000</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60,000</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March 2019 $48,000 Note, 8% interest, due March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48,000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48,000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April 2019 $29,000 Note, 8% interest, due April 2020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29,000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29,000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July 2019 $50,000 Note 8% interest, due July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November 2019 $50,000 Note 8% interest, due November 2020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Total Related Party Notes Payable, Net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March 27, 2019 the Company entered into a note payable with a trust related to one of our directors in the amount of $48,000. The note is for a one-year period maturing March 27, 2020 and bears interest at an an</w:t>
      </w:r>
      <w:r>
        <w:rPr>
          <w:sz w:val="20"/>
          <w:szCs w:val="20"/>
        </w:rPr>
        <w:t>nual rate of 8%. The Company is in default of this note. On April 29, 2019 the Company entered into a note payable with a trust related to one of our directors in the amount of $29,000. The Company is in default of this note. On July 5, 2019 the Company en</w:t>
      </w:r>
      <w:r>
        <w:rPr>
          <w:sz w:val="20"/>
          <w:szCs w:val="20"/>
        </w:rPr>
        <w:t>tered into a note payable with a trust related to one of our directors in the amount of $50,000. The note is for a one-year period maturing July 5, 2020 and bears interest at an annual rate of 8%. The Company is in default of this note. On November 25, 201</w:t>
      </w:r>
      <w:r>
        <w:rPr>
          <w:sz w:val="20"/>
          <w:szCs w:val="20"/>
        </w:rPr>
        <w:t>9 the Company entered into a note payable with a trust related to one of our directors in the amount of $50,000. The note is for a one-year period maturing November 25, 2020 and bears interest at an annual rate of 8%. The Company is in default of this note</w:t>
      </w:r>
      <w:r>
        <w:rPr>
          <w:sz w:val="20"/>
          <w:szCs w:val="20"/>
        </w:rPr>
        <w:t>. Interest expense for these notes for the years ended December 31, 2020 and 2019 was $18,960 and $11,307, respectively and accrued interest at December 31, 2020 is $30,267.</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borrowed $107,000 in the year ended December 31, 2020 from its CEO a</w:t>
      </w:r>
      <w:r>
        <w:rPr>
          <w:sz w:val="20"/>
          <w:szCs w:val="20"/>
        </w:rPr>
        <w:t>nd repaid these amounts in full.</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7256452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b/>
          <w:bCs/>
          <w:sz w:val="20"/>
          <w:szCs w:val="20"/>
        </w:rPr>
        <w:t>Related Party Payables</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periodically receives advances for operating funds from related parties or has related parties make payments on the Company’s behalf. As a result of these activities the Company had related party payables of $32,110 and $32,110 as of December 31, 2</w:t>
      </w:r>
      <w:r>
        <w:rPr>
          <w:sz w:val="20"/>
          <w:szCs w:val="20"/>
        </w:rPr>
        <w:t>020 and 2019, respectively.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Company’s Chairman converted the Series B Convertible Preferred Shares into Series C Convertible Preferred Shares and as of April 2020, the 385,302 shares that</w:t>
      </w:r>
      <w:r>
        <w:rPr>
          <w:sz w:val="20"/>
          <w:szCs w:val="20"/>
        </w:rPr>
        <w:t xml:space="preserve"> are issued in the Series C Convertible Preferred Stock are all to the Chairman.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April 2020, effective March 31, 2020, the Company converted the $15,000 convertible note payable along with $619 in accrued interest and an exchange premium of $3,124 int</w:t>
      </w:r>
      <w:r>
        <w:rPr>
          <w:sz w:val="20"/>
          <w:szCs w:val="20"/>
        </w:rPr>
        <w:t>o 694,178 shares of common stock. This was part of the Regulation A+. These shares were issued on June 10, 2020 following the qualification of the Regulation 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w:t>
      </w:r>
      <w:r>
        <w:rPr>
          <w:sz w:val="20"/>
          <w:szCs w:val="20"/>
        </w:rPr>
        <w:t>s Chief Executive Officer exercised 2,500,000 stock options for $60,000 in December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5: CONVERTIBLE NOTES PAYABLE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As of December 31, 2020 and 2019, the Company had the following convertible notes outstanding:</w:t>
      </w:r>
    </w:p>
    <w:p w:rsidR="00000000" w:rsidRDefault="009649C3">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72"/>
        <w:gridCol w:w="101"/>
        <w:gridCol w:w="100"/>
        <w:gridCol w:w="915"/>
        <w:gridCol w:w="50"/>
        <w:gridCol w:w="94"/>
        <w:gridCol w:w="100"/>
        <w:gridCol w:w="915"/>
        <w:gridCol w:w="67"/>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July and</w:t>
            </w:r>
            <w:r>
              <w:rPr>
                <w:rFonts w:eastAsia="Times New Roman"/>
                <w:sz w:val="20"/>
                <w:szCs w:val="20"/>
              </w:rPr>
              <w:t xml:space="preserve"> August 2012 $1,060,000 Notes convertible into common stock at $4.60 per share, 12% interest, due December 2013 and January 2014</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May 2019 $60,000 Note convertible into common shares at $0.04 per share, 8% interest, due October 30, 2019</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July 2019 $50,000 Note convertible into common shares at $0.04 per share, 8% interest, due January 15,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September 2019 $38,000 Note convertible into common shares at $0.04 per share, 8% interest, due January 15,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38,000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September 2019 $37,000 Note convertible into common shares at $0.04 per share, 8% interest, due January 15, 2020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37,000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December 2019 $50,000 Note convertible into common shares at $0.04 per share, 8% interest, due March 31, 2020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November 2020 $50,000 Note convertible into common shares at $0.04, 6% interest, due May 30, 2021</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Penalties on notes in default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12,418</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10,618</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Total Convertible Notes Payable, Net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107,418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465,618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Less: BCF Discount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(6,187</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(24,545</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107,418</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434,886</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5725545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Interest </w:t>
      </w:r>
      <w:r>
        <w:rPr>
          <w:sz w:val="20"/>
          <w:szCs w:val="20"/>
        </w:rPr>
        <w:t>expense for the years ended December 31, 2020 and 2019 on the convertible notes payable amounted to $21,394 and $16,563, respectively.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entered into a $50,000 convertible promissory note dated May 31, 2019, that was to mature October 30, 2019.</w:t>
      </w:r>
      <w:r>
        <w:rPr>
          <w:sz w:val="20"/>
          <w:szCs w:val="20"/>
        </w:rPr>
        <w:t xml:space="preserve"> The convertible promissory note bears interest at a rate of 8%, The convertible promissory note is convertible into shares of common stock at a price of $0.032 per share. Upon the closing of an equity financing pursuant to an effective registration statem</w:t>
      </w:r>
      <w:r>
        <w:rPr>
          <w:sz w:val="20"/>
          <w:szCs w:val="20"/>
        </w:rPr>
        <w:t>ent with gross proceeds to the Company totaling at least $250,000 exclusive of any exchanges (“Qualified Financing”), the outstanding principal amount of this convertible promissory note together with all accrued and unpaid interest shall be exchanged into</w:t>
      </w:r>
      <w:r>
        <w:rPr>
          <w:sz w:val="20"/>
          <w:szCs w:val="20"/>
        </w:rPr>
        <w:t xml:space="preserve"> such securities as are issued in the Qualified Financing at a rate of 1.20. Upon an exchange, the Payee shall be granted all rights afforded to an investor in the Qualified Financing. The $10,000 contingent exchange amount is classified as original issue </w:t>
      </w:r>
      <w:r>
        <w:rPr>
          <w:sz w:val="20"/>
          <w:szCs w:val="20"/>
        </w:rPr>
        <w:t>discount and will be amortized over the life of the convertible promissory note. The convertible promissory noteholder received 625,000 warrants at an exercise price of $0.04 per share, that have a term of two years. The warrants were valued at $12,592 and</w:t>
      </w:r>
      <w:r>
        <w:rPr>
          <w:sz w:val="20"/>
          <w:szCs w:val="20"/>
        </w:rPr>
        <w:t xml:space="preserve"> represent a debt discount, which were amortized over the life of the convertible promissory note.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entered into $300,000 in convertible promissory notes in July and September 2019, that were to mature January 15, 2020. The convertible promiss</w:t>
      </w:r>
      <w:r>
        <w:rPr>
          <w:sz w:val="20"/>
          <w:szCs w:val="20"/>
        </w:rPr>
        <w:t>ory notes bear interest at a rate of 8%, The convertible promissory notes are convertible into shares of common stock at a price of $0.04 per share. Upon the closing of an equity financing pursuant to an effective registration statement with gross proceeds</w:t>
      </w:r>
      <w:r>
        <w:rPr>
          <w:sz w:val="20"/>
          <w:szCs w:val="20"/>
        </w:rPr>
        <w:t xml:space="preserve"> to the Company totaling at least $250,000 exclusive of any exchanges (“Qualified Financing”), the outstanding principal amount of this convertible promissory notes together with all accrued and unpaid interest shall be exchanged into such securities as ar</w:t>
      </w:r>
      <w:r>
        <w:rPr>
          <w:sz w:val="20"/>
          <w:szCs w:val="20"/>
        </w:rPr>
        <w:t>e issued in the Qualified Financing at a rate of 1.20. Upon an exchange, the Payee shall be granted all rights afforded to an investor in the Qualified Financing. The convertible promissory noteholders received 3,000,000 warrants at an exercise price rangi</w:t>
      </w:r>
      <w:r>
        <w:rPr>
          <w:sz w:val="20"/>
          <w:szCs w:val="20"/>
        </w:rPr>
        <w:t>ng between $0.06 and $0.08 per share (amended to $0.045 per share), that have a term of two years. The warrants were valued at $91,716 and represent a debt discount, which will be amortized over the life of the convertible promissory notes. In addition, th</w:t>
      </w:r>
      <w:r>
        <w:rPr>
          <w:sz w:val="20"/>
          <w:szCs w:val="20"/>
        </w:rPr>
        <w:t xml:space="preserve">e Company recognized a beneficial conversion feature discount to the notes of $59,957 that is being amortized over the life of the notes. </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Prior to the conversion of these notes, the Company was in default of these notes. As a result of the default, the </w:t>
      </w:r>
      <w:r>
        <w:rPr>
          <w:sz w:val="20"/>
          <w:szCs w:val="20"/>
        </w:rPr>
        <w:t>interest rate charged was changed to 12.5% up through the conversion of these notes.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entered into $50,000 in a convertible promissory note on December 31, 2019, that matures March 31, 2020. The convertible promissory notes bear interest at a </w:t>
      </w:r>
      <w:r>
        <w:rPr>
          <w:sz w:val="20"/>
          <w:szCs w:val="20"/>
        </w:rPr>
        <w:t>rate of 8%, The convertible promissory note is convertible into shares of common stock at a price of $0.04 per share. Upon the closing of an equity financing pursuant to an effective registration statement with gross proceeds to the Company totaling at lea</w:t>
      </w:r>
      <w:r>
        <w:rPr>
          <w:sz w:val="20"/>
          <w:szCs w:val="20"/>
        </w:rPr>
        <w:t>st $250,000 exclusive of any exchanges (“Qualified Financing”), the outstanding principal amount of this convertible promissory notes together with all accrued and unpaid interest shall be exchanged into such securities as are issued in the Qualified Finan</w:t>
      </w:r>
      <w:r>
        <w:rPr>
          <w:sz w:val="20"/>
          <w:szCs w:val="20"/>
        </w:rPr>
        <w:t xml:space="preserve">cing at a rate of 1.20. Upon an exchange, the Payee shall be granted all rights afforded to an investor in the Qualified Financing. The convertible promissory noteholders received 625,000 warrants at an exercise price of $0.06 per share (amended to $0.045 </w:t>
      </w:r>
      <w:r>
        <w:rPr>
          <w:sz w:val="20"/>
          <w:szCs w:val="20"/>
        </w:rPr>
        <w:t>per share), that have a term of two years. The warrants were valued at $14,299 and represent a debt discount, which will be amortized over the life of the convertible promissory note. This note was converted effective March 31, 2020. These shares were issu</w:t>
      </w:r>
      <w:r>
        <w:rPr>
          <w:sz w:val="20"/>
          <w:szCs w:val="20"/>
        </w:rPr>
        <w:t>ed on June 10, 2020 following the qualification of the Regulation 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issued a convertible note in January 2020 in the amount of $100,000 to an accredited investor. The note bears interest at 8% per annum and was to mature March 31, 2020. The</w:t>
      </w:r>
      <w:r>
        <w:rPr>
          <w:sz w:val="20"/>
          <w:szCs w:val="20"/>
        </w:rPr>
        <w:t xml:space="preserve"> Company granted 1,250,000 warrants with an exercise price of $0.06 per share and a term of two years with this note and amended 1,312,500 previously issued warrants held by the investor to provide for a $.06 exercise price and an expiration date of March </w:t>
      </w:r>
      <w:r>
        <w:rPr>
          <w:sz w:val="20"/>
          <w:szCs w:val="20"/>
        </w:rPr>
        <w:t>31, 2022, the note was converted in June 2020.</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5547041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entered into a $50,000 convertible promissory note on November 30, 2020, that matures May 30, 2021. The convertible promissory notes bear interest at a rate of 6%, The convertible promissory note is convertible into shares of common stock at a pric</w:t>
      </w:r>
      <w:r>
        <w:rPr>
          <w:sz w:val="20"/>
          <w:szCs w:val="20"/>
        </w:rPr>
        <w:t>e of $0.04 per share. Upon the closing of an equity financing pursuant to an effective registration statement with gross proceeds to the Company totaling at least $350,000 exclusive of any exchanges (“Qualified Financing”), the outstanding principal amount</w:t>
      </w:r>
      <w:r>
        <w:rPr>
          <w:sz w:val="20"/>
          <w:szCs w:val="20"/>
        </w:rPr>
        <w:t xml:space="preserve"> of this convertible promissory notes together with all accrued and unpaid interest shall be exchanged into such securities as are issued in the Qualified Financing at a rate of 1.20. Upon an exchange, the Payee shall be granted all rights afforded to an i</w:t>
      </w:r>
      <w:r>
        <w:rPr>
          <w:sz w:val="20"/>
          <w:szCs w:val="20"/>
        </w:rPr>
        <w:t>nvestor in the Qualified Financing. The Company along with the noteholder agreed to exchange 1,867,500 warrants into 933,750 common shares. These shares were issued in December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6: PROMISSORY NOTES PAYABLE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As of December 31, 2020 and 2019, th</w:t>
      </w:r>
      <w:r>
        <w:rPr>
          <w:sz w:val="20"/>
          <w:szCs w:val="20"/>
        </w:rPr>
        <w:t>e Company had the following promissory notes outstanding:</w:t>
      </w:r>
    </w:p>
    <w:p w:rsidR="00000000" w:rsidRDefault="009649C3">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70"/>
        <w:gridCol w:w="98"/>
        <w:gridCol w:w="101"/>
        <w:gridCol w:w="914"/>
        <w:gridCol w:w="67"/>
        <w:gridCol w:w="100"/>
        <w:gridCol w:w="100"/>
        <w:gridCol w:w="914"/>
        <w:gridCol w:w="50"/>
      </w:tblGrid>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rPr>
                <w:rFonts w:eastAsia="Times New Roman"/>
                <w:sz w:val="20"/>
                <w:szCs w:val="20"/>
              </w:rPr>
            </w:pPr>
            <w:r>
              <w:rPr>
                <w:rFonts w:eastAsia="Times New Roman"/>
                <w:sz w:val="20"/>
                <w:szCs w:val="20"/>
              </w:rPr>
              <w:t>February 2019, two promissory notes for $50,000 each (total of $100,000), maturing August 2019, extended to February 2020, at 8.00% interest (originally) and now 15% interest and extended to August 20, 2020</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were to mature on August 20, 2019 and accrued interest at 8.00% per annum. In connection with the promissory notes, the Company issued warrants to pu</w:t>
      </w:r>
      <w:r>
        <w:rPr>
          <w:sz w:val="20"/>
          <w:szCs w:val="20"/>
        </w:rPr>
        <w:t>rchase 1,250,000 shares of common stock. The Company recorded the relative fair value of the warrants as a debt discount of $28,721 and amortized the discount over the life of the note (6 months). Amortization of debt discount for the year ended December 3</w:t>
      </w:r>
      <w:r>
        <w:rPr>
          <w:sz w:val="20"/>
          <w:szCs w:val="20"/>
        </w:rPr>
        <w:t>1, 2019 was $28,721 and is recorded as interest expense on the statement of operations for the year ended December 31, 2019.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August 20, 2019, the two noteholders agreed to extend these notes another six-months to February 20, 2020, then amended again</w:t>
      </w:r>
      <w:r>
        <w:rPr>
          <w:sz w:val="20"/>
          <w:szCs w:val="20"/>
        </w:rPr>
        <w:t xml:space="preserve"> for six-months and the notes were to mature August 20, 2020. In consideration for the extension, the note holders received 750,000 warrants (375,000 each) and the interest rate on the notes increased from 8% to 15% per annum. The interest expense on these</w:t>
      </w:r>
      <w:r>
        <w:rPr>
          <w:sz w:val="20"/>
          <w:szCs w:val="20"/>
        </w:rPr>
        <w:t xml:space="preserve"> notes for the years ended December 31, 2020 and 2019 amounted to $8,032 and $9,410.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repaid $50,000 of these notes plus $13,442 in accrued interest in July 2020, and settled the remaining $50,000 into 1,851,852 shares of common stock effectiv</w:t>
      </w:r>
      <w:r>
        <w:rPr>
          <w:sz w:val="20"/>
          <w:szCs w:val="20"/>
        </w:rPr>
        <w:t>e July 14, 2020.</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8646226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7: INCOME TAXES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Deferred taxes are provided on a liability method whereby deferred tax assets are recognized for deductible temporary differences and operating loss and tax credit carry-forwards and deferred ta</w:t>
      </w:r>
      <w:r>
        <w:rPr>
          <w:sz w:val="20"/>
          <w:szCs w:val="20"/>
        </w:rPr>
        <w:t>x liabilities are recognized for taxable temporary differences. Temporary differences are the differences between the reported amounts of assets and liabilities and their tax bases. Deferred tax assets are reduced by a valuation allowance when, in the opin</w:t>
      </w:r>
      <w:r>
        <w:rPr>
          <w:sz w:val="20"/>
          <w:szCs w:val="20"/>
        </w:rPr>
        <w:t>ion of management, it is more likely than not that some portion or all of the deferred tax assets will not be realized. Deferred tax assets and liabilities are adjusted for the effects of changes in tax laws and rates on the date of enactment.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Net deferr</w:t>
      </w:r>
      <w:r>
        <w:rPr>
          <w:sz w:val="20"/>
          <w:szCs w:val="20"/>
        </w:rPr>
        <w:t>ed tax assets consist of the following components as of December 31, 2020 and 2019:</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9649C3">
            <w:pPr>
              <w:jc w:val="both"/>
              <w:rPr>
                <w:rFonts w:eastAsia="Times New Roman"/>
                <w:sz w:val="20"/>
                <w:szCs w:val="20"/>
              </w:rPr>
            </w:pPr>
            <w:r>
              <w:rPr>
                <w:rFonts w:eastAsia="Times New Roman"/>
                <w:sz w:val="20"/>
                <w:szCs w:val="20"/>
              </w:rPr>
              <w:t>Net operating loss carryover</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6,080,000</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5,890,000</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Related party accrual</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6,400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23,400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Capital Loss Carryover</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9649C3">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Valuation allowance</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(6,089,800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(5,929,700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income tax provision differs from the amount of income tax determined by applying the U.S. Federal income tax rate to pretax income from continuing operations for the years ended December 31, 2020 and 2019 due to the following:</w:t>
      </w:r>
    </w:p>
    <w:p w:rsidR="00000000" w:rsidRDefault="009649C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Book income (loss)</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(201,000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(338,100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(600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(7,200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Related party accrual</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21,100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Stock for services</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2,600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Options expense</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134,000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Non-cash interest expense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5,900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39,900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192,300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133,800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Income tax expense</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20611064"/>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At </w:t>
      </w:r>
      <w:r>
        <w:rPr>
          <w:sz w:val="20"/>
          <w:szCs w:val="20"/>
        </w:rPr>
        <w:t>December 31, 2020, the Company had net operating loss carryforwards of approximately $28,960,300.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Topic 740 provides guidance on the accounting for uncertainty in income taxes recognized in a company’s financial statements. Topic 740 requires a company t</w:t>
      </w:r>
      <w:r>
        <w:rPr>
          <w:sz w:val="20"/>
          <w:szCs w:val="20"/>
        </w:rPr>
        <w:t>o determine whether it is more likely than not that a tax position will be sustained upon examination based upon the technical merits of the position. If the more-likely-than-not threshold is met, a company must measure the tax position to determine the am</w:t>
      </w:r>
      <w:r>
        <w:rPr>
          <w:sz w:val="20"/>
          <w:szCs w:val="20"/>
        </w:rPr>
        <w:t>ount to recognize in the financial statements. At the adoption date of January 1, 2007, the Company had no unrecognized tax benefit, which would affect the effective tax rate if recognized.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includes interest and penalties arising from the und</w:t>
      </w:r>
      <w:r>
        <w:rPr>
          <w:sz w:val="20"/>
          <w:szCs w:val="20"/>
        </w:rPr>
        <w:t>erpayment of income taxes in the statements of operations in the provision for income taxes. As of December 31, 2020, the Company had no accrued interest or penalties related to uncertain tax positions.</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files income tax returns in the U.S. fe</w:t>
      </w:r>
      <w:r>
        <w:rPr>
          <w:sz w:val="20"/>
          <w:szCs w:val="20"/>
        </w:rPr>
        <w:t>deral jurisdiction. The Company is located in the state of Washington and Washington state does not require the filing of income taxes. With few exceptions, the Company is no longer subject to U.S. federal, state and local, or non-U.S. income tax examinati</w:t>
      </w:r>
      <w:r>
        <w:rPr>
          <w:sz w:val="20"/>
          <w:szCs w:val="20"/>
        </w:rPr>
        <w:t>ons by tax authorities for years before 2017.</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8: STOCKHOLDERS’ DEFICIT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Common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has 950,000,000 shares of common stock authorized, with a par value of $0.001, and as of December 31, 2020 and December 31, 2019, the Company has 292</w:t>
      </w:r>
      <w:r>
        <w:rPr>
          <w:sz w:val="20"/>
          <w:szCs w:val="20"/>
        </w:rPr>
        <w:t>,278,591 and 184,845,821 shares issued and outstanding, respectively.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March 28, 2019, the Company’s board of directors approved a reverse 1-for-8 stock split, and a decrease in the authorized shares from 2,000,000,000 to 950,000,000. The reverse stock</w:t>
      </w:r>
      <w:r>
        <w:rPr>
          <w:sz w:val="20"/>
          <w:szCs w:val="20"/>
        </w:rPr>
        <w:t xml:space="preserve"> split went effective by FINRA on June 28,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Preferred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As of December 31, 2020 and 2019, the Company has 20,000,000 shares of Preferred stock authorized with a par value of $0.001. The Company’s Board of Directors is authorized to provide for</w:t>
      </w:r>
      <w:r>
        <w:rPr>
          <w:sz w:val="20"/>
          <w:szCs w:val="20"/>
        </w:rPr>
        <w:t xml:space="preserve"> the issuance of shares of preferred stock in one or more series, fix or alter the designations, preferences, rights, qualifications, limitations or restrictions of the shares of each series, including the dividend rights, dividend rates, conversion rights</w:t>
      </w:r>
      <w:r>
        <w:rPr>
          <w:sz w:val="20"/>
          <w:szCs w:val="20"/>
        </w:rPr>
        <w:t>, voting rights, term of redemption including sinking fund provisions, redemption price or prices, liquidation preferences and the number of shares constituting any series or designations of such series without further vote or action by the shareholders. T</w:t>
      </w:r>
      <w:r>
        <w:rPr>
          <w:sz w:val="20"/>
          <w:szCs w:val="20"/>
        </w:rPr>
        <w:t>he issuance of preferred stock may have the effect of delaying, deferring or preventing a change in control of management without further action by the shareholders and may adversely affect the voting and other rights of the holders of common stock. The is</w:t>
      </w:r>
      <w:r>
        <w:rPr>
          <w:sz w:val="20"/>
          <w:szCs w:val="20"/>
        </w:rPr>
        <w:t>suance of preferred stock with voting and conversion rights may adversely affect the voting power of the holders of common stock, including the loss of voting control to others.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On </w:t>
      </w:r>
      <w:r>
        <w:rPr>
          <w:sz w:val="20"/>
          <w:szCs w:val="20"/>
        </w:rPr>
        <w:t>October 8, 2018 the Company created out of the shares of Preferred Stock, par value $0.001 per share, of the Company, as authorized in Article IV of the Company’s Certificate of Incorporation, a series of Preferred Stock of the Company, to be named “Series</w:t>
      </w:r>
      <w:r>
        <w:rPr>
          <w:sz w:val="20"/>
          <w:szCs w:val="20"/>
        </w:rPr>
        <w:t xml:space="preserve"> B Convertible Preferred Stock,” consisting of Five Million (5,000,000) shares.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March 27, 2019 the Company created out of the shares of Preferred Stock, par value $0.001 per share, of the Company, as authorized in Article IV of the Company’s Certifica</w:t>
      </w:r>
      <w:r>
        <w:rPr>
          <w:sz w:val="20"/>
          <w:szCs w:val="20"/>
        </w:rPr>
        <w:t>te of Incorporation, a series of Preferred Stock of the Company, to be named “Series C Convertible Preferred Stock,” consisting of Five Million (5,000,000) shares.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6905931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i/>
          <w:iCs/>
          <w:sz w:val="20"/>
          <w:szCs w:val="20"/>
        </w:rPr>
        <w:t> </w:t>
      </w:r>
    </w:p>
    <w:p w:rsidR="00000000" w:rsidRDefault="009649C3">
      <w:pPr>
        <w:pStyle w:val="a3"/>
        <w:spacing w:before="0" w:beforeAutospacing="0" w:after="0" w:afterAutospacing="0"/>
        <w:jc w:val="both"/>
        <w:rPr>
          <w:sz w:val="20"/>
          <w:szCs w:val="20"/>
        </w:rPr>
      </w:pPr>
      <w:r>
        <w:rPr>
          <w:i/>
          <w:iCs/>
          <w:sz w:val="20"/>
          <w:szCs w:val="20"/>
        </w:rPr>
        <w:t>Series A Convertible Preferred Stock (“Series A Convertible Preferred”</w:t>
      </w:r>
      <w:r>
        <w:rPr>
          <w:i/>
          <w:iCs/>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 2.5 million shares of our preferred stock as Series A Convertible Preferred. Effective March 31, 2016, the Company amended the Certificate</w:t>
      </w:r>
      <w:r>
        <w:rPr>
          <w:sz w:val="20"/>
          <w:szCs w:val="20"/>
        </w:rPr>
        <w:t xml:space="preserve"> of Designations, Preferences and Rights of Series A Convertible Preferred of the Registrant, increasing the maximum number of shares of Series A Convertible Preferred from 2,500,000 shares to 5,000,000 shares. The following summarizes the current rights a</w:t>
      </w:r>
      <w:r>
        <w:rPr>
          <w:sz w:val="20"/>
          <w:szCs w:val="20"/>
        </w:rPr>
        <w:t>nd preferences of the Series A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A Convertible Preferred do not have any separate dividend rights.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Certificate of Designation, each share of Series A Convertible Preferred is convertible, at the option</w:t>
      </w:r>
      <w:r>
        <w:rPr>
          <w:sz w:val="20"/>
          <w:szCs w:val="20"/>
        </w:rPr>
        <w:t xml:space="preserve"> of the holder, into that number of shares of common stock (the “</w:t>
      </w:r>
      <w:r>
        <w:rPr>
          <w:i/>
          <w:iCs/>
          <w:sz w:val="20"/>
          <w:szCs w:val="20"/>
        </w:rPr>
        <w:t>Series A Conversion Shares</w:t>
      </w:r>
      <w:r>
        <w:rPr>
          <w:sz w:val="20"/>
          <w:szCs w:val="20"/>
        </w:rPr>
        <w:t>”) equal to the liquidation preference thereof, divided by Conversion Price (as such term is defined in the Series A Certificate of Designation), currently $4.00.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the event the Company completes an equity or equity-based public offering, registered with the SEC, resulting in gross proceeds to the Company totaling at least $5.0 million, all issued and outstanding shares of Series A Convertible Preferred at that ti</w:t>
      </w:r>
      <w:r>
        <w:rPr>
          <w:sz w:val="20"/>
          <w:szCs w:val="20"/>
        </w:rPr>
        <w:t>me will automatically convert into Series A Conversion Shares.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Redemption</w:t>
      </w:r>
      <w:r>
        <w:rPr>
          <w:sz w:val="20"/>
          <w:szCs w:val="20"/>
        </w:rPr>
        <w:t xml:space="preserve">. Subject to certain conditions set forth in the Series A Certificate of Designation, in the event of a Change of Control (defined in the Series A Certificate of Designation as the </w:t>
      </w:r>
      <w:r>
        <w:rPr>
          <w:sz w:val="20"/>
          <w:szCs w:val="20"/>
        </w:rPr>
        <w:t>time at which as a third party not affiliated with the Company or any holders of the Series A Convertible Preferred shall have acquired, in one or a series of related transactions, equity securities of the Company representing more than fifty percent 50% o</w:t>
      </w:r>
      <w:r>
        <w:rPr>
          <w:sz w:val="20"/>
          <w:szCs w:val="20"/>
        </w:rPr>
        <w:t>f the outstanding voting securities of the Company), the Company, at its option, will have the right to redeem all or a portion of the outstanding Series A Convertible Preferred in cash at a price per share of Series A Convertible Preferred equal to 100% o</w:t>
      </w:r>
      <w:r>
        <w:rPr>
          <w:sz w:val="20"/>
          <w:szCs w:val="20"/>
        </w:rPr>
        <w:t>f the Liquidation Preference.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A Convertible Preferred are entitled to vote on all matters, together with the holders of common stock, and have the equivalent of five (5) votes for every Series A Conversion Share issuable </w:t>
      </w:r>
      <w:r>
        <w:rPr>
          <w:sz w:val="20"/>
          <w:szCs w:val="20"/>
        </w:rPr>
        <w:t>upon conversion of such holder’s outstanding shares of Series A Convertible Preferred. However, the Series A Conversion Shares, when issued, will have all the same voting rights as other issued and outstanding common stock of the Company, and none of the r</w:t>
      </w:r>
      <w:r>
        <w:rPr>
          <w:sz w:val="20"/>
          <w:szCs w:val="20"/>
        </w:rPr>
        <w:t>ights of the Series A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A Convertible Preferred shall be entitled to receive out </w:t>
      </w:r>
      <w:r>
        <w:rPr>
          <w:sz w:val="20"/>
          <w:szCs w:val="20"/>
        </w:rPr>
        <w:t>of the assets, whether capital or surplus, of the Company an amount equal to the liquidation preference of the Series A Convertible Preferred before any distribution or payment shall be made to the holders of any junior securities, and if the assets of the</w:t>
      </w:r>
      <w:r>
        <w:rPr>
          <w:sz w:val="20"/>
          <w:szCs w:val="20"/>
        </w:rPr>
        <w:t xml:space="preserve"> Company is insufficient to pay in full such amounts, then the entire assets to be distributed to the holders of the Series A Convertible Preferred shall be ratably distributed among the holders in accordance with the respective amounts that would be payab</w:t>
      </w:r>
      <w:r>
        <w:rPr>
          <w:sz w:val="20"/>
          <w:szCs w:val="20"/>
        </w:rPr>
        <w:t>le on such shares if all amounts payable thereon were paid in full.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w:t>
      </w:r>
      <w:r>
        <w:rPr>
          <w:sz w:val="20"/>
          <w:szCs w:val="20"/>
        </w:rPr>
        <w:t>of common stock on shares of common stock or any other common stock equivalents; (ii) subdivides outstanding shares of common stock into a larger number of shares; (iii) combines (including by way of a reverse stock split) outstanding shares of common stoc</w:t>
      </w:r>
      <w:r>
        <w:rPr>
          <w:sz w:val="20"/>
          <w:szCs w:val="20"/>
        </w:rPr>
        <w:t>k into a smaller number of shares; or (iv) issues, in the event of a reclassification of shares of the common stock, any shares of capital stock of the Company, then the conversion price shall be adjusted accordingly.</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xml:space="preserve">. If the </w:t>
      </w:r>
      <w:r>
        <w:rPr>
          <w:sz w:val="20"/>
          <w:szCs w:val="20"/>
        </w:rPr>
        <w:t>Company is involved in any reorganization, recapitalization, reclassification, consolidation or merger in which the Common Stock is converted into or exchanged for securities, cash or other property than each share of Series A Preferred shall be convertibl</w:t>
      </w:r>
      <w:r>
        <w:rPr>
          <w:sz w:val="20"/>
          <w:szCs w:val="20"/>
        </w:rPr>
        <w:t>e into the kind and amount of securities, cash or other property that a holder of the number of shares of common stock issuable upon conversion of one share of Series A Convertible Preferred prior to any such merger or reorganization would have been entitl</w:t>
      </w:r>
      <w:r>
        <w:rPr>
          <w:sz w:val="20"/>
          <w:szCs w:val="20"/>
        </w:rPr>
        <w:t>ed to receive pursuant to such transaction.</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8004807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i/>
          <w:iCs/>
          <w:sz w:val="20"/>
          <w:szCs w:val="20"/>
        </w:rPr>
        <w:t> </w:t>
      </w:r>
    </w:p>
    <w:p w:rsidR="00000000" w:rsidRDefault="009649C3">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w:t>
      </w:r>
      <w:r>
        <w:rPr>
          <w:sz w:val="20"/>
          <w:szCs w:val="20"/>
        </w:rPr>
        <w:t>October 2018, the Series B Certificate of Designation was filed with the Delaware Secretary of State to designate 5.0 million shares of our preferred stock as Series B Convertible Preferred. The following summarizes the current rights and preferences of th</w:t>
      </w:r>
      <w:r>
        <w:rPr>
          <w:sz w:val="20"/>
          <w:szCs w:val="20"/>
        </w:rPr>
        <w:t>e Series B Convertible Preferred:</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Conversion</w:t>
      </w:r>
      <w:r>
        <w:rPr>
          <w:sz w:val="20"/>
          <w:szCs w:val="20"/>
        </w:rPr>
        <w:t>. Su</w:t>
      </w:r>
      <w:r>
        <w:rPr>
          <w:sz w:val="20"/>
          <w:szCs w:val="20"/>
        </w:rPr>
        <w:t>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w:t>
      </w:r>
      <w:r>
        <w:rPr>
          <w:sz w:val="20"/>
          <w:szCs w:val="20"/>
        </w:rPr>
        <w:t xml:space="preserve"> to the liquidation preference thereof, divided by Conversion Price (as such term is defined in the Series B Certificate of Designation), currently $0.08.</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Redemption</w:t>
      </w:r>
      <w:r>
        <w:rPr>
          <w:sz w:val="20"/>
          <w:szCs w:val="20"/>
        </w:rPr>
        <w:t xml:space="preserve">. Subject to certain conditions set forth in the Series B Certificate of Designation, in </w:t>
      </w:r>
      <w:r>
        <w:rPr>
          <w:sz w:val="20"/>
          <w:szCs w:val="20"/>
        </w:rPr>
        <w:t>the event of a Change of Control (defined in the Series B Certificate of Designation as the time at which as a third party not affiliated with the Company or any holders of the Series B Convertible Preferred shall have acquired, in one or a series of relat</w:t>
      </w:r>
      <w:r>
        <w:rPr>
          <w:sz w:val="20"/>
          <w:szCs w:val="20"/>
        </w:rPr>
        <w:t>ed transactions, equity securities of the Company representing more than fifty percent 50% of the outstanding voting securities of the Company), the Company, at its option, will have the right to redeem all or a portion of the outstanding Series B Converti</w:t>
      </w:r>
      <w:r>
        <w:rPr>
          <w:sz w:val="20"/>
          <w:szCs w:val="20"/>
        </w:rPr>
        <w:t>ble Preferred in cash at a price per share of Series B Convertible Preferred equal to 100% of the Liquidation Preference.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Series B Conversion Share issuable upon conversion of such holder’s outstanding s</w:t>
      </w:r>
      <w:r>
        <w:rPr>
          <w:sz w:val="20"/>
          <w:szCs w:val="20"/>
        </w:rPr>
        <w:t>hares of Series B Convertible Preferred. However, the Series B Conversion Shares, when issued, will have all the same voting rights as other issued and outstanding common stock of the Company, and none of the rights of the Series A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B Convertible Preferred shall be entitled to receive out of the assets, whether capital or surplus, of </w:t>
      </w:r>
      <w:r>
        <w:rPr>
          <w:sz w:val="20"/>
          <w:szCs w:val="20"/>
        </w:rPr>
        <w:t>the Company an amount equal to the liquidation preference of the Series B Convertible Preferred before any distribution or payment shall be made to the holders of any junior securities, and if the assets of the Company is insufficient to pay in full such a</w:t>
      </w:r>
      <w:r>
        <w:rPr>
          <w:sz w:val="20"/>
          <w:szCs w:val="20"/>
        </w:rPr>
        <w:t>mounts, then the entire assets to be distributed to the holders of the Series B Convertible Preferred shall be ratably distributed among the holders in accordance with the respective amounts that would be payable on such shares if all amounts payable there</w:t>
      </w:r>
      <w:r>
        <w:rPr>
          <w:sz w:val="20"/>
          <w:szCs w:val="20"/>
        </w:rPr>
        <w:t>on were paid in full.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w:t>
      </w:r>
      <w:r>
        <w:rPr>
          <w:sz w:val="20"/>
          <w:szCs w:val="20"/>
        </w:rPr>
        <w:t>ny other common stock equivalents; (ii) subdivides outstanding shares of common stock into a larger number of shares; (iii) combines (including by way of a reverse stock split) outstanding shares of common stock into a smaller number of shares; or (iv) iss</w:t>
      </w:r>
      <w:r>
        <w:rPr>
          <w:sz w:val="20"/>
          <w:szCs w:val="20"/>
        </w:rPr>
        <w:t>ues, in the event of a reclassification of shares of the common stock, any shares of capital stock of the Company, then the conversion price shall be adjusted accordingly.</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B Convertible Preferre</w:t>
      </w:r>
      <w:r>
        <w:rPr>
          <w:sz w:val="20"/>
          <w:szCs w:val="20"/>
        </w:rPr>
        <w:t>d shall be convertible into the kind and amount of securities, cash or other property that a holder of the number of shares of common stock issuable upon conversion of one share of Series B Convertible Preferred prior to any such merger or reorganization w</w:t>
      </w:r>
      <w:r>
        <w:rPr>
          <w:sz w:val="20"/>
          <w:szCs w:val="20"/>
        </w:rPr>
        <w:t>ould have been entitled to receive pursuant to such transaction.</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60011018"/>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i/>
          <w:iCs/>
          <w:sz w:val="20"/>
          <w:szCs w:val="20"/>
        </w:rPr>
        <w:t> </w:t>
      </w:r>
    </w:p>
    <w:p w:rsidR="00000000" w:rsidRDefault="009649C3">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w:t>
      </w:r>
      <w:r>
        <w:rPr>
          <w:sz w:val="20"/>
          <w:szCs w:val="20"/>
        </w:rPr>
        <w:t xml:space="preserve">March 2019, the Series C Certificate of Designation was filed with the Delaware Secretary of State to designate 5.0 million shares of our preferred stock as Series C Convertible Preferred. The following summarizes the current rights and preferences of the </w:t>
      </w:r>
      <w:r>
        <w:rPr>
          <w:sz w:val="20"/>
          <w:szCs w:val="20"/>
        </w:rPr>
        <w:t>Series C Convertible Preferred:</w:t>
      </w:r>
    </w:p>
    <w:p w:rsidR="00000000" w:rsidRDefault="009649C3">
      <w:pPr>
        <w:pStyle w:val="a3"/>
        <w:spacing w:before="0" w:beforeAutospacing="0" w:after="0" w:afterAutospacing="0"/>
        <w:jc w:val="center"/>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Conversion</w:t>
      </w:r>
      <w:r>
        <w:rPr>
          <w:sz w:val="20"/>
          <w:szCs w:val="20"/>
        </w:rPr>
        <w:t>. Subj</w:t>
      </w:r>
      <w:r>
        <w:rPr>
          <w:sz w:val="20"/>
          <w:szCs w:val="20"/>
        </w:rPr>
        <w:t>ect to certain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w:t>
      </w:r>
      <w:r>
        <w:rPr>
          <w:sz w:val="20"/>
          <w:szCs w:val="20"/>
        </w:rPr>
        <w:t>o the liquidation preference thereof, divided by Conversion Price (as such term is defined in the Series C Certificate of Designation), currently $0.08.</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Series C Convertible Preferred will only be convertible at any time after the date that the Compa</w:t>
      </w:r>
      <w:r>
        <w:rPr>
          <w:sz w:val="20"/>
          <w:szCs w:val="20"/>
        </w:rPr>
        <w:t>ny shall have amended its Certificate of Incorporation to increase the number of shares of common stock authorized for issuance thereunder or effect a reverse stock split of the outstanding shares of common stock by a sufficient amount to permit the conver</w:t>
      </w:r>
      <w:r>
        <w:rPr>
          <w:sz w:val="20"/>
          <w:szCs w:val="20"/>
        </w:rPr>
        <w:t>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w:t>
      </w:r>
      <w:r>
        <w:rPr>
          <w:sz w:val="20"/>
          <w:szCs w:val="20"/>
        </w:rPr>
        <w:t>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w:t>
      </w:r>
      <w:r>
        <w:rPr>
          <w:sz w:val="20"/>
          <w:szCs w:val="20"/>
        </w:rPr>
        <w:t xml:space="preserve"> the event of a Change of Control (defined in the Series C Certificate of Designation as the time at which as a third party not affiliated with the Company or any holders of the Series C Convertible Preferred shall have acquired, in one or a series of rela</w:t>
      </w:r>
      <w:r>
        <w:rPr>
          <w:sz w:val="20"/>
          <w:szCs w:val="20"/>
        </w:rPr>
        <w:t>ted transactions, equity securities of the Company representing more than fifty percent 50% of the outstanding voting securities of the Company), the Company, at its option, will have the right to redeem all or a portion of the outstanding Series B Convert</w:t>
      </w:r>
      <w:r>
        <w:rPr>
          <w:sz w:val="20"/>
          <w:szCs w:val="20"/>
        </w:rPr>
        <w:t>ible Preferred in cash at a price per share of Series C Convertible Preferred equal to 100% of the Liquidation Preference.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w:t>
      </w:r>
      <w:r>
        <w:rPr>
          <w:sz w:val="20"/>
          <w:szCs w:val="20"/>
        </w:rPr>
        <w:t>tock, and have the equivalent of thirty-two (32) votes for every Series C Conversion Share issuable upon conversion of such holder’s outstanding shares of Series C Convertible Preferred. However, the Series C Conversion Shares, when issued, will have all t</w:t>
      </w:r>
      <w:r>
        <w:rPr>
          <w:sz w:val="20"/>
          <w:szCs w:val="20"/>
        </w:rPr>
        <w:t>he same voting rights as other issued and outstanding common stock of the Company, and none of the rights of the Series C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surplus, of the Company an</w:t>
      </w:r>
      <w:r>
        <w:rPr>
          <w:sz w:val="20"/>
          <w:szCs w:val="20"/>
        </w:rPr>
        <w:t xml:space="preserve"> amount equal to the liquidation preference of the Series C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C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7528780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w:t>
      </w:r>
      <w:r>
        <w:rPr>
          <w:sz w:val="20"/>
          <w:szCs w:val="20"/>
        </w:rPr>
        <w:t>n, recapitalization, reclassification, consolidation or merger in which the Common Stock is converted into or exchanged for securities, cash or other property than each share of Series C Convertible Preferred shall be convertible into the kind and amount o</w:t>
      </w:r>
      <w:r>
        <w:rPr>
          <w:sz w:val="20"/>
          <w:szCs w:val="20"/>
        </w:rPr>
        <w:t>f securities, cash or other property that a holder of the number of shares of common stock issuable upon conversion of one share of Series C Convertible Preferred prior to any such merger or reorganization would have been entitled to receive pursuant to su</w:t>
      </w:r>
      <w:r>
        <w:rPr>
          <w:sz w:val="20"/>
          <w:szCs w:val="20"/>
        </w:rPr>
        <w:t>ch transaction.</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i/>
          <w:iCs/>
          <w:sz w:val="20"/>
          <w:szCs w:val="20"/>
        </w:rPr>
        <w:t>Common and Preferred Stock Issuances - 2020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Company in January 2020 paid $50,000 to redeem 100,000 shares of Series B Convertible Preferred Stock. The redemption price was agreed to by the investor.</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January 2020, the Company converted 435,990 shares of Series C Convertible Preferred stock into </w:t>
      </w:r>
      <w:r>
        <w:rPr>
          <w:sz w:val="20"/>
          <w:szCs w:val="20"/>
        </w:rPr>
        <w:t>5,449,875 shares of common stock. </w:t>
      </w:r>
    </w:p>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March through June 2020, the Company entered into agreements to issue 18,440,000 shares of common stock conditioned upon the qualification of the offer and sale of such shares under Regulation A+ for $497,880. Additi</w:t>
      </w:r>
      <w:r>
        <w:rPr>
          <w:sz w:val="20"/>
          <w:szCs w:val="20"/>
        </w:rPr>
        <w:t>onally, the Company agreed to issue 9,220,000 warrants with a term of two years and an exercise price of $.045 for a purchase price of $8,143. These shares were issued in June 2020 and July 2020 following the qualification of the Regulation A+.</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March </w:t>
      </w:r>
      <w:r>
        <w:rPr>
          <w:sz w:val="20"/>
          <w:szCs w:val="20"/>
        </w:rPr>
        <w:t xml:space="preserve">through June 2020, certain holders of convertible promissory notes entered into agreements to exchange certain notes totaling $651,044, including $525,000 in principal amount, $27,536 in accrued interest and an exchange premium as provided for in the note </w:t>
      </w:r>
      <w:r>
        <w:rPr>
          <w:sz w:val="20"/>
          <w:szCs w:val="20"/>
        </w:rPr>
        <w:t>agreements of $98,508 into 21,770,668 shares of common stock effective upon the qualification of the offer and sale of such shares under Regulation A+. In connection with the holder’s agreement to enter into the exchange, the Company issued 2,200,000 warra</w:t>
      </w:r>
      <w:r>
        <w:rPr>
          <w:sz w:val="20"/>
          <w:szCs w:val="20"/>
        </w:rPr>
        <w:t>nts with a two-year term and an exercise price of $0.045 per share and amend 4,400,000 previously issued warrants to provide for a $.045 exercise price and an expiration date of March 31, 2022. These shares were issued on June 10, 2020 following the qualif</w:t>
      </w:r>
      <w:r>
        <w:rPr>
          <w:sz w:val="20"/>
          <w:szCs w:val="20"/>
        </w:rPr>
        <w:t>ication of the Regulation A+.</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During the three months ended September 30, 2020, the Company issued 1,851,852 shares of common stock to settle $50,000 in promissory notes.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Between November 30 and December 2, 2020, the Company issued 42,177,778 shares of</w:t>
      </w:r>
      <w:r>
        <w:rPr>
          <w:sz w:val="20"/>
          <w:szCs w:val="20"/>
        </w:rPr>
        <w:t xml:space="preserve"> common stock along with 19,200,000 warrants under the Regulation A+ for cash proceeds of $1,138,800 for the common stock and the warrants were purchased for $19,200. </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November 30, 2020, the Company issued 933,750 shares of common stock in exchange fo</w:t>
      </w:r>
      <w:r>
        <w:rPr>
          <w:sz w:val="20"/>
          <w:szCs w:val="20"/>
        </w:rPr>
        <w:t>r 1,867,500 warrants in accordance with a convertible promissory note.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December 2, 2020, holders of Series A Preferred stock redeemed 381,635 shares of Series A Preferred stock for $13,650. The Company canceled these certificates simultaneous to the r</w:t>
      </w:r>
      <w:r>
        <w:rPr>
          <w:sz w:val="20"/>
          <w:szCs w:val="20"/>
        </w:rPr>
        <w:t>edemption.</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December 3, 2020, a Series B Preferred holder converted 276,592 Series B shares into 3,457,400 common shares, and on December 29, 2020 this Series B Preferred holder converted 300,000 Series B shares into 3,750,000 common shares.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Decem</w:t>
      </w:r>
      <w:r>
        <w:rPr>
          <w:sz w:val="20"/>
          <w:szCs w:val="20"/>
        </w:rPr>
        <w:t>ber 10, 2020, the Chief Executive Officer exercised 2,500,000 stock options into common shares valued at $60,000.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Between December 14, 2020 and December 28, 2020, the Company issued 4,759,435 shares of common stock in the cashless exercise of 6,860,000 w</w:t>
      </w:r>
      <w:r>
        <w:rPr>
          <w:sz w:val="20"/>
          <w:szCs w:val="20"/>
        </w:rPr>
        <w:t>arrants.</w:t>
      </w:r>
    </w:p>
    <w:p w:rsidR="00000000" w:rsidRDefault="009649C3">
      <w:pPr>
        <w:pStyle w:val="a3"/>
        <w:spacing w:before="0" w:beforeAutospacing="0" w:after="0" w:afterAutospacing="0"/>
        <w:jc w:val="both"/>
        <w:rPr>
          <w:sz w:val="20"/>
          <w:szCs w:val="20"/>
        </w:rPr>
      </w:pPr>
      <w:r>
        <w:rPr>
          <w:b/>
          <w:bCs/>
          <w:i/>
          <w:iCs/>
          <w:sz w:val="20"/>
          <w:szCs w:val="20"/>
        </w:rPr>
        <w:t> </w:t>
      </w:r>
    </w:p>
    <w:p w:rsidR="00000000" w:rsidRDefault="009649C3">
      <w:pPr>
        <w:pStyle w:val="a3"/>
        <w:spacing w:before="0" w:beforeAutospacing="0" w:after="0" w:afterAutospacing="0"/>
        <w:jc w:val="both"/>
        <w:rPr>
          <w:sz w:val="20"/>
          <w:szCs w:val="20"/>
        </w:rPr>
      </w:pPr>
      <w:r>
        <w:rPr>
          <w:b/>
          <w:bCs/>
          <w:i/>
          <w:iCs/>
          <w:sz w:val="20"/>
          <w:szCs w:val="20"/>
        </w:rPr>
        <w:t>Common and Preferred Stock Issuances - 2019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w:t>
      </w:r>
      <w:r>
        <w:rPr>
          <w:sz w:val="20"/>
          <w:szCs w:val="20"/>
        </w:rPr>
        <w:t>January 2019, the Company received $100,000 in gross proceeds resulting from the issuance to accredited investors of 1,250,000 shares of common stock, 100,000 shares of Series B Convertible Preferred and warrants to purchase 1,250,000 shares of common stoc</w:t>
      </w:r>
      <w:r>
        <w:rPr>
          <w:sz w:val="20"/>
          <w:szCs w:val="20"/>
        </w:rPr>
        <w:t>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issued 18,390,225 shares of common stock in consideration for the conversion of 1,471,218 shares of Series B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issued 821,292 shares of Series C Convertible Preferred in exchange for 821,292 shares of Ser</w:t>
      </w:r>
      <w:r>
        <w:rPr>
          <w:sz w:val="20"/>
          <w:szCs w:val="20"/>
        </w:rPr>
        <w:t>ies B Convertible Preferred.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issued 1,062,500 shares of common stock in a settlement of accounts payable valued at $43,900. This includes 500,000 shares to the Company’s former CEO in settlement of that litigation (see Note 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w:t>
      </w:r>
      <w:r>
        <w:rPr>
          <w:sz w:val="20"/>
          <w:szCs w:val="20"/>
        </w:rPr>
        <w:t>issued 312,500 shares of common stock for services rendered in connection with the raising of debt instruments valued at $12,500.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issued 385.000 shares of common stock in conversion of vested restricted stock units.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Common Stock Options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w:t>
      </w:r>
      <w:r>
        <w:rPr>
          <w:sz w:val="20"/>
          <w:szCs w:val="20"/>
        </w:rPr>
        <w:t>he Company recognizes in the financial statements compensation related to all stock-based awards, including stock options and warrants, based on their estimated grant-date fair value. The Company has estimated expected forfeitures and is recognizing compen</w:t>
      </w:r>
      <w:r>
        <w:rPr>
          <w:sz w:val="20"/>
          <w:szCs w:val="20"/>
        </w:rPr>
        <w:t>sation expense only for those awards expected to vest. All compensation is recognized by the time the award vests.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1256710"/>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9649C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32"/>
        <w:gridCol w:w="140"/>
        <w:gridCol w:w="57"/>
        <w:gridCol w:w="900"/>
        <w:gridCol w:w="67"/>
        <w:gridCol w:w="130"/>
        <w:gridCol w:w="100"/>
        <w:gridCol w:w="971"/>
        <w:gridCol w:w="57"/>
        <w:gridCol w:w="140"/>
        <w:gridCol w:w="94"/>
        <w:gridCol w:w="840"/>
        <w:gridCol w:w="57"/>
        <w:gridCol w:w="140"/>
        <w:gridCol w:w="100"/>
        <w:gridCol w:w="800"/>
        <w:gridCol w:w="58"/>
        <w:gridCol w:w="141"/>
        <w:gridCol w:w="101"/>
        <w:gridCol w:w="723"/>
        <w:gridCol w:w="58"/>
      </w:tblGrid>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6"/>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Of</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9649C3">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11,318,021</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0.11-120.00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3.91 years</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0.24</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23,252,809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0.024-0.04</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(46,250</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Balance at December 31, 2019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0.024-120.00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6.49 years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277,973</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(3,139,119</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Balance at December 31, 2020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28,885,461</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 xml:space="preserve">0.024-120.00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5.57 years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1,661,429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Exercisable at December 31, 2020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28,789,836</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 xml:space="preserve">0.024-120.00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5.56 years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1,653,636</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 There was $6,529 expensed in 2019 and $2,176 remaining to be expensed through June 30, 2020 for these options.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has granted 21,000,000 stock options under the Company’s 2015 Omnibus Securities and Incentive Plan to Dr. Korenko. The granting </w:t>
      </w:r>
      <w:r>
        <w:rPr>
          <w:sz w:val="20"/>
          <w:szCs w:val="20"/>
        </w:rPr>
        <w:t>of the stock options occurs 10 days after the approval of the Company’s recent 1 for 8 reverse stock split that occurred on June 28, 2018. The vesting of the options are as follows: (i) 50% vested in equal amounts at the end of each of the two successive c</w:t>
      </w:r>
      <w:r>
        <w:rPr>
          <w:sz w:val="20"/>
          <w:szCs w:val="20"/>
        </w:rPr>
        <w:t>alendar quarters (25% for each of the quarters September 30, 2019, and December 31, 2019); (ii) 25% upon the Company filing a patent (completed on July 1, 2019); and (iii) 25% upon the first commercial sale of IsoPet</w:t>
      </w:r>
      <w:r>
        <w:rPr>
          <w:sz w:val="20"/>
          <w:szCs w:val="20"/>
          <w:vertAlign w:val="superscript"/>
        </w:rPr>
        <w:t>®</w:t>
      </w:r>
      <w:r>
        <w:rPr>
          <w:sz w:val="20"/>
          <w:szCs w:val="20"/>
        </w:rPr>
        <w:t>. The first commercial sale occurred in</w:t>
      </w:r>
      <w:r>
        <w:rPr>
          <w:sz w:val="20"/>
          <w:szCs w:val="20"/>
        </w:rPr>
        <w:t xml:space="preserve"> July 2019. The value of these options in the aggregate is $585,144.</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September 2019, the Company granted 1,000,000 stock options in a settlement agreement for past due legal fees. The options have a ten-year life and vest immediately. These options we</w:t>
      </w:r>
      <w:r>
        <w:rPr>
          <w:sz w:val="20"/>
          <w:szCs w:val="20"/>
        </w:rPr>
        <w:t>re valued at $33,829 which offset accounts payable. The Company recognized a gain of $34,106 on this transaction which is included in the net (gain) loss on debt extinguishment in the statement of operations for the year ended December 31, 2019.</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Septe</w:t>
      </w:r>
      <w:r>
        <w:rPr>
          <w:sz w:val="20"/>
          <w:szCs w:val="20"/>
        </w:rPr>
        <w:t>mber 2019, the Company granted 500,000 stock options to a consultant for services rendered. The options have a ten-year life and vest immediately. These options were valued at $16,915.</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December 2019, the Company granted 370,309 stock options to consul</w:t>
      </w:r>
      <w:r>
        <w:rPr>
          <w:sz w:val="20"/>
          <w:szCs w:val="20"/>
        </w:rPr>
        <w:t>tants for accounts payable. The options have a ten-year life and vest immediately. These options were valued at $14,812.</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December 10, 2020, the Chief Executive Officer exercised 2,500,000 stock options into common shares valued at $60,000.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During th</w:t>
      </w:r>
      <w:r>
        <w:rPr>
          <w:sz w:val="20"/>
          <w:szCs w:val="20"/>
        </w:rPr>
        <w:t>e years ending December 31, 2020 and 2019, the Company recognized $2,176 and $608,588, respectively, worth of stock based compensation related to the vesting of it stock options.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97640969"/>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b/>
          <w:bCs/>
          <w:sz w:val="20"/>
          <w:szCs w:val="20"/>
        </w:rPr>
        <w:t> </w:t>
      </w:r>
    </w:p>
    <w:p w:rsidR="00000000" w:rsidRDefault="009649C3">
      <w:pPr>
        <w:pStyle w:val="a3"/>
        <w:spacing w:before="0" w:beforeAutospacing="0" w:after="0" w:afterAutospacing="0"/>
        <w:jc w:val="both"/>
        <w:rPr>
          <w:sz w:val="20"/>
          <w:szCs w:val="20"/>
        </w:rPr>
      </w:pPr>
      <w:r>
        <w:rPr>
          <w:b/>
          <w:bCs/>
          <w:sz w:val="20"/>
          <w:szCs w:val="20"/>
        </w:rPr>
        <w:t>Common Stock Warrants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common stock warrants: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27"/>
        <w:gridCol w:w="135"/>
        <w:gridCol w:w="52"/>
        <w:gridCol w:w="967"/>
        <w:gridCol w:w="67"/>
        <w:gridCol w:w="120"/>
        <w:gridCol w:w="100"/>
        <w:gridCol w:w="966"/>
        <w:gridCol w:w="52"/>
        <w:gridCol w:w="136"/>
        <w:gridCol w:w="94"/>
        <w:gridCol w:w="840"/>
        <w:gridCol w:w="53"/>
        <w:gridCol w:w="136"/>
        <w:gridCol w:w="100"/>
        <w:gridCol w:w="800"/>
        <w:gridCol w:w="53"/>
        <w:gridCol w:w="136"/>
        <w:gridCol w:w="101"/>
        <w:gridCol w:w="718"/>
        <w:gridCol w:w="53"/>
      </w:tblGrid>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6"/>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9649C3">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Of</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9649C3">
            <w:pPr>
              <w:jc w:val="both"/>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23,052,472</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0.08-80.00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1.77 years</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8,234,375</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 xml:space="preserve">Warrants </w:t>
            </w:r>
            <w:r>
              <w:rPr>
                <w:rFonts w:eastAsia="Times New Roman"/>
                <w:sz w:val="20"/>
                <w:szCs w:val="20"/>
              </w:rPr>
              <w:t>expired/cancelled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Balance at December 31, 2019</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31,286,847</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0.08-80.00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0.97 years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jc w:val="both"/>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31,870,000</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0.045-0.06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jc w:val="both"/>
              <w:rPr>
                <w:rFonts w:eastAsia="Times New Roman"/>
                <w:sz w:val="20"/>
                <w:szCs w:val="20"/>
              </w:rPr>
            </w:pPr>
            <w:r>
              <w:rPr>
                <w:rFonts w:eastAsia="Times New Roman"/>
                <w:sz w:val="20"/>
                <w:szCs w:val="20"/>
              </w:rPr>
              <w:t>Warrants exercised/exchanged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(8,727,500</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jc w:val="both"/>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(22,364,972</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jc w:val="both"/>
              <w:rPr>
                <w:rFonts w:eastAsia="Times New Roman"/>
                <w:sz w:val="20"/>
                <w:szCs w:val="20"/>
              </w:rPr>
            </w:pPr>
            <w:r>
              <w:rPr>
                <w:rFonts w:eastAsia="Times New Roman"/>
                <w:sz w:val="20"/>
                <w:szCs w:val="20"/>
              </w:rPr>
              <w:t>Balance at December 31, 2020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32,064,375</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0.04-80.00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1.65 years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1,614,567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jc w:val="both"/>
              <w:rPr>
                <w:rFonts w:eastAsia="Times New Roman"/>
                <w:sz w:val="20"/>
                <w:szCs w:val="20"/>
              </w:rPr>
            </w:pPr>
            <w:r>
              <w:rPr>
                <w:rFonts w:eastAsia="Times New Roman"/>
                <w:sz w:val="20"/>
                <w:szCs w:val="20"/>
              </w:rPr>
              <w:t>Exercisable at December 31, 2020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32,064,375</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0.04-80.00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1.65 years</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1,614,567</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Changes </w:t>
      </w:r>
      <w:r>
        <w:rPr>
          <w:sz w:val="20"/>
          <w:szCs w:val="20"/>
        </w:rPr>
        <w:t xml:space="preserve">to these inputs could produce a significantly higher or lower fair value measurement. The fair value of each option/warrant is estimated using the Black-Scholes valuation model. The following assumptions were used for the years ended December 31, 2020 and </w:t>
      </w:r>
      <w:r>
        <w:rPr>
          <w:sz w:val="20"/>
          <w:szCs w:val="20"/>
        </w:rPr>
        <w:t>2019: </w:t>
      </w:r>
    </w:p>
    <w:p w:rsidR="00000000" w:rsidRDefault="009649C3">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58"/>
        <w:gridCol w:w="104"/>
        <w:gridCol w:w="50"/>
        <w:gridCol w:w="1021"/>
        <w:gridCol w:w="167"/>
        <w:gridCol w:w="105"/>
        <w:gridCol w:w="50"/>
        <w:gridCol w:w="1023"/>
        <w:gridCol w:w="167"/>
      </w:tblGrid>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Year Ended</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Year Ended</w:t>
            </w:r>
          </w:p>
        </w:tc>
        <w:tc>
          <w:tcPr>
            <w:tcW w:w="0" w:type="auto"/>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9649C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9649C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2019</w:t>
            </w:r>
          </w:p>
        </w:tc>
        <w:tc>
          <w:tcPr>
            <w:tcW w:w="0" w:type="auto"/>
            <w:shd w:val="clear" w:color="auto" w:fill="FFFFFF"/>
            <w:tcMar>
              <w:top w:w="0" w:type="dxa"/>
              <w:left w:w="0" w:type="dxa"/>
              <w:bottom w:w="30" w:type="dxa"/>
              <w:right w:w="0" w:type="dxa"/>
            </w:tcMar>
            <w:vAlign w:val="bottom"/>
            <w:hideMark/>
          </w:tcPr>
          <w:p w:rsidR="00000000" w:rsidRDefault="009649C3">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2 - 5 years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2 - 5 years</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9649C3">
            <w:pPr>
              <w:rPr>
                <w:rFonts w:eastAsia="Times New Roman"/>
                <w:sz w:val="20"/>
                <w:szCs w:val="20"/>
              </w:rPr>
            </w:pPr>
            <w:r>
              <w:rPr>
                <w:rFonts w:eastAsia="Times New Roman"/>
                <w:sz w:val="20"/>
                <w:szCs w:val="20"/>
              </w:rPr>
              <w:t>Expected volatility</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109 - 147</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9649C3">
            <w:pPr>
              <w:jc w:val="right"/>
              <w:rPr>
                <w:rFonts w:eastAsia="Times New Roman"/>
                <w:sz w:val="20"/>
                <w:szCs w:val="20"/>
              </w:rPr>
            </w:pPr>
            <w:r>
              <w:rPr>
                <w:rFonts w:eastAsia="Times New Roman"/>
                <w:sz w:val="20"/>
                <w:szCs w:val="20"/>
              </w:rPr>
              <w:t>144 - 295</w:t>
            </w:r>
          </w:p>
        </w:tc>
        <w:tc>
          <w:tcPr>
            <w:tcW w:w="50" w:type="pct"/>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0.20 - 0.58</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0.58 – 0.81</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r>
    </w:tbl>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For </w:t>
      </w:r>
      <w:r>
        <w:rPr>
          <w:sz w:val="20"/>
          <w:szCs w:val="20"/>
        </w:rPr>
        <w:t>the year ended December 31, 2019, the Company granted 1,250,000 warrants in the issuance of common and preferred shares issued for cash to accredited investors, 5,650,000 warrants in the issuance of promissory notes (recorded as a debt discount valued at $</w:t>
      </w:r>
      <w:r>
        <w:rPr>
          <w:sz w:val="20"/>
          <w:szCs w:val="20"/>
        </w:rPr>
        <w:t>151,048), 750,000 warrants for the extension of promissory notes, recorded as interest expense valued at $25,656, 500,000 warrants for settlement of accounts payable valued at $18,500 (see Note 9) and 84,375 warrants issued for consulting services valued a</w:t>
      </w:r>
      <w:r>
        <w:rPr>
          <w:sz w:val="20"/>
          <w:szCs w:val="20"/>
        </w:rPr>
        <w:t>t $3,792.</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The Company issued a convertible note in the amount of $100,000 to an accredited investor. The note bears interest at 8% per annum and matures March 31, 2020. The Company granted 1,250,000 warrants with an exercise price of $0.06 per share and </w:t>
      </w:r>
      <w:r>
        <w:rPr>
          <w:sz w:val="20"/>
          <w:szCs w:val="20"/>
        </w:rPr>
        <w:t>a term of two years with this note and amended 1,312,500 previously issued warrants held by the investor to provide for a $.06 exercise price and an expiration date of March 31, 2022. This issuance resulted in a debt discount of $28,482.</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March through</w:t>
      </w:r>
      <w:r>
        <w:rPr>
          <w:sz w:val="20"/>
          <w:szCs w:val="20"/>
        </w:rPr>
        <w:t xml:space="preserve"> June 2020, the Company entered into agreements to issue 18,440,000 shares of common stock conditioned upon the qualification of the offer and sale of such shares under Regulation A+ for $497,880. Additionally, the Company agreed to issue 9,220,000 warrant</w:t>
      </w:r>
      <w:r>
        <w:rPr>
          <w:sz w:val="20"/>
          <w:szCs w:val="20"/>
        </w:rPr>
        <w:t>s with a term of two years and an exercise price of $.045 for a purchase price of $8,143. These shares were issued in June 2020 and July 2020 following the qualification of the Regulation A+.</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March through June 2020, certain holders of convertible pro</w:t>
      </w:r>
      <w:r>
        <w:rPr>
          <w:sz w:val="20"/>
          <w:szCs w:val="20"/>
        </w:rPr>
        <w:t>missory notes entered into agreements to exchange certain notes totaling $651,044, including $525,000 in principal amount, $27,536 in accrued interest and an exchange premium as provided for in the note agreements of $98,508 into 21,770,668 shares of commo</w:t>
      </w:r>
      <w:r>
        <w:rPr>
          <w:sz w:val="20"/>
          <w:szCs w:val="20"/>
        </w:rPr>
        <w:t>n stock effective upon the qualification of the offer and sale of such shares under Regulation A+. In connection with the holder’s agreement to enter into the exchange, the Company issued 2,200,000 warrants with a two-year term and an exercise price of $0.</w:t>
      </w:r>
      <w:r>
        <w:rPr>
          <w:sz w:val="20"/>
          <w:szCs w:val="20"/>
        </w:rPr>
        <w:t>045 per share and amend 4,400,000 previously issued warrants to provide for a $.045 exercise price and an expiration date of March 31, 2022. These shares were issued on June 10, 2020 following the qualification of the Regulation A+. The issuance of the war</w:t>
      </w:r>
      <w:r>
        <w:rPr>
          <w:sz w:val="20"/>
          <w:szCs w:val="20"/>
        </w:rPr>
        <w:t>rants resulted in $77,883 in additional warrant expense.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Between November 30, 2020 and December 2, 2020 the Company sold 19,200,000 warrants for $19,200. These warrants have a two-year term and have an exercise price of $0.06 per share. </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November 30</w:t>
      </w:r>
      <w:r>
        <w:rPr>
          <w:sz w:val="20"/>
          <w:szCs w:val="20"/>
        </w:rPr>
        <w:t>, 2020, the Company exchanged 1,867,500 warrants into 933,750 shares of common stock, and between December 14, 2020 and December 28, 2020, there were cashless exercises of 6,860,000 warrants into 4,759,435 shares of common stock.</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the Company’s quarter</w:t>
      </w:r>
      <w:r>
        <w:rPr>
          <w:sz w:val="20"/>
          <w:szCs w:val="20"/>
        </w:rPr>
        <w:t xml:space="preserve"> ended December 31, 2020, 22,364,972 warrants expired.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Restricted Stock Units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9649C3">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581"/>
        <w:gridCol w:w="89"/>
        <w:gridCol w:w="50"/>
        <w:gridCol w:w="986"/>
        <w:gridCol w:w="50"/>
        <w:gridCol w:w="90"/>
        <w:gridCol w:w="101"/>
        <w:gridCol w:w="987"/>
        <w:gridCol w:w="50"/>
      </w:tblGrid>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Of</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9649C3">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49C3">
            <w:pPr>
              <w:rPr>
                <w:rFonts w:eastAsia="Times New Roman"/>
                <w:sz w:val="20"/>
                <w:szCs w:val="20"/>
              </w:rPr>
            </w:pPr>
            <w:r>
              <w:rPr>
                <w:rFonts w:eastAsia="Times New Roman"/>
                <w:sz w:val="20"/>
                <w:szCs w:val="20"/>
              </w:rPr>
              <w:t> </w:t>
            </w:r>
          </w:p>
        </w:tc>
        <w:tc>
          <w:tcPr>
            <w:tcW w:w="0" w:type="auto"/>
            <w:vAlign w:val="bottom"/>
            <w:hideMark/>
          </w:tcPr>
          <w:p w:rsidR="00000000" w:rsidRDefault="009649C3">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9649C3">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9649C3">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Balance at December 31, 2019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9649C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Balance at December 31, 2020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9649C3">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9649C3">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28079323"/>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During </w:t>
      </w:r>
      <w:r>
        <w:rPr>
          <w:sz w:val="20"/>
          <w:szCs w:val="20"/>
        </w:rPr>
        <w:t>the years ended December 31, 2020 and 2019, the Company recognized $0 and $0 worth of expense related to the vesting of its RSU’s, respectively. As of December 31, 2020, the Company had $155,400 worth of expense yet to be recognized for RSU’s not yet veste</w:t>
      </w:r>
      <w:r>
        <w:rPr>
          <w:sz w:val="20"/>
          <w:szCs w:val="20"/>
        </w:rPr>
        <w:t>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9: LEGAL MATTERS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may, from time to time, be involved in various legal proceedings incidental to the conduct of our business. Historically, the outcome of all such legal proceedings has not, in the aggregate, had a material adverse e</w:t>
      </w:r>
      <w:r>
        <w:rPr>
          <w:sz w:val="20"/>
          <w:szCs w:val="20"/>
        </w:rPr>
        <w:t>ffect on our business, financial condition, results of operations or liquidity. Other than as set forth below, there are no additional material pending or threatened legal proceedings at this time.</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xml:space="preserve">”) the </w:t>
      </w:r>
      <w:r>
        <w:rPr>
          <w:sz w:val="20"/>
          <w:szCs w:val="20"/>
        </w:rPr>
        <w:t>Company’s former Chief Executive Officer filed a lawsuit in the Superior Court in the State of Washington in and for the County of Benton against the Company and its current and former directors, alleging a default of the Separation Agreement and General R</w:t>
      </w:r>
      <w:r>
        <w:rPr>
          <w:sz w:val="20"/>
          <w:szCs w:val="20"/>
        </w:rPr>
        <w:t>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November 25, 2019, the Company and its current and former directors entered into a Settlement</w:t>
      </w:r>
      <w:r>
        <w:rPr>
          <w:sz w:val="20"/>
          <w:szCs w:val="20"/>
        </w:rPr>
        <w:t xml:space="preserve"> Agreement with the Plaintiff. Under the terms of the Settlement Agreement, the Company has agreed to issue 500,000 shares of common stock and 500,000 warrants to the Plaintiff, make an initial payment of $33,503 by December 4, 2019 and beginning on Decemb</w:t>
      </w:r>
      <w:r>
        <w:rPr>
          <w:sz w:val="20"/>
          <w:szCs w:val="20"/>
        </w:rPr>
        <w:t>er 16, 2019, the Company will make payments of $10,000 per month for 10 months in full satisfaction of the Separation Agreement and General Release originally entered into on July 21, 2017. The Company has paid this liability in full as of September 11, 20</w:t>
      </w:r>
      <w:r>
        <w:rPr>
          <w:sz w:val="20"/>
          <w:szCs w:val="20"/>
        </w:rPr>
        <w:t>20.</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10: COMMITMENT</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Korenko, the Company’s Chief Executive Officer. The employment term under the Employment Agreement commence</w:t>
      </w:r>
      <w:r>
        <w:rPr>
          <w:sz w:val="20"/>
          <w:szCs w:val="20"/>
        </w:rPr>
        <w:t>d with an effective date of June 11, 2019 and expires on December 31, 2020, and December 31 of each successive year if the Employment Agreement is extended, unless terminated earlier as set forth in the Employment Agreement. The Company on December 31, 202</w:t>
      </w:r>
      <w:r>
        <w:rPr>
          <w:sz w:val="20"/>
          <w:szCs w:val="20"/>
        </w:rPr>
        <w:t>0 extended this agreement through December 31, 2021.</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Under </w:t>
      </w:r>
      <w:r>
        <w:rPr>
          <w:sz w:val="20"/>
          <w:szCs w:val="20"/>
        </w:rPr>
        <w:t>the terms of the Employment Agreement, the Company shall pay to Dr. Korenko a base compensation of $180,000. Additionally, in December 2020, Dr. Korenko satisfied the conditions to have his deferred compensation as discussed in the Employment Agreement pai</w:t>
      </w:r>
      <w:r>
        <w:rPr>
          <w:sz w:val="20"/>
          <w:szCs w:val="20"/>
        </w:rPr>
        <w:t>d to him.</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11: CONCENTRATIONS OF CREDIT AND OTHER RISKS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Accounts Receivable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had one customer that represented 100% of the Company’s total revenues for the years ended December 31, 2020 and 2019. The customer that represented 100% of t</w:t>
      </w:r>
      <w:r>
        <w:rPr>
          <w:sz w:val="20"/>
          <w:szCs w:val="20"/>
        </w:rPr>
        <w:t>he Company’s total revenue as of December 31, 2020 and 2019 had no net accounts receivable balances.</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21191447"/>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c>
          <w:tcPr>
            <w:tcW w:w="1650" w:type="pct"/>
            <w:hideMark/>
          </w:tcPr>
          <w:p w:rsidR="00000000" w:rsidRDefault="009649C3">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0"/>
        <w:gridCol w:w="2824"/>
        <w:gridCol w:w="2740"/>
      </w:tblGrid>
      <w:tr w:rsidR="00000000">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rPr>
                <w:rFonts w:eastAsia="Times New Roman"/>
                <w:sz w:val="20"/>
                <w:szCs w:val="20"/>
              </w:rPr>
            </w:pPr>
            <w:r>
              <w:rPr>
                <w:rFonts w:eastAsia="Times New Roman"/>
                <w:sz w:val="20"/>
                <w:szCs w:val="20"/>
              </w:rPr>
              <w:t> </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000000" w:rsidRDefault="009649C3">
      <w:pPr>
        <w:pStyle w:val="a3"/>
        <w:spacing w:before="0" w:beforeAutospacing="0" w:after="0" w:afterAutospacing="0"/>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loss of a significant customer representing the percentage of total revenue would have a temporary adverse effect on the Company’</w:t>
      </w:r>
      <w:r>
        <w:rPr>
          <w:sz w:val="20"/>
          <w:szCs w:val="20"/>
        </w:rPr>
        <w:t>s revenue, which would continue until the Company located new customers to replace them.</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The Company routinely assesses the financial strength of its customers and provides an allowance for doubtful accounts as necessary. As of December 31, 2020 and 2019</w:t>
      </w:r>
      <w:r>
        <w:rPr>
          <w:sz w:val="20"/>
          <w:szCs w:val="20"/>
        </w:rPr>
        <w:t>, the Company had no allowance or bad debt expense recorded.</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Product Purchases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 xml:space="preserve">Some </w:t>
      </w:r>
      <w:r>
        <w:rPr>
          <w:sz w:val="20"/>
          <w:szCs w:val="20"/>
        </w:rPr>
        <w:t>of the products the Company might market and components thereof are currently available only from a limited number of suppliers including the source for the main component in the Company’s products, Y-90 which is only derived from one source. Failure to ob</w:t>
      </w:r>
      <w:r>
        <w:rPr>
          <w:sz w:val="20"/>
          <w:szCs w:val="20"/>
        </w:rPr>
        <w:t>tain deliveries from this source could have a material adverse effect on the Company’s ability to operate.</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b/>
          <w:bCs/>
          <w:sz w:val="20"/>
          <w:szCs w:val="20"/>
        </w:rPr>
        <w:t>NOTE 12: SUBSEQUENT EVENTS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January 2021, the Company issued 1,259,250 shares of common stock in conversion of a convertible note payable of $5</w:t>
      </w:r>
      <w:r>
        <w:rPr>
          <w:sz w:val="20"/>
          <w:szCs w:val="20"/>
        </w:rPr>
        <w:t>0,000 and accrued interest of $370. This conversion resulted in a loss on conversion of $176,295.</w:t>
      </w:r>
    </w:p>
    <w:p w:rsidR="00000000" w:rsidRDefault="009649C3">
      <w:pPr>
        <w:pStyle w:val="a3"/>
        <w:spacing w:before="0" w:beforeAutospacing="0" w:after="0" w:afterAutospacing="0"/>
        <w:ind w:firstLine="72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January 2021, the Company issued 3,423,968 shares of common stock in the cashless exercise of 4,875,000 warrants.</w:t>
      </w:r>
    </w:p>
    <w:p w:rsidR="00000000" w:rsidRDefault="009649C3">
      <w:pPr>
        <w:pStyle w:val="a3"/>
        <w:spacing w:before="0" w:beforeAutospacing="0" w:after="0" w:afterAutospacing="0"/>
        <w:jc w:val="both"/>
        <w:rPr>
          <w:sz w:val="20"/>
          <w:szCs w:val="20"/>
        </w:rPr>
      </w:pPr>
      <w:r>
        <w:rPr>
          <w:sz w:val="20"/>
          <w:szCs w:val="20"/>
        </w:rPr>
        <w:t> </w:t>
      </w:r>
    </w:p>
    <w:p w:rsidR="00000000" w:rsidRDefault="009649C3">
      <w:pPr>
        <w:pStyle w:val="a3"/>
        <w:spacing w:before="0" w:beforeAutospacing="0" w:after="0" w:afterAutospacing="0"/>
        <w:jc w:val="both"/>
        <w:rPr>
          <w:sz w:val="20"/>
          <w:szCs w:val="20"/>
        </w:rPr>
      </w:pPr>
      <w:r>
        <w:rPr>
          <w:sz w:val="20"/>
          <w:szCs w:val="20"/>
        </w:rPr>
        <w:t>In March 2021, the Company received $</w:t>
      </w:r>
      <w:r>
        <w:rPr>
          <w:sz w:val="20"/>
          <w:szCs w:val="20"/>
        </w:rPr>
        <w:t>1,360,000 as part of their amended Regulation A+ at $0.08 (17,000,000 shares), along with the sale of 8,487,500 two-year warrants at a strike price of $0.10 per share for $8,238.</w:t>
      </w:r>
    </w:p>
    <w:p w:rsidR="00000000" w:rsidRDefault="009649C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16047886"/>
        </w:trPr>
        <w:tc>
          <w:tcPr>
            <w:tcW w:w="1650" w:type="pct"/>
            <w:hideMark/>
          </w:tcPr>
          <w:p w:rsidR="00000000" w:rsidRDefault="009649C3">
            <w:pPr>
              <w:rPr>
                <w:rFonts w:eastAsia="Times New Roman"/>
                <w:sz w:val="20"/>
                <w:szCs w:val="20"/>
              </w:rPr>
            </w:pPr>
            <w:r>
              <w:rPr>
                <w:rFonts w:eastAsia="Times New Roman"/>
                <w:sz w:val="20"/>
                <w:szCs w:val="20"/>
              </w:rPr>
              <w:t> </w:t>
            </w:r>
          </w:p>
        </w:tc>
        <w:tc>
          <w:tcPr>
            <w:tcW w:w="1700" w:type="pct"/>
            <w:hideMark/>
          </w:tcPr>
          <w:p w:rsidR="00000000" w:rsidRDefault="009649C3">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c>
          <w:tcPr>
            <w:tcW w:w="1650" w:type="pct"/>
            <w:hideMark/>
          </w:tcPr>
          <w:p w:rsidR="00000000" w:rsidRDefault="009649C3">
            <w:pPr>
              <w:rPr>
                <w:rFonts w:eastAsia="Times New Roman"/>
                <w:sz w:val="20"/>
                <w:szCs w:val="20"/>
              </w:rPr>
            </w:pPr>
            <w:r>
              <w:rPr>
                <w:rFonts w:eastAsia="Times New Roman"/>
                <w:sz w:val="20"/>
                <w:szCs w:val="20"/>
              </w:rPr>
              <w:t> </w:t>
            </w:r>
          </w:p>
        </w:tc>
      </w:tr>
    </w:tbl>
    <w:p w:rsidR="009649C3" w:rsidRDefault="009649C3">
      <w:pPr>
        <w:pStyle w:val="a3"/>
        <w:spacing w:before="0" w:beforeAutospacing="0" w:after="0" w:afterAutospacing="0"/>
        <w:jc w:val="both"/>
        <w:rPr>
          <w:sz w:val="20"/>
          <w:szCs w:val="20"/>
        </w:rPr>
      </w:pPr>
      <w:r>
        <w:rPr>
          <w:sz w:val="20"/>
          <w:szCs w:val="20"/>
        </w:rPr>
        <w:t> </w:t>
      </w:r>
    </w:p>
    <w:sectPr w:rsidR="009649C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49C3"/>
    <w:rsid w:val="0096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929">
      <w:marLeft w:val="0"/>
      <w:marRight w:val="0"/>
      <w:marTop w:val="0"/>
      <w:marBottom w:val="120"/>
      <w:divBdr>
        <w:top w:val="none" w:sz="0" w:space="0" w:color="auto"/>
        <w:left w:val="none" w:sz="0" w:space="0" w:color="auto"/>
        <w:bottom w:val="single" w:sz="12" w:space="0" w:color="000000"/>
        <w:right w:val="none" w:sz="0" w:space="0" w:color="auto"/>
      </w:divBdr>
    </w:div>
    <w:div w:id="45489793">
      <w:marLeft w:val="0"/>
      <w:marRight w:val="0"/>
      <w:marTop w:val="0"/>
      <w:marBottom w:val="120"/>
      <w:divBdr>
        <w:top w:val="none" w:sz="0" w:space="0" w:color="auto"/>
        <w:left w:val="none" w:sz="0" w:space="0" w:color="auto"/>
        <w:bottom w:val="single" w:sz="12" w:space="0" w:color="000000"/>
        <w:right w:val="none" w:sz="0" w:space="0" w:color="auto"/>
      </w:divBdr>
    </w:div>
    <w:div w:id="60057647">
      <w:marLeft w:val="0"/>
      <w:marRight w:val="0"/>
      <w:marTop w:val="0"/>
      <w:marBottom w:val="120"/>
      <w:divBdr>
        <w:top w:val="none" w:sz="0" w:space="0" w:color="auto"/>
        <w:left w:val="none" w:sz="0" w:space="0" w:color="auto"/>
        <w:bottom w:val="single" w:sz="12" w:space="0" w:color="000000"/>
        <w:right w:val="none" w:sz="0" w:space="0" w:color="auto"/>
      </w:divBdr>
    </w:div>
    <w:div w:id="102265472">
      <w:marLeft w:val="0"/>
      <w:marRight w:val="0"/>
      <w:marTop w:val="0"/>
      <w:marBottom w:val="120"/>
      <w:divBdr>
        <w:top w:val="none" w:sz="0" w:space="0" w:color="auto"/>
        <w:left w:val="none" w:sz="0" w:space="0" w:color="auto"/>
        <w:bottom w:val="single" w:sz="12" w:space="0" w:color="000000"/>
        <w:right w:val="none" w:sz="0" w:space="0" w:color="auto"/>
      </w:divBdr>
    </w:div>
    <w:div w:id="123937860">
      <w:marLeft w:val="0"/>
      <w:marRight w:val="0"/>
      <w:marTop w:val="0"/>
      <w:marBottom w:val="120"/>
      <w:divBdr>
        <w:top w:val="none" w:sz="0" w:space="0" w:color="auto"/>
        <w:left w:val="none" w:sz="0" w:space="0" w:color="auto"/>
        <w:bottom w:val="single" w:sz="12" w:space="0" w:color="000000"/>
        <w:right w:val="none" w:sz="0" w:space="0" w:color="auto"/>
      </w:divBdr>
    </w:div>
    <w:div w:id="147593336">
      <w:marLeft w:val="0"/>
      <w:marRight w:val="0"/>
      <w:marTop w:val="0"/>
      <w:marBottom w:val="120"/>
      <w:divBdr>
        <w:top w:val="none" w:sz="0" w:space="0" w:color="auto"/>
        <w:left w:val="none" w:sz="0" w:space="0" w:color="auto"/>
        <w:bottom w:val="single" w:sz="12" w:space="0" w:color="000000"/>
        <w:right w:val="none" w:sz="0" w:space="0" w:color="auto"/>
      </w:divBdr>
    </w:div>
    <w:div w:id="220681679">
      <w:marLeft w:val="0"/>
      <w:marRight w:val="0"/>
      <w:marTop w:val="0"/>
      <w:marBottom w:val="120"/>
      <w:divBdr>
        <w:top w:val="none" w:sz="0" w:space="0" w:color="auto"/>
        <w:left w:val="none" w:sz="0" w:space="0" w:color="auto"/>
        <w:bottom w:val="single" w:sz="12" w:space="0" w:color="000000"/>
        <w:right w:val="none" w:sz="0" w:space="0" w:color="auto"/>
      </w:divBdr>
    </w:div>
    <w:div w:id="228079323">
      <w:marLeft w:val="0"/>
      <w:marRight w:val="0"/>
      <w:marTop w:val="0"/>
      <w:marBottom w:val="120"/>
      <w:divBdr>
        <w:top w:val="none" w:sz="0" w:space="0" w:color="auto"/>
        <w:left w:val="none" w:sz="0" w:space="0" w:color="auto"/>
        <w:bottom w:val="single" w:sz="12" w:space="0" w:color="000000"/>
        <w:right w:val="none" w:sz="0" w:space="0" w:color="auto"/>
      </w:divBdr>
    </w:div>
    <w:div w:id="240914668">
      <w:marLeft w:val="0"/>
      <w:marRight w:val="0"/>
      <w:marTop w:val="0"/>
      <w:marBottom w:val="120"/>
      <w:divBdr>
        <w:top w:val="none" w:sz="0" w:space="0" w:color="auto"/>
        <w:left w:val="none" w:sz="0" w:space="0" w:color="auto"/>
        <w:bottom w:val="single" w:sz="12" w:space="0" w:color="000000"/>
        <w:right w:val="none" w:sz="0" w:space="0" w:color="auto"/>
      </w:divBdr>
    </w:div>
    <w:div w:id="251008314">
      <w:marLeft w:val="0"/>
      <w:marRight w:val="0"/>
      <w:marTop w:val="0"/>
      <w:marBottom w:val="120"/>
      <w:divBdr>
        <w:top w:val="none" w:sz="0" w:space="0" w:color="auto"/>
        <w:left w:val="none" w:sz="0" w:space="0" w:color="auto"/>
        <w:bottom w:val="single" w:sz="12" w:space="0" w:color="000000"/>
        <w:right w:val="none" w:sz="0" w:space="0" w:color="auto"/>
      </w:divBdr>
    </w:div>
    <w:div w:id="257255459">
      <w:marLeft w:val="0"/>
      <w:marRight w:val="0"/>
      <w:marTop w:val="0"/>
      <w:marBottom w:val="120"/>
      <w:divBdr>
        <w:top w:val="none" w:sz="0" w:space="0" w:color="auto"/>
        <w:left w:val="none" w:sz="0" w:space="0" w:color="auto"/>
        <w:bottom w:val="single" w:sz="12" w:space="0" w:color="000000"/>
        <w:right w:val="none" w:sz="0" w:space="0" w:color="auto"/>
      </w:divBdr>
    </w:div>
    <w:div w:id="292299119">
      <w:marLeft w:val="0"/>
      <w:marRight w:val="0"/>
      <w:marTop w:val="0"/>
      <w:marBottom w:val="120"/>
      <w:divBdr>
        <w:top w:val="none" w:sz="0" w:space="0" w:color="auto"/>
        <w:left w:val="none" w:sz="0" w:space="0" w:color="auto"/>
        <w:bottom w:val="single" w:sz="12" w:space="0" w:color="000000"/>
        <w:right w:val="none" w:sz="0" w:space="0" w:color="auto"/>
      </w:divBdr>
    </w:div>
    <w:div w:id="357316385">
      <w:marLeft w:val="0"/>
      <w:marRight w:val="0"/>
      <w:marTop w:val="0"/>
      <w:marBottom w:val="120"/>
      <w:divBdr>
        <w:top w:val="none" w:sz="0" w:space="0" w:color="auto"/>
        <w:left w:val="none" w:sz="0" w:space="0" w:color="auto"/>
        <w:bottom w:val="single" w:sz="12" w:space="0" w:color="000000"/>
        <w:right w:val="none" w:sz="0" w:space="0" w:color="auto"/>
      </w:divBdr>
    </w:div>
    <w:div w:id="379788943">
      <w:marLeft w:val="0"/>
      <w:marRight w:val="0"/>
      <w:marTop w:val="0"/>
      <w:marBottom w:val="120"/>
      <w:divBdr>
        <w:top w:val="none" w:sz="0" w:space="0" w:color="auto"/>
        <w:left w:val="none" w:sz="0" w:space="0" w:color="auto"/>
        <w:bottom w:val="single" w:sz="12" w:space="0" w:color="000000"/>
        <w:right w:val="none" w:sz="0" w:space="0" w:color="auto"/>
      </w:divBdr>
    </w:div>
    <w:div w:id="400904142">
      <w:marLeft w:val="0"/>
      <w:marRight w:val="0"/>
      <w:marTop w:val="0"/>
      <w:marBottom w:val="120"/>
      <w:divBdr>
        <w:top w:val="none" w:sz="0" w:space="0" w:color="auto"/>
        <w:left w:val="none" w:sz="0" w:space="0" w:color="auto"/>
        <w:bottom w:val="single" w:sz="12" w:space="0" w:color="000000"/>
        <w:right w:val="none" w:sz="0" w:space="0" w:color="auto"/>
      </w:divBdr>
    </w:div>
    <w:div w:id="442308835">
      <w:marLeft w:val="0"/>
      <w:marRight w:val="0"/>
      <w:marTop w:val="0"/>
      <w:marBottom w:val="120"/>
      <w:divBdr>
        <w:top w:val="none" w:sz="0" w:space="0" w:color="auto"/>
        <w:left w:val="none" w:sz="0" w:space="0" w:color="auto"/>
        <w:bottom w:val="single" w:sz="12" w:space="0" w:color="000000"/>
        <w:right w:val="none" w:sz="0" w:space="0" w:color="auto"/>
      </w:divBdr>
    </w:div>
    <w:div w:id="461001994">
      <w:marLeft w:val="0"/>
      <w:marRight w:val="0"/>
      <w:marTop w:val="0"/>
      <w:marBottom w:val="120"/>
      <w:divBdr>
        <w:top w:val="none" w:sz="0" w:space="0" w:color="auto"/>
        <w:left w:val="none" w:sz="0" w:space="0" w:color="auto"/>
        <w:bottom w:val="single" w:sz="12" w:space="0" w:color="000000"/>
        <w:right w:val="none" w:sz="0" w:space="0" w:color="auto"/>
      </w:divBdr>
    </w:div>
    <w:div w:id="469059319">
      <w:marLeft w:val="0"/>
      <w:marRight w:val="0"/>
      <w:marTop w:val="0"/>
      <w:marBottom w:val="120"/>
      <w:divBdr>
        <w:top w:val="none" w:sz="0" w:space="0" w:color="auto"/>
        <w:left w:val="none" w:sz="0" w:space="0" w:color="auto"/>
        <w:bottom w:val="single" w:sz="12" w:space="0" w:color="000000"/>
        <w:right w:val="none" w:sz="0" w:space="0" w:color="auto"/>
      </w:divBdr>
    </w:div>
    <w:div w:id="484246303">
      <w:marLeft w:val="0"/>
      <w:marRight w:val="0"/>
      <w:marTop w:val="0"/>
      <w:marBottom w:val="120"/>
      <w:divBdr>
        <w:top w:val="none" w:sz="0" w:space="0" w:color="auto"/>
        <w:left w:val="none" w:sz="0" w:space="0" w:color="auto"/>
        <w:bottom w:val="single" w:sz="12" w:space="0" w:color="000000"/>
        <w:right w:val="none" w:sz="0" w:space="0" w:color="auto"/>
      </w:divBdr>
    </w:div>
    <w:div w:id="495730589">
      <w:marLeft w:val="0"/>
      <w:marRight w:val="0"/>
      <w:marTop w:val="0"/>
      <w:marBottom w:val="120"/>
      <w:divBdr>
        <w:top w:val="none" w:sz="0" w:space="0" w:color="auto"/>
        <w:left w:val="none" w:sz="0" w:space="0" w:color="auto"/>
        <w:bottom w:val="single" w:sz="12" w:space="0" w:color="000000"/>
        <w:right w:val="none" w:sz="0" w:space="0" w:color="auto"/>
      </w:divBdr>
    </w:div>
    <w:div w:id="527377682">
      <w:marLeft w:val="0"/>
      <w:marRight w:val="0"/>
      <w:marTop w:val="0"/>
      <w:marBottom w:val="120"/>
      <w:divBdr>
        <w:top w:val="none" w:sz="0" w:space="0" w:color="auto"/>
        <w:left w:val="none" w:sz="0" w:space="0" w:color="auto"/>
        <w:bottom w:val="single" w:sz="12" w:space="0" w:color="000000"/>
        <w:right w:val="none" w:sz="0" w:space="0" w:color="auto"/>
      </w:divBdr>
    </w:div>
    <w:div w:id="549420690">
      <w:marLeft w:val="0"/>
      <w:marRight w:val="0"/>
      <w:marTop w:val="0"/>
      <w:marBottom w:val="120"/>
      <w:divBdr>
        <w:top w:val="none" w:sz="0" w:space="0" w:color="auto"/>
        <w:left w:val="none" w:sz="0" w:space="0" w:color="auto"/>
        <w:bottom w:val="single" w:sz="12" w:space="0" w:color="000000"/>
        <w:right w:val="none" w:sz="0" w:space="0" w:color="auto"/>
      </w:divBdr>
    </w:div>
    <w:div w:id="577831552">
      <w:marLeft w:val="0"/>
      <w:marRight w:val="0"/>
      <w:marTop w:val="0"/>
      <w:marBottom w:val="120"/>
      <w:divBdr>
        <w:top w:val="none" w:sz="0" w:space="0" w:color="auto"/>
        <w:left w:val="none" w:sz="0" w:space="0" w:color="auto"/>
        <w:bottom w:val="single" w:sz="12" w:space="0" w:color="000000"/>
        <w:right w:val="none" w:sz="0" w:space="0" w:color="auto"/>
      </w:divBdr>
    </w:div>
    <w:div w:id="601256710">
      <w:marLeft w:val="0"/>
      <w:marRight w:val="0"/>
      <w:marTop w:val="0"/>
      <w:marBottom w:val="120"/>
      <w:divBdr>
        <w:top w:val="none" w:sz="0" w:space="0" w:color="auto"/>
        <w:left w:val="none" w:sz="0" w:space="0" w:color="auto"/>
        <w:bottom w:val="single" w:sz="12" w:space="0" w:color="000000"/>
        <w:right w:val="none" w:sz="0" w:space="0" w:color="auto"/>
      </w:divBdr>
    </w:div>
    <w:div w:id="642197530">
      <w:marLeft w:val="0"/>
      <w:marRight w:val="0"/>
      <w:marTop w:val="0"/>
      <w:marBottom w:val="120"/>
      <w:divBdr>
        <w:top w:val="none" w:sz="0" w:space="0" w:color="auto"/>
        <w:left w:val="none" w:sz="0" w:space="0" w:color="auto"/>
        <w:bottom w:val="single" w:sz="12" w:space="0" w:color="000000"/>
        <w:right w:val="none" w:sz="0" w:space="0" w:color="auto"/>
      </w:divBdr>
    </w:div>
    <w:div w:id="690300512">
      <w:marLeft w:val="0"/>
      <w:marRight w:val="0"/>
      <w:marTop w:val="0"/>
      <w:marBottom w:val="120"/>
      <w:divBdr>
        <w:top w:val="none" w:sz="0" w:space="0" w:color="auto"/>
        <w:left w:val="none" w:sz="0" w:space="0" w:color="auto"/>
        <w:bottom w:val="single" w:sz="12" w:space="0" w:color="000000"/>
        <w:right w:val="none" w:sz="0" w:space="0" w:color="auto"/>
      </w:divBdr>
    </w:div>
    <w:div w:id="706835656">
      <w:marLeft w:val="0"/>
      <w:marRight w:val="0"/>
      <w:marTop w:val="0"/>
      <w:marBottom w:val="120"/>
      <w:divBdr>
        <w:top w:val="none" w:sz="0" w:space="0" w:color="auto"/>
        <w:left w:val="none" w:sz="0" w:space="0" w:color="auto"/>
        <w:bottom w:val="single" w:sz="12" w:space="0" w:color="000000"/>
        <w:right w:val="none" w:sz="0" w:space="0" w:color="auto"/>
      </w:divBdr>
    </w:div>
    <w:div w:id="742795252">
      <w:marLeft w:val="0"/>
      <w:marRight w:val="0"/>
      <w:marTop w:val="0"/>
      <w:marBottom w:val="120"/>
      <w:divBdr>
        <w:top w:val="none" w:sz="0" w:space="0" w:color="auto"/>
        <w:left w:val="none" w:sz="0" w:space="0" w:color="auto"/>
        <w:bottom w:val="single" w:sz="12" w:space="0" w:color="000000"/>
        <w:right w:val="none" w:sz="0" w:space="0" w:color="auto"/>
      </w:divBdr>
    </w:div>
    <w:div w:id="743529695">
      <w:marLeft w:val="0"/>
      <w:marRight w:val="0"/>
      <w:marTop w:val="0"/>
      <w:marBottom w:val="120"/>
      <w:divBdr>
        <w:top w:val="none" w:sz="0" w:space="0" w:color="auto"/>
        <w:left w:val="none" w:sz="0" w:space="0" w:color="auto"/>
        <w:bottom w:val="single" w:sz="12" w:space="0" w:color="000000"/>
        <w:right w:val="none" w:sz="0" w:space="0" w:color="auto"/>
      </w:divBdr>
    </w:div>
    <w:div w:id="758528177">
      <w:marLeft w:val="0"/>
      <w:marRight w:val="0"/>
      <w:marTop w:val="0"/>
      <w:marBottom w:val="120"/>
      <w:divBdr>
        <w:top w:val="none" w:sz="0" w:space="0" w:color="auto"/>
        <w:left w:val="none" w:sz="0" w:space="0" w:color="auto"/>
        <w:bottom w:val="single" w:sz="12" w:space="0" w:color="000000"/>
        <w:right w:val="none" w:sz="0" w:space="0" w:color="auto"/>
      </w:divBdr>
    </w:div>
    <w:div w:id="800608548">
      <w:marLeft w:val="0"/>
      <w:marRight w:val="0"/>
      <w:marTop w:val="0"/>
      <w:marBottom w:val="120"/>
      <w:divBdr>
        <w:top w:val="none" w:sz="0" w:space="0" w:color="auto"/>
        <w:left w:val="none" w:sz="0" w:space="0" w:color="auto"/>
        <w:bottom w:val="single" w:sz="12" w:space="0" w:color="000000"/>
        <w:right w:val="none" w:sz="0" w:space="0" w:color="auto"/>
      </w:divBdr>
    </w:div>
    <w:div w:id="829911456">
      <w:marLeft w:val="0"/>
      <w:marRight w:val="0"/>
      <w:marTop w:val="0"/>
      <w:marBottom w:val="120"/>
      <w:divBdr>
        <w:top w:val="none" w:sz="0" w:space="0" w:color="auto"/>
        <w:left w:val="none" w:sz="0" w:space="0" w:color="auto"/>
        <w:bottom w:val="single" w:sz="12" w:space="0" w:color="000000"/>
        <w:right w:val="none" w:sz="0" w:space="0" w:color="auto"/>
      </w:divBdr>
    </w:div>
    <w:div w:id="914313650">
      <w:marLeft w:val="0"/>
      <w:marRight w:val="0"/>
      <w:marTop w:val="0"/>
      <w:marBottom w:val="120"/>
      <w:divBdr>
        <w:top w:val="none" w:sz="0" w:space="0" w:color="auto"/>
        <w:left w:val="none" w:sz="0" w:space="0" w:color="auto"/>
        <w:bottom w:val="single" w:sz="12" w:space="0" w:color="000000"/>
        <w:right w:val="none" w:sz="0" w:space="0" w:color="auto"/>
      </w:divBdr>
    </w:div>
    <w:div w:id="925922594">
      <w:marLeft w:val="0"/>
      <w:marRight w:val="0"/>
      <w:marTop w:val="0"/>
      <w:marBottom w:val="120"/>
      <w:divBdr>
        <w:top w:val="none" w:sz="0" w:space="0" w:color="auto"/>
        <w:left w:val="none" w:sz="0" w:space="0" w:color="auto"/>
        <w:bottom w:val="single" w:sz="12" w:space="0" w:color="000000"/>
        <w:right w:val="none" w:sz="0" w:space="0" w:color="auto"/>
      </w:divBdr>
    </w:div>
    <w:div w:id="936325981">
      <w:marLeft w:val="0"/>
      <w:marRight w:val="0"/>
      <w:marTop w:val="0"/>
      <w:marBottom w:val="120"/>
      <w:divBdr>
        <w:top w:val="none" w:sz="0" w:space="0" w:color="auto"/>
        <w:left w:val="none" w:sz="0" w:space="0" w:color="auto"/>
        <w:bottom w:val="single" w:sz="12" w:space="0" w:color="000000"/>
        <w:right w:val="none" w:sz="0" w:space="0" w:color="auto"/>
      </w:divBdr>
    </w:div>
    <w:div w:id="957835940">
      <w:marLeft w:val="0"/>
      <w:marRight w:val="0"/>
      <w:marTop w:val="0"/>
      <w:marBottom w:val="120"/>
      <w:divBdr>
        <w:top w:val="none" w:sz="0" w:space="0" w:color="auto"/>
        <w:left w:val="none" w:sz="0" w:space="0" w:color="auto"/>
        <w:bottom w:val="single" w:sz="12" w:space="0" w:color="000000"/>
        <w:right w:val="none" w:sz="0" w:space="0" w:color="auto"/>
      </w:divBdr>
    </w:div>
    <w:div w:id="972564523">
      <w:marLeft w:val="0"/>
      <w:marRight w:val="0"/>
      <w:marTop w:val="0"/>
      <w:marBottom w:val="120"/>
      <w:divBdr>
        <w:top w:val="none" w:sz="0" w:space="0" w:color="auto"/>
        <w:left w:val="none" w:sz="0" w:space="0" w:color="auto"/>
        <w:bottom w:val="single" w:sz="12" w:space="0" w:color="000000"/>
        <w:right w:val="none" w:sz="0" w:space="0" w:color="auto"/>
      </w:divBdr>
    </w:div>
    <w:div w:id="1001934147">
      <w:marLeft w:val="0"/>
      <w:marRight w:val="0"/>
      <w:marTop w:val="0"/>
      <w:marBottom w:val="120"/>
      <w:divBdr>
        <w:top w:val="none" w:sz="0" w:space="0" w:color="auto"/>
        <w:left w:val="none" w:sz="0" w:space="0" w:color="auto"/>
        <w:bottom w:val="single" w:sz="12" w:space="0" w:color="000000"/>
        <w:right w:val="none" w:sz="0" w:space="0" w:color="auto"/>
      </w:divBdr>
    </w:div>
    <w:div w:id="1004866147">
      <w:marLeft w:val="0"/>
      <w:marRight w:val="0"/>
      <w:marTop w:val="0"/>
      <w:marBottom w:val="120"/>
      <w:divBdr>
        <w:top w:val="none" w:sz="0" w:space="0" w:color="auto"/>
        <w:left w:val="none" w:sz="0" w:space="0" w:color="auto"/>
        <w:bottom w:val="single" w:sz="12" w:space="0" w:color="000000"/>
        <w:right w:val="none" w:sz="0" w:space="0" w:color="auto"/>
      </w:divBdr>
    </w:div>
    <w:div w:id="1050113076">
      <w:marLeft w:val="0"/>
      <w:marRight w:val="0"/>
      <w:marTop w:val="0"/>
      <w:marBottom w:val="120"/>
      <w:divBdr>
        <w:top w:val="none" w:sz="0" w:space="0" w:color="auto"/>
        <w:left w:val="none" w:sz="0" w:space="0" w:color="auto"/>
        <w:bottom w:val="single" w:sz="12" w:space="0" w:color="000000"/>
        <w:right w:val="none" w:sz="0" w:space="0" w:color="auto"/>
      </w:divBdr>
    </w:div>
    <w:div w:id="1063606368">
      <w:marLeft w:val="0"/>
      <w:marRight w:val="0"/>
      <w:marTop w:val="0"/>
      <w:marBottom w:val="120"/>
      <w:divBdr>
        <w:top w:val="none" w:sz="0" w:space="0" w:color="auto"/>
        <w:left w:val="none" w:sz="0" w:space="0" w:color="auto"/>
        <w:bottom w:val="single" w:sz="12" w:space="0" w:color="000000"/>
        <w:right w:val="none" w:sz="0" w:space="0" w:color="auto"/>
      </w:divBdr>
    </w:div>
    <w:div w:id="1066993740">
      <w:marLeft w:val="0"/>
      <w:marRight w:val="0"/>
      <w:marTop w:val="0"/>
      <w:marBottom w:val="120"/>
      <w:divBdr>
        <w:top w:val="none" w:sz="0" w:space="0" w:color="auto"/>
        <w:left w:val="none" w:sz="0" w:space="0" w:color="auto"/>
        <w:bottom w:val="single" w:sz="12" w:space="0" w:color="000000"/>
        <w:right w:val="none" w:sz="0" w:space="0" w:color="auto"/>
      </w:divBdr>
    </w:div>
    <w:div w:id="1121191447">
      <w:marLeft w:val="0"/>
      <w:marRight w:val="0"/>
      <w:marTop w:val="0"/>
      <w:marBottom w:val="120"/>
      <w:divBdr>
        <w:top w:val="none" w:sz="0" w:space="0" w:color="auto"/>
        <w:left w:val="none" w:sz="0" w:space="0" w:color="auto"/>
        <w:bottom w:val="single" w:sz="12" w:space="0" w:color="000000"/>
        <w:right w:val="none" w:sz="0" w:space="0" w:color="auto"/>
      </w:divBdr>
    </w:div>
    <w:div w:id="1121419168">
      <w:marLeft w:val="0"/>
      <w:marRight w:val="0"/>
      <w:marTop w:val="0"/>
      <w:marBottom w:val="120"/>
      <w:divBdr>
        <w:top w:val="none" w:sz="0" w:space="0" w:color="auto"/>
        <w:left w:val="none" w:sz="0" w:space="0" w:color="auto"/>
        <w:bottom w:val="single" w:sz="12" w:space="0" w:color="000000"/>
        <w:right w:val="none" w:sz="0" w:space="0" w:color="auto"/>
      </w:divBdr>
    </w:div>
    <w:div w:id="1180048070">
      <w:marLeft w:val="0"/>
      <w:marRight w:val="0"/>
      <w:marTop w:val="0"/>
      <w:marBottom w:val="120"/>
      <w:divBdr>
        <w:top w:val="none" w:sz="0" w:space="0" w:color="auto"/>
        <w:left w:val="none" w:sz="0" w:space="0" w:color="auto"/>
        <w:bottom w:val="single" w:sz="12" w:space="0" w:color="000000"/>
        <w:right w:val="none" w:sz="0" w:space="0" w:color="auto"/>
      </w:divBdr>
    </w:div>
    <w:div w:id="1181313030">
      <w:marLeft w:val="0"/>
      <w:marRight w:val="0"/>
      <w:marTop w:val="0"/>
      <w:marBottom w:val="120"/>
      <w:divBdr>
        <w:top w:val="none" w:sz="0" w:space="0" w:color="auto"/>
        <w:left w:val="none" w:sz="0" w:space="0" w:color="auto"/>
        <w:bottom w:val="single" w:sz="12" w:space="0" w:color="000000"/>
        <w:right w:val="none" w:sz="0" w:space="0" w:color="auto"/>
      </w:divBdr>
    </w:div>
    <w:div w:id="1220748639">
      <w:marLeft w:val="0"/>
      <w:marRight w:val="0"/>
      <w:marTop w:val="0"/>
      <w:marBottom w:val="0"/>
      <w:divBdr>
        <w:top w:val="none" w:sz="0" w:space="0" w:color="auto"/>
        <w:left w:val="none" w:sz="0" w:space="0" w:color="auto"/>
        <w:bottom w:val="none" w:sz="0" w:space="0" w:color="auto"/>
        <w:right w:val="none" w:sz="0" w:space="0" w:color="auto"/>
      </w:divBdr>
      <w:divsChild>
        <w:div w:id="1567498481">
          <w:marLeft w:val="0"/>
          <w:marRight w:val="0"/>
          <w:marTop w:val="0"/>
          <w:marBottom w:val="0"/>
          <w:divBdr>
            <w:top w:val="single" w:sz="12" w:space="0" w:color="000000"/>
            <w:left w:val="none" w:sz="0" w:space="0" w:color="auto"/>
            <w:bottom w:val="single" w:sz="36" w:space="0" w:color="000000"/>
            <w:right w:val="none" w:sz="0" w:space="0" w:color="auto"/>
          </w:divBdr>
        </w:div>
      </w:divsChild>
    </w:div>
    <w:div w:id="1263026044">
      <w:marLeft w:val="0"/>
      <w:marRight w:val="0"/>
      <w:marTop w:val="0"/>
      <w:marBottom w:val="120"/>
      <w:divBdr>
        <w:top w:val="none" w:sz="0" w:space="0" w:color="auto"/>
        <w:left w:val="none" w:sz="0" w:space="0" w:color="auto"/>
        <w:bottom w:val="single" w:sz="12" w:space="0" w:color="000000"/>
        <w:right w:val="none" w:sz="0" w:space="0" w:color="auto"/>
      </w:divBdr>
    </w:div>
    <w:div w:id="1270507648">
      <w:marLeft w:val="0"/>
      <w:marRight w:val="0"/>
      <w:marTop w:val="0"/>
      <w:marBottom w:val="120"/>
      <w:divBdr>
        <w:top w:val="none" w:sz="0" w:space="0" w:color="auto"/>
        <w:left w:val="none" w:sz="0" w:space="0" w:color="auto"/>
        <w:bottom w:val="single" w:sz="12" w:space="0" w:color="000000"/>
        <w:right w:val="none" w:sz="0" w:space="0" w:color="auto"/>
      </w:divBdr>
    </w:div>
    <w:div w:id="1297640969">
      <w:marLeft w:val="0"/>
      <w:marRight w:val="0"/>
      <w:marTop w:val="0"/>
      <w:marBottom w:val="120"/>
      <w:divBdr>
        <w:top w:val="none" w:sz="0" w:space="0" w:color="auto"/>
        <w:left w:val="none" w:sz="0" w:space="0" w:color="auto"/>
        <w:bottom w:val="single" w:sz="12" w:space="0" w:color="000000"/>
        <w:right w:val="none" w:sz="0" w:space="0" w:color="auto"/>
      </w:divBdr>
    </w:div>
    <w:div w:id="1334802043">
      <w:marLeft w:val="0"/>
      <w:marRight w:val="0"/>
      <w:marTop w:val="120"/>
      <w:marBottom w:val="0"/>
      <w:divBdr>
        <w:top w:val="none" w:sz="0" w:space="0" w:color="auto"/>
        <w:left w:val="none" w:sz="0" w:space="0" w:color="auto"/>
        <w:bottom w:val="none" w:sz="0" w:space="0" w:color="auto"/>
        <w:right w:val="none" w:sz="0" w:space="0" w:color="auto"/>
      </w:divBdr>
    </w:div>
    <w:div w:id="1352491183">
      <w:marLeft w:val="0"/>
      <w:marRight w:val="0"/>
      <w:marTop w:val="0"/>
      <w:marBottom w:val="120"/>
      <w:divBdr>
        <w:top w:val="none" w:sz="0" w:space="0" w:color="auto"/>
        <w:left w:val="none" w:sz="0" w:space="0" w:color="auto"/>
        <w:bottom w:val="single" w:sz="12" w:space="0" w:color="000000"/>
        <w:right w:val="none" w:sz="0" w:space="0" w:color="auto"/>
      </w:divBdr>
    </w:div>
    <w:div w:id="1360011018">
      <w:marLeft w:val="0"/>
      <w:marRight w:val="0"/>
      <w:marTop w:val="0"/>
      <w:marBottom w:val="120"/>
      <w:divBdr>
        <w:top w:val="none" w:sz="0" w:space="0" w:color="auto"/>
        <w:left w:val="none" w:sz="0" w:space="0" w:color="auto"/>
        <w:bottom w:val="single" w:sz="12" w:space="0" w:color="000000"/>
        <w:right w:val="none" w:sz="0" w:space="0" w:color="auto"/>
      </w:divBdr>
    </w:div>
    <w:div w:id="1373115662">
      <w:marLeft w:val="0"/>
      <w:marRight w:val="0"/>
      <w:marTop w:val="0"/>
      <w:marBottom w:val="120"/>
      <w:divBdr>
        <w:top w:val="none" w:sz="0" w:space="0" w:color="auto"/>
        <w:left w:val="none" w:sz="0" w:space="0" w:color="auto"/>
        <w:bottom w:val="single" w:sz="12" w:space="0" w:color="000000"/>
        <w:right w:val="none" w:sz="0" w:space="0" w:color="auto"/>
      </w:divBdr>
    </w:div>
    <w:div w:id="1385369270">
      <w:marLeft w:val="0"/>
      <w:marRight w:val="0"/>
      <w:marTop w:val="0"/>
      <w:marBottom w:val="120"/>
      <w:divBdr>
        <w:top w:val="none" w:sz="0" w:space="0" w:color="auto"/>
        <w:left w:val="none" w:sz="0" w:space="0" w:color="auto"/>
        <w:bottom w:val="single" w:sz="12" w:space="0" w:color="000000"/>
        <w:right w:val="none" w:sz="0" w:space="0" w:color="auto"/>
      </w:divBdr>
    </w:div>
    <w:div w:id="1416047886">
      <w:marLeft w:val="0"/>
      <w:marRight w:val="0"/>
      <w:marTop w:val="0"/>
      <w:marBottom w:val="120"/>
      <w:divBdr>
        <w:top w:val="none" w:sz="0" w:space="0" w:color="auto"/>
        <w:left w:val="none" w:sz="0" w:space="0" w:color="auto"/>
        <w:bottom w:val="single" w:sz="12" w:space="0" w:color="000000"/>
        <w:right w:val="none" w:sz="0" w:space="0" w:color="auto"/>
      </w:divBdr>
    </w:div>
    <w:div w:id="1432311036">
      <w:marLeft w:val="0"/>
      <w:marRight w:val="0"/>
      <w:marTop w:val="0"/>
      <w:marBottom w:val="120"/>
      <w:divBdr>
        <w:top w:val="none" w:sz="0" w:space="0" w:color="auto"/>
        <w:left w:val="none" w:sz="0" w:space="0" w:color="auto"/>
        <w:bottom w:val="single" w:sz="12" w:space="0" w:color="000000"/>
        <w:right w:val="none" w:sz="0" w:space="0" w:color="auto"/>
      </w:divBdr>
    </w:div>
    <w:div w:id="1496997609">
      <w:marLeft w:val="0"/>
      <w:marRight w:val="0"/>
      <w:marTop w:val="0"/>
      <w:marBottom w:val="120"/>
      <w:divBdr>
        <w:top w:val="none" w:sz="0" w:space="0" w:color="auto"/>
        <w:left w:val="none" w:sz="0" w:space="0" w:color="auto"/>
        <w:bottom w:val="single" w:sz="12" w:space="0" w:color="000000"/>
        <w:right w:val="none" w:sz="0" w:space="0" w:color="auto"/>
      </w:divBdr>
    </w:div>
    <w:div w:id="1512985575">
      <w:marLeft w:val="0"/>
      <w:marRight w:val="0"/>
      <w:marTop w:val="0"/>
      <w:marBottom w:val="120"/>
      <w:divBdr>
        <w:top w:val="none" w:sz="0" w:space="0" w:color="auto"/>
        <w:left w:val="none" w:sz="0" w:space="0" w:color="auto"/>
        <w:bottom w:val="single" w:sz="12" w:space="0" w:color="000000"/>
        <w:right w:val="none" w:sz="0" w:space="0" w:color="auto"/>
      </w:divBdr>
    </w:div>
    <w:div w:id="1527716622">
      <w:marLeft w:val="0"/>
      <w:marRight w:val="0"/>
      <w:marTop w:val="0"/>
      <w:marBottom w:val="120"/>
      <w:divBdr>
        <w:top w:val="none" w:sz="0" w:space="0" w:color="auto"/>
        <w:left w:val="none" w:sz="0" w:space="0" w:color="auto"/>
        <w:bottom w:val="single" w:sz="12" w:space="0" w:color="000000"/>
        <w:right w:val="none" w:sz="0" w:space="0" w:color="auto"/>
      </w:divBdr>
    </w:div>
    <w:div w:id="1555001216">
      <w:marLeft w:val="0"/>
      <w:marRight w:val="0"/>
      <w:marTop w:val="0"/>
      <w:marBottom w:val="0"/>
      <w:divBdr>
        <w:top w:val="none" w:sz="0" w:space="0" w:color="auto"/>
        <w:left w:val="none" w:sz="0" w:space="0" w:color="auto"/>
        <w:bottom w:val="none" w:sz="0" w:space="0" w:color="auto"/>
        <w:right w:val="none" w:sz="0" w:space="0" w:color="auto"/>
      </w:divBdr>
      <w:divsChild>
        <w:div w:id="760302296">
          <w:marLeft w:val="0"/>
          <w:marRight w:val="0"/>
          <w:marTop w:val="0"/>
          <w:marBottom w:val="0"/>
          <w:divBdr>
            <w:top w:val="single" w:sz="36" w:space="0" w:color="000000"/>
            <w:left w:val="none" w:sz="0" w:space="0" w:color="auto"/>
            <w:bottom w:val="single" w:sz="12" w:space="0" w:color="000000"/>
            <w:right w:val="none" w:sz="0" w:space="0" w:color="auto"/>
          </w:divBdr>
        </w:div>
      </w:divsChild>
    </w:div>
    <w:div w:id="1755470417">
      <w:marLeft w:val="0"/>
      <w:marRight w:val="0"/>
      <w:marTop w:val="0"/>
      <w:marBottom w:val="120"/>
      <w:divBdr>
        <w:top w:val="none" w:sz="0" w:space="0" w:color="auto"/>
        <w:left w:val="none" w:sz="0" w:space="0" w:color="auto"/>
        <w:bottom w:val="single" w:sz="12" w:space="0" w:color="000000"/>
        <w:right w:val="none" w:sz="0" w:space="0" w:color="auto"/>
      </w:divBdr>
    </w:div>
    <w:div w:id="1780635560">
      <w:marLeft w:val="0"/>
      <w:marRight w:val="0"/>
      <w:marTop w:val="0"/>
      <w:marBottom w:val="120"/>
      <w:divBdr>
        <w:top w:val="none" w:sz="0" w:space="0" w:color="auto"/>
        <w:left w:val="none" w:sz="0" w:space="0" w:color="auto"/>
        <w:bottom w:val="single" w:sz="12" w:space="0" w:color="000000"/>
        <w:right w:val="none" w:sz="0" w:space="0" w:color="auto"/>
      </w:divBdr>
    </w:div>
    <w:div w:id="1783500216">
      <w:marLeft w:val="0"/>
      <w:marRight w:val="0"/>
      <w:marTop w:val="0"/>
      <w:marBottom w:val="120"/>
      <w:divBdr>
        <w:top w:val="none" w:sz="0" w:space="0" w:color="auto"/>
        <w:left w:val="none" w:sz="0" w:space="0" w:color="auto"/>
        <w:bottom w:val="single" w:sz="12" w:space="0" w:color="000000"/>
        <w:right w:val="none" w:sz="0" w:space="0" w:color="auto"/>
      </w:divBdr>
    </w:div>
    <w:div w:id="1786462264">
      <w:marLeft w:val="0"/>
      <w:marRight w:val="0"/>
      <w:marTop w:val="0"/>
      <w:marBottom w:val="120"/>
      <w:divBdr>
        <w:top w:val="none" w:sz="0" w:space="0" w:color="auto"/>
        <w:left w:val="none" w:sz="0" w:space="0" w:color="auto"/>
        <w:bottom w:val="single" w:sz="12" w:space="0" w:color="000000"/>
        <w:right w:val="none" w:sz="0" w:space="0" w:color="auto"/>
      </w:divBdr>
    </w:div>
    <w:div w:id="1820611064">
      <w:marLeft w:val="0"/>
      <w:marRight w:val="0"/>
      <w:marTop w:val="0"/>
      <w:marBottom w:val="120"/>
      <w:divBdr>
        <w:top w:val="none" w:sz="0" w:space="0" w:color="auto"/>
        <w:left w:val="none" w:sz="0" w:space="0" w:color="auto"/>
        <w:bottom w:val="single" w:sz="12" w:space="0" w:color="000000"/>
        <w:right w:val="none" w:sz="0" w:space="0" w:color="auto"/>
      </w:divBdr>
    </w:div>
    <w:div w:id="1848717263">
      <w:marLeft w:val="0"/>
      <w:marRight w:val="0"/>
      <w:marTop w:val="0"/>
      <w:marBottom w:val="120"/>
      <w:divBdr>
        <w:top w:val="none" w:sz="0" w:space="0" w:color="auto"/>
        <w:left w:val="none" w:sz="0" w:space="0" w:color="auto"/>
        <w:bottom w:val="single" w:sz="12" w:space="0" w:color="000000"/>
        <w:right w:val="none" w:sz="0" w:space="0" w:color="auto"/>
      </w:divBdr>
    </w:div>
    <w:div w:id="1850871623">
      <w:marLeft w:val="0"/>
      <w:marRight w:val="0"/>
      <w:marTop w:val="0"/>
      <w:marBottom w:val="120"/>
      <w:divBdr>
        <w:top w:val="none" w:sz="0" w:space="0" w:color="auto"/>
        <w:left w:val="none" w:sz="0" w:space="0" w:color="auto"/>
        <w:bottom w:val="single" w:sz="12" w:space="0" w:color="000000"/>
        <w:right w:val="none" w:sz="0" w:space="0" w:color="auto"/>
      </w:divBdr>
    </w:div>
    <w:div w:id="1855148540">
      <w:marLeft w:val="0"/>
      <w:marRight w:val="0"/>
      <w:marTop w:val="0"/>
      <w:marBottom w:val="120"/>
      <w:divBdr>
        <w:top w:val="none" w:sz="0" w:space="0" w:color="auto"/>
        <w:left w:val="none" w:sz="0" w:space="0" w:color="auto"/>
        <w:bottom w:val="single" w:sz="12" w:space="0" w:color="000000"/>
        <w:right w:val="none" w:sz="0" w:space="0" w:color="auto"/>
      </w:divBdr>
    </w:div>
    <w:div w:id="1888298525">
      <w:marLeft w:val="0"/>
      <w:marRight w:val="0"/>
      <w:marTop w:val="0"/>
      <w:marBottom w:val="120"/>
      <w:divBdr>
        <w:top w:val="none" w:sz="0" w:space="0" w:color="auto"/>
        <w:left w:val="none" w:sz="0" w:space="0" w:color="auto"/>
        <w:bottom w:val="single" w:sz="12" w:space="0" w:color="000000"/>
        <w:right w:val="none" w:sz="0" w:space="0" w:color="auto"/>
      </w:divBdr>
    </w:div>
    <w:div w:id="1895039565">
      <w:marLeft w:val="0"/>
      <w:marRight w:val="0"/>
      <w:marTop w:val="0"/>
      <w:marBottom w:val="120"/>
      <w:divBdr>
        <w:top w:val="none" w:sz="0" w:space="0" w:color="auto"/>
        <w:left w:val="none" w:sz="0" w:space="0" w:color="auto"/>
        <w:bottom w:val="single" w:sz="12" w:space="0" w:color="000000"/>
        <w:right w:val="none" w:sz="0" w:space="0" w:color="auto"/>
      </w:divBdr>
    </w:div>
    <w:div w:id="1903783090">
      <w:marLeft w:val="0"/>
      <w:marRight w:val="0"/>
      <w:marTop w:val="0"/>
      <w:marBottom w:val="120"/>
      <w:divBdr>
        <w:top w:val="none" w:sz="0" w:space="0" w:color="auto"/>
        <w:left w:val="none" w:sz="0" w:space="0" w:color="auto"/>
        <w:bottom w:val="single" w:sz="12" w:space="0" w:color="000000"/>
        <w:right w:val="none" w:sz="0" w:space="0" w:color="auto"/>
      </w:divBdr>
    </w:div>
    <w:div w:id="1904173414">
      <w:marLeft w:val="0"/>
      <w:marRight w:val="0"/>
      <w:marTop w:val="0"/>
      <w:marBottom w:val="120"/>
      <w:divBdr>
        <w:top w:val="none" w:sz="0" w:space="0" w:color="auto"/>
        <w:left w:val="none" w:sz="0" w:space="0" w:color="auto"/>
        <w:bottom w:val="single" w:sz="12" w:space="0" w:color="000000"/>
        <w:right w:val="none" w:sz="0" w:space="0" w:color="auto"/>
      </w:divBdr>
    </w:div>
    <w:div w:id="1918783626">
      <w:marLeft w:val="0"/>
      <w:marRight w:val="0"/>
      <w:marTop w:val="0"/>
      <w:marBottom w:val="120"/>
      <w:divBdr>
        <w:top w:val="none" w:sz="0" w:space="0" w:color="auto"/>
        <w:left w:val="none" w:sz="0" w:space="0" w:color="auto"/>
        <w:bottom w:val="single" w:sz="12" w:space="0" w:color="000000"/>
        <w:right w:val="none" w:sz="0" w:space="0" w:color="auto"/>
      </w:divBdr>
    </w:div>
    <w:div w:id="1962832742">
      <w:marLeft w:val="0"/>
      <w:marRight w:val="0"/>
      <w:marTop w:val="0"/>
      <w:marBottom w:val="120"/>
      <w:divBdr>
        <w:top w:val="none" w:sz="0" w:space="0" w:color="auto"/>
        <w:left w:val="none" w:sz="0" w:space="0" w:color="auto"/>
        <w:bottom w:val="single" w:sz="12" w:space="0" w:color="000000"/>
        <w:right w:val="none" w:sz="0" w:space="0" w:color="auto"/>
      </w:divBdr>
    </w:div>
    <w:div w:id="1966229779">
      <w:marLeft w:val="0"/>
      <w:marRight w:val="0"/>
      <w:marTop w:val="0"/>
      <w:marBottom w:val="120"/>
      <w:divBdr>
        <w:top w:val="none" w:sz="0" w:space="0" w:color="auto"/>
        <w:left w:val="none" w:sz="0" w:space="0" w:color="auto"/>
        <w:bottom w:val="single" w:sz="12" w:space="0" w:color="000000"/>
        <w:right w:val="none" w:sz="0" w:space="0" w:color="auto"/>
      </w:divBdr>
    </w:div>
    <w:div w:id="1975287806">
      <w:marLeft w:val="0"/>
      <w:marRight w:val="0"/>
      <w:marTop w:val="0"/>
      <w:marBottom w:val="120"/>
      <w:divBdr>
        <w:top w:val="none" w:sz="0" w:space="0" w:color="auto"/>
        <w:left w:val="none" w:sz="0" w:space="0" w:color="auto"/>
        <w:bottom w:val="single" w:sz="12" w:space="0" w:color="000000"/>
        <w:right w:val="none" w:sz="0" w:space="0" w:color="auto"/>
      </w:divBdr>
    </w:div>
    <w:div w:id="2005081009">
      <w:marLeft w:val="0"/>
      <w:marRight w:val="0"/>
      <w:marTop w:val="0"/>
      <w:marBottom w:val="120"/>
      <w:divBdr>
        <w:top w:val="none" w:sz="0" w:space="0" w:color="auto"/>
        <w:left w:val="none" w:sz="0" w:space="0" w:color="auto"/>
        <w:bottom w:val="single" w:sz="12" w:space="0" w:color="000000"/>
        <w:right w:val="none" w:sz="0" w:space="0" w:color="auto"/>
      </w:divBdr>
    </w:div>
    <w:div w:id="2076931386">
      <w:marLeft w:val="0"/>
      <w:marRight w:val="0"/>
      <w:marTop w:val="0"/>
      <w:marBottom w:val="120"/>
      <w:divBdr>
        <w:top w:val="none" w:sz="0" w:space="0" w:color="auto"/>
        <w:left w:val="none" w:sz="0" w:space="0" w:color="auto"/>
        <w:bottom w:val="single" w:sz="12" w:space="0" w:color="000000"/>
        <w:right w:val="none" w:sz="0" w:space="0" w:color="auto"/>
      </w:divBdr>
    </w:div>
    <w:div w:id="2077900173">
      <w:marLeft w:val="0"/>
      <w:marRight w:val="0"/>
      <w:marTop w:val="0"/>
      <w:marBottom w:val="120"/>
      <w:divBdr>
        <w:top w:val="none" w:sz="0" w:space="0" w:color="auto"/>
        <w:left w:val="none" w:sz="0" w:space="0" w:color="auto"/>
        <w:bottom w:val="single" w:sz="12" w:space="0" w:color="000000"/>
        <w:right w:val="none" w:sz="0" w:space="0" w:color="auto"/>
      </w:divBdr>
    </w:div>
    <w:div w:id="2105881902">
      <w:marLeft w:val="0"/>
      <w:marRight w:val="0"/>
      <w:marTop w:val="0"/>
      <w:marBottom w:val="120"/>
      <w:divBdr>
        <w:top w:val="none" w:sz="0" w:space="0" w:color="auto"/>
        <w:left w:val="none" w:sz="0" w:space="0" w:color="auto"/>
        <w:bottom w:val="single" w:sz="12" w:space="0" w:color="000000"/>
        <w:right w:val="none" w:sz="0" w:space="0" w:color="auto"/>
      </w:divBdr>
    </w:div>
    <w:div w:id="2139030462">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49349/000119983511000374/exhibit_3-1.htm" TargetMode="External"/><Relationship Id="rId13" Type="http://schemas.openxmlformats.org/officeDocument/2006/relationships/hyperlink" Target="https://www.sec.gov/Archives/edgar/data/1449349/000119983508000697/exhibit_10-1.htm" TargetMode="External"/><Relationship Id="rId18" Type="http://schemas.openxmlformats.org/officeDocument/2006/relationships/hyperlink" Target="https://www.sec.gov/Archives/edgar/data/1449349/000119983512000130/exhibit_10-11.htm" TargetMode="External"/><Relationship Id="rId26" Type="http://schemas.openxmlformats.org/officeDocument/2006/relationships/hyperlink" Target="ex31-2.htm" TargetMode="External"/><Relationship Id="rId3" Type="http://schemas.openxmlformats.org/officeDocument/2006/relationships/webSettings" Target="webSettings.xml"/><Relationship Id="rId21" Type="http://schemas.openxmlformats.org/officeDocument/2006/relationships/hyperlink" Target="https://www.sec.gov/Archives/edgar/data/1449349/000149315218004456/ex10-14.htm" TargetMode="External"/><Relationship Id="rId7" Type="http://schemas.openxmlformats.org/officeDocument/2006/relationships/hyperlink" Target="https://www.sec.gov/Archives/edgar/data/1449349/000119983508000697/exhibit_3-6.htm" TargetMode="External"/><Relationship Id="rId12" Type="http://schemas.openxmlformats.org/officeDocument/2006/relationships/hyperlink" Target="https://www.sec.gov/Archives/edgar/data/1449349/000165495418011250/ex4-1.htm" TargetMode="External"/><Relationship Id="rId17" Type="http://schemas.openxmlformats.org/officeDocument/2006/relationships/hyperlink" Target="https://www.sec.gov/Archives/edgar/data/1449349/000119983512000114/exhibit_10-1.htm" TargetMode="External"/><Relationship Id="rId25" Type="http://schemas.openxmlformats.org/officeDocument/2006/relationships/hyperlink" Target="ex31-1.htm" TargetMode="External"/><Relationship Id="rId2" Type="http://schemas.openxmlformats.org/officeDocument/2006/relationships/settings" Target="settings.xml"/><Relationship Id="rId16" Type="http://schemas.openxmlformats.org/officeDocument/2006/relationships/hyperlink" Target="https://www.sec.gov/Archives/edgar/data/1449349/000119983508000697/exhibit_10-6.htm" TargetMode="External"/><Relationship Id="rId20" Type="http://schemas.openxmlformats.org/officeDocument/2006/relationships/hyperlink" Target="https://www.sec.gov/Archives/edgar/data/1449349/000149315218004456/ex10-13.htm" TargetMode="External"/><Relationship Id="rId29" Type="http://schemas.openxmlformats.org/officeDocument/2006/relationships/image" Target="file:///E:\projects\LLMs\new_data_collection\data_new\htm\VIVOS%20INC\image_001.jpg" TargetMode="External"/><Relationship Id="rId1" Type="http://schemas.openxmlformats.org/officeDocument/2006/relationships/styles" Target="styles.xml"/><Relationship Id="rId6" Type="http://schemas.openxmlformats.org/officeDocument/2006/relationships/hyperlink" Target="https://www.sec.gov/Archives/edgar/data/1449349/000119983508000697/exhibit_3-5.htm" TargetMode="External"/><Relationship Id="rId11" Type="http://schemas.openxmlformats.org/officeDocument/2006/relationships/hyperlink" Target="https://www.sec.gov/Archives/edgar/data/1449349/000165495418011250/ex3-1.htm" TargetMode="External"/><Relationship Id="rId24" Type="http://schemas.openxmlformats.org/officeDocument/2006/relationships/hyperlink" Target="ex-23.htm" TargetMode="External"/><Relationship Id="rId5" Type="http://schemas.openxmlformats.org/officeDocument/2006/relationships/hyperlink" Target="https://www.sec.gov/Archives/edgar/data/1449349/000119983508000697/exhibit_3-2.htm" TargetMode="External"/><Relationship Id="rId15" Type="http://schemas.openxmlformats.org/officeDocument/2006/relationships/hyperlink" Target="https://www.sec.gov/Archives/edgar/data/1449349/000119983508000697/exhibit_10-4.htm" TargetMode="External"/><Relationship Id="rId23" Type="http://schemas.openxmlformats.org/officeDocument/2006/relationships/hyperlink" Target="https://www.sec.gov/Archives/edgar/data/1449349/000149315219011262/ex6-18.htm" TargetMode="External"/><Relationship Id="rId28" Type="http://schemas.openxmlformats.org/officeDocument/2006/relationships/image" Target="file:///E:\projects\LLMs\new_data_collection\data_new\htm\VIVOS%20INC\image_002.jpg" TargetMode="External"/><Relationship Id="rId10" Type="http://schemas.openxmlformats.org/officeDocument/2006/relationships/hyperlink" Target="https://www.sec.gov/Archives/edgar/data/1449349/000149315216008703/ex10-01.htm" TargetMode="External"/><Relationship Id="rId19" Type="http://schemas.openxmlformats.org/officeDocument/2006/relationships/hyperlink" Target="https://www.sec.gov/Archives/edgar/data/1449349/000149315216010291/ex10-12.htm" TargetMode="External"/><Relationship Id="rId31" Type="http://schemas.openxmlformats.org/officeDocument/2006/relationships/theme" Target="theme/theme1.xml"/><Relationship Id="rId4" Type="http://schemas.openxmlformats.org/officeDocument/2006/relationships/hyperlink" Target="https://www.sec.gov/Archives/edgar/data/1449349/000119983508000697/exhibit_3-1.htm" TargetMode="External"/><Relationship Id="rId9" Type="http://schemas.openxmlformats.org/officeDocument/2006/relationships/hyperlink" Target="https://www.sec.gov/Archives/edgar/data/1449349/000119983515000279/exhibit_4-1.htm" TargetMode="External"/><Relationship Id="rId14" Type="http://schemas.openxmlformats.org/officeDocument/2006/relationships/hyperlink" Target="https://www.sec.gov/Archives/edgar/data/1449349/000119983508000697/exhibit_10-2.htm" TargetMode="External"/><Relationship Id="rId22" Type="http://schemas.openxmlformats.org/officeDocument/2006/relationships/hyperlink" Target="https://www.sec.gov/Archives/edgar/data/1449349/000165495418011250/ex10-1.htm" TargetMode="External"/><Relationship Id="rId27" Type="http://schemas.openxmlformats.org/officeDocument/2006/relationships/hyperlink" Target="ex32-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44609</Words>
  <Characters>254274</Characters>
  <Application>Microsoft Office Word</Application>
  <DocSecurity>0</DocSecurity>
  <Lines>2118</Lines>
  <Paragraphs>596</Paragraphs>
  <ScaleCrop>false</ScaleCrop>
  <Company/>
  <LinksUpToDate>false</LinksUpToDate>
  <CharactersWithSpaces>298287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