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2136" w14:textId="77777777" w:rsidR="00000000" w:rsidRDefault="00D6065B">
      <w:pPr>
        <w:divId w:val="689373648"/>
        <w:rPr>
          <w:rFonts w:eastAsia="Times New Roman"/>
          <w:vanish/>
          <w:sz w:val="20"/>
          <w:szCs w:val="20"/>
        </w:rPr>
      </w:pPr>
      <w:r>
        <w:rPr>
          <w:rFonts w:eastAsia="Times New Roman"/>
          <w:vanish/>
          <w:sz w:val="20"/>
          <w:szCs w:val="20"/>
        </w:rPr>
        <w:t xml:space="preserve">0001449349 false --12-31 Q2 2021 January 2020 March 2020 April 2020 July 2020 November 2020 P1Y P1Y P1Y P1Y December 2013 January 2014 May 30, 2021 P2Y P2Y P0Y P2Y P2Y P2Y P3Y 0001449349 2021-01-01 2021-06-30 0001449349 2021-08-02 0001449349 </w:t>
      </w:r>
      <w:r>
        <w:rPr>
          <w:rFonts w:eastAsia="Times New Roman"/>
          <w:vanish/>
          <w:sz w:val="20"/>
          <w:szCs w:val="20"/>
        </w:rPr>
        <w:t>2021-06-30 0001449349 2020-12-31 0001449349 RDGL:SeriesAConvertiblePreferredStockMember 2021-06-30 0001449349 RDGL:SeriesAConvertiblePreferredStockMember 2020-12-31 0001449349 RDGL:SeriesBConvertiblePreferredStockMember 2021-06-30 0001449349 RDGL:SeriesBCo</w:t>
      </w:r>
      <w:r>
        <w:rPr>
          <w:rFonts w:eastAsia="Times New Roman"/>
          <w:vanish/>
          <w:sz w:val="20"/>
          <w:szCs w:val="20"/>
        </w:rPr>
        <w:t>nvertiblePreferredStockMember 2020-12-31 0001449349 RDGL:SeriesCConvertiblePreferredStockMember 2021-06-30 0001449349 RDGL:SeriesCConvertiblePreferredStockMember 2020-12-31 0001449349 2020-01-01 2020-06-30 0001449349 2021-04-01 2021-06-30 0001449349 2020-0</w:t>
      </w:r>
      <w:r>
        <w:rPr>
          <w:rFonts w:eastAsia="Times New Roman"/>
          <w:vanish/>
          <w:sz w:val="20"/>
          <w:szCs w:val="20"/>
        </w:rPr>
        <w:t>4-01 2020-06-30 0001449349 RDGL:SeriesAPreferredMember 2019-12-31 0001449349 RDGL:AdditionalPaidInCapitalSeriesAPreferredMember 2019-12-31 0001449349 RDGL:SeriesBPreferredMember 2019-12-31 0001449349 RDGL:AdditionalPaidInCapitalSeriesBPreferredMember 2019-</w:t>
      </w:r>
      <w:r>
        <w:rPr>
          <w:rFonts w:eastAsia="Times New Roman"/>
          <w:vanish/>
          <w:sz w:val="20"/>
          <w:szCs w:val="20"/>
        </w:rPr>
        <w:t>12-31 0001449349 RDGL:SeriesCPreferredMember 2019-12-31 0001449349 RDGL:AdditionalPaidInCapitalSeriesCPreferredMember 2019-12-31 0001449349 us-gaap:CommonStockMember 2019-12-31 0001449349 us-gaap:CommonStockIncludingAdditionalPaidInCapitalMember 2019-12-31</w:t>
      </w:r>
      <w:r>
        <w:rPr>
          <w:rFonts w:eastAsia="Times New Roman"/>
          <w:vanish/>
          <w:sz w:val="20"/>
          <w:szCs w:val="20"/>
        </w:rPr>
        <w:t xml:space="preserve"> 0001449349 RDGL:SubscriptionReceivableSharesToBeIssuedMember 2019-12-31 0001449349 us-gaap:RetainedEarningsMember 2019-12-31 0001449349 2019-12-31 0001449349 RDGL:SeriesAPreferredMember 2020-01-01 2020-03-31 0001449349 RDGL:AdditionalPaidInCapitalSeriesAP</w:t>
      </w:r>
      <w:r>
        <w:rPr>
          <w:rFonts w:eastAsia="Times New Roman"/>
          <w:vanish/>
          <w:sz w:val="20"/>
          <w:szCs w:val="20"/>
        </w:rPr>
        <w:t>referredMember 2020-01-01 2020-03-31 0001449349 RDGL:SeriesBPreferredMember 2020-01-01 2020-03-31 0001449349 RDGL:AdditionalPaidInCapitalSeriesBPreferredMember 2020-01-01 2020-03-31 0001449349 RDGL:SeriesCPreferredMember 2020-01-01 2020-03-31 0001449349 RD</w:t>
      </w:r>
      <w:r>
        <w:rPr>
          <w:rFonts w:eastAsia="Times New Roman"/>
          <w:vanish/>
          <w:sz w:val="20"/>
          <w:szCs w:val="20"/>
        </w:rPr>
        <w:t>GL:AdditionalPaidInCapitalSeriesCPreferredMember 2020-01-01 2020-03-31 0001449349 us-gaap:CommonStockMember 2020-01-01 2020-03-31 0001449349 us-gaap:CommonStockIncludingAdditionalPaidInCapitalMember 2020-01-01 2020-03-31 0001449349 RDGL:SubscriptionReceiva</w:t>
      </w:r>
      <w:r>
        <w:rPr>
          <w:rFonts w:eastAsia="Times New Roman"/>
          <w:vanish/>
          <w:sz w:val="20"/>
          <w:szCs w:val="20"/>
        </w:rPr>
        <w:t>bleSharesToBeIssuedMember 2020-01-01 2020-03-31 0001449349 us-gaap:RetainedEarningsMember 2020-01-01 2020-03-31 0001449349 2020-01-01 2020-03-31 0001449349 RDGL:SeriesAPreferredMember 2020-03-31 0001449349 RDGL:AdditionalPaidInCapitalSeriesAPreferredMember</w:t>
      </w:r>
      <w:r>
        <w:rPr>
          <w:rFonts w:eastAsia="Times New Roman"/>
          <w:vanish/>
          <w:sz w:val="20"/>
          <w:szCs w:val="20"/>
        </w:rPr>
        <w:t xml:space="preserve"> 2020-03-31 0001449349 RDGL:SeriesBPreferredMember 2020-03-31 0001449349 RDGL:AdditionalPaidInCapitalSeriesBPreferredMember 2020-03-31 0001449349 RDGL:SeriesCPreferredMember 2020-03-31 0001449349 RDGL:AdditionalPaidInCapitalSeriesCPreferredMember 2020-03-3</w:t>
      </w:r>
      <w:r>
        <w:rPr>
          <w:rFonts w:eastAsia="Times New Roman"/>
          <w:vanish/>
          <w:sz w:val="20"/>
          <w:szCs w:val="20"/>
        </w:rPr>
        <w:t>1 0001449349 us-gaap:CommonStockMember 2020-03-31 0001449349 us-gaap:CommonStockIncludingAdditionalPaidInCapitalMember 2020-03-31 0001449349 RDGL:SubscriptionReceivableSharesToBeIssuedMember 2020-03-31 0001449349 us-gaap:RetainedEarningsMember 2020-03-31 0</w:t>
      </w:r>
      <w:r>
        <w:rPr>
          <w:rFonts w:eastAsia="Times New Roman"/>
          <w:vanish/>
          <w:sz w:val="20"/>
          <w:szCs w:val="20"/>
        </w:rPr>
        <w:t>001449349 2020-03-31 0001449349 RDGL:SeriesAPreferredMember 2020-04-01 2020-06-30 0001449349 RDGL:AdditionalPaidInCapitalSeriesAPreferredMember 2020-04-01 2020-06-30 0001449349 RDGL:SeriesBPreferredMember 2020-04-01 2020-06-30 0001449349 RDGL:AdditionalPai</w:t>
      </w:r>
      <w:r>
        <w:rPr>
          <w:rFonts w:eastAsia="Times New Roman"/>
          <w:vanish/>
          <w:sz w:val="20"/>
          <w:szCs w:val="20"/>
        </w:rPr>
        <w:t>dInCapitalSeriesBPreferredMember 2020-04-01 2020-06-30 0001449349 RDGL:SeriesCPreferredMember 2020-04-01 2020-06-30 0001449349 RDGL:AdditionalPaidInCapitalSeriesCPreferredMember 2020-04-01 2020-06-30 0001449349 us-gaap:CommonStockMember 2020-04-01 2020-06-</w:t>
      </w:r>
      <w:r>
        <w:rPr>
          <w:rFonts w:eastAsia="Times New Roman"/>
          <w:vanish/>
          <w:sz w:val="20"/>
          <w:szCs w:val="20"/>
        </w:rPr>
        <w:t>30 0001449349 us-gaap:CommonStockIncludingAdditionalPaidInCapitalMember 2020-04-01 2020-06-30 0001449349 RDGL:SubscriptionReceivableSharesToBeIssuedMember 2020-04-01 2020-06-30 0001449349 us-gaap:RetainedEarningsMember 2020-04-01 2020-06-30 0001449349 RDGL</w:t>
      </w:r>
      <w:r>
        <w:rPr>
          <w:rFonts w:eastAsia="Times New Roman"/>
          <w:vanish/>
          <w:sz w:val="20"/>
          <w:szCs w:val="20"/>
        </w:rPr>
        <w:t>:SeriesAPreferredMember 2020-06-30 0001449349 RDGL:AdditionalPaidInCapitalSeriesAPreferredMember 2020-06-30 0001449349 RDGL:SeriesBPreferredMember 2020-06-30 0001449349 RDGL:AdditionalPaidInCapitalSeriesBPreferredMember 2020-06-30 0001449349 RDGL:SeriesCPr</w:t>
      </w:r>
      <w:r>
        <w:rPr>
          <w:rFonts w:eastAsia="Times New Roman"/>
          <w:vanish/>
          <w:sz w:val="20"/>
          <w:szCs w:val="20"/>
        </w:rPr>
        <w:t>eferredMember 2020-06-30 0001449349 RDGL:AdditionalPaidInCapitalSeriesCPreferredMember 2020-06-30 0001449349 us-gaap:CommonStockMember 2020-06-30 0001449349 us-gaap:CommonStockIncludingAdditionalPaidInCapitalMember 2020-06-30 0001449349 RDGL:SubscriptionRe</w:t>
      </w:r>
      <w:r>
        <w:rPr>
          <w:rFonts w:eastAsia="Times New Roman"/>
          <w:vanish/>
          <w:sz w:val="20"/>
          <w:szCs w:val="20"/>
        </w:rPr>
        <w:t>ceivableSharesToBeIssuedMember 2020-06-30 0001449349 us-gaap:RetainedEarningsMember 2020-06-30 0001449349 2020-06-30 0001449349 RDGL:SeriesAPreferredMember 2020-12-31 0001449349 RDGL:AdditionalPaidInCapitalSeriesAPreferredMember 2020-12-31 0001449349 RDGL:</w:t>
      </w:r>
      <w:r>
        <w:rPr>
          <w:rFonts w:eastAsia="Times New Roman"/>
          <w:vanish/>
          <w:sz w:val="20"/>
          <w:szCs w:val="20"/>
        </w:rPr>
        <w:t>SeriesBPreferredMember 2020-12-31 0001449349 RDGL:AdditionalPaidInCapitalSeriesBPreferredMember 2020-12-31 0001449349 RDGL:SeriesCPreferredMember 2020-12-31 0001449349 RDGL:AdditionalPaidInCapitalSeriesCPreferredMember 2020-12-31 0001449349 us-gaap:CommonS</w:t>
      </w:r>
      <w:r>
        <w:rPr>
          <w:rFonts w:eastAsia="Times New Roman"/>
          <w:vanish/>
          <w:sz w:val="20"/>
          <w:szCs w:val="20"/>
        </w:rPr>
        <w:t>tockMember 2020-12-31 0001449349 us-gaap:CommonStockIncludingAdditionalPaidInCapitalMember 2020-12-31 0001449349 RDGL:SubscriptionReceivableSharesToBeIssuedMember 2020-12-31 0001449349 us-gaap:RetainedEarningsMember 2020-12-31 0001449349 RDGL:SeriesAPrefer</w:t>
      </w:r>
      <w:r>
        <w:rPr>
          <w:rFonts w:eastAsia="Times New Roman"/>
          <w:vanish/>
          <w:sz w:val="20"/>
          <w:szCs w:val="20"/>
        </w:rPr>
        <w:t>redMember 2021-01-01 2021-03-31 0001449349 RDGL:AdditionalPaidInCapitalSeriesAPreferredMember 2021-01-01 2021-03-31 0001449349 RDGL:SeriesBPreferredMember 2021-01-01 2021-03-31 0001449349 RDGL:AdditionalPaidInCapitalSeriesBPreferredMember 2021-01-01 2021-0</w:t>
      </w:r>
      <w:r>
        <w:rPr>
          <w:rFonts w:eastAsia="Times New Roman"/>
          <w:vanish/>
          <w:sz w:val="20"/>
          <w:szCs w:val="20"/>
        </w:rPr>
        <w:t>3-31 0001449349 RDGL:SeriesCPreferredMember 2021-01-01 2021-03-31 0001449349 RDGL:AdditionalPaidInCapitalSeriesCPreferredMember 2021-01-01 2021-03-31 0001449349 us-gaap:CommonStockMember 2021-01-01 2021-03-31 0001449349 us-gaap:CommonStockIncludingAddition</w:t>
      </w:r>
      <w:r>
        <w:rPr>
          <w:rFonts w:eastAsia="Times New Roman"/>
          <w:vanish/>
          <w:sz w:val="20"/>
          <w:szCs w:val="20"/>
        </w:rPr>
        <w:t>alPaidInCapitalMember 2021-01-01 2021-03-31 0001449349 RDGL:SubscriptionReceivableSharesToBeIssuedMember 2021-01-01 2021-03-31 0001449349 us-gaap:RetainedEarningsMember 2021-01-01 2021-03-31 0001449349 2021-01-01 2021-03-31 0001449349 RDGL:SeriesAPreferred</w:t>
      </w:r>
      <w:r>
        <w:rPr>
          <w:rFonts w:eastAsia="Times New Roman"/>
          <w:vanish/>
          <w:sz w:val="20"/>
          <w:szCs w:val="20"/>
        </w:rPr>
        <w:t>Member 2021-03-31 0001449349 RDGL:AdditionalPaidInCapitalSeriesAPreferredMember 2021-03-31 0001449349 RDGL:SeriesBPreferredMember 2021-03-31 0001449349 RDGL:AdditionalPaidInCapitalSeriesBPreferredMember 2021-03-31 0001449349 RDGL:SeriesCPreferredMember 202</w:t>
      </w:r>
      <w:r>
        <w:rPr>
          <w:rFonts w:eastAsia="Times New Roman"/>
          <w:vanish/>
          <w:sz w:val="20"/>
          <w:szCs w:val="20"/>
        </w:rPr>
        <w:t>1-03-31 0001449349 RDGL:AdditionalPaidInCapitalSeriesCPreferredMember 2021-03-31 0001449349 us-gaap:CommonStockMember 2021-03-31 0001449349 us-gaap:CommonStockIncludingAdditionalPaidInCapitalMember 2021-03-31 0001449349 RDGL:SubscriptionReceivableSharesToB</w:t>
      </w:r>
      <w:r>
        <w:rPr>
          <w:rFonts w:eastAsia="Times New Roman"/>
          <w:vanish/>
          <w:sz w:val="20"/>
          <w:szCs w:val="20"/>
        </w:rPr>
        <w:t xml:space="preserve">eIssuedMember 2021-03-31 0001449349 us-gaap:RetainedEarningsMember 2021-03-31 0001449349 2021-03-31 0001449349 RDGL:SeriesAPreferredMember 2021-04-01 2021-06-30 0001449349 RDGL:AdditionalPaidInCapitalSeriesAPreferredMember 2021-04-01 2021-06-30 0001449349 </w:t>
      </w:r>
      <w:r>
        <w:rPr>
          <w:rFonts w:eastAsia="Times New Roman"/>
          <w:vanish/>
          <w:sz w:val="20"/>
          <w:szCs w:val="20"/>
        </w:rPr>
        <w:t>RDGL:SeriesBPreferredMember 2021-04-01 2021-06-30 0001449349 RDGL:AdditionalPaidInCapitalSeriesBPreferredMember 2021-04-01 2021-06-30 0001449349 RDGL:SeriesCPreferredMember 2021-04-01 2021-06-30 0001449349 RDGL:AdditionalPaidInCapitalSeriesCPreferredMember</w:t>
      </w:r>
      <w:r>
        <w:rPr>
          <w:rFonts w:eastAsia="Times New Roman"/>
          <w:vanish/>
          <w:sz w:val="20"/>
          <w:szCs w:val="20"/>
        </w:rPr>
        <w:t xml:space="preserve"> 2021-04-01 2021-06-30 0001449349 us-gaap:CommonStockMember 2021-04-01 2021-06-30 0001449349 us-gaap:CommonStockIncludingAdditionalPaidInCapitalMember 2021-04-01 2021-06-30 0001449349 RDGL:SubscriptionReceivableSharesToBeIssuedMember 2021-04-01 2021-06-30 </w:t>
      </w:r>
      <w:r>
        <w:rPr>
          <w:rFonts w:eastAsia="Times New Roman"/>
          <w:vanish/>
          <w:sz w:val="20"/>
          <w:szCs w:val="20"/>
        </w:rPr>
        <w:t>0001449349 us-gaap:RetainedEarningsMember 2021-04-01 2021-06-30 0001449349 RDGL:SeriesAPreferredMember 2021-06-30 0001449349 RDGL:AdditionalPaidInCapitalSeriesAPreferredMember 2021-06-30 0001449349 RDGL:SeriesBPreferredMember 2021-06-30 0001449349 RDGL:Add</w:t>
      </w:r>
      <w:r>
        <w:rPr>
          <w:rFonts w:eastAsia="Times New Roman"/>
          <w:vanish/>
          <w:sz w:val="20"/>
          <w:szCs w:val="20"/>
        </w:rPr>
        <w:t>itionalPaidInCapitalSeriesBPreferredMember 2021-06-30 0001449349 RDGL:SeriesCPreferredMember 2021-06-30 0001449349 RDGL:AdditionalPaidInCapitalSeriesCPreferredMember 2021-06-30 0001449349 us-gaap:CommonStockMember 2021-06-30 0001449349 us-gaap:CommonStockI</w:t>
      </w:r>
      <w:r>
        <w:rPr>
          <w:rFonts w:eastAsia="Times New Roman"/>
          <w:vanish/>
          <w:sz w:val="20"/>
          <w:szCs w:val="20"/>
        </w:rPr>
        <w:t>ncludingAdditionalPaidInCapitalMember 2021-06-30 0001449349 RDGL:SubscriptionReceivableSharesToBeIssuedMember 2021-06-30 0001449349 us-gaap:RetainedEarningsMember 2021-06-30 0001449349 RDGL:PastTwelveMonthsMember 2020-05-29 2020-06-03 0001449349 RDGL:Produ</w:t>
      </w:r>
      <w:r>
        <w:rPr>
          <w:rFonts w:eastAsia="Times New Roman"/>
          <w:vanish/>
          <w:sz w:val="20"/>
          <w:szCs w:val="20"/>
        </w:rPr>
        <w:t>ctionEquipmentMember srt:MinimumMember 2021-01-01 2021-06-30 0001449349 RDGL:ProductionEquipmentMember srt:MaximumMember 2021-01-01 2021-06-30 0001449349 us-gaap:OfficeEquipmentMember srt:MinimumMember 2021-01-01 2021-06-30 0001449349 us-gaap:OfficeEquipme</w:t>
      </w:r>
      <w:r>
        <w:rPr>
          <w:rFonts w:eastAsia="Times New Roman"/>
          <w:vanish/>
          <w:sz w:val="20"/>
          <w:szCs w:val="20"/>
        </w:rPr>
        <w:t>ntMember srt:MaximumMember 2021-01-01 2021-06-30 0001449349 us-gaap:FurnitureAndFixturesMember srt:MinimumMember 2021-01-01 2021-06-30 0001449349 us-gaap:FurnitureAndFixturesMember srt:MaximumMember 2021-01-01 2021-06-30 0001449349 us-gaap:ConvertibleDebtM</w:t>
      </w:r>
      <w:r>
        <w:rPr>
          <w:rFonts w:eastAsia="Times New Roman"/>
          <w:vanish/>
          <w:sz w:val="20"/>
          <w:szCs w:val="20"/>
        </w:rPr>
        <w:t xml:space="preserve">ember 2021-01-01 2021-06-30 0001449349 us-gaap:ConvertibleDebtMember 2020-01-01 2020-12-31 0001449349 us-gaap:PreferredStockMember 2021-01-01 2021-06-30 0001449349 us-gaap:PreferredStockMember 2020-01-01 2020-12-31 0001449349 RDGL:CommonStockOptionsMember </w:t>
      </w:r>
      <w:r>
        <w:rPr>
          <w:rFonts w:eastAsia="Times New Roman"/>
          <w:vanish/>
          <w:sz w:val="20"/>
          <w:szCs w:val="20"/>
        </w:rPr>
        <w:t>2021-01-01 2021-06-30 0001449349 RDGL:CommonStockOptionsMember 2020-01-01 2020-12-31 0001449349 RDGL:CommonStockWarrantsMember 2021-01-01 2021-06-30 0001449349 RDGL:CommonStockWarrantsMember 2020-01-01 2020-12-31 0001449349 2020-01-01 2020-12-31 0001449349</w:t>
      </w:r>
      <w:r>
        <w:rPr>
          <w:rFonts w:eastAsia="Times New Roman"/>
          <w:vanish/>
          <w:sz w:val="20"/>
          <w:szCs w:val="20"/>
        </w:rPr>
        <w:t xml:space="preserve"> srt:ChiefExecutiveOfficerMember 2019-01-01 2019-12-31 0001449349 srt:ChiefExecutiveOfficerMember 2019-09-24 0001449349 srt:ChiefExecutiveOfficerMember 2019-09-23 2019-09-24 0001449349 us-gaap:ConvertibleNotesPayableMember 2019-01-01 2019-12-31 0001449349 </w:t>
      </w:r>
      <w:r>
        <w:rPr>
          <w:rFonts w:eastAsia="Times New Roman"/>
          <w:vanish/>
          <w:sz w:val="20"/>
          <w:szCs w:val="20"/>
        </w:rPr>
        <w:t xml:space="preserve">srt:ChiefExecutiveOfficerMember 2019-12-31 0001449349 us-gaap:ConvertibleNotesPayableMember 2021-01-01 2021-06-30 0001449349 us-gaap:ConvertibleNotesPayableMember 2020-01-01 2020-06-30 0001449349 RDGL:RelatedPartyNotesPayableMember RDGL:RelatedPartyMember </w:t>
      </w:r>
      <w:r>
        <w:rPr>
          <w:rFonts w:eastAsia="Times New Roman"/>
          <w:vanish/>
          <w:sz w:val="20"/>
          <w:szCs w:val="20"/>
        </w:rPr>
        <w:t>2019-01-31 0001449349 RDGL:RelatedPartyNotesPayableMember RDGL:RelatedPartyMember 2019-01-01 2019-01-31 0001449349 RDGL:RelatedPartyNotesPayableMember RDGL:RelatedPartyMember 2021-06-30 0001449349 RDGL:RelatedPartyNotesPayableMember RDGL:RelatedPartyMember</w:t>
      </w:r>
      <w:r>
        <w:rPr>
          <w:rFonts w:eastAsia="Times New Roman"/>
          <w:vanish/>
          <w:sz w:val="20"/>
          <w:szCs w:val="20"/>
        </w:rPr>
        <w:t xml:space="preserve"> 2020-12-31 0001449349 RDGL:RelatedPartyNotesPayableMember RDGL:RelatedPartyOneMember 2019-03-31 0001449349 RDGL:RelatedPartyNotesPayableMember RDGL:RelatedPartyOneMember 2019-03-01 2019-03-31 0001449349 RDGL:RelatedPartyNotesPayableMember RDGL:RelatedPart</w:t>
      </w:r>
      <w:r>
        <w:rPr>
          <w:rFonts w:eastAsia="Times New Roman"/>
          <w:vanish/>
          <w:sz w:val="20"/>
          <w:szCs w:val="20"/>
        </w:rPr>
        <w:t>yOneMember 2021-06-30 0001449349 RDGL:RelatedPartyNotesPayableMember RDGL:RelatedPartyOneMember 2020-12-31 0001449349 RDGL:RelatedPartyNotesPayableMember RDGL:RelatedPartyTwoMember 2019-04-30 0001449349 RDGL:RelatedPartyNotesPayableMember RDGL:RelatedParty</w:t>
      </w:r>
      <w:r>
        <w:rPr>
          <w:rFonts w:eastAsia="Times New Roman"/>
          <w:vanish/>
          <w:sz w:val="20"/>
          <w:szCs w:val="20"/>
        </w:rPr>
        <w:t>TwoMember 2019-04-01 2019-04-30 0001449349 RDGL:RelatedPartyNotesPayableMember RDGL:RelatedPartyTwoMember 2021-06-30 0001449349 RDGL:RelatedPartyNotesPayableMember RDGL:RelatedPartyTwoMember 2020-12-31 0001449349 RDGL:RelatedPartyNotesPayableMember RDGL:Re</w:t>
      </w:r>
      <w:r>
        <w:rPr>
          <w:rFonts w:eastAsia="Times New Roman"/>
          <w:vanish/>
          <w:sz w:val="20"/>
          <w:szCs w:val="20"/>
        </w:rPr>
        <w:t>latedPartyThreeMember 2019-07-31 0001449349 RDGL:RelatedPartyNotesPayableMember RDGL:RelatedPartyThreeMember 2019-07-01 2019-07-31 0001449349 RDGL:RelatedPartyNotesPayableMember RDGL:RelatedPartyThreeMember 2021-06-30 0001449349 RDGL:RelatedPartyNotesPayab</w:t>
      </w:r>
      <w:r>
        <w:rPr>
          <w:rFonts w:eastAsia="Times New Roman"/>
          <w:vanish/>
          <w:sz w:val="20"/>
          <w:szCs w:val="20"/>
        </w:rPr>
        <w:t>leMember RDGL:RelatedPartyThreeMember 2020-12-31 0001449349 RDGL:RelatedPartyNotesPayableMember RDGL:RelatedPartyFourMember 2019-11-30 0001449349 RDGL:RelatedPartyNotesPayableMember RDGL:RelatedPartyFourMember 2019-11-01 2019-11-30 0001449349 RDGL:RelatedP</w:t>
      </w:r>
      <w:r>
        <w:rPr>
          <w:rFonts w:eastAsia="Times New Roman"/>
          <w:vanish/>
          <w:sz w:val="20"/>
          <w:szCs w:val="20"/>
        </w:rPr>
        <w:t>artyNotesPayableMember RDGL:RelatedPartyFourMember 2021-06-30 0001449349 RDGL:RelatedPartyNotesPayableMember RDGL:RelatedPartyFourMember 2020-12-31 0001449349 RDGL:RelatedPartyNotesPayableMember 2021-06-30 0001449349 RDGL:RelatedPartyNotesPayableMember 202</w:t>
      </w:r>
      <w:r>
        <w:rPr>
          <w:rFonts w:eastAsia="Times New Roman"/>
          <w:vanish/>
          <w:sz w:val="20"/>
          <w:szCs w:val="20"/>
        </w:rPr>
        <w:t>0-12-31 0001449349 srt:DirectorMember 2019-01-24 0001449349 srt:DirectorMember 2019-01-23 2019-01-24 0001449349 srt:DirectorMember 2019-03-27 0001449349 srt:DirectorMember 2019-03-26 2019-03-27 0001449349 srt:DirectorMember 2019-04-29 0001449349 srt:Direct</w:t>
      </w:r>
      <w:r>
        <w:rPr>
          <w:rFonts w:eastAsia="Times New Roman"/>
          <w:vanish/>
          <w:sz w:val="20"/>
          <w:szCs w:val="20"/>
        </w:rPr>
        <w:t>orMember 2019-07-05 0001449349 srt:DirectorMember 2019-04-28 2019-04-29 0001449349 srt:DirectorMember 2019-11-25 0001449349 srt:DirectorMember 2019-11-24 2020-11-25 0001449349 srt:DirectorMember 2021-01-01 2021-06-30 0001449349 srt:DirectorMember 2020-01-0</w:t>
      </w:r>
      <w:r>
        <w:rPr>
          <w:rFonts w:eastAsia="Times New Roman"/>
          <w:vanish/>
          <w:sz w:val="20"/>
          <w:szCs w:val="20"/>
        </w:rPr>
        <w:t>1 2020-06-30 0001449349 srt:DirectorMember 2021-06-30 0001449349 RDGL:CEOMember 2020-04-30 0001449349 RDGL:AprilTwentyTwentyMember RDGL:ChairmanMember 2021-01-01 2021-06-30 0001449349 2020-04-30 0001449349 2020-04-01 2020-04-30 0001449349 srt:ChiefExecutiv</w:t>
      </w:r>
      <w:r>
        <w:rPr>
          <w:rFonts w:eastAsia="Times New Roman"/>
          <w:vanish/>
          <w:sz w:val="20"/>
          <w:szCs w:val="20"/>
        </w:rPr>
        <w:t>eOfficerMember 2020-12-01 2020-12-31 0001449349 srt:ChiefExecutiveOfficerMember 2021-06-01 2021-06-30 0001449349 srt:ChiefExecutiveOfficerMember us-gaap:CommonStockMember 2021-06-30 0001449349 srt:ChiefExecutiveOfficerMember RDGL:SeriesAConvertiblePreferre</w:t>
      </w:r>
      <w:r>
        <w:rPr>
          <w:rFonts w:eastAsia="Times New Roman"/>
          <w:vanish/>
          <w:sz w:val="20"/>
          <w:szCs w:val="20"/>
        </w:rPr>
        <w:t>dStockMember 2021-06-30 0001449349 srt:ChiefExecutiveOfficerMember RDGL:MayTwentyTwentyOneMember 2021-06-01 2021-06-30 0001449349 srt:ChiefExecutiveOfficerMember RDGL:JuneTwentyTwentyOneMember 2021-06-01 2021-06-30 0001449349 RDGL:ConvertibleNotePayableMem</w:t>
      </w:r>
      <w:r>
        <w:rPr>
          <w:rFonts w:eastAsia="Times New Roman"/>
          <w:vanish/>
          <w:sz w:val="20"/>
          <w:szCs w:val="20"/>
        </w:rPr>
        <w:t>ber 2012-07-31 0001449349 RDGL:ConvertibleNotePayableMember 2012-08-31 0001449349 RDGL:ConvertibleNotePayableMember 2012-07-30 2012-07-31 0001449349 RDGL:ConvertibleNotePayableMember 2012-08-30 2012-08-31 0001449349 RDGL:ConvertibleNotesPayableOneMember 20</w:t>
      </w:r>
      <w:r>
        <w:rPr>
          <w:rFonts w:eastAsia="Times New Roman"/>
          <w:vanish/>
          <w:sz w:val="20"/>
          <w:szCs w:val="20"/>
        </w:rPr>
        <w:t>21-06-30 0001449349 RDGL:ConvertibleNotesPayableOneMember 2020-12-31 0001449349 RDGL:ConvertibleNotePayableMember 2020-11-30 0001449349 RDGL:ConvertibleNotePayableMember 2020-11-29 2020-11-30 0001449349 RDGL:ConvertibleNotesPayableTwoMember 2021-06-30 0001</w:t>
      </w:r>
      <w:r>
        <w:rPr>
          <w:rFonts w:eastAsia="Times New Roman"/>
          <w:vanish/>
          <w:sz w:val="20"/>
          <w:szCs w:val="20"/>
        </w:rPr>
        <w:t>449349 RDGL:ConvertibleNotesPayableTwoMember 2020-12-31 0001449349 RDGL:ConvertiblePromissoryNoteMember 2020-11-30 0001449349 RDGL:ConvertiblePromissoryNoteMember RDGL:QualifiedFinancingMember 2020-11-29 2020-11-30 0001449349 RDGL:ConvertiblePromissoryNote</w:t>
      </w:r>
      <w:r>
        <w:rPr>
          <w:rFonts w:eastAsia="Times New Roman"/>
          <w:vanish/>
          <w:sz w:val="20"/>
          <w:szCs w:val="20"/>
        </w:rPr>
        <w:t>Member RDGL:QualifiedFinancingMember RDGL:NoteHoldersMember 2020-11-30 0001449349 RDGL:ConvertiblePromissoryNoteMember RDGL:QualifiedFinancingMember RDGL:NoteHoldersMember 2020-11-29 2020-11-30 0001449349 RDGL:ConvertibleNotePayableMember 2021-06-30 000144</w:t>
      </w:r>
      <w:r>
        <w:rPr>
          <w:rFonts w:eastAsia="Times New Roman"/>
          <w:vanish/>
          <w:sz w:val="20"/>
          <w:szCs w:val="20"/>
        </w:rPr>
        <w:t>9349 RDGL:ConvertibleNotePayableMember 2020-06-30 0001449349 RDGL:PromissoryNotesOneMember 2019-02-20 0001449349 RDGL:PromissoryNotesTwoMember 2019-02-20 0001449349 2019-02-20 0001449349 2019-02-19 2019-02-20 0001449349 RDGL:PromissoryNotesMember 2021-06-3</w:t>
      </w:r>
      <w:r>
        <w:rPr>
          <w:rFonts w:eastAsia="Times New Roman"/>
          <w:vanish/>
          <w:sz w:val="20"/>
          <w:szCs w:val="20"/>
        </w:rPr>
        <w:t xml:space="preserve">0 0001449349 RDGL:TwoNoteholdersMember 2019-08-19 2019-08-20 0001449349 2019-08-20 0001449349 RDGL:NoteholdersOneMember 2019-08-20 0001449349 RDGL:NoteholdersTwoMember 2019-08-20 0001449349 RDGL:TwoNoteholdersMember srt:MinimumMember 2019-08-19 2019-08-20 </w:t>
      </w:r>
      <w:r>
        <w:rPr>
          <w:rFonts w:eastAsia="Times New Roman"/>
          <w:vanish/>
          <w:sz w:val="20"/>
          <w:szCs w:val="20"/>
        </w:rPr>
        <w:t>0001449349 RDGL:TwoNoteholdersMember srt:MaximumMember 2019-08-19 2019-08-20 0001449349 RDGL:PromissoryNotesMember 2021-01-01 2021-06-30 0001449349 RDGL:PromissoryNotesMember 2020-01-01 2020-06-30 0001449349 RDGL:PromissoryNotesMember 2020-07-12 2020-07-14</w:t>
      </w:r>
      <w:r>
        <w:rPr>
          <w:rFonts w:eastAsia="Times New Roman"/>
          <w:vanish/>
          <w:sz w:val="20"/>
          <w:szCs w:val="20"/>
        </w:rPr>
        <w:t xml:space="preserve"> 0001449349 RDGL:PromissoryNotesMember 2020-07-14 0001449349 RDGL:BoardOfDirectorsMember 2019-03-26 2019-03-28 0001449349 RDGL:BoardOfDirectorsMember srt:MinimumMember 2019-03-28 0001449349 RDGL:BoardOfDirectorsMember srt:MaximumMember 2019-03-28 000144934</w:t>
      </w:r>
      <w:r>
        <w:rPr>
          <w:rFonts w:eastAsia="Times New Roman"/>
          <w:vanish/>
          <w:sz w:val="20"/>
          <w:szCs w:val="20"/>
        </w:rPr>
        <w:t>9 RDGL:SeriesBConvertiblePreferredStockMember 2018-10-08 0001449349 RDGL:SeriesCConvertiblePreferredStockMember 2019-03-27 0001449349 RDGL:SeriesAConvertiblePreferredStockMember 2015-06-30 0001449349 RDGL:SeriesAConvertiblePreferredStockMember srt:MinimumM</w:t>
      </w:r>
      <w:r>
        <w:rPr>
          <w:rFonts w:eastAsia="Times New Roman"/>
          <w:vanish/>
          <w:sz w:val="20"/>
          <w:szCs w:val="20"/>
        </w:rPr>
        <w:t>ember 2015-06-30 0001449349 RDGL:SeriesAConvertiblePreferredStockMember srt:MaximumMember 2015-06-30 0001449349 RDGL:SeriesAConvertiblePreferredStockMember 2015-06-01 2015-06-30 0001449349 RDGL:SeriesBConvertiblePreferredStockMember 2018-10-31 0001449349 R</w:t>
      </w:r>
      <w:r>
        <w:rPr>
          <w:rFonts w:eastAsia="Times New Roman"/>
          <w:vanish/>
          <w:sz w:val="20"/>
          <w:szCs w:val="20"/>
        </w:rPr>
        <w:t>DGL:SeriesBConvertiblePreferredStockMember 2018-10-01 2018-10-31 0001449349 RDGL:SeriesCConvertiblePreferredStockMember 2019-03-31 0001449349 RDGL:SeriesCConvertiblePreferredStockMember 2019-03-01 2019-03-31 0001449349 2021-01-31 0001449349 2021-01-01 2021</w:t>
      </w:r>
      <w:r>
        <w:rPr>
          <w:rFonts w:eastAsia="Times New Roman"/>
          <w:vanish/>
          <w:sz w:val="20"/>
          <w:szCs w:val="20"/>
        </w:rPr>
        <w:t>-01-31 0001449349 2021-05-31 0001449349 2021-05-01 2021-05-31 0001449349 RDGL:CommonAndPreferredStockIssuancesMember 2021-01-01 2021-06-30 0001449349 RDGL:CommonAndPreferredStockIssuancesMember 2021-03-31 0001449349 2021-03-01 2021-03-31 0001449349 2021-01</w:t>
      </w:r>
      <w:r>
        <w:rPr>
          <w:rFonts w:eastAsia="Times New Roman"/>
          <w:vanish/>
          <w:sz w:val="20"/>
          <w:szCs w:val="20"/>
        </w:rPr>
        <w:t>-29 0001449349 us-gaap:CommonStockMember 2021-06-27 2021-06-28 0001449349 srt:ChiefExecutiveOfficerMember 2021-06-27 2021-06-28 0001449349 us-gaap:CommonStockMember srt:ChiefExecutiveOfficerMember 2021-06-28 0001449349 RDGL:SeriesBConvertiblePreferredStock</w:t>
      </w:r>
      <w:r>
        <w:rPr>
          <w:rFonts w:eastAsia="Times New Roman"/>
          <w:vanish/>
          <w:sz w:val="20"/>
          <w:szCs w:val="20"/>
        </w:rPr>
        <w:t>Member 2020-01-01 2020-01-31 0001449349 RDGL:SeriesCConvertiblePreferredStockMember 2020-01-01 2020-01-31 0001449349 RDGL:CommonStocklMember 2020-01-01 2020-01-31 0001449349 RDGL:CommonStocklMember 2020-03-01 2020-03-31 0001449349 RDGL:CommonStocklMember 2</w:t>
      </w:r>
      <w:r>
        <w:rPr>
          <w:rFonts w:eastAsia="Times New Roman"/>
          <w:vanish/>
          <w:sz w:val="20"/>
          <w:szCs w:val="20"/>
        </w:rPr>
        <w:t>020-03-31 0001449349 RDGL:ConvertiblePromissoryNoteMember 2020-03-31 0001449349 RDGL:CommonStocklMember RDGL:NoteAgreementMember 2020-03-01 2020-03-31 0001449349 RDGL:CommonStocklMember RDGL:NoteAgreementMember 2020-03-31 0001449349 us-gaap:WarrantMember R</w:t>
      </w:r>
      <w:r>
        <w:rPr>
          <w:rFonts w:eastAsia="Times New Roman"/>
          <w:vanish/>
          <w:sz w:val="20"/>
          <w:szCs w:val="20"/>
        </w:rPr>
        <w:t>DGL:NoteAgreementMember 2020-03-31 0001449349 srt:MinimumMember 2020-12-31 0001449349 srt:MaximumMember 2020-12-31 0001449349 srt:MinimumMember 2021-06-30 0001449349 srt:MaximumMember 2021-06-30 0001449349 RDGL:CEOMember 2021-01-01 2021-06-30 0001449349 us</w:t>
      </w:r>
      <w:r>
        <w:rPr>
          <w:rFonts w:eastAsia="Times New Roman"/>
          <w:vanish/>
          <w:sz w:val="20"/>
          <w:szCs w:val="20"/>
        </w:rPr>
        <w:t>-gaap:RestrictedStockUnitsRSUMember 2021-01-01 2021-06-30 0001449349 us-gaap:RestrictedStockUnitsRSUMember 2020-01-01 2020-06-30 0001449349 us-gaap:WarrantMember 2020-12-31 0001449349 us-gaap:WarrantMember srt:MinimumMember 2020-12-31 0001449349 us-gaap:Wa</w:t>
      </w:r>
      <w:r>
        <w:rPr>
          <w:rFonts w:eastAsia="Times New Roman"/>
          <w:vanish/>
          <w:sz w:val="20"/>
          <w:szCs w:val="20"/>
        </w:rPr>
        <w:t>rrantMember srt:MaximumMember 2020-12-31 0001449349 us-gaap:WarrantMember 2021-01-01 2021-06-30 0001449349 us-gaap:WarrantMember 2021-06-30 0001449349 us-gaap:WarrantMember srt:MinimumMember 2021-06-30 0001449349 us-gaap:WarrantMember srt:MaximumMember 202</w:t>
      </w:r>
      <w:r>
        <w:rPr>
          <w:rFonts w:eastAsia="Times New Roman"/>
          <w:vanish/>
          <w:sz w:val="20"/>
          <w:szCs w:val="20"/>
        </w:rPr>
        <w:t>1-06-30 0001449349 srt:MinimumMember 2020-01-01 2020-12-31 0001449349 srt:MaximumMember 2020-01-01 2020-12-31 0001449349 RDGL:ConvertibleNotesMember RDGL:AccreditedInvestorsMember 2021-06-30 0001449349 RDGL:ConvertibleNotesMember RDGL:AccreditedInvestorsMe</w:t>
      </w:r>
      <w:r>
        <w:rPr>
          <w:rFonts w:eastAsia="Times New Roman"/>
          <w:vanish/>
          <w:sz w:val="20"/>
          <w:szCs w:val="20"/>
        </w:rPr>
        <w:t>mber 2020-06-30 0001449349 RDGL:ConvertibleNotesMember RDGL:AccreditedInvestorsMember us-gaap:WarrantMember 2021-06-30 0001449349 RDGL:ConvertibleNotesMember RDGL:AccreditedInvestorsMember us-gaap:WarrantMember 2021-01-01 2021-06-30 0001449349 RDGL:CommonS</w:t>
      </w:r>
      <w:r>
        <w:rPr>
          <w:rFonts w:eastAsia="Times New Roman"/>
          <w:vanish/>
          <w:sz w:val="20"/>
          <w:szCs w:val="20"/>
        </w:rPr>
        <w:t xml:space="preserve">tocklMember 2020-03-01 2020-06-30 0001449349 RDGL:CommonStocklMember 2020-06-30 0001449349 RDGL:ConvertiblePromissoryNoteMember 2020-06-30 0001449349 RDGL:CommonStocklMember RDGL:NoteAgreementMember 2020-03-01 2020-06-30 0001449349 RDGL:CommonStocklMember </w:t>
      </w:r>
      <w:r>
        <w:rPr>
          <w:rFonts w:eastAsia="Times New Roman"/>
          <w:vanish/>
          <w:sz w:val="20"/>
          <w:szCs w:val="20"/>
        </w:rPr>
        <w:t>RDGL:NoteAgreementMember 2020-06-30 0001449349 us-gaap:WarrantMember RDGL:NoteAgreementMember 2020-06-30 0001449349 2020-12-02 0001449349 2020-11-27 2020-12-02 0001449349 us-gaap:WarrantMember 2020-11-30 0001449349 RDGL:CommonStocklMember 2020-11-27 2020-1</w:t>
      </w:r>
      <w:r>
        <w:rPr>
          <w:rFonts w:eastAsia="Times New Roman"/>
          <w:vanish/>
          <w:sz w:val="20"/>
          <w:szCs w:val="20"/>
        </w:rPr>
        <w:t>1-30 0001449349 us-gaap:WarrantMember 2020-12-28 0001449349 RDGL:CommonStocklMember 2020-12-14 2020-12-28 0001449349 us-gaap:WarrantMember 2020-01-01 2020-12-31 0001449349 us-gaap:WarrantMember 2021-01-29 0001449349 us-gaap:WarrantMember 2021-03-31 0001449</w:t>
      </w:r>
      <w:r>
        <w:rPr>
          <w:rFonts w:eastAsia="Times New Roman"/>
          <w:vanish/>
          <w:sz w:val="20"/>
          <w:szCs w:val="20"/>
        </w:rPr>
        <w:t>349 us-gaap:WarrantMember 2021-01-01 2021-06-30 0001449349 RDGL:RestrictedStockUnitsMember 2020-12-31 0001449349 RDGL:RestrictedStockUnitsMember 2021-01-01 2021-06-30 0001449349 RDGL:RestrictedStockUnitsMember 2021-06-30 0001449349 us-gaap:RestrictedStockU</w:t>
      </w:r>
      <w:r>
        <w:rPr>
          <w:rFonts w:eastAsia="Times New Roman"/>
          <w:vanish/>
          <w:sz w:val="20"/>
          <w:szCs w:val="20"/>
        </w:rPr>
        <w:t>nitsRSUMember 2021-06-30 0001449349 us-gaap:RestrictedStockUnitsRSUMember RDGL:ConsultantMember 2021-05-02 2021-05-03 0001449349 us-gaap:RestrictedStockUnitsRSUMember RDGL:ConsultantOneMember 2021-05-02 2021-05-03 0001449349 us-gaap:RestrictedStockUnitsRSU</w:t>
      </w:r>
      <w:r>
        <w:rPr>
          <w:rFonts w:eastAsia="Times New Roman"/>
          <w:vanish/>
          <w:sz w:val="20"/>
          <w:szCs w:val="20"/>
        </w:rPr>
        <w:t>Member RDGL:OneConsultantMember 2021-06-01 2021-06-30 0001449349 RDGL:EmploymentAgreementMember us-gaap:RestrictedStockUnitsRSUMember RDGL:CEOMember 2021-05-02 2021-05-03 0001449349 us-gaap:RestrictedStockUnitsRSUMember 2021-05-02 2021-05-03 0001449349 us-</w:t>
      </w:r>
      <w:r>
        <w:rPr>
          <w:rFonts w:eastAsia="Times New Roman"/>
          <w:vanish/>
          <w:sz w:val="20"/>
          <w:szCs w:val="20"/>
        </w:rPr>
        <w:t>gaap:ShareBasedCompensationAwardTrancheOneMember 2021-05-02 2021-05-03 0001449349 us-gaap:ShareBasedCompensationAwardTrancheTwoMember 2021-05-02 2021-05-03 0001449349 us-gaap:PerformanceSharesMember RDGL:BoardOfDirectorsMember 2021-05-02 2021-05-03 0001449</w:t>
      </w:r>
      <w:r>
        <w:rPr>
          <w:rFonts w:eastAsia="Times New Roman"/>
          <w:vanish/>
          <w:sz w:val="20"/>
          <w:szCs w:val="20"/>
        </w:rPr>
        <w:t>349 us-gaap:RestrictedStockUnitsRSUMember RDGL:NineMonthAnniversaryMember 2021-05-02 2021-05-03 0001449349 2021-05-02 2021-05-03 0001449349 RDGL:EmploymentAgreementMember RDGL:DrMichaelKKorenkoMember 2019-06-03 2019-06-04 0001449349 RDGL:EmploymentAgreemen</w:t>
      </w:r>
      <w:r>
        <w:rPr>
          <w:rFonts w:eastAsia="Times New Roman"/>
          <w:vanish/>
          <w:sz w:val="20"/>
          <w:szCs w:val="20"/>
        </w:rPr>
        <w:t xml:space="preserve">tMember RDGL:CEOMember 2021-01-01 2021-01-02 iso4217:USD xbrli:shares iso4217:USD xbrli:shares xbrli:pure </w:t>
      </w:r>
    </w:p>
    <w:p w14:paraId="35E5FB32" w14:textId="77777777" w:rsidR="00000000" w:rsidRDefault="00D6065B">
      <w:pPr>
        <w:pStyle w:val="a3"/>
        <w:spacing w:before="0" w:beforeAutospacing="0" w:after="0" w:afterAutospacing="0"/>
        <w:jc w:val="center"/>
        <w:rPr>
          <w:sz w:val="20"/>
          <w:szCs w:val="20"/>
        </w:rPr>
      </w:pPr>
      <w:r>
        <w:rPr>
          <w:b/>
          <w:bCs/>
          <w:sz w:val="20"/>
          <w:szCs w:val="20"/>
        </w:rPr>
        <w:t> </w:t>
      </w:r>
    </w:p>
    <w:p w14:paraId="52E27A44" w14:textId="77777777" w:rsidR="00000000" w:rsidRDefault="00D6065B">
      <w:pPr>
        <w:divId w:val="160202684"/>
        <w:rPr>
          <w:rFonts w:eastAsia="Times New Roman"/>
          <w:sz w:val="2"/>
          <w:szCs w:val="2"/>
        </w:rPr>
      </w:pPr>
      <w:r>
        <w:rPr>
          <w:rFonts w:eastAsia="Times New Roman"/>
          <w:sz w:val="2"/>
          <w:szCs w:val="2"/>
        </w:rPr>
        <w:t> </w:t>
      </w:r>
    </w:p>
    <w:p w14:paraId="55795905" w14:textId="77777777" w:rsidR="00000000" w:rsidRDefault="00D6065B">
      <w:pPr>
        <w:pStyle w:val="a3"/>
        <w:spacing w:before="0" w:beforeAutospacing="0" w:after="0" w:afterAutospacing="0"/>
        <w:jc w:val="center"/>
        <w:rPr>
          <w:sz w:val="20"/>
          <w:szCs w:val="20"/>
        </w:rPr>
      </w:pPr>
      <w:r>
        <w:rPr>
          <w:b/>
          <w:bCs/>
          <w:sz w:val="20"/>
          <w:szCs w:val="20"/>
        </w:rPr>
        <w:t> </w:t>
      </w:r>
    </w:p>
    <w:p w14:paraId="2B58F83F" w14:textId="77777777" w:rsidR="00000000" w:rsidRDefault="00D6065B">
      <w:pPr>
        <w:pStyle w:val="a3"/>
        <w:spacing w:before="0" w:beforeAutospacing="0" w:after="0" w:afterAutospacing="0"/>
        <w:jc w:val="center"/>
        <w:rPr>
          <w:sz w:val="20"/>
          <w:szCs w:val="20"/>
        </w:rPr>
      </w:pPr>
      <w:r>
        <w:rPr>
          <w:b/>
          <w:bCs/>
          <w:sz w:val="36"/>
          <w:szCs w:val="36"/>
        </w:rPr>
        <w:t>UNITED STATES</w:t>
      </w:r>
    </w:p>
    <w:p w14:paraId="0F386427" w14:textId="77777777" w:rsidR="00000000" w:rsidRDefault="00D6065B">
      <w:pPr>
        <w:pStyle w:val="a3"/>
        <w:spacing w:before="0" w:beforeAutospacing="0" w:after="0" w:afterAutospacing="0"/>
        <w:jc w:val="center"/>
        <w:rPr>
          <w:sz w:val="20"/>
          <w:szCs w:val="20"/>
        </w:rPr>
      </w:pPr>
      <w:r>
        <w:rPr>
          <w:b/>
          <w:bCs/>
          <w:sz w:val="36"/>
          <w:szCs w:val="36"/>
        </w:rPr>
        <w:t>SECURITIES AND EXCHANGE COMMISSION</w:t>
      </w:r>
    </w:p>
    <w:p w14:paraId="0166E8CA" w14:textId="77777777" w:rsidR="00000000" w:rsidRDefault="00D6065B">
      <w:pPr>
        <w:pStyle w:val="a3"/>
        <w:spacing w:before="0" w:beforeAutospacing="0" w:after="0" w:afterAutospacing="0"/>
        <w:jc w:val="center"/>
        <w:rPr>
          <w:sz w:val="20"/>
          <w:szCs w:val="20"/>
        </w:rPr>
      </w:pPr>
      <w:r>
        <w:rPr>
          <w:b/>
          <w:bCs/>
        </w:rPr>
        <w:t>WASHINGTON, D.C. 20549</w:t>
      </w:r>
    </w:p>
    <w:p w14:paraId="63FD3ED5" w14:textId="77777777" w:rsidR="00000000" w:rsidRDefault="00D6065B">
      <w:pPr>
        <w:pStyle w:val="a3"/>
        <w:spacing w:before="0" w:beforeAutospacing="0" w:after="0" w:afterAutospacing="0"/>
        <w:jc w:val="center"/>
        <w:rPr>
          <w:sz w:val="20"/>
          <w:szCs w:val="20"/>
        </w:rPr>
      </w:pPr>
      <w:r>
        <w:rPr>
          <w:sz w:val="20"/>
          <w:szCs w:val="20"/>
        </w:rPr>
        <w:t> </w:t>
      </w:r>
    </w:p>
    <w:p w14:paraId="05606D17" w14:textId="77777777" w:rsidR="00000000" w:rsidRDefault="00D6065B">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5F45C606" w14:textId="77777777" w:rsidR="00000000" w:rsidRDefault="00D6065B">
      <w:pPr>
        <w:pStyle w:val="a3"/>
        <w:spacing w:before="0" w:beforeAutospacing="0" w:after="0" w:afterAutospacing="0"/>
        <w:jc w:val="center"/>
        <w:rPr>
          <w:sz w:val="20"/>
          <w:szCs w:val="20"/>
        </w:rPr>
      </w:pPr>
      <w:r>
        <w:rPr>
          <w:sz w:val="20"/>
          <w:szCs w:val="20"/>
        </w:rPr>
        <w:t> </w:t>
      </w:r>
    </w:p>
    <w:p w14:paraId="12CAB6A3" w14:textId="77777777" w:rsidR="00000000" w:rsidRDefault="00D6065B">
      <w:pPr>
        <w:pStyle w:val="a3"/>
        <w:spacing w:before="0" w:beforeAutospacing="0" w:after="0" w:afterAutospacing="0"/>
        <w:jc w:val="both"/>
        <w:rPr>
          <w:sz w:val="20"/>
          <w:szCs w:val="20"/>
        </w:rPr>
      </w:pPr>
      <w:r>
        <w:rPr>
          <w:sz w:val="20"/>
          <w:szCs w:val="20"/>
        </w:rPr>
        <w:t>(Mark One)</w:t>
      </w:r>
    </w:p>
    <w:p w14:paraId="05CD589F" w14:textId="77777777" w:rsidR="00000000" w:rsidRDefault="00D6065B">
      <w:pPr>
        <w:pStyle w:val="a3"/>
        <w:spacing w:before="0" w:beforeAutospacing="0" w:after="0" w:afterAutospacing="0"/>
        <w:jc w:val="center"/>
        <w:rPr>
          <w:sz w:val="20"/>
          <w:szCs w:val="20"/>
        </w:rPr>
      </w:pPr>
      <w:r>
        <w:rPr>
          <w:sz w:val="20"/>
          <w:szCs w:val="20"/>
        </w:rPr>
        <w:t> </w:t>
      </w:r>
    </w:p>
    <w:p w14:paraId="31CD713A" w14:textId="77777777" w:rsidR="00000000" w:rsidRDefault="00D6065B">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QUARTERLY REPORT PURSUANT TO SECTION 13 OR</w:t>
      </w:r>
      <w:r>
        <w:rPr>
          <w:sz w:val="20"/>
          <w:szCs w:val="20"/>
        </w:rPr>
        <w:t xml:space="preserve"> 15(d) OF THE SECURITIES EXCHANGE ACT OF 1934</w:t>
      </w:r>
    </w:p>
    <w:p w14:paraId="317D9104" w14:textId="77777777" w:rsidR="00000000" w:rsidRDefault="00D6065B">
      <w:pPr>
        <w:pStyle w:val="a3"/>
        <w:spacing w:before="0" w:beforeAutospacing="0" w:after="0" w:afterAutospacing="0"/>
        <w:jc w:val="center"/>
        <w:rPr>
          <w:sz w:val="20"/>
          <w:szCs w:val="20"/>
        </w:rPr>
      </w:pPr>
      <w:r>
        <w:rPr>
          <w:sz w:val="20"/>
          <w:szCs w:val="20"/>
        </w:rPr>
        <w:t> </w:t>
      </w:r>
    </w:p>
    <w:p w14:paraId="39312337" w14:textId="77777777" w:rsidR="00000000" w:rsidRDefault="00D6065B">
      <w:pPr>
        <w:pStyle w:val="a3"/>
        <w:spacing w:before="0" w:beforeAutospacing="0" w:after="0" w:afterAutospacing="0"/>
        <w:jc w:val="both"/>
        <w:rPr>
          <w:sz w:val="20"/>
          <w:szCs w:val="20"/>
        </w:rPr>
      </w:pPr>
      <w:r>
        <w:rPr>
          <w:sz w:val="20"/>
          <w:szCs w:val="20"/>
        </w:rPr>
        <w:t>FOR THE QUARTERLY PERIOD ENDED:</w:t>
      </w:r>
      <w:r>
        <w:rPr>
          <w:sz w:val="20"/>
          <w:szCs w:val="20"/>
        </w:rPr>
        <w:t xml:space="preserve"> </w:t>
      </w:r>
      <w:r>
        <w:rPr>
          <w:sz w:val="20"/>
          <w:szCs w:val="20"/>
        </w:rPr>
        <w:t>June 30, 202</w:t>
      </w:r>
      <w:r>
        <w:rPr>
          <w:sz w:val="20"/>
          <w:szCs w:val="20"/>
        </w:rPr>
        <w:t>1</w:t>
      </w:r>
    </w:p>
    <w:p w14:paraId="2D20C9E0" w14:textId="77777777" w:rsidR="00000000" w:rsidRDefault="00D6065B">
      <w:pPr>
        <w:pStyle w:val="a3"/>
        <w:spacing w:before="0" w:beforeAutospacing="0" w:after="0" w:afterAutospacing="0"/>
        <w:jc w:val="center"/>
        <w:rPr>
          <w:sz w:val="20"/>
          <w:szCs w:val="20"/>
        </w:rPr>
      </w:pPr>
      <w:r>
        <w:rPr>
          <w:sz w:val="20"/>
          <w:szCs w:val="20"/>
        </w:rPr>
        <w:t> </w:t>
      </w:r>
    </w:p>
    <w:p w14:paraId="5DED687F" w14:textId="77777777" w:rsidR="00000000" w:rsidRDefault="00D6065B">
      <w:pPr>
        <w:pStyle w:val="a3"/>
        <w:spacing w:before="0" w:beforeAutospacing="0" w:after="0" w:afterAutospacing="0"/>
        <w:jc w:val="both"/>
        <w:rPr>
          <w:sz w:val="20"/>
          <w:szCs w:val="20"/>
        </w:rPr>
      </w:pPr>
      <w:r>
        <w:rPr>
          <w:sz w:val="20"/>
          <w:szCs w:val="20"/>
        </w:rPr>
        <w:t>OR</w:t>
      </w:r>
    </w:p>
    <w:p w14:paraId="77CEACF8" w14:textId="77777777" w:rsidR="00000000" w:rsidRDefault="00D6065B">
      <w:pPr>
        <w:pStyle w:val="a3"/>
        <w:spacing w:before="0" w:beforeAutospacing="0" w:after="0" w:afterAutospacing="0"/>
        <w:jc w:val="center"/>
        <w:rPr>
          <w:sz w:val="20"/>
          <w:szCs w:val="20"/>
        </w:rPr>
      </w:pPr>
      <w:r>
        <w:rPr>
          <w:sz w:val="20"/>
          <w:szCs w:val="20"/>
        </w:rPr>
        <w:t> </w:t>
      </w:r>
    </w:p>
    <w:p w14:paraId="4ECEA852" w14:textId="77777777" w:rsidR="00000000" w:rsidRDefault="00D6065B">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TRANSITION REPORT UNDER SECTION 13 OR 15(d) OF THE SECURITIES EXCHANGE ACT OF 1934</w:t>
      </w:r>
    </w:p>
    <w:p w14:paraId="691C1FF0" w14:textId="77777777" w:rsidR="00000000" w:rsidRDefault="00D6065B">
      <w:pPr>
        <w:pStyle w:val="a3"/>
        <w:spacing w:before="0" w:beforeAutospacing="0" w:after="0" w:afterAutospacing="0"/>
        <w:jc w:val="center"/>
        <w:rPr>
          <w:sz w:val="20"/>
          <w:szCs w:val="20"/>
        </w:rPr>
      </w:pPr>
      <w:r>
        <w:rPr>
          <w:sz w:val="20"/>
          <w:szCs w:val="20"/>
        </w:rPr>
        <w:t> </w:t>
      </w:r>
    </w:p>
    <w:p w14:paraId="77022555" w14:textId="77777777" w:rsidR="00000000" w:rsidRDefault="00D6065B">
      <w:pPr>
        <w:pStyle w:val="a3"/>
        <w:spacing w:before="0" w:beforeAutospacing="0" w:after="0" w:afterAutospacing="0"/>
        <w:jc w:val="both"/>
        <w:rPr>
          <w:sz w:val="20"/>
          <w:szCs w:val="20"/>
        </w:rPr>
      </w:pPr>
      <w:r>
        <w:rPr>
          <w:sz w:val="20"/>
          <w:szCs w:val="20"/>
        </w:rPr>
        <w:t>FOR THE TRANSITION PERIOD FROM __________ TO __________</w:t>
      </w:r>
    </w:p>
    <w:p w14:paraId="285F2458" w14:textId="77777777" w:rsidR="00000000" w:rsidRDefault="00D6065B">
      <w:pPr>
        <w:pStyle w:val="a3"/>
        <w:spacing w:before="0" w:beforeAutospacing="0" w:after="0" w:afterAutospacing="0"/>
        <w:jc w:val="center"/>
        <w:rPr>
          <w:sz w:val="20"/>
          <w:szCs w:val="20"/>
        </w:rPr>
      </w:pPr>
      <w:r>
        <w:rPr>
          <w:sz w:val="20"/>
          <w:szCs w:val="20"/>
        </w:rPr>
        <w:t> </w:t>
      </w:r>
    </w:p>
    <w:p w14:paraId="6501FE30" w14:textId="77777777" w:rsidR="00000000" w:rsidRDefault="00D6065B">
      <w:pPr>
        <w:pStyle w:val="a3"/>
        <w:spacing w:before="0" w:beforeAutospacing="0" w:after="0" w:afterAutospacing="0"/>
        <w:jc w:val="center"/>
        <w:rPr>
          <w:sz w:val="20"/>
          <w:szCs w:val="20"/>
        </w:rPr>
      </w:pPr>
      <w:r>
        <w:rPr>
          <w:sz w:val="20"/>
          <w:szCs w:val="20"/>
        </w:rPr>
        <w:t>COMMISSION</w:t>
      </w:r>
      <w:r>
        <w:rPr>
          <w:sz w:val="20"/>
          <w:szCs w:val="20"/>
        </w:rPr>
        <w:t xml:space="preserve"> FILE NUMBER</w:t>
      </w:r>
      <w:r>
        <w:rPr>
          <w:sz w:val="20"/>
          <w:szCs w:val="20"/>
        </w:rPr>
        <w:t xml:space="preserve"> </w:t>
      </w:r>
      <w:r>
        <w:rPr>
          <w:b/>
          <w:bCs/>
          <w:sz w:val="20"/>
          <w:szCs w:val="20"/>
          <w:u w:val="single"/>
        </w:rPr>
        <w:t>000-5349</w:t>
      </w:r>
      <w:r>
        <w:rPr>
          <w:b/>
          <w:bCs/>
          <w:sz w:val="20"/>
          <w:szCs w:val="20"/>
          <w:u w:val="single"/>
        </w:rPr>
        <w:t>7</w:t>
      </w:r>
    </w:p>
    <w:p w14:paraId="18815673" w14:textId="77777777" w:rsidR="00000000" w:rsidRDefault="00D6065B">
      <w:pPr>
        <w:pStyle w:val="a3"/>
        <w:spacing w:before="0" w:beforeAutospacing="0" w:after="0" w:afterAutospacing="0"/>
        <w:jc w:val="center"/>
        <w:rPr>
          <w:sz w:val="20"/>
          <w:szCs w:val="20"/>
        </w:rPr>
      </w:pPr>
      <w:r>
        <w:rPr>
          <w:sz w:val="20"/>
          <w:szCs w:val="20"/>
        </w:rPr>
        <w:t> </w:t>
      </w:r>
    </w:p>
    <w:p w14:paraId="34DE398B" w14:textId="77777777" w:rsidR="00000000" w:rsidRDefault="00D6065B">
      <w:pPr>
        <w:pStyle w:val="a3"/>
        <w:spacing w:before="0" w:beforeAutospacing="0" w:after="0" w:afterAutospacing="0"/>
        <w:jc w:val="center"/>
        <w:rPr>
          <w:sz w:val="20"/>
          <w:szCs w:val="20"/>
        </w:rPr>
      </w:pPr>
      <w:r>
        <w:rPr>
          <w:b/>
          <w:bCs/>
          <w:sz w:val="36"/>
          <w:szCs w:val="36"/>
        </w:rPr>
        <w:t>VIVOS IN</w:t>
      </w:r>
      <w:r>
        <w:rPr>
          <w:b/>
          <w:bCs/>
          <w:sz w:val="36"/>
          <w:szCs w:val="36"/>
        </w:rPr>
        <w:t>C</w:t>
      </w:r>
    </w:p>
    <w:p w14:paraId="4C525313" w14:textId="77777777" w:rsidR="00000000" w:rsidRDefault="00D6065B">
      <w:pPr>
        <w:pStyle w:val="a3"/>
        <w:spacing w:before="0" w:beforeAutospacing="0" w:after="0" w:afterAutospacing="0"/>
        <w:jc w:val="center"/>
        <w:rPr>
          <w:sz w:val="20"/>
          <w:szCs w:val="20"/>
        </w:rPr>
      </w:pPr>
      <w:r>
        <w:rPr>
          <w:sz w:val="20"/>
          <w:szCs w:val="20"/>
        </w:rPr>
        <w:t>(Exact name of registrant as specified in its charter)</w:t>
      </w:r>
    </w:p>
    <w:p w14:paraId="0D49E7FB"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025A5CEE" w14:textId="77777777">
        <w:tc>
          <w:tcPr>
            <w:tcW w:w="2450" w:type="pct"/>
            <w:tcBorders>
              <w:bottom w:val="single" w:sz="12" w:space="0" w:color="000000"/>
            </w:tcBorders>
            <w:hideMark/>
          </w:tcPr>
          <w:p w14:paraId="6755471F" w14:textId="77777777" w:rsidR="00000000" w:rsidRDefault="00D6065B">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14:paraId="4D966047" w14:textId="77777777" w:rsidR="00000000" w:rsidRDefault="00D6065B">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1CF872D7" w14:textId="77777777" w:rsidR="00000000" w:rsidRDefault="00D6065B">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14:paraId="110D3130" w14:textId="77777777">
        <w:tc>
          <w:tcPr>
            <w:tcW w:w="0" w:type="auto"/>
            <w:hideMark/>
          </w:tcPr>
          <w:p w14:paraId="5FABBA20" w14:textId="77777777" w:rsidR="00000000" w:rsidRDefault="00D6065B">
            <w:pPr>
              <w:pStyle w:val="a3"/>
              <w:spacing w:before="0" w:beforeAutospacing="0" w:after="0" w:afterAutospacing="0"/>
              <w:jc w:val="center"/>
              <w:rPr>
                <w:sz w:val="20"/>
                <w:szCs w:val="20"/>
              </w:rPr>
            </w:pPr>
            <w:r>
              <w:rPr>
                <w:sz w:val="20"/>
                <w:szCs w:val="20"/>
              </w:rPr>
              <w:t>(State or other jurisdiction of</w:t>
            </w:r>
          </w:p>
          <w:p w14:paraId="5A104926" w14:textId="77777777" w:rsidR="00000000" w:rsidRDefault="00D6065B">
            <w:pPr>
              <w:pStyle w:val="a3"/>
              <w:spacing w:before="0" w:beforeAutospacing="0" w:after="0" w:afterAutospacing="0"/>
              <w:jc w:val="center"/>
              <w:rPr>
                <w:sz w:val="20"/>
                <w:szCs w:val="20"/>
              </w:rPr>
            </w:pPr>
            <w:r>
              <w:rPr>
                <w:sz w:val="20"/>
                <w:szCs w:val="20"/>
              </w:rPr>
              <w:t>incorporation or organization)</w:t>
            </w:r>
          </w:p>
        </w:tc>
        <w:tc>
          <w:tcPr>
            <w:tcW w:w="0" w:type="auto"/>
            <w:hideMark/>
          </w:tcPr>
          <w:p w14:paraId="3DD31A63" w14:textId="77777777" w:rsidR="00000000" w:rsidRDefault="00D6065B">
            <w:pPr>
              <w:jc w:val="center"/>
              <w:rPr>
                <w:rFonts w:eastAsia="Times New Roman"/>
                <w:sz w:val="20"/>
                <w:szCs w:val="20"/>
              </w:rPr>
            </w:pPr>
            <w:r>
              <w:rPr>
                <w:rFonts w:eastAsia="Times New Roman"/>
                <w:sz w:val="20"/>
                <w:szCs w:val="20"/>
              </w:rPr>
              <w:t> </w:t>
            </w:r>
          </w:p>
        </w:tc>
        <w:tc>
          <w:tcPr>
            <w:tcW w:w="0" w:type="auto"/>
            <w:hideMark/>
          </w:tcPr>
          <w:p w14:paraId="66A80ACD" w14:textId="77777777" w:rsidR="00000000" w:rsidRDefault="00D6065B">
            <w:pPr>
              <w:pStyle w:val="a3"/>
              <w:spacing w:before="0" w:beforeAutospacing="0" w:after="0" w:afterAutospacing="0"/>
              <w:jc w:val="center"/>
              <w:rPr>
                <w:sz w:val="20"/>
                <w:szCs w:val="20"/>
              </w:rPr>
            </w:pPr>
            <w:r>
              <w:rPr>
                <w:sz w:val="20"/>
                <w:szCs w:val="20"/>
              </w:rPr>
              <w:t>(I.R.S. Employer</w:t>
            </w:r>
          </w:p>
          <w:p w14:paraId="57B33536" w14:textId="77777777" w:rsidR="00000000" w:rsidRDefault="00D6065B">
            <w:pPr>
              <w:pStyle w:val="a3"/>
              <w:spacing w:before="0" w:beforeAutospacing="0" w:after="0" w:afterAutospacing="0"/>
              <w:jc w:val="center"/>
              <w:rPr>
                <w:sz w:val="20"/>
                <w:szCs w:val="20"/>
              </w:rPr>
            </w:pPr>
            <w:r>
              <w:rPr>
                <w:sz w:val="20"/>
                <w:szCs w:val="20"/>
              </w:rPr>
              <w:t>Identification No.)</w:t>
            </w:r>
          </w:p>
        </w:tc>
      </w:tr>
    </w:tbl>
    <w:p w14:paraId="4224A660" w14:textId="77777777" w:rsidR="00000000" w:rsidRDefault="00D6065B">
      <w:pPr>
        <w:pStyle w:val="a3"/>
        <w:spacing w:before="0" w:beforeAutospacing="0" w:after="0" w:afterAutospacing="0"/>
        <w:jc w:val="center"/>
        <w:rPr>
          <w:sz w:val="20"/>
          <w:szCs w:val="20"/>
        </w:rPr>
      </w:pPr>
      <w:r>
        <w:rPr>
          <w:sz w:val="20"/>
          <w:szCs w:val="20"/>
        </w:rPr>
        <w:t> </w:t>
      </w:r>
    </w:p>
    <w:p w14:paraId="130F8399" w14:textId="77777777" w:rsidR="00000000" w:rsidRDefault="00D6065B">
      <w:pPr>
        <w:pStyle w:val="a3"/>
        <w:spacing w:before="0" w:beforeAutospacing="0" w:after="0" w:afterAutospacing="0"/>
        <w:jc w:val="center"/>
        <w:rPr>
          <w:sz w:val="20"/>
          <w:szCs w:val="20"/>
        </w:rPr>
      </w:pPr>
      <w:r>
        <w:rPr>
          <w:b/>
          <w:bCs/>
          <w:sz w:val="20"/>
          <w:szCs w:val="20"/>
        </w:rPr>
        <w:t>719 Jadwin Avenu</w:t>
      </w:r>
      <w:r>
        <w:rPr>
          <w:b/>
          <w:bCs/>
          <w:sz w:val="20"/>
          <w:szCs w:val="20"/>
        </w:rPr>
        <w:t>e</w:t>
      </w:r>
      <w:r>
        <w:rPr>
          <w:b/>
          <w:bCs/>
          <w:sz w:val="20"/>
          <w:szCs w:val="20"/>
        </w:rPr>
        <w:t>,</w:t>
      </w:r>
    </w:p>
    <w:p w14:paraId="55384C70" w14:textId="77777777" w:rsidR="00000000" w:rsidRDefault="00D6065B">
      <w:pPr>
        <w:pStyle w:val="a3"/>
        <w:spacing w:before="0" w:beforeAutospacing="0" w:after="0" w:afterAutospacing="0"/>
        <w:jc w:val="center"/>
        <w:rPr>
          <w:sz w:val="20"/>
          <w:szCs w:val="20"/>
        </w:rPr>
      </w:pPr>
      <w:r>
        <w:rPr>
          <w:b/>
          <w:bCs/>
          <w:sz w:val="20"/>
          <w:szCs w:val="20"/>
        </w:rPr>
        <w:t>Richlan</w:t>
      </w:r>
      <w:r>
        <w:rPr>
          <w:b/>
          <w:bCs/>
          <w:sz w:val="20"/>
          <w:szCs w:val="20"/>
        </w:rPr>
        <w:t>d</w:t>
      </w:r>
      <w:r>
        <w:rPr>
          <w:b/>
          <w:bCs/>
          <w:sz w:val="20"/>
          <w:szCs w:val="20"/>
        </w:rPr>
        <w:t>,</w:t>
      </w:r>
      <w:r>
        <w:rPr>
          <w:b/>
          <w:bCs/>
          <w:sz w:val="20"/>
          <w:szCs w:val="20"/>
        </w:rPr>
        <w:t xml:space="preserve"> </w:t>
      </w:r>
      <w:r>
        <w:rPr>
          <w:b/>
          <w:bCs/>
          <w:sz w:val="20"/>
          <w:szCs w:val="20"/>
        </w:rPr>
        <w:t>W</w:t>
      </w:r>
      <w:r>
        <w:rPr>
          <w:b/>
          <w:bCs/>
          <w:sz w:val="20"/>
          <w:szCs w:val="20"/>
        </w:rPr>
        <w:t>A</w:t>
      </w:r>
      <w:r>
        <w:rPr>
          <w:b/>
          <w:bCs/>
          <w:sz w:val="20"/>
          <w:szCs w:val="20"/>
        </w:rPr>
        <w:t xml:space="preserve"> </w:t>
      </w:r>
      <w:r>
        <w:rPr>
          <w:b/>
          <w:bCs/>
          <w:sz w:val="20"/>
          <w:szCs w:val="20"/>
        </w:rPr>
        <w:t>9935</w:t>
      </w:r>
      <w:r>
        <w:rPr>
          <w:b/>
          <w:bCs/>
          <w:sz w:val="20"/>
          <w:szCs w:val="20"/>
        </w:rPr>
        <w:t>2</w:t>
      </w:r>
    </w:p>
    <w:p w14:paraId="6BD945F1" w14:textId="77777777" w:rsidR="00000000" w:rsidRDefault="00D6065B">
      <w:pPr>
        <w:pStyle w:val="a3"/>
        <w:spacing w:before="0" w:beforeAutospacing="0" w:after="0" w:afterAutospacing="0"/>
        <w:jc w:val="center"/>
        <w:rPr>
          <w:sz w:val="20"/>
          <w:szCs w:val="20"/>
        </w:rPr>
      </w:pPr>
      <w:r>
        <w:rPr>
          <w:sz w:val="20"/>
          <w:szCs w:val="20"/>
        </w:rPr>
        <w:t>(Address of principal executive offices, Zip Code)</w:t>
      </w:r>
    </w:p>
    <w:p w14:paraId="095D25EA" w14:textId="77777777" w:rsidR="00000000" w:rsidRDefault="00D6065B">
      <w:pPr>
        <w:pStyle w:val="a3"/>
        <w:spacing w:before="0" w:beforeAutospacing="0" w:after="0" w:afterAutospacing="0"/>
        <w:jc w:val="center"/>
        <w:rPr>
          <w:sz w:val="20"/>
          <w:szCs w:val="20"/>
        </w:rPr>
      </w:pPr>
      <w:r>
        <w:rPr>
          <w:sz w:val="20"/>
          <w:szCs w:val="20"/>
        </w:rPr>
        <w:t> </w:t>
      </w:r>
    </w:p>
    <w:p w14:paraId="5584431F" w14:textId="77777777" w:rsidR="00000000" w:rsidRDefault="00D6065B">
      <w:pPr>
        <w:pStyle w:val="a3"/>
        <w:spacing w:before="0" w:beforeAutospacing="0" w:after="0" w:afterAutospacing="0"/>
        <w:jc w:val="center"/>
        <w:rPr>
          <w:sz w:val="20"/>
          <w:szCs w:val="20"/>
        </w:rPr>
      </w:pPr>
      <w:r>
        <w:rPr>
          <w:b/>
          <w:bCs/>
          <w:sz w:val="20"/>
          <w:szCs w:val="20"/>
        </w:rPr>
        <w:t>(509</w:t>
      </w:r>
      <w:r>
        <w:rPr>
          <w:b/>
          <w:bCs/>
          <w:sz w:val="20"/>
          <w:szCs w:val="20"/>
        </w:rPr>
        <w:t>)</w:t>
      </w:r>
      <w:r>
        <w:rPr>
          <w:b/>
          <w:bCs/>
          <w:sz w:val="20"/>
          <w:szCs w:val="20"/>
        </w:rPr>
        <w:t xml:space="preserve"> </w:t>
      </w:r>
      <w:r>
        <w:rPr>
          <w:b/>
          <w:bCs/>
          <w:sz w:val="20"/>
          <w:szCs w:val="20"/>
        </w:rPr>
        <w:t>736-400</w:t>
      </w:r>
      <w:r>
        <w:rPr>
          <w:b/>
          <w:bCs/>
          <w:sz w:val="20"/>
          <w:szCs w:val="20"/>
        </w:rPr>
        <w:t>0</w:t>
      </w:r>
    </w:p>
    <w:p w14:paraId="4E0FD02E" w14:textId="77777777" w:rsidR="00000000" w:rsidRDefault="00D6065B">
      <w:pPr>
        <w:pStyle w:val="a3"/>
        <w:spacing w:before="0" w:beforeAutospacing="0" w:after="0" w:afterAutospacing="0"/>
        <w:jc w:val="center"/>
        <w:rPr>
          <w:sz w:val="20"/>
          <w:szCs w:val="20"/>
        </w:rPr>
      </w:pPr>
      <w:r>
        <w:rPr>
          <w:sz w:val="20"/>
          <w:szCs w:val="20"/>
        </w:rPr>
        <w:t>(Registrant’s telephone number, including area code)</w:t>
      </w:r>
    </w:p>
    <w:p w14:paraId="4FB25F55" w14:textId="77777777" w:rsidR="00000000" w:rsidRDefault="00D6065B">
      <w:pPr>
        <w:pStyle w:val="a3"/>
        <w:spacing w:before="0" w:beforeAutospacing="0" w:after="0" w:afterAutospacing="0"/>
        <w:jc w:val="center"/>
        <w:rPr>
          <w:sz w:val="20"/>
          <w:szCs w:val="20"/>
        </w:rPr>
      </w:pPr>
      <w:r>
        <w:rPr>
          <w:sz w:val="20"/>
          <w:szCs w:val="20"/>
        </w:rPr>
        <w:t> </w:t>
      </w:r>
    </w:p>
    <w:p w14:paraId="09002BEE" w14:textId="77777777" w:rsidR="00000000" w:rsidRDefault="00D6065B">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w:t>
      </w:r>
      <w:r>
        <w:rPr>
          <w:sz w:val="20"/>
          <w:szCs w:val="20"/>
        </w:rPr>
        <w:t xml:space="preserve"> </w:t>
      </w:r>
      <w:r>
        <w:rPr>
          <w:rFonts w:ascii="Segoe UI Symbol" w:hAnsi="Segoe UI Symbol" w:cs="Segoe UI Symbol"/>
          <w:sz w:val="20"/>
          <w:szCs w:val="20"/>
        </w:rPr>
        <w:t>☒</w:t>
      </w:r>
    </w:p>
    <w:p w14:paraId="66A1FA16" w14:textId="77777777" w:rsidR="00000000" w:rsidRDefault="00D6065B">
      <w:pPr>
        <w:pStyle w:val="a3"/>
        <w:spacing w:before="0" w:beforeAutospacing="0" w:after="0" w:afterAutospacing="0"/>
        <w:jc w:val="center"/>
        <w:rPr>
          <w:sz w:val="20"/>
          <w:szCs w:val="20"/>
        </w:rPr>
      </w:pPr>
      <w:r>
        <w:rPr>
          <w:sz w:val="20"/>
          <w:szCs w:val="20"/>
        </w:rPr>
        <w:t> </w:t>
      </w:r>
    </w:p>
    <w:p w14:paraId="6F0419C5" w14:textId="77777777" w:rsidR="00000000" w:rsidRDefault="00D6065B">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B5D9D78" w14:textId="77777777" w:rsidR="00000000" w:rsidRDefault="00D6065B">
      <w:pPr>
        <w:pStyle w:val="a3"/>
        <w:spacing w:before="0" w:beforeAutospacing="0" w:after="0" w:afterAutospacing="0"/>
        <w:jc w:val="center"/>
        <w:rPr>
          <w:sz w:val="20"/>
          <w:szCs w:val="20"/>
        </w:rPr>
      </w:pPr>
      <w:r>
        <w:rPr>
          <w:sz w:val="20"/>
          <w:szCs w:val="20"/>
        </w:rPr>
        <w:t> </w:t>
      </w:r>
    </w:p>
    <w:p w14:paraId="216EC4A9" w14:textId="77777777" w:rsidR="00000000" w:rsidRDefault="00D6065B">
      <w:pPr>
        <w:pStyle w:val="a3"/>
        <w:spacing w:before="0" w:beforeAutospacing="0" w:after="0" w:afterAutospacing="0"/>
        <w:jc w:val="both"/>
        <w:rPr>
          <w:sz w:val="20"/>
          <w:szCs w:val="20"/>
        </w:rPr>
      </w:pPr>
      <w:r>
        <w:rPr>
          <w:sz w:val="20"/>
          <w:szCs w:val="20"/>
        </w:rPr>
        <w:t>In</w:t>
      </w:r>
      <w:r>
        <w:rPr>
          <w:sz w:val="20"/>
          <w:szCs w:val="20"/>
        </w:rPr>
        <w:t>dicate by check mark whether the registrant (1) has filed all reports required to be filed by Section 13 or 15(d) of the Securities Exchange Act of 1934 during the preceding 12 months (or for such shorter period that the registrant was required to file suc</w:t>
      </w:r>
      <w:r>
        <w:rPr>
          <w:sz w:val="20"/>
          <w:szCs w:val="20"/>
        </w:rPr>
        <w:t>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17B467C" w14:textId="77777777" w:rsidR="00000000" w:rsidRDefault="00D6065B">
      <w:pPr>
        <w:pStyle w:val="a3"/>
        <w:spacing w:before="0" w:beforeAutospacing="0" w:after="0" w:afterAutospacing="0"/>
        <w:jc w:val="center"/>
        <w:rPr>
          <w:sz w:val="20"/>
          <w:szCs w:val="20"/>
        </w:rPr>
      </w:pPr>
      <w:r>
        <w:rPr>
          <w:sz w:val="20"/>
          <w:szCs w:val="20"/>
        </w:rPr>
        <w:t> </w:t>
      </w:r>
    </w:p>
    <w:p w14:paraId="614BDAA3" w14:textId="77777777" w:rsidR="00000000" w:rsidRDefault="00D6065B">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w:t>
      </w:r>
      <w:r>
        <w:rPr>
          <w:sz w:val="20"/>
          <w:szCs w:val="20"/>
        </w:rPr>
        <w:t>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60F8604" w14:textId="77777777" w:rsidR="00000000" w:rsidRDefault="00D6065B">
      <w:pPr>
        <w:pStyle w:val="a3"/>
        <w:spacing w:before="0" w:beforeAutospacing="0" w:after="0" w:afterAutospacing="0"/>
        <w:jc w:val="center"/>
        <w:rPr>
          <w:sz w:val="20"/>
          <w:szCs w:val="20"/>
        </w:rPr>
      </w:pPr>
      <w:r>
        <w:rPr>
          <w:sz w:val="20"/>
          <w:szCs w:val="20"/>
        </w:rPr>
        <w:t> </w:t>
      </w:r>
    </w:p>
    <w:p w14:paraId="0C952963" w14:textId="77777777" w:rsidR="00000000" w:rsidRDefault="00D6065B">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w:t>
      </w:r>
      <w:r>
        <w:rPr>
          <w:sz w:val="20"/>
          <w:szCs w:val="20"/>
        </w:rPr>
        <w:t xml:space="preserve">iler, or a smaller reporting company. See the definitions of “large accelerated filer,” </w:t>
      </w:r>
      <w:r>
        <w:rPr>
          <w:sz w:val="20"/>
          <w:szCs w:val="20"/>
        </w:rPr>
        <w:lastRenderedPageBreak/>
        <w:t>“accelerated filer”, “smaller reporting company”, and “emerging growth company” in Rule 12b-2 of the Exchange Act. (Check one):</w:t>
      </w:r>
    </w:p>
    <w:p w14:paraId="51617DF3"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14:paraId="0E2B2920" w14:textId="77777777">
        <w:tc>
          <w:tcPr>
            <w:tcW w:w="750" w:type="pct"/>
            <w:hideMark/>
          </w:tcPr>
          <w:p w14:paraId="2429BBF4" w14:textId="77777777" w:rsidR="00000000" w:rsidRDefault="00D6065B">
            <w:pPr>
              <w:rPr>
                <w:rFonts w:eastAsia="Times New Roman"/>
                <w:sz w:val="20"/>
                <w:szCs w:val="20"/>
              </w:rPr>
            </w:pPr>
            <w:r>
              <w:rPr>
                <w:rFonts w:eastAsia="Times New Roman"/>
                <w:sz w:val="20"/>
                <w:szCs w:val="20"/>
              </w:rPr>
              <w:t> </w:t>
            </w:r>
          </w:p>
        </w:tc>
        <w:tc>
          <w:tcPr>
            <w:tcW w:w="1750" w:type="pct"/>
            <w:hideMark/>
          </w:tcPr>
          <w:p w14:paraId="701C4FF6" w14:textId="77777777" w:rsidR="00000000" w:rsidRDefault="00D6065B">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750" w:type="pct"/>
            <w:hideMark/>
          </w:tcPr>
          <w:p w14:paraId="093485C9" w14:textId="77777777" w:rsidR="00000000" w:rsidRDefault="00D6065B">
            <w:pPr>
              <w:rPr>
                <w:rFonts w:eastAsia="Times New Roman"/>
                <w:sz w:val="20"/>
                <w:szCs w:val="20"/>
              </w:rPr>
            </w:pPr>
            <w:r>
              <w:rPr>
                <w:rFonts w:eastAsia="Times New Roman"/>
                <w:sz w:val="20"/>
                <w:szCs w:val="20"/>
              </w:rPr>
              <w:t>Accelerate</w:t>
            </w:r>
            <w:r>
              <w:rPr>
                <w:rFonts w:eastAsia="Times New Roman"/>
                <w:sz w:val="20"/>
                <w:szCs w:val="20"/>
              </w:rPr>
              <w:t xml:space="preserve">d filer </w:t>
            </w:r>
            <w:r>
              <w:rPr>
                <w:rFonts w:ascii="Segoe UI Symbol" w:eastAsia="Times New Roman" w:hAnsi="Segoe UI Symbol" w:cs="Segoe UI Symbol"/>
                <w:sz w:val="20"/>
                <w:szCs w:val="20"/>
              </w:rPr>
              <w:t>☐</w:t>
            </w:r>
          </w:p>
        </w:tc>
        <w:tc>
          <w:tcPr>
            <w:tcW w:w="750" w:type="pct"/>
            <w:hideMark/>
          </w:tcPr>
          <w:p w14:paraId="3EFD1569" w14:textId="77777777" w:rsidR="00000000" w:rsidRDefault="00D6065B">
            <w:pPr>
              <w:rPr>
                <w:rFonts w:eastAsia="Times New Roman"/>
                <w:sz w:val="20"/>
                <w:szCs w:val="20"/>
              </w:rPr>
            </w:pPr>
            <w:r>
              <w:rPr>
                <w:rFonts w:eastAsia="Times New Roman"/>
                <w:sz w:val="20"/>
                <w:szCs w:val="20"/>
              </w:rPr>
              <w:t> </w:t>
            </w:r>
          </w:p>
        </w:tc>
      </w:tr>
      <w:tr w:rsidR="00000000" w14:paraId="4120929C" w14:textId="77777777">
        <w:tc>
          <w:tcPr>
            <w:tcW w:w="0" w:type="auto"/>
            <w:hideMark/>
          </w:tcPr>
          <w:p w14:paraId="28D56B25" w14:textId="77777777" w:rsidR="00000000" w:rsidRDefault="00D6065B">
            <w:pPr>
              <w:rPr>
                <w:rFonts w:eastAsia="Times New Roman"/>
                <w:sz w:val="20"/>
                <w:szCs w:val="20"/>
              </w:rPr>
            </w:pPr>
            <w:r>
              <w:rPr>
                <w:rFonts w:eastAsia="Times New Roman"/>
                <w:sz w:val="20"/>
                <w:szCs w:val="20"/>
              </w:rPr>
              <w:t> </w:t>
            </w:r>
          </w:p>
        </w:tc>
        <w:tc>
          <w:tcPr>
            <w:tcW w:w="0" w:type="auto"/>
            <w:hideMark/>
          </w:tcPr>
          <w:p w14:paraId="1E7C3EF7" w14:textId="77777777" w:rsidR="00000000" w:rsidRDefault="00D6065B">
            <w:pPr>
              <w:rPr>
                <w:rFonts w:eastAsia="Times New Roman"/>
                <w:sz w:val="20"/>
                <w:szCs w:val="20"/>
              </w:rPr>
            </w:pPr>
            <w:r>
              <w:rPr>
                <w:rFonts w:eastAsia="Times New Roman"/>
                <w:sz w:val="20"/>
                <w:szCs w:val="20"/>
              </w:rPr>
              <w:t> </w:t>
            </w:r>
          </w:p>
        </w:tc>
        <w:tc>
          <w:tcPr>
            <w:tcW w:w="0" w:type="auto"/>
            <w:hideMark/>
          </w:tcPr>
          <w:p w14:paraId="1F883903" w14:textId="77777777" w:rsidR="00000000" w:rsidRDefault="00D6065B">
            <w:pPr>
              <w:rPr>
                <w:rFonts w:eastAsia="Times New Roman"/>
                <w:sz w:val="20"/>
                <w:szCs w:val="20"/>
              </w:rPr>
            </w:pPr>
            <w:r>
              <w:rPr>
                <w:rFonts w:eastAsia="Times New Roman"/>
                <w:sz w:val="20"/>
                <w:szCs w:val="20"/>
              </w:rPr>
              <w:t> </w:t>
            </w:r>
          </w:p>
        </w:tc>
        <w:tc>
          <w:tcPr>
            <w:tcW w:w="0" w:type="auto"/>
            <w:hideMark/>
          </w:tcPr>
          <w:p w14:paraId="47FFF32B" w14:textId="77777777" w:rsidR="00000000" w:rsidRDefault="00D6065B">
            <w:pPr>
              <w:rPr>
                <w:rFonts w:eastAsia="Times New Roman"/>
                <w:sz w:val="20"/>
                <w:szCs w:val="20"/>
              </w:rPr>
            </w:pPr>
            <w:r>
              <w:rPr>
                <w:rFonts w:eastAsia="Times New Roman"/>
                <w:sz w:val="20"/>
                <w:szCs w:val="20"/>
              </w:rPr>
              <w:t> </w:t>
            </w:r>
          </w:p>
        </w:tc>
      </w:tr>
      <w:tr w:rsidR="00000000" w14:paraId="271879CE" w14:textId="77777777">
        <w:tc>
          <w:tcPr>
            <w:tcW w:w="0" w:type="auto"/>
            <w:hideMark/>
          </w:tcPr>
          <w:p w14:paraId="19A54A48" w14:textId="77777777" w:rsidR="00000000" w:rsidRDefault="00D6065B">
            <w:pPr>
              <w:rPr>
                <w:rFonts w:eastAsia="Times New Roman"/>
                <w:sz w:val="20"/>
                <w:szCs w:val="20"/>
              </w:rPr>
            </w:pPr>
            <w:r>
              <w:rPr>
                <w:rFonts w:eastAsia="Times New Roman"/>
                <w:sz w:val="20"/>
                <w:szCs w:val="20"/>
              </w:rPr>
              <w:t> </w:t>
            </w:r>
          </w:p>
        </w:tc>
        <w:tc>
          <w:tcPr>
            <w:tcW w:w="0" w:type="auto"/>
            <w:hideMark/>
          </w:tcPr>
          <w:p w14:paraId="751F7D4D" w14:textId="77777777" w:rsidR="00000000" w:rsidRDefault="00D6065B">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5416E84F" w14:textId="77777777" w:rsidR="00000000" w:rsidRDefault="00D6065B">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0DDB09ED" w14:textId="77777777" w:rsidR="00000000" w:rsidRDefault="00D6065B">
            <w:pPr>
              <w:rPr>
                <w:rFonts w:eastAsia="Times New Roman"/>
                <w:sz w:val="20"/>
                <w:szCs w:val="20"/>
              </w:rPr>
            </w:pPr>
            <w:r>
              <w:rPr>
                <w:rFonts w:eastAsia="Times New Roman"/>
                <w:sz w:val="20"/>
                <w:szCs w:val="20"/>
              </w:rPr>
              <w:t> </w:t>
            </w:r>
          </w:p>
        </w:tc>
      </w:tr>
      <w:tr w:rsidR="00000000" w14:paraId="12A8716E" w14:textId="77777777">
        <w:tc>
          <w:tcPr>
            <w:tcW w:w="0" w:type="auto"/>
            <w:hideMark/>
          </w:tcPr>
          <w:p w14:paraId="710589DB" w14:textId="77777777" w:rsidR="00000000" w:rsidRDefault="00D6065B">
            <w:pPr>
              <w:rPr>
                <w:rFonts w:eastAsia="Times New Roman"/>
                <w:sz w:val="20"/>
                <w:szCs w:val="20"/>
              </w:rPr>
            </w:pPr>
            <w:r>
              <w:rPr>
                <w:rFonts w:eastAsia="Times New Roman"/>
                <w:sz w:val="20"/>
                <w:szCs w:val="20"/>
              </w:rPr>
              <w:t> </w:t>
            </w:r>
          </w:p>
        </w:tc>
        <w:tc>
          <w:tcPr>
            <w:tcW w:w="0" w:type="auto"/>
            <w:hideMark/>
          </w:tcPr>
          <w:p w14:paraId="7C869555" w14:textId="77777777" w:rsidR="00000000" w:rsidRDefault="00D6065B">
            <w:pPr>
              <w:rPr>
                <w:rFonts w:eastAsia="Times New Roman"/>
                <w:sz w:val="20"/>
                <w:szCs w:val="20"/>
              </w:rPr>
            </w:pPr>
            <w:r>
              <w:rPr>
                <w:rFonts w:eastAsia="Times New Roman"/>
                <w:sz w:val="20"/>
                <w:szCs w:val="20"/>
              </w:rPr>
              <w:t> </w:t>
            </w:r>
          </w:p>
        </w:tc>
        <w:tc>
          <w:tcPr>
            <w:tcW w:w="0" w:type="auto"/>
            <w:hideMark/>
          </w:tcPr>
          <w:p w14:paraId="521BEAF8" w14:textId="77777777" w:rsidR="00000000" w:rsidRDefault="00D6065B">
            <w:pPr>
              <w:rPr>
                <w:rFonts w:eastAsia="Times New Roman"/>
                <w:sz w:val="20"/>
                <w:szCs w:val="20"/>
              </w:rPr>
            </w:pPr>
            <w:r>
              <w:rPr>
                <w:rFonts w:eastAsia="Times New Roman"/>
                <w:sz w:val="20"/>
                <w:szCs w:val="20"/>
              </w:rPr>
              <w:t> </w:t>
            </w:r>
          </w:p>
        </w:tc>
        <w:tc>
          <w:tcPr>
            <w:tcW w:w="0" w:type="auto"/>
            <w:hideMark/>
          </w:tcPr>
          <w:p w14:paraId="14120722" w14:textId="77777777" w:rsidR="00000000" w:rsidRDefault="00D6065B">
            <w:pPr>
              <w:rPr>
                <w:rFonts w:eastAsia="Times New Roman"/>
                <w:sz w:val="20"/>
                <w:szCs w:val="20"/>
              </w:rPr>
            </w:pPr>
            <w:r>
              <w:rPr>
                <w:rFonts w:eastAsia="Times New Roman"/>
                <w:sz w:val="20"/>
                <w:szCs w:val="20"/>
              </w:rPr>
              <w:t> </w:t>
            </w:r>
          </w:p>
        </w:tc>
      </w:tr>
      <w:tr w:rsidR="00000000" w14:paraId="00DECF10" w14:textId="77777777">
        <w:tc>
          <w:tcPr>
            <w:tcW w:w="0" w:type="auto"/>
            <w:hideMark/>
          </w:tcPr>
          <w:p w14:paraId="631446C6" w14:textId="77777777" w:rsidR="00000000" w:rsidRDefault="00D6065B">
            <w:pPr>
              <w:rPr>
                <w:rFonts w:eastAsia="Times New Roman"/>
                <w:sz w:val="20"/>
                <w:szCs w:val="20"/>
              </w:rPr>
            </w:pPr>
            <w:r>
              <w:rPr>
                <w:rFonts w:eastAsia="Times New Roman"/>
                <w:sz w:val="20"/>
                <w:szCs w:val="20"/>
              </w:rPr>
              <w:t> </w:t>
            </w:r>
          </w:p>
        </w:tc>
        <w:tc>
          <w:tcPr>
            <w:tcW w:w="0" w:type="auto"/>
            <w:hideMark/>
          </w:tcPr>
          <w:p w14:paraId="1BEC1484" w14:textId="77777777" w:rsidR="00000000" w:rsidRDefault="00D6065B">
            <w:pPr>
              <w:rPr>
                <w:rFonts w:eastAsia="Times New Roman"/>
                <w:sz w:val="20"/>
                <w:szCs w:val="20"/>
              </w:rPr>
            </w:pPr>
            <w:r>
              <w:rPr>
                <w:rFonts w:eastAsia="Times New Roman"/>
                <w:sz w:val="20"/>
                <w:szCs w:val="20"/>
              </w:rPr>
              <w:t> </w:t>
            </w:r>
          </w:p>
        </w:tc>
        <w:tc>
          <w:tcPr>
            <w:tcW w:w="0" w:type="auto"/>
            <w:hideMark/>
          </w:tcPr>
          <w:p w14:paraId="4ADBC5B9" w14:textId="77777777" w:rsidR="00000000" w:rsidRDefault="00D6065B">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6C3D25C4" w14:textId="77777777" w:rsidR="00000000" w:rsidRDefault="00D6065B">
            <w:pPr>
              <w:rPr>
                <w:rFonts w:eastAsia="Times New Roman"/>
                <w:sz w:val="20"/>
                <w:szCs w:val="20"/>
              </w:rPr>
            </w:pPr>
            <w:r>
              <w:rPr>
                <w:rFonts w:eastAsia="Times New Roman"/>
                <w:sz w:val="20"/>
                <w:szCs w:val="20"/>
              </w:rPr>
              <w:t> </w:t>
            </w:r>
          </w:p>
        </w:tc>
      </w:tr>
    </w:tbl>
    <w:p w14:paraId="7EBA39DA" w14:textId="77777777" w:rsidR="00000000" w:rsidRDefault="00D6065B">
      <w:pPr>
        <w:pStyle w:val="a3"/>
        <w:spacing w:before="0" w:beforeAutospacing="0" w:after="0" w:afterAutospacing="0"/>
        <w:jc w:val="center"/>
        <w:rPr>
          <w:sz w:val="20"/>
          <w:szCs w:val="20"/>
        </w:rPr>
      </w:pPr>
      <w:r>
        <w:rPr>
          <w:sz w:val="20"/>
          <w:szCs w:val="20"/>
        </w:rPr>
        <w:t> </w:t>
      </w:r>
    </w:p>
    <w:p w14:paraId="494A645F" w14:textId="77777777" w:rsidR="00000000" w:rsidRDefault="00D6065B">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company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45F95F69" w14:textId="77777777" w:rsidR="00000000" w:rsidRDefault="00D6065B">
      <w:pPr>
        <w:pStyle w:val="a3"/>
        <w:spacing w:before="0" w:beforeAutospacing="0" w:after="0" w:afterAutospacing="0"/>
        <w:jc w:val="center"/>
        <w:rPr>
          <w:sz w:val="20"/>
          <w:szCs w:val="20"/>
        </w:rPr>
      </w:pPr>
      <w:r>
        <w:rPr>
          <w:sz w:val="20"/>
          <w:szCs w:val="20"/>
        </w:rPr>
        <w:t> </w:t>
      </w:r>
    </w:p>
    <w:p w14:paraId="0ACE2341" w14:textId="77777777" w:rsidR="00000000" w:rsidRDefault="00D6065B">
      <w:pPr>
        <w:pStyle w:val="a3"/>
        <w:spacing w:before="0" w:beforeAutospacing="0" w:after="0" w:afterAutospacing="0"/>
        <w:jc w:val="both"/>
        <w:rPr>
          <w:sz w:val="20"/>
          <w:szCs w:val="20"/>
        </w:rPr>
      </w:pPr>
      <w:r>
        <w:rPr>
          <w:sz w:val="20"/>
          <w:szCs w:val="20"/>
        </w:rPr>
        <w:t>Indicat</w:t>
      </w:r>
      <w:r>
        <w:rPr>
          <w:sz w:val="20"/>
          <w:szCs w:val="20"/>
        </w:rPr>
        <w:t xml:space="preserve">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212B1B81" w14:textId="77777777" w:rsidR="00000000" w:rsidRDefault="00D6065B">
      <w:pPr>
        <w:pStyle w:val="a3"/>
        <w:spacing w:before="0" w:beforeAutospacing="0" w:after="0" w:afterAutospacing="0"/>
        <w:jc w:val="center"/>
        <w:rPr>
          <w:sz w:val="20"/>
          <w:szCs w:val="20"/>
        </w:rPr>
      </w:pPr>
      <w:r>
        <w:rPr>
          <w:sz w:val="20"/>
          <w:szCs w:val="20"/>
        </w:rPr>
        <w:t> </w:t>
      </w:r>
    </w:p>
    <w:p w14:paraId="0DCAE1C2" w14:textId="77777777" w:rsidR="00000000" w:rsidRDefault="00D6065B">
      <w:pPr>
        <w:pStyle w:val="a3"/>
        <w:spacing w:before="0" w:beforeAutospacing="0" w:after="0" w:afterAutospacing="0"/>
        <w:ind w:left="219" w:hanging="219"/>
        <w:jc w:val="both"/>
        <w:rPr>
          <w:sz w:val="20"/>
          <w:szCs w:val="20"/>
        </w:rPr>
      </w:pPr>
      <w:r>
        <w:rPr>
          <w:sz w:val="20"/>
          <w:szCs w:val="20"/>
        </w:rPr>
        <w:t>Securities registered pursuant to Section 12(b) of the Act: None</w:t>
      </w:r>
    </w:p>
    <w:p w14:paraId="3B43844D"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2160"/>
        <w:gridCol w:w="166"/>
        <w:gridCol w:w="3156"/>
      </w:tblGrid>
      <w:tr w:rsidR="00000000" w14:paraId="4C9768A3" w14:textId="77777777">
        <w:trPr>
          <w:tblCellSpacing w:w="0" w:type="dxa"/>
        </w:trPr>
        <w:tc>
          <w:tcPr>
            <w:tcW w:w="1600" w:type="pct"/>
            <w:tcBorders>
              <w:bottom w:val="single" w:sz="12" w:space="0" w:color="000000"/>
            </w:tcBorders>
            <w:hideMark/>
          </w:tcPr>
          <w:p w14:paraId="283759FD" w14:textId="77777777" w:rsidR="00000000" w:rsidRDefault="00D6065B">
            <w:pPr>
              <w:jc w:val="center"/>
              <w:rPr>
                <w:rFonts w:eastAsia="Times New Roman"/>
                <w:sz w:val="20"/>
                <w:szCs w:val="20"/>
              </w:rPr>
            </w:pPr>
            <w:r>
              <w:rPr>
                <w:rFonts w:eastAsia="Times New Roman"/>
                <w:b/>
                <w:bCs/>
                <w:sz w:val="20"/>
                <w:szCs w:val="20"/>
              </w:rPr>
              <w:t>Title of Each Class</w:t>
            </w:r>
          </w:p>
        </w:tc>
        <w:tc>
          <w:tcPr>
            <w:tcW w:w="100" w:type="pct"/>
            <w:hideMark/>
          </w:tcPr>
          <w:p w14:paraId="6E83F47B" w14:textId="77777777" w:rsidR="00000000" w:rsidRDefault="00D6065B">
            <w:pPr>
              <w:jc w:val="center"/>
              <w:rPr>
                <w:rFonts w:eastAsia="Times New Roman"/>
                <w:sz w:val="20"/>
                <w:szCs w:val="20"/>
              </w:rPr>
            </w:pPr>
            <w:r>
              <w:rPr>
                <w:rFonts w:eastAsia="Times New Roman"/>
                <w:sz w:val="20"/>
                <w:szCs w:val="20"/>
              </w:rPr>
              <w:t> </w:t>
            </w:r>
          </w:p>
        </w:tc>
        <w:tc>
          <w:tcPr>
            <w:tcW w:w="1300" w:type="pct"/>
            <w:tcBorders>
              <w:bottom w:val="single" w:sz="12" w:space="0" w:color="000000"/>
            </w:tcBorders>
            <w:hideMark/>
          </w:tcPr>
          <w:p w14:paraId="57470E04" w14:textId="77777777" w:rsidR="00000000" w:rsidRDefault="00D6065B">
            <w:pPr>
              <w:jc w:val="center"/>
              <w:rPr>
                <w:rFonts w:eastAsia="Times New Roman"/>
                <w:sz w:val="20"/>
                <w:szCs w:val="20"/>
              </w:rPr>
            </w:pPr>
            <w:r>
              <w:rPr>
                <w:rFonts w:eastAsia="Times New Roman"/>
                <w:b/>
                <w:bCs/>
                <w:sz w:val="20"/>
                <w:szCs w:val="20"/>
              </w:rPr>
              <w:t>Trading Symbol</w:t>
            </w:r>
          </w:p>
        </w:tc>
        <w:tc>
          <w:tcPr>
            <w:tcW w:w="100" w:type="pct"/>
            <w:hideMark/>
          </w:tcPr>
          <w:p w14:paraId="5BF188B1" w14:textId="77777777" w:rsidR="00000000" w:rsidRDefault="00D6065B">
            <w:pPr>
              <w:jc w:val="center"/>
              <w:rPr>
                <w:rFonts w:eastAsia="Times New Roman"/>
                <w:sz w:val="20"/>
                <w:szCs w:val="20"/>
              </w:rPr>
            </w:pPr>
            <w:r>
              <w:rPr>
                <w:rFonts w:eastAsia="Times New Roman"/>
                <w:sz w:val="20"/>
                <w:szCs w:val="20"/>
              </w:rPr>
              <w:t> </w:t>
            </w:r>
          </w:p>
        </w:tc>
        <w:tc>
          <w:tcPr>
            <w:tcW w:w="1900" w:type="pct"/>
            <w:tcBorders>
              <w:bottom w:val="single" w:sz="12" w:space="0" w:color="000000"/>
            </w:tcBorders>
            <w:hideMark/>
          </w:tcPr>
          <w:p w14:paraId="5C15D4F3" w14:textId="77777777" w:rsidR="00000000" w:rsidRDefault="00D6065B">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14:paraId="1BB2C22B" w14:textId="77777777">
        <w:trPr>
          <w:tblCellSpacing w:w="0" w:type="dxa"/>
        </w:trPr>
        <w:tc>
          <w:tcPr>
            <w:tcW w:w="0" w:type="auto"/>
            <w:hideMark/>
          </w:tcPr>
          <w:p w14:paraId="67960071"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009BD6FB" w14:textId="77777777" w:rsidR="00000000" w:rsidRDefault="00D6065B">
            <w:pPr>
              <w:rPr>
                <w:rFonts w:eastAsia="Times New Roman"/>
                <w:sz w:val="20"/>
                <w:szCs w:val="20"/>
              </w:rPr>
            </w:pPr>
            <w:r>
              <w:rPr>
                <w:rFonts w:eastAsia="Times New Roman"/>
                <w:sz w:val="20"/>
                <w:szCs w:val="20"/>
              </w:rPr>
              <w:t> </w:t>
            </w:r>
          </w:p>
        </w:tc>
        <w:tc>
          <w:tcPr>
            <w:tcW w:w="0" w:type="auto"/>
            <w:hideMark/>
          </w:tcPr>
          <w:p w14:paraId="75930C2F"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25475F56" w14:textId="77777777" w:rsidR="00000000" w:rsidRDefault="00D6065B">
            <w:pPr>
              <w:rPr>
                <w:rFonts w:eastAsia="Times New Roman"/>
                <w:sz w:val="20"/>
                <w:szCs w:val="20"/>
              </w:rPr>
            </w:pPr>
            <w:r>
              <w:rPr>
                <w:rFonts w:eastAsia="Times New Roman"/>
                <w:sz w:val="20"/>
                <w:szCs w:val="20"/>
              </w:rPr>
              <w:t> </w:t>
            </w:r>
          </w:p>
        </w:tc>
        <w:tc>
          <w:tcPr>
            <w:tcW w:w="0" w:type="auto"/>
            <w:hideMark/>
          </w:tcPr>
          <w:p w14:paraId="3E2139CA" w14:textId="77777777" w:rsidR="00000000" w:rsidRDefault="00D6065B">
            <w:pPr>
              <w:rPr>
                <w:rFonts w:eastAsia="Times New Roman"/>
                <w:sz w:val="20"/>
                <w:szCs w:val="20"/>
              </w:rPr>
            </w:pPr>
            <w:r>
              <w:rPr>
                <w:rFonts w:eastAsia="Times New Roman"/>
                <w:sz w:val="20"/>
                <w:szCs w:val="20"/>
              </w:rPr>
              <w:t> </w:t>
            </w:r>
          </w:p>
        </w:tc>
      </w:tr>
    </w:tbl>
    <w:p w14:paraId="33CF9F8C" w14:textId="77777777" w:rsidR="00000000" w:rsidRDefault="00D6065B">
      <w:pPr>
        <w:pStyle w:val="a3"/>
        <w:spacing w:before="0" w:beforeAutospacing="0" w:after="0" w:afterAutospacing="0"/>
        <w:jc w:val="center"/>
        <w:rPr>
          <w:sz w:val="20"/>
          <w:szCs w:val="20"/>
        </w:rPr>
      </w:pPr>
      <w:r>
        <w:rPr>
          <w:sz w:val="20"/>
          <w:szCs w:val="20"/>
        </w:rPr>
        <w:t> </w:t>
      </w:r>
    </w:p>
    <w:p w14:paraId="3F2892FA" w14:textId="77777777" w:rsidR="00000000" w:rsidRDefault="00D6065B">
      <w:pPr>
        <w:pStyle w:val="a3"/>
        <w:spacing w:before="0" w:beforeAutospacing="0" w:after="0" w:afterAutospacing="0"/>
        <w:jc w:val="both"/>
        <w:rPr>
          <w:sz w:val="20"/>
          <w:szCs w:val="20"/>
        </w:rPr>
      </w:pPr>
      <w:r>
        <w:rPr>
          <w:sz w:val="20"/>
          <w:szCs w:val="20"/>
        </w:rPr>
        <w:t>As of August 2, 2021, there were</w:t>
      </w:r>
      <w:r>
        <w:rPr>
          <w:sz w:val="20"/>
          <w:szCs w:val="20"/>
        </w:rPr>
        <w:t xml:space="preserve"> </w:t>
      </w:r>
      <w:r>
        <w:rPr>
          <w:sz w:val="20"/>
          <w:szCs w:val="20"/>
        </w:rPr>
        <w:t>334,937,19</w:t>
      </w:r>
      <w:r>
        <w:rPr>
          <w:sz w:val="20"/>
          <w:szCs w:val="20"/>
        </w:rPr>
        <w:t>4</w:t>
      </w:r>
      <w:r>
        <w:rPr>
          <w:sz w:val="20"/>
          <w:szCs w:val="20"/>
        </w:rPr>
        <w:t xml:space="preserve"> shares of the registrant’s common stock outstanding, 2,071,007 shares of the registrant’s Series A Convertible Preferred Stock outstanding, 436,653 of the regis</w:t>
      </w:r>
      <w:r>
        <w:rPr>
          <w:sz w:val="20"/>
          <w:szCs w:val="20"/>
        </w:rPr>
        <w:t>trant’s Series B Convertible Preferred Stock outstanding and 385,302 of the registrant’s Series C Convertible Preferred Stock outstanding.</w:t>
      </w:r>
    </w:p>
    <w:p w14:paraId="129B67DA" w14:textId="77777777" w:rsidR="00000000" w:rsidRDefault="00D6065B">
      <w:pPr>
        <w:pStyle w:val="a3"/>
        <w:spacing w:before="0" w:beforeAutospacing="0" w:after="0" w:afterAutospacing="0"/>
        <w:jc w:val="center"/>
        <w:rPr>
          <w:sz w:val="20"/>
          <w:szCs w:val="20"/>
        </w:rPr>
      </w:pPr>
      <w:r>
        <w:rPr>
          <w:sz w:val="20"/>
          <w:szCs w:val="20"/>
        </w:rPr>
        <w:t> </w:t>
      </w:r>
    </w:p>
    <w:p w14:paraId="6EEBC04D" w14:textId="77777777" w:rsidR="00000000" w:rsidRDefault="00D6065B">
      <w:pPr>
        <w:divId w:val="2102414261"/>
        <w:rPr>
          <w:rFonts w:eastAsia="Times New Roman"/>
          <w:sz w:val="2"/>
          <w:szCs w:val="2"/>
        </w:rPr>
      </w:pPr>
      <w:r>
        <w:rPr>
          <w:rFonts w:eastAsia="Times New Roman"/>
          <w:sz w:val="2"/>
          <w:szCs w:val="2"/>
        </w:rPr>
        <w:t> </w:t>
      </w:r>
    </w:p>
    <w:p w14:paraId="653D4D52"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DA427C" w14:textId="77777777">
        <w:trPr>
          <w:divId w:val="1837914813"/>
        </w:trPr>
        <w:tc>
          <w:tcPr>
            <w:tcW w:w="5000" w:type="pct"/>
            <w:hideMark/>
          </w:tcPr>
          <w:p w14:paraId="7BCC2CA9" w14:textId="77777777" w:rsidR="00000000" w:rsidRDefault="00D6065B">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1E059E24" w14:textId="77777777">
        <w:tc>
          <w:tcPr>
            <w:tcW w:w="5000" w:type="pct"/>
            <w:hideMark/>
          </w:tcPr>
          <w:p w14:paraId="6A3568E2" w14:textId="77777777" w:rsidR="00000000" w:rsidRDefault="00D6065B">
            <w:pPr>
              <w:jc w:val="center"/>
              <w:rPr>
                <w:rFonts w:eastAsia="Times New Roman"/>
                <w:sz w:val="20"/>
                <w:szCs w:val="20"/>
              </w:rPr>
            </w:pPr>
            <w:r>
              <w:rPr>
                <w:rFonts w:eastAsia="Times New Roman"/>
                <w:sz w:val="20"/>
                <w:szCs w:val="20"/>
              </w:rPr>
              <w:t> </w:t>
            </w:r>
          </w:p>
        </w:tc>
      </w:tr>
    </w:tbl>
    <w:p w14:paraId="58907E1A" w14:textId="77777777" w:rsidR="00000000" w:rsidRDefault="00D6065B">
      <w:pPr>
        <w:pStyle w:val="a3"/>
        <w:spacing w:before="0" w:beforeAutospacing="0" w:after="0" w:afterAutospacing="0"/>
        <w:rPr>
          <w:sz w:val="20"/>
          <w:szCs w:val="20"/>
        </w:rPr>
      </w:pPr>
      <w:r>
        <w:rPr>
          <w:sz w:val="20"/>
          <w:szCs w:val="20"/>
        </w:rPr>
        <w:t> </w:t>
      </w:r>
    </w:p>
    <w:p w14:paraId="3A42A009" w14:textId="77777777" w:rsidR="00000000" w:rsidRDefault="00D6065B">
      <w:pPr>
        <w:pStyle w:val="a3"/>
        <w:spacing w:before="0" w:beforeAutospacing="0" w:after="0" w:afterAutospacing="0"/>
        <w:jc w:val="center"/>
        <w:rPr>
          <w:sz w:val="20"/>
          <w:szCs w:val="20"/>
        </w:rPr>
      </w:pPr>
      <w:r>
        <w:rPr>
          <w:b/>
          <w:bCs/>
          <w:sz w:val="20"/>
          <w:szCs w:val="20"/>
        </w:rPr>
        <w:t>TABLE OF CONTENTS</w:t>
      </w:r>
    </w:p>
    <w:p w14:paraId="29024506"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6650"/>
        <w:gridCol w:w="720"/>
      </w:tblGrid>
      <w:tr w:rsidR="00000000" w14:paraId="3E0C4330" w14:textId="77777777">
        <w:trPr>
          <w:tblCellSpacing w:w="0" w:type="dxa"/>
        </w:trPr>
        <w:tc>
          <w:tcPr>
            <w:tcW w:w="936" w:type="dxa"/>
            <w:vAlign w:val="bottom"/>
            <w:hideMark/>
          </w:tcPr>
          <w:p w14:paraId="571EC328"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231B66A" w14:textId="77777777" w:rsidR="00000000" w:rsidRDefault="00D6065B">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582FD507" w14:textId="77777777" w:rsidR="00000000" w:rsidRDefault="00D6065B">
            <w:pPr>
              <w:jc w:val="center"/>
              <w:rPr>
                <w:rFonts w:eastAsia="Times New Roman"/>
                <w:sz w:val="20"/>
                <w:szCs w:val="20"/>
              </w:rPr>
            </w:pPr>
            <w:r>
              <w:rPr>
                <w:rFonts w:eastAsia="Times New Roman"/>
                <w:b/>
                <w:bCs/>
                <w:sz w:val="20"/>
                <w:szCs w:val="20"/>
              </w:rPr>
              <w:t>Page</w:t>
            </w:r>
          </w:p>
        </w:tc>
      </w:tr>
      <w:tr w:rsidR="00000000" w14:paraId="1326C6EA" w14:textId="77777777">
        <w:trPr>
          <w:tblCellSpacing w:w="0" w:type="dxa"/>
        </w:trPr>
        <w:tc>
          <w:tcPr>
            <w:tcW w:w="0" w:type="auto"/>
            <w:shd w:val="clear" w:color="auto" w:fill="CCEEFF"/>
            <w:vAlign w:val="bottom"/>
            <w:hideMark/>
          </w:tcPr>
          <w:p w14:paraId="777A538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2C8F2" w14:textId="77777777" w:rsidR="00000000" w:rsidRDefault="00D6065B">
            <w:pPr>
              <w:jc w:val="center"/>
              <w:rPr>
                <w:rFonts w:eastAsia="Times New Roman"/>
                <w:sz w:val="20"/>
                <w:szCs w:val="20"/>
              </w:rPr>
            </w:pPr>
            <w:hyperlink w:anchor="vi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14:paraId="5943A53C" w14:textId="77777777" w:rsidR="00000000" w:rsidRDefault="00D6065B">
            <w:pPr>
              <w:jc w:val="center"/>
              <w:rPr>
                <w:rFonts w:eastAsia="Times New Roman"/>
                <w:sz w:val="20"/>
                <w:szCs w:val="20"/>
              </w:rPr>
            </w:pPr>
            <w:r>
              <w:rPr>
                <w:rFonts w:eastAsia="Times New Roman"/>
                <w:sz w:val="20"/>
                <w:szCs w:val="20"/>
              </w:rPr>
              <w:t> </w:t>
            </w:r>
          </w:p>
        </w:tc>
      </w:tr>
      <w:tr w:rsidR="00000000" w14:paraId="7324575B" w14:textId="77777777">
        <w:trPr>
          <w:tblCellSpacing w:w="0" w:type="dxa"/>
        </w:trPr>
        <w:tc>
          <w:tcPr>
            <w:tcW w:w="0" w:type="auto"/>
            <w:shd w:val="clear" w:color="auto" w:fill="FFFFFF"/>
            <w:vAlign w:val="bottom"/>
            <w:hideMark/>
          </w:tcPr>
          <w:p w14:paraId="51A9C9D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1E85E"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392C4A1F" w14:textId="77777777" w:rsidR="00000000" w:rsidRDefault="00D6065B">
            <w:pPr>
              <w:jc w:val="center"/>
              <w:rPr>
                <w:rFonts w:eastAsia="Times New Roman"/>
                <w:sz w:val="20"/>
                <w:szCs w:val="20"/>
              </w:rPr>
            </w:pPr>
            <w:r>
              <w:rPr>
                <w:rFonts w:eastAsia="Times New Roman"/>
                <w:sz w:val="20"/>
                <w:szCs w:val="20"/>
              </w:rPr>
              <w:t> </w:t>
            </w:r>
          </w:p>
        </w:tc>
      </w:tr>
      <w:tr w:rsidR="00000000" w14:paraId="06ABACF5" w14:textId="77777777">
        <w:trPr>
          <w:tblCellSpacing w:w="0" w:type="dxa"/>
        </w:trPr>
        <w:tc>
          <w:tcPr>
            <w:tcW w:w="0" w:type="auto"/>
            <w:shd w:val="clear" w:color="auto" w:fill="CCEEFF"/>
            <w:vAlign w:val="bottom"/>
            <w:hideMark/>
          </w:tcPr>
          <w:p w14:paraId="543844EE" w14:textId="77777777" w:rsidR="00000000" w:rsidRDefault="00D6065B">
            <w:pPr>
              <w:rPr>
                <w:rFonts w:eastAsia="Times New Roman"/>
                <w:sz w:val="20"/>
                <w:szCs w:val="20"/>
              </w:rPr>
            </w:pPr>
            <w:r>
              <w:rPr>
                <w:rFonts w:eastAsia="Times New Roman"/>
                <w:sz w:val="20"/>
                <w:szCs w:val="20"/>
              </w:rPr>
              <w:t>Item 1.</w:t>
            </w:r>
          </w:p>
        </w:tc>
        <w:tc>
          <w:tcPr>
            <w:tcW w:w="0" w:type="auto"/>
            <w:shd w:val="clear" w:color="auto" w:fill="CCEEFF"/>
            <w:vAlign w:val="bottom"/>
            <w:hideMark/>
          </w:tcPr>
          <w:p w14:paraId="0DB93681" w14:textId="77777777" w:rsidR="00000000" w:rsidRDefault="00D6065B">
            <w:pPr>
              <w:jc w:val="both"/>
              <w:rPr>
                <w:rFonts w:eastAsia="Times New Roman"/>
                <w:sz w:val="20"/>
                <w:szCs w:val="20"/>
              </w:rPr>
            </w:pPr>
            <w:hyperlink w:anchor="vi_001" w:history="1">
              <w:r>
                <w:rPr>
                  <w:rStyle w:val="a4"/>
                  <w:rFonts w:eastAsia="Times New Roman"/>
                  <w:sz w:val="20"/>
                  <w:szCs w:val="20"/>
                </w:rPr>
                <w:t>Condensed Financial Statements</w:t>
              </w:r>
            </w:hyperlink>
          </w:p>
        </w:tc>
        <w:tc>
          <w:tcPr>
            <w:tcW w:w="0" w:type="auto"/>
            <w:shd w:val="clear" w:color="auto" w:fill="CCEEFF"/>
            <w:vAlign w:val="bottom"/>
            <w:hideMark/>
          </w:tcPr>
          <w:p w14:paraId="156CB6C0" w14:textId="77777777" w:rsidR="00000000" w:rsidRDefault="00D6065B">
            <w:pPr>
              <w:jc w:val="center"/>
              <w:rPr>
                <w:rFonts w:eastAsia="Times New Roman"/>
                <w:sz w:val="20"/>
                <w:szCs w:val="20"/>
              </w:rPr>
            </w:pPr>
            <w:r>
              <w:rPr>
                <w:rFonts w:eastAsia="Times New Roman"/>
                <w:sz w:val="20"/>
                <w:szCs w:val="20"/>
              </w:rPr>
              <w:t>1</w:t>
            </w:r>
          </w:p>
        </w:tc>
      </w:tr>
      <w:tr w:rsidR="00000000" w14:paraId="12B72B10" w14:textId="77777777">
        <w:trPr>
          <w:tblCellSpacing w:w="0" w:type="dxa"/>
        </w:trPr>
        <w:tc>
          <w:tcPr>
            <w:tcW w:w="0" w:type="auto"/>
            <w:shd w:val="clear" w:color="auto" w:fill="FFFFFF"/>
            <w:vAlign w:val="bottom"/>
            <w:hideMark/>
          </w:tcPr>
          <w:p w14:paraId="0316F83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3E0FB5"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1EED5A8A" w14:textId="77777777" w:rsidR="00000000" w:rsidRDefault="00D6065B">
            <w:pPr>
              <w:jc w:val="center"/>
              <w:rPr>
                <w:rFonts w:eastAsia="Times New Roman"/>
                <w:sz w:val="20"/>
                <w:szCs w:val="20"/>
              </w:rPr>
            </w:pPr>
            <w:r>
              <w:rPr>
                <w:rFonts w:eastAsia="Times New Roman"/>
                <w:sz w:val="20"/>
                <w:szCs w:val="20"/>
              </w:rPr>
              <w:t> </w:t>
            </w:r>
          </w:p>
        </w:tc>
      </w:tr>
      <w:tr w:rsidR="00000000" w14:paraId="0CD6678E" w14:textId="77777777">
        <w:trPr>
          <w:tblCellSpacing w:w="0" w:type="dxa"/>
        </w:trPr>
        <w:tc>
          <w:tcPr>
            <w:tcW w:w="0" w:type="auto"/>
            <w:shd w:val="clear" w:color="auto" w:fill="CCEEFF"/>
            <w:vAlign w:val="bottom"/>
            <w:hideMark/>
          </w:tcPr>
          <w:p w14:paraId="17FBD0D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89623" w14:textId="77777777" w:rsidR="00000000" w:rsidRDefault="00D6065B">
            <w:pPr>
              <w:jc w:val="both"/>
              <w:rPr>
                <w:rFonts w:eastAsia="Times New Roman"/>
                <w:sz w:val="20"/>
                <w:szCs w:val="20"/>
              </w:rPr>
            </w:pPr>
            <w:hyperlink w:anchor="vi_003" w:history="1">
              <w:r>
                <w:rPr>
                  <w:rStyle w:val="a4"/>
                  <w:rFonts w:eastAsia="Times New Roman"/>
                  <w:sz w:val="20"/>
                  <w:szCs w:val="20"/>
                </w:rPr>
                <w:t>Condensed Balance Sheets as of June 30, 2021 (unaudited) and December 31, 2020</w:t>
              </w:r>
            </w:hyperlink>
          </w:p>
        </w:tc>
        <w:tc>
          <w:tcPr>
            <w:tcW w:w="0" w:type="auto"/>
            <w:shd w:val="clear" w:color="auto" w:fill="CCEEFF"/>
            <w:vAlign w:val="bottom"/>
            <w:hideMark/>
          </w:tcPr>
          <w:p w14:paraId="3CF48D1D" w14:textId="77777777" w:rsidR="00000000" w:rsidRDefault="00D6065B">
            <w:pPr>
              <w:jc w:val="center"/>
              <w:rPr>
                <w:rFonts w:eastAsia="Times New Roman"/>
                <w:sz w:val="20"/>
                <w:szCs w:val="20"/>
              </w:rPr>
            </w:pPr>
            <w:r>
              <w:rPr>
                <w:rFonts w:eastAsia="Times New Roman"/>
                <w:sz w:val="20"/>
                <w:szCs w:val="20"/>
              </w:rPr>
              <w:t>1</w:t>
            </w:r>
          </w:p>
        </w:tc>
      </w:tr>
      <w:tr w:rsidR="00000000" w14:paraId="2A8AB041" w14:textId="77777777">
        <w:trPr>
          <w:tblCellSpacing w:w="0" w:type="dxa"/>
        </w:trPr>
        <w:tc>
          <w:tcPr>
            <w:tcW w:w="0" w:type="auto"/>
            <w:shd w:val="clear" w:color="auto" w:fill="FFFFFF"/>
            <w:vAlign w:val="bottom"/>
            <w:hideMark/>
          </w:tcPr>
          <w:p w14:paraId="184F7A2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DA2D3"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722C5A22" w14:textId="77777777" w:rsidR="00000000" w:rsidRDefault="00D6065B">
            <w:pPr>
              <w:jc w:val="center"/>
              <w:rPr>
                <w:rFonts w:eastAsia="Times New Roman"/>
                <w:sz w:val="20"/>
                <w:szCs w:val="20"/>
              </w:rPr>
            </w:pPr>
            <w:r>
              <w:rPr>
                <w:rFonts w:eastAsia="Times New Roman"/>
                <w:sz w:val="20"/>
                <w:szCs w:val="20"/>
              </w:rPr>
              <w:t> </w:t>
            </w:r>
          </w:p>
        </w:tc>
      </w:tr>
      <w:tr w:rsidR="00000000" w14:paraId="055B841D" w14:textId="77777777">
        <w:trPr>
          <w:tblCellSpacing w:w="0" w:type="dxa"/>
        </w:trPr>
        <w:tc>
          <w:tcPr>
            <w:tcW w:w="0" w:type="auto"/>
            <w:shd w:val="clear" w:color="auto" w:fill="CCEEFF"/>
            <w:vAlign w:val="bottom"/>
            <w:hideMark/>
          </w:tcPr>
          <w:p w14:paraId="259888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F3CBE" w14:textId="77777777" w:rsidR="00000000" w:rsidRDefault="00D6065B">
            <w:pPr>
              <w:jc w:val="both"/>
              <w:rPr>
                <w:rFonts w:eastAsia="Times New Roman"/>
                <w:sz w:val="20"/>
                <w:szCs w:val="20"/>
              </w:rPr>
            </w:pPr>
            <w:hyperlink w:anchor="vi_004" w:history="1">
              <w:r>
                <w:rPr>
                  <w:rStyle w:val="a4"/>
                  <w:rFonts w:eastAsia="Times New Roman"/>
                  <w:sz w:val="20"/>
                  <w:szCs w:val="20"/>
                </w:rPr>
                <w:t>Condensed Statements of Operations for the Six and Three Months ended June 30, 2021 and 2020 (unaudited)</w:t>
              </w:r>
            </w:hyperlink>
          </w:p>
        </w:tc>
        <w:tc>
          <w:tcPr>
            <w:tcW w:w="0" w:type="auto"/>
            <w:shd w:val="clear" w:color="auto" w:fill="CCEEFF"/>
            <w:vAlign w:val="bottom"/>
            <w:hideMark/>
          </w:tcPr>
          <w:p w14:paraId="2E8A2934" w14:textId="77777777" w:rsidR="00000000" w:rsidRDefault="00D6065B">
            <w:pPr>
              <w:jc w:val="center"/>
              <w:rPr>
                <w:rFonts w:eastAsia="Times New Roman"/>
                <w:sz w:val="20"/>
                <w:szCs w:val="20"/>
              </w:rPr>
            </w:pPr>
            <w:r>
              <w:rPr>
                <w:rFonts w:eastAsia="Times New Roman"/>
                <w:sz w:val="20"/>
                <w:szCs w:val="20"/>
              </w:rPr>
              <w:t>2</w:t>
            </w:r>
          </w:p>
        </w:tc>
      </w:tr>
      <w:tr w:rsidR="00000000" w14:paraId="003AE4B2" w14:textId="77777777">
        <w:trPr>
          <w:tblCellSpacing w:w="0" w:type="dxa"/>
        </w:trPr>
        <w:tc>
          <w:tcPr>
            <w:tcW w:w="0" w:type="auto"/>
            <w:shd w:val="clear" w:color="auto" w:fill="FFFFFF"/>
            <w:vAlign w:val="bottom"/>
            <w:hideMark/>
          </w:tcPr>
          <w:p w14:paraId="22E806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6B9E6"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4656850C" w14:textId="77777777" w:rsidR="00000000" w:rsidRDefault="00D6065B">
            <w:pPr>
              <w:jc w:val="center"/>
              <w:rPr>
                <w:rFonts w:eastAsia="Times New Roman"/>
                <w:sz w:val="20"/>
                <w:szCs w:val="20"/>
              </w:rPr>
            </w:pPr>
            <w:r>
              <w:rPr>
                <w:rFonts w:eastAsia="Times New Roman"/>
                <w:sz w:val="20"/>
                <w:szCs w:val="20"/>
              </w:rPr>
              <w:t> </w:t>
            </w:r>
          </w:p>
        </w:tc>
      </w:tr>
      <w:tr w:rsidR="00000000" w14:paraId="6EC5BF5C" w14:textId="77777777">
        <w:trPr>
          <w:tblCellSpacing w:w="0" w:type="dxa"/>
        </w:trPr>
        <w:tc>
          <w:tcPr>
            <w:tcW w:w="0" w:type="auto"/>
            <w:shd w:val="clear" w:color="auto" w:fill="CCEEFF"/>
            <w:vAlign w:val="bottom"/>
            <w:hideMark/>
          </w:tcPr>
          <w:p w14:paraId="6E64312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BE1FED" w14:textId="77777777" w:rsidR="00000000" w:rsidRDefault="00D6065B">
            <w:pPr>
              <w:jc w:val="both"/>
              <w:rPr>
                <w:rFonts w:eastAsia="Times New Roman"/>
                <w:sz w:val="20"/>
                <w:szCs w:val="20"/>
              </w:rPr>
            </w:pPr>
            <w:hyperlink w:anchor="vi_005" w:history="1">
              <w:r>
                <w:rPr>
                  <w:rStyle w:val="a4"/>
                  <w:rFonts w:eastAsia="Times New Roman"/>
                  <w:sz w:val="20"/>
                  <w:szCs w:val="20"/>
                </w:rPr>
                <w:t>Condensed Statement of Changes in Stockholders’ Deficit for the Six Months Ended June 30, 2021 and 2020 (unaudited)</w:t>
              </w:r>
            </w:hyperlink>
            <w:r>
              <w:rPr>
                <w:rFonts w:eastAsia="Times New Roman"/>
                <w:sz w:val="20"/>
                <w:szCs w:val="20"/>
              </w:rPr>
              <w:t xml:space="preserve"> </w:t>
            </w:r>
          </w:p>
        </w:tc>
        <w:tc>
          <w:tcPr>
            <w:tcW w:w="0" w:type="auto"/>
            <w:shd w:val="clear" w:color="auto" w:fill="CCEEFF"/>
            <w:vAlign w:val="bottom"/>
            <w:hideMark/>
          </w:tcPr>
          <w:p w14:paraId="5CDB93E6" w14:textId="77777777" w:rsidR="00000000" w:rsidRDefault="00D6065B">
            <w:pPr>
              <w:jc w:val="center"/>
              <w:rPr>
                <w:rFonts w:eastAsia="Times New Roman"/>
                <w:sz w:val="20"/>
                <w:szCs w:val="20"/>
              </w:rPr>
            </w:pPr>
            <w:r>
              <w:rPr>
                <w:rFonts w:eastAsia="Times New Roman"/>
                <w:sz w:val="20"/>
                <w:szCs w:val="20"/>
              </w:rPr>
              <w:t>3</w:t>
            </w:r>
          </w:p>
        </w:tc>
      </w:tr>
      <w:tr w:rsidR="00000000" w14:paraId="2AC5235D" w14:textId="77777777">
        <w:trPr>
          <w:tblCellSpacing w:w="0" w:type="dxa"/>
        </w:trPr>
        <w:tc>
          <w:tcPr>
            <w:tcW w:w="0" w:type="auto"/>
            <w:shd w:val="clear" w:color="auto" w:fill="FFFFFF"/>
            <w:vAlign w:val="bottom"/>
            <w:hideMark/>
          </w:tcPr>
          <w:p w14:paraId="334B205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45D14"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6213C04D" w14:textId="77777777" w:rsidR="00000000" w:rsidRDefault="00D6065B">
            <w:pPr>
              <w:jc w:val="center"/>
              <w:rPr>
                <w:rFonts w:eastAsia="Times New Roman"/>
                <w:sz w:val="20"/>
                <w:szCs w:val="20"/>
              </w:rPr>
            </w:pPr>
            <w:r>
              <w:rPr>
                <w:rFonts w:eastAsia="Times New Roman"/>
                <w:sz w:val="20"/>
                <w:szCs w:val="20"/>
              </w:rPr>
              <w:t> </w:t>
            </w:r>
          </w:p>
        </w:tc>
      </w:tr>
      <w:tr w:rsidR="00000000" w14:paraId="16EA2F4D" w14:textId="77777777">
        <w:trPr>
          <w:tblCellSpacing w:w="0" w:type="dxa"/>
        </w:trPr>
        <w:tc>
          <w:tcPr>
            <w:tcW w:w="0" w:type="auto"/>
            <w:shd w:val="clear" w:color="auto" w:fill="CCEEFF"/>
            <w:vAlign w:val="center"/>
            <w:hideMark/>
          </w:tcPr>
          <w:p w14:paraId="67EA7502"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CCEEFF"/>
            <w:hideMark/>
          </w:tcPr>
          <w:p w14:paraId="2897BFD8" w14:textId="77777777" w:rsidR="00000000" w:rsidRDefault="00D6065B">
            <w:pPr>
              <w:jc w:val="both"/>
              <w:rPr>
                <w:rFonts w:eastAsia="Times New Roman"/>
                <w:sz w:val="20"/>
                <w:szCs w:val="20"/>
              </w:rPr>
            </w:pPr>
            <w:hyperlink w:anchor="vi_006" w:history="1">
              <w:r>
                <w:rPr>
                  <w:rStyle w:val="a4"/>
                  <w:rFonts w:eastAsia="Times New Roman"/>
                  <w:sz w:val="20"/>
                  <w:szCs w:val="20"/>
                </w:rPr>
                <w:t>Condensed Statements of Cash Flow for the Six Months ended June 30, 2</w:t>
              </w:r>
              <w:r>
                <w:rPr>
                  <w:rStyle w:val="a4"/>
                  <w:rFonts w:eastAsia="Times New Roman"/>
                  <w:sz w:val="20"/>
                  <w:szCs w:val="20"/>
                </w:rPr>
                <w:t>021 and 2020 (unaudited)</w:t>
              </w:r>
            </w:hyperlink>
          </w:p>
        </w:tc>
        <w:tc>
          <w:tcPr>
            <w:tcW w:w="0" w:type="auto"/>
            <w:shd w:val="clear" w:color="auto" w:fill="CCEEFF"/>
            <w:vAlign w:val="bottom"/>
            <w:hideMark/>
          </w:tcPr>
          <w:p w14:paraId="60A78D72" w14:textId="77777777" w:rsidR="00000000" w:rsidRDefault="00D6065B">
            <w:pPr>
              <w:jc w:val="center"/>
              <w:rPr>
                <w:rFonts w:eastAsia="Times New Roman"/>
                <w:sz w:val="20"/>
                <w:szCs w:val="20"/>
              </w:rPr>
            </w:pPr>
            <w:r>
              <w:rPr>
                <w:rFonts w:eastAsia="Times New Roman"/>
                <w:sz w:val="20"/>
                <w:szCs w:val="20"/>
              </w:rPr>
              <w:t>4</w:t>
            </w:r>
          </w:p>
        </w:tc>
      </w:tr>
      <w:tr w:rsidR="00000000" w14:paraId="3B60679A" w14:textId="77777777">
        <w:trPr>
          <w:tblCellSpacing w:w="0" w:type="dxa"/>
        </w:trPr>
        <w:tc>
          <w:tcPr>
            <w:tcW w:w="0" w:type="auto"/>
            <w:shd w:val="clear" w:color="auto" w:fill="FFFFFF"/>
            <w:vAlign w:val="bottom"/>
            <w:hideMark/>
          </w:tcPr>
          <w:p w14:paraId="31254B2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006A1"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7CB3FEE" w14:textId="77777777" w:rsidR="00000000" w:rsidRDefault="00D6065B">
            <w:pPr>
              <w:jc w:val="center"/>
              <w:rPr>
                <w:rFonts w:eastAsia="Times New Roman"/>
                <w:sz w:val="20"/>
                <w:szCs w:val="20"/>
              </w:rPr>
            </w:pPr>
            <w:r>
              <w:rPr>
                <w:rFonts w:eastAsia="Times New Roman"/>
                <w:sz w:val="20"/>
                <w:szCs w:val="20"/>
              </w:rPr>
              <w:t> </w:t>
            </w:r>
          </w:p>
        </w:tc>
      </w:tr>
      <w:tr w:rsidR="00000000" w14:paraId="463EDCFC" w14:textId="77777777">
        <w:trPr>
          <w:tblCellSpacing w:w="0" w:type="dxa"/>
        </w:trPr>
        <w:tc>
          <w:tcPr>
            <w:tcW w:w="0" w:type="auto"/>
            <w:shd w:val="clear" w:color="auto" w:fill="CCEEFF"/>
            <w:vAlign w:val="bottom"/>
            <w:hideMark/>
          </w:tcPr>
          <w:p w14:paraId="7C73462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628E4" w14:textId="77777777" w:rsidR="00000000" w:rsidRDefault="00D6065B">
            <w:pPr>
              <w:jc w:val="both"/>
              <w:rPr>
                <w:rFonts w:eastAsia="Times New Roman"/>
                <w:sz w:val="20"/>
                <w:szCs w:val="20"/>
              </w:rPr>
            </w:pPr>
            <w:hyperlink w:anchor="vi_002" w:history="1">
              <w:r>
                <w:rPr>
                  <w:rStyle w:val="a4"/>
                  <w:rFonts w:eastAsia="Times New Roman"/>
                  <w:sz w:val="20"/>
                  <w:szCs w:val="20"/>
                </w:rPr>
                <w:t>Notes to Condensed Financial Statements (unaudited)</w:t>
              </w:r>
            </w:hyperlink>
          </w:p>
        </w:tc>
        <w:tc>
          <w:tcPr>
            <w:tcW w:w="0" w:type="auto"/>
            <w:shd w:val="clear" w:color="auto" w:fill="CCEEFF"/>
            <w:vAlign w:val="bottom"/>
            <w:hideMark/>
          </w:tcPr>
          <w:p w14:paraId="1D6BA8FE" w14:textId="77777777" w:rsidR="00000000" w:rsidRDefault="00D6065B">
            <w:pPr>
              <w:jc w:val="center"/>
              <w:rPr>
                <w:rFonts w:eastAsia="Times New Roman"/>
                <w:sz w:val="20"/>
                <w:szCs w:val="20"/>
              </w:rPr>
            </w:pPr>
            <w:r>
              <w:rPr>
                <w:rFonts w:eastAsia="Times New Roman"/>
                <w:sz w:val="20"/>
                <w:szCs w:val="20"/>
              </w:rPr>
              <w:t>5</w:t>
            </w:r>
          </w:p>
        </w:tc>
      </w:tr>
      <w:tr w:rsidR="00000000" w14:paraId="0A174531" w14:textId="77777777">
        <w:trPr>
          <w:tblCellSpacing w:w="0" w:type="dxa"/>
        </w:trPr>
        <w:tc>
          <w:tcPr>
            <w:tcW w:w="0" w:type="auto"/>
            <w:shd w:val="clear" w:color="auto" w:fill="FFFFFF"/>
            <w:vAlign w:val="bottom"/>
            <w:hideMark/>
          </w:tcPr>
          <w:p w14:paraId="74B078A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2697A"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A654510" w14:textId="77777777" w:rsidR="00000000" w:rsidRDefault="00D6065B">
            <w:pPr>
              <w:jc w:val="center"/>
              <w:rPr>
                <w:rFonts w:eastAsia="Times New Roman"/>
                <w:sz w:val="20"/>
                <w:szCs w:val="20"/>
              </w:rPr>
            </w:pPr>
            <w:r>
              <w:rPr>
                <w:rFonts w:eastAsia="Times New Roman"/>
                <w:sz w:val="20"/>
                <w:szCs w:val="20"/>
              </w:rPr>
              <w:t> </w:t>
            </w:r>
          </w:p>
        </w:tc>
      </w:tr>
      <w:tr w:rsidR="00000000" w14:paraId="590FA095" w14:textId="77777777">
        <w:trPr>
          <w:tblCellSpacing w:w="0" w:type="dxa"/>
        </w:trPr>
        <w:tc>
          <w:tcPr>
            <w:tcW w:w="0" w:type="auto"/>
            <w:shd w:val="clear" w:color="auto" w:fill="CCEEFF"/>
            <w:vAlign w:val="bottom"/>
            <w:hideMark/>
          </w:tcPr>
          <w:p w14:paraId="39C61C21" w14:textId="77777777" w:rsidR="00000000" w:rsidRDefault="00D6065B">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0031E1BA" w14:textId="77777777" w:rsidR="00000000" w:rsidRDefault="00D6065B">
            <w:pPr>
              <w:jc w:val="both"/>
              <w:rPr>
                <w:rFonts w:eastAsia="Times New Roman"/>
                <w:sz w:val="20"/>
                <w:szCs w:val="20"/>
              </w:rPr>
            </w:pPr>
            <w:hyperlink w:anchor="Gk_0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14:paraId="14AD57D7" w14:textId="77777777" w:rsidR="00000000" w:rsidRDefault="00D6065B">
            <w:pPr>
              <w:jc w:val="center"/>
              <w:rPr>
                <w:rFonts w:eastAsia="Times New Roman"/>
                <w:sz w:val="20"/>
                <w:szCs w:val="20"/>
              </w:rPr>
            </w:pPr>
            <w:r>
              <w:rPr>
                <w:rFonts w:eastAsia="Times New Roman"/>
                <w:sz w:val="20"/>
                <w:szCs w:val="20"/>
              </w:rPr>
              <w:t>26</w:t>
            </w:r>
          </w:p>
        </w:tc>
      </w:tr>
      <w:tr w:rsidR="00000000" w14:paraId="1A45BBBD" w14:textId="77777777">
        <w:trPr>
          <w:tblCellSpacing w:w="0" w:type="dxa"/>
        </w:trPr>
        <w:tc>
          <w:tcPr>
            <w:tcW w:w="0" w:type="auto"/>
            <w:shd w:val="clear" w:color="auto" w:fill="FFFFFF"/>
            <w:vAlign w:val="bottom"/>
            <w:hideMark/>
          </w:tcPr>
          <w:p w14:paraId="4790554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4F026"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F1D8360" w14:textId="77777777" w:rsidR="00000000" w:rsidRDefault="00D6065B">
            <w:pPr>
              <w:jc w:val="center"/>
              <w:rPr>
                <w:rFonts w:eastAsia="Times New Roman"/>
                <w:sz w:val="20"/>
                <w:szCs w:val="20"/>
              </w:rPr>
            </w:pPr>
            <w:r>
              <w:rPr>
                <w:rFonts w:eastAsia="Times New Roman"/>
                <w:sz w:val="20"/>
                <w:szCs w:val="20"/>
              </w:rPr>
              <w:t> </w:t>
            </w:r>
          </w:p>
        </w:tc>
      </w:tr>
      <w:tr w:rsidR="00000000" w14:paraId="5CD7A068" w14:textId="77777777">
        <w:trPr>
          <w:tblCellSpacing w:w="0" w:type="dxa"/>
        </w:trPr>
        <w:tc>
          <w:tcPr>
            <w:tcW w:w="0" w:type="auto"/>
            <w:shd w:val="clear" w:color="auto" w:fill="CCEEFF"/>
            <w:vAlign w:val="bottom"/>
            <w:hideMark/>
          </w:tcPr>
          <w:p w14:paraId="00400E8A" w14:textId="77777777" w:rsidR="00000000" w:rsidRDefault="00D6065B">
            <w:pPr>
              <w:rPr>
                <w:rFonts w:eastAsia="Times New Roman"/>
                <w:sz w:val="20"/>
                <w:szCs w:val="20"/>
              </w:rPr>
            </w:pPr>
            <w:r>
              <w:rPr>
                <w:rFonts w:eastAsia="Times New Roman"/>
                <w:sz w:val="20"/>
                <w:szCs w:val="20"/>
              </w:rPr>
              <w:t>Item 3.</w:t>
            </w:r>
          </w:p>
        </w:tc>
        <w:tc>
          <w:tcPr>
            <w:tcW w:w="0" w:type="auto"/>
            <w:shd w:val="clear" w:color="auto" w:fill="CCEEFF"/>
            <w:vAlign w:val="bottom"/>
            <w:hideMark/>
          </w:tcPr>
          <w:p w14:paraId="347A858C" w14:textId="77777777" w:rsidR="00000000" w:rsidRDefault="00D6065B">
            <w:pPr>
              <w:jc w:val="both"/>
              <w:rPr>
                <w:rFonts w:eastAsia="Times New Roman"/>
                <w:sz w:val="20"/>
                <w:szCs w:val="20"/>
              </w:rPr>
            </w:pPr>
            <w:hyperlink w:anchor="pr000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5B62154A" w14:textId="77777777" w:rsidR="00000000" w:rsidRDefault="00D6065B">
            <w:pPr>
              <w:jc w:val="center"/>
              <w:rPr>
                <w:rFonts w:eastAsia="Times New Roman"/>
                <w:sz w:val="20"/>
                <w:szCs w:val="20"/>
              </w:rPr>
            </w:pPr>
            <w:r>
              <w:rPr>
                <w:rFonts w:eastAsia="Times New Roman"/>
                <w:sz w:val="20"/>
                <w:szCs w:val="20"/>
              </w:rPr>
              <w:t>40</w:t>
            </w:r>
          </w:p>
        </w:tc>
      </w:tr>
      <w:tr w:rsidR="00000000" w14:paraId="26B89A0F" w14:textId="77777777">
        <w:trPr>
          <w:tblCellSpacing w:w="0" w:type="dxa"/>
        </w:trPr>
        <w:tc>
          <w:tcPr>
            <w:tcW w:w="0" w:type="auto"/>
            <w:shd w:val="clear" w:color="auto" w:fill="FFFFFF"/>
            <w:vAlign w:val="bottom"/>
            <w:hideMark/>
          </w:tcPr>
          <w:p w14:paraId="57319E8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B9EB3"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5E2403F4" w14:textId="77777777" w:rsidR="00000000" w:rsidRDefault="00D6065B">
            <w:pPr>
              <w:jc w:val="center"/>
              <w:rPr>
                <w:rFonts w:eastAsia="Times New Roman"/>
                <w:sz w:val="20"/>
                <w:szCs w:val="20"/>
              </w:rPr>
            </w:pPr>
            <w:r>
              <w:rPr>
                <w:rFonts w:eastAsia="Times New Roman"/>
                <w:sz w:val="20"/>
                <w:szCs w:val="20"/>
              </w:rPr>
              <w:t> </w:t>
            </w:r>
          </w:p>
        </w:tc>
      </w:tr>
      <w:tr w:rsidR="00000000" w14:paraId="6C027225" w14:textId="77777777">
        <w:trPr>
          <w:tblCellSpacing w:w="0" w:type="dxa"/>
        </w:trPr>
        <w:tc>
          <w:tcPr>
            <w:tcW w:w="0" w:type="auto"/>
            <w:shd w:val="clear" w:color="auto" w:fill="CCEEFF"/>
            <w:vAlign w:val="bottom"/>
            <w:hideMark/>
          </w:tcPr>
          <w:p w14:paraId="12FAF2F1" w14:textId="77777777" w:rsidR="00000000" w:rsidRDefault="00D6065B">
            <w:pPr>
              <w:rPr>
                <w:rFonts w:eastAsia="Times New Roman"/>
                <w:sz w:val="20"/>
                <w:szCs w:val="20"/>
              </w:rPr>
            </w:pPr>
            <w:r>
              <w:rPr>
                <w:rFonts w:eastAsia="Times New Roman"/>
                <w:sz w:val="20"/>
                <w:szCs w:val="20"/>
              </w:rPr>
              <w:t>Item 4.</w:t>
            </w:r>
          </w:p>
        </w:tc>
        <w:tc>
          <w:tcPr>
            <w:tcW w:w="0" w:type="auto"/>
            <w:shd w:val="clear" w:color="auto" w:fill="CCEEFF"/>
            <w:vAlign w:val="bottom"/>
            <w:hideMark/>
          </w:tcPr>
          <w:p w14:paraId="4046B196" w14:textId="77777777" w:rsidR="00000000" w:rsidRDefault="00D6065B">
            <w:pPr>
              <w:jc w:val="both"/>
              <w:rPr>
                <w:rFonts w:eastAsia="Times New Roman"/>
                <w:sz w:val="20"/>
                <w:szCs w:val="20"/>
              </w:rPr>
            </w:pPr>
            <w:hyperlink w:anchor="pr0002" w:history="1">
              <w:r>
                <w:rPr>
                  <w:rStyle w:val="a4"/>
                  <w:rFonts w:eastAsia="Times New Roman"/>
                  <w:sz w:val="20"/>
                  <w:szCs w:val="20"/>
                </w:rPr>
                <w:t>Controls and Procedures</w:t>
              </w:r>
            </w:hyperlink>
          </w:p>
        </w:tc>
        <w:tc>
          <w:tcPr>
            <w:tcW w:w="0" w:type="auto"/>
            <w:shd w:val="clear" w:color="auto" w:fill="CCEEFF"/>
            <w:vAlign w:val="bottom"/>
            <w:hideMark/>
          </w:tcPr>
          <w:p w14:paraId="73179D82" w14:textId="77777777" w:rsidR="00000000" w:rsidRDefault="00D6065B">
            <w:pPr>
              <w:jc w:val="center"/>
              <w:rPr>
                <w:rFonts w:eastAsia="Times New Roman"/>
                <w:sz w:val="20"/>
                <w:szCs w:val="20"/>
              </w:rPr>
            </w:pPr>
            <w:r>
              <w:rPr>
                <w:rFonts w:eastAsia="Times New Roman"/>
                <w:sz w:val="20"/>
                <w:szCs w:val="20"/>
              </w:rPr>
              <w:t>40</w:t>
            </w:r>
          </w:p>
        </w:tc>
      </w:tr>
      <w:tr w:rsidR="00000000" w14:paraId="06B02291" w14:textId="77777777">
        <w:trPr>
          <w:tblCellSpacing w:w="0" w:type="dxa"/>
        </w:trPr>
        <w:tc>
          <w:tcPr>
            <w:tcW w:w="0" w:type="auto"/>
            <w:shd w:val="clear" w:color="auto" w:fill="FFFFFF"/>
            <w:vAlign w:val="bottom"/>
            <w:hideMark/>
          </w:tcPr>
          <w:p w14:paraId="34E1E14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BAFDD"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1E69A0A" w14:textId="77777777" w:rsidR="00000000" w:rsidRDefault="00D6065B">
            <w:pPr>
              <w:jc w:val="center"/>
              <w:rPr>
                <w:rFonts w:eastAsia="Times New Roman"/>
                <w:sz w:val="20"/>
                <w:szCs w:val="20"/>
              </w:rPr>
            </w:pPr>
            <w:r>
              <w:rPr>
                <w:rFonts w:eastAsia="Times New Roman"/>
                <w:sz w:val="20"/>
                <w:szCs w:val="20"/>
              </w:rPr>
              <w:t> </w:t>
            </w:r>
          </w:p>
        </w:tc>
      </w:tr>
      <w:tr w:rsidR="00000000" w14:paraId="15DCCF28" w14:textId="77777777">
        <w:trPr>
          <w:tblCellSpacing w:w="0" w:type="dxa"/>
        </w:trPr>
        <w:tc>
          <w:tcPr>
            <w:tcW w:w="0" w:type="auto"/>
            <w:shd w:val="clear" w:color="auto" w:fill="CCEEFF"/>
            <w:vAlign w:val="bottom"/>
            <w:hideMark/>
          </w:tcPr>
          <w:p w14:paraId="2E2AB93F" w14:textId="77777777" w:rsidR="00000000" w:rsidRDefault="00D6065B">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38116292" w14:textId="77777777" w:rsidR="00000000" w:rsidRDefault="00D6065B">
            <w:pPr>
              <w:jc w:val="center"/>
              <w:rPr>
                <w:rFonts w:eastAsia="Times New Roman"/>
                <w:sz w:val="20"/>
                <w:szCs w:val="20"/>
              </w:rPr>
            </w:pPr>
            <w:hyperlink w:anchor="pr0003" w:history="1">
              <w:r>
                <w:rPr>
                  <w:rStyle w:val="a4"/>
                  <w:rFonts w:eastAsia="Times New Roman"/>
                  <w:b/>
                  <w:bCs/>
                  <w:sz w:val="20"/>
                  <w:szCs w:val="20"/>
                </w:rPr>
                <w:t>PART II – OTHER INFORMATION</w:t>
              </w:r>
            </w:hyperlink>
          </w:p>
        </w:tc>
        <w:tc>
          <w:tcPr>
            <w:tcW w:w="0" w:type="auto"/>
            <w:shd w:val="clear" w:color="auto" w:fill="CCEEFF"/>
            <w:vAlign w:val="bottom"/>
            <w:hideMark/>
          </w:tcPr>
          <w:p w14:paraId="0DFF4A94" w14:textId="77777777" w:rsidR="00000000" w:rsidRDefault="00D6065B">
            <w:pPr>
              <w:jc w:val="center"/>
              <w:rPr>
                <w:rFonts w:eastAsia="Times New Roman"/>
                <w:sz w:val="20"/>
                <w:szCs w:val="20"/>
              </w:rPr>
            </w:pPr>
            <w:r>
              <w:rPr>
                <w:rFonts w:eastAsia="Times New Roman"/>
                <w:sz w:val="20"/>
                <w:szCs w:val="20"/>
              </w:rPr>
              <w:t> </w:t>
            </w:r>
          </w:p>
        </w:tc>
      </w:tr>
      <w:tr w:rsidR="00000000" w14:paraId="40C369FC" w14:textId="77777777">
        <w:trPr>
          <w:tblCellSpacing w:w="0" w:type="dxa"/>
        </w:trPr>
        <w:tc>
          <w:tcPr>
            <w:tcW w:w="0" w:type="auto"/>
            <w:shd w:val="clear" w:color="auto" w:fill="FFFFFF"/>
            <w:vAlign w:val="bottom"/>
            <w:hideMark/>
          </w:tcPr>
          <w:p w14:paraId="5303FEA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C632B"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1C854C0E" w14:textId="77777777" w:rsidR="00000000" w:rsidRDefault="00D6065B">
            <w:pPr>
              <w:jc w:val="center"/>
              <w:rPr>
                <w:rFonts w:eastAsia="Times New Roman"/>
                <w:sz w:val="20"/>
                <w:szCs w:val="20"/>
              </w:rPr>
            </w:pPr>
            <w:r>
              <w:rPr>
                <w:rFonts w:eastAsia="Times New Roman"/>
                <w:sz w:val="20"/>
                <w:szCs w:val="20"/>
              </w:rPr>
              <w:t> </w:t>
            </w:r>
          </w:p>
        </w:tc>
      </w:tr>
      <w:tr w:rsidR="00000000" w14:paraId="76DE9858" w14:textId="77777777">
        <w:trPr>
          <w:tblCellSpacing w:w="0" w:type="dxa"/>
        </w:trPr>
        <w:tc>
          <w:tcPr>
            <w:tcW w:w="0" w:type="auto"/>
            <w:shd w:val="clear" w:color="auto" w:fill="CCEEFF"/>
            <w:vAlign w:val="bottom"/>
            <w:hideMark/>
          </w:tcPr>
          <w:p w14:paraId="23C5CB87" w14:textId="77777777" w:rsidR="00000000" w:rsidRDefault="00D6065B">
            <w:pPr>
              <w:rPr>
                <w:rFonts w:eastAsia="Times New Roman"/>
                <w:sz w:val="20"/>
                <w:szCs w:val="20"/>
              </w:rPr>
            </w:pPr>
            <w:r>
              <w:rPr>
                <w:rFonts w:eastAsia="Times New Roman"/>
                <w:sz w:val="20"/>
                <w:szCs w:val="20"/>
              </w:rPr>
              <w:t>Item 1.</w:t>
            </w:r>
          </w:p>
        </w:tc>
        <w:tc>
          <w:tcPr>
            <w:tcW w:w="0" w:type="auto"/>
            <w:shd w:val="clear" w:color="auto" w:fill="CCEEFF"/>
            <w:vAlign w:val="bottom"/>
            <w:hideMark/>
          </w:tcPr>
          <w:p w14:paraId="761DD1DB" w14:textId="77777777" w:rsidR="00000000" w:rsidRDefault="00D6065B">
            <w:pPr>
              <w:jc w:val="both"/>
              <w:rPr>
                <w:rFonts w:eastAsia="Times New Roman"/>
                <w:sz w:val="20"/>
                <w:szCs w:val="20"/>
              </w:rPr>
            </w:pPr>
            <w:hyperlink w:anchor="pr0004" w:history="1">
              <w:r>
                <w:rPr>
                  <w:rStyle w:val="a4"/>
                  <w:rFonts w:eastAsia="Times New Roman"/>
                  <w:sz w:val="20"/>
                  <w:szCs w:val="20"/>
                </w:rPr>
                <w:t>Legal Proceedings</w:t>
              </w:r>
            </w:hyperlink>
          </w:p>
        </w:tc>
        <w:tc>
          <w:tcPr>
            <w:tcW w:w="0" w:type="auto"/>
            <w:shd w:val="clear" w:color="auto" w:fill="CCEEFF"/>
            <w:vAlign w:val="bottom"/>
            <w:hideMark/>
          </w:tcPr>
          <w:p w14:paraId="7108BA43" w14:textId="77777777" w:rsidR="00000000" w:rsidRDefault="00D6065B">
            <w:pPr>
              <w:jc w:val="center"/>
              <w:rPr>
                <w:rFonts w:eastAsia="Times New Roman"/>
                <w:sz w:val="20"/>
                <w:szCs w:val="20"/>
              </w:rPr>
            </w:pPr>
            <w:r>
              <w:rPr>
                <w:rFonts w:eastAsia="Times New Roman"/>
                <w:sz w:val="20"/>
                <w:szCs w:val="20"/>
              </w:rPr>
              <w:t>42</w:t>
            </w:r>
          </w:p>
        </w:tc>
      </w:tr>
      <w:tr w:rsidR="00000000" w14:paraId="1A51A69C" w14:textId="77777777">
        <w:trPr>
          <w:tblCellSpacing w:w="0" w:type="dxa"/>
        </w:trPr>
        <w:tc>
          <w:tcPr>
            <w:tcW w:w="0" w:type="auto"/>
            <w:shd w:val="clear" w:color="auto" w:fill="FFFFFF"/>
            <w:vAlign w:val="bottom"/>
            <w:hideMark/>
          </w:tcPr>
          <w:p w14:paraId="5487597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80CB14"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52FBA0B8" w14:textId="77777777" w:rsidR="00000000" w:rsidRDefault="00D6065B">
            <w:pPr>
              <w:jc w:val="center"/>
              <w:rPr>
                <w:rFonts w:eastAsia="Times New Roman"/>
                <w:sz w:val="20"/>
                <w:szCs w:val="20"/>
              </w:rPr>
            </w:pPr>
            <w:r>
              <w:rPr>
                <w:rFonts w:eastAsia="Times New Roman"/>
                <w:sz w:val="20"/>
                <w:szCs w:val="20"/>
              </w:rPr>
              <w:t> </w:t>
            </w:r>
          </w:p>
        </w:tc>
      </w:tr>
      <w:tr w:rsidR="00000000" w14:paraId="3745A83E" w14:textId="77777777">
        <w:trPr>
          <w:tblCellSpacing w:w="0" w:type="dxa"/>
        </w:trPr>
        <w:tc>
          <w:tcPr>
            <w:tcW w:w="0" w:type="auto"/>
            <w:shd w:val="clear" w:color="auto" w:fill="CCEEFF"/>
            <w:vAlign w:val="bottom"/>
            <w:hideMark/>
          </w:tcPr>
          <w:p w14:paraId="49717A80" w14:textId="77777777" w:rsidR="00000000" w:rsidRDefault="00D6065B">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21755373" w14:textId="77777777" w:rsidR="00000000" w:rsidRDefault="00D6065B">
            <w:pPr>
              <w:jc w:val="both"/>
              <w:rPr>
                <w:rFonts w:eastAsia="Times New Roman"/>
                <w:sz w:val="20"/>
                <w:szCs w:val="20"/>
              </w:rPr>
            </w:pPr>
            <w:hyperlink w:anchor="pr0005"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14:paraId="2D0F192D" w14:textId="77777777" w:rsidR="00000000" w:rsidRDefault="00D6065B">
            <w:pPr>
              <w:jc w:val="center"/>
              <w:rPr>
                <w:rFonts w:eastAsia="Times New Roman"/>
                <w:sz w:val="20"/>
                <w:szCs w:val="20"/>
              </w:rPr>
            </w:pPr>
            <w:r>
              <w:rPr>
                <w:rFonts w:eastAsia="Times New Roman"/>
                <w:sz w:val="20"/>
                <w:szCs w:val="20"/>
              </w:rPr>
              <w:t>42</w:t>
            </w:r>
          </w:p>
        </w:tc>
      </w:tr>
      <w:tr w:rsidR="00000000" w14:paraId="516D7C88" w14:textId="77777777">
        <w:trPr>
          <w:tblCellSpacing w:w="0" w:type="dxa"/>
        </w:trPr>
        <w:tc>
          <w:tcPr>
            <w:tcW w:w="0" w:type="auto"/>
            <w:shd w:val="clear" w:color="auto" w:fill="FFFFFF"/>
            <w:vAlign w:val="bottom"/>
            <w:hideMark/>
          </w:tcPr>
          <w:p w14:paraId="065424A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EAAC7"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7EBA7027" w14:textId="77777777" w:rsidR="00000000" w:rsidRDefault="00D6065B">
            <w:pPr>
              <w:jc w:val="center"/>
              <w:rPr>
                <w:rFonts w:eastAsia="Times New Roman"/>
                <w:sz w:val="20"/>
                <w:szCs w:val="20"/>
              </w:rPr>
            </w:pPr>
            <w:r>
              <w:rPr>
                <w:rFonts w:eastAsia="Times New Roman"/>
                <w:sz w:val="20"/>
                <w:szCs w:val="20"/>
              </w:rPr>
              <w:t> </w:t>
            </w:r>
          </w:p>
        </w:tc>
      </w:tr>
      <w:tr w:rsidR="00000000" w14:paraId="3C064129" w14:textId="77777777">
        <w:trPr>
          <w:tblCellSpacing w:w="0" w:type="dxa"/>
        </w:trPr>
        <w:tc>
          <w:tcPr>
            <w:tcW w:w="0" w:type="auto"/>
            <w:shd w:val="clear" w:color="auto" w:fill="CCEEFF"/>
            <w:vAlign w:val="bottom"/>
            <w:hideMark/>
          </w:tcPr>
          <w:p w14:paraId="704F4AB0" w14:textId="77777777" w:rsidR="00000000" w:rsidRDefault="00D6065B">
            <w:pPr>
              <w:rPr>
                <w:rFonts w:eastAsia="Times New Roman"/>
                <w:sz w:val="20"/>
                <w:szCs w:val="20"/>
              </w:rPr>
            </w:pPr>
            <w:r>
              <w:rPr>
                <w:rFonts w:eastAsia="Times New Roman"/>
                <w:sz w:val="20"/>
                <w:szCs w:val="20"/>
              </w:rPr>
              <w:t>Item 6.</w:t>
            </w:r>
          </w:p>
        </w:tc>
        <w:tc>
          <w:tcPr>
            <w:tcW w:w="0" w:type="auto"/>
            <w:shd w:val="clear" w:color="auto" w:fill="CCEEFF"/>
            <w:vAlign w:val="bottom"/>
            <w:hideMark/>
          </w:tcPr>
          <w:p w14:paraId="2CF1479C" w14:textId="77777777" w:rsidR="00000000" w:rsidRDefault="00D6065B">
            <w:pPr>
              <w:jc w:val="both"/>
              <w:rPr>
                <w:rFonts w:eastAsia="Times New Roman"/>
                <w:sz w:val="20"/>
                <w:szCs w:val="20"/>
              </w:rPr>
            </w:pPr>
            <w:hyperlink w:anchor="pr0006" w:history="1">
              <w:r>
                <w:rPr>
                  <w:rStyle w:val="a4"/>
                  <w:rFonts w:eastAsia="Times New Roman"/>
                  <w:sz w:val="20"/>
                  <w:szCs w:val="20"/>
                </w:rPr>
                <w:t>Exhibits</w:t>
              </w:r>
            </w:hyperlink>
          </w:p>
        </w:tc>
        <w:tc>
          <w:tcPr>
            <w:tcW w:w="0" w:type="auto"/>
            <w:shd w:val="clear" w:color="auto" w:fill="CCEEFF"/>
            <w:vAlign w:val="bottom"/>
            <w:hideMark/>
          </w:tcPr>
          <w:p w14:paraId="3F55074F" w14:textId="77777777" w:rsidR="00000000" w:rsidRDefault="00D6065B">
            <w:pPr>
              <w:jc w:val="center"/>
              <w:rPr>
                <w:rFonts w:eastAsia="Times New Roman"/>
                <w:sz w:val="20"/>
                <w:szCs w:val="20"/>
              </w:rPr>
            </w:pPr>
            <w:r>
              <w:rPr>
                <w:rFonts w:eastAsia="Times New Roman"/>
                <w:sz w:val="20"/>
                <w:szCs w:val="20"/>
              </w:rPr>
              <w:t>43</w:t>
            </w:r>
          </w:p>
        </w:tc>
      </w:tr>
      <w:tr w:rsidR="00000000" w14:paraId="3ABE891D" w14:textId="77777777">
        <w:trPr>
          <w:tblCellSpacing w:w="0" w:type="dxa"/>
        </w:trPr>
        <w:tc>
          <w:tcPr>
            <w:tcW w:w="0" w:type="auto"/>
            <w:shd w:val="clear" w:color="auto" w:fill="FFFFFF"/>
            <w:vAlign w:val="bottom"/>
            <w:hideMark/>
          </w:tcPr>
          <w:p w14:paraId="56FE85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453406" w14:textId="77777777" w:rsidR="00000000" w:rsidRDefault="00D6065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62E9B480" w14:textId="77777777" w:rsidR="00000000" w:rsidRDefault="00D6065B">
            <w:pPr>
              <w:jc w:val="center"/>
              <w:rPr>
                <w:rFonts w:eastAsia="Times New Roman"/>
                <w:sz w:val="20"/>
                <w:szCs w:val="20"/>
              </w:rPr>
            </w:pPr>
            <w:r>
              <w:rPr>
                <w:rFonts w:eastAsia="Times New Roman"/>
                <w:sz w:val="20"/>
                <w:szCs w:val="20"/>
              </w:rPr>
              <w:t> </w:t>
            </w:r>
          </w:p>
        </w:tc>
      </w:tr>
      <w:tr w:rsidR="00000000" w14:paraId="12B69F2A" w14:textId="77777777">
        <w:trPr>
          <w:tblCellSpacing w:w="0" w:type="dxa"/>
        </w:trPr>
        <w:tc>
          <w:tcPr>
            <w:tcW w:w="0" w:type="auto"/>
            <w:gridSpan w:val="2"/>
            <w:shd w:val="clear" w:color="auto" w:fill="CCEEFF"/>
            <w:vAlign w:val="bottom"/>
            <w:hideMark/>
          </w:tcPr>
          <w:p w14:paraId="3A9EE59E" w14:textId="77777777" w:rsidR="00000000" w:rsidRDefault="00D6065B">
            <w:pPr>
              <w:rPr>
                <w:rFonts w:eastAsia="Times New Roman"/>
                <w:sz w:val="20"/>
                <w:szCs w:val="20"/>
              </w:rPr>
            </w:pPr>
            <w:hyperlink w:anchor="pr0007" w:history="1">
              <w:r>
                <w:rPr>
                  <w:rStyle w:val="a4"/>
                  <w:rFonts w:eastAsia="Times New Roman"/>
                  <w:b/>
                  <w:bCs/>
                  <w:sz w:val="20"/>
                  <w:szCs w:val="20"/>
                </w:rPr>
                <w:t>SIGNATURES</w:t>
              </w:r>
            </w:hyperlink>
          </w:p>
        </w:tc>
        <w:tc>
          <w:tcPr>
            <w:tcW w:w="0" w:type="auto"/>
            <w:shd w:val="clear" w:color="auto" w:fill="CCEEFF"/>
            <w:vAlign w:val="bottom"/>
            <w:hideMark/>
          </w:tcPr>
          <w:p w14:paraId="7CDBAE32" w14:textId="77777777" w:rsidR="00000000" w:rsidRDefault="00D6065B">
            <w:pPr>
              <w:jc w:val="center"/>
              <w:rPr>
                <w:rFonts w:eastAsia="Times New Roman"/>
                <w:sz w:val="20"/>
                <w:szCs w:val="20"/>
              </w:rPr>
            </w:pPr>
            <w:r>
              <w:rPr>
                <w:rFonts w:eastAsia="Times New Roman"/>
                <w:sz w:val="20"/>
                <w:szCs w:val="20"/>
              </w:rPr>
              <w:t>44</w:t>
            </w:r>
          </w:p>
        </w:tc>
      </w:tr>
    </w:tbl>
    <w:p w14:paraId="0304D06C"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C5880E" w14:textId="77777777">
        <w:trPr>
          <w:divId w:val="405228688"/>
        </w:trPr>
        <w:tc>
          <w:tcPr>
            <w:tcW w:w="5000" w:type="pct"/>
            <w:hideMark/>
          </w:tcPr>
          <w:p w14:paraId="6ABC819E" w14:textId="77777777" w:rsidR="00000000" w:rsidRDefault="00D6065B">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4D4079CD" w14:textId="77777777">
        <w:tc>
          <w:tcPr>
            <w:tcW w:w="5000" w:type="pct"/>
            <w:hideMark/>
          </w:tcPr>
          <w:p w14:paraId="21016305" w14:textId="77777777" w:rsidR="00000000" w:rsidRDefault="00D6065B">
            <w:pPr>
              <w:jc w:val="center"/>
              <w:rPr>
                <w:rFonts w:eastAsia="Times New Roman"/>
                <w:sz w:val="20"/>
                <w:szCs w:val="20"/>
              </w:rPr>
            </w:pPr>
            <w:r>
              <w:rPr>
                <w:rFonts w:eastAsia="Times New Roman"/>
                <w:sz w:val="20"/>
                <w:szCs w:val="20"/>
              </w:rPr>
              <w:t> </w:t>
            </w:r>
          </w:p>
        </w:tc>
      </w:tr>
    </w:tbl>
    <w:p w14:paraId="3D8D9626" w14:textId="77777777" w:rsidR="00000000" w:rsidRDefault="00D6065B">
      <w:pPr>
        <w:pStyle w:val="a3"/>
        <w:spacing w:before="0" w:beforeAutospacing="0" w:after="0" w:afterAutospacing="0"/>
        <w:rPr>
          <w:sz w:val="20"/>
          <w:szCs w:val="20"/>
        </w:rPr>
      </w:pPr>
      <w:r>
        <w:rPr>
          <w:sz w:val="20"/>
          <w:szCs w:val="20"/>
        </w:rPr>
        <w:t> </w:t>
      </w:r>
    </w:p>
    <w:p w14:paraId="7BC60020" w14:textId="77777777" w:rsidR="00000000" w:rsidRDefault="00D6065B">
      <w:pPr>
        <w:pStyle w:val="a3"/>
        <w:spacing w:before="0" w:beforeAutospacing="0" w:after="0" w:afterAutospacing="0"/>
        <w:jc w:val="both"/>
        <w:rPr>
          <w:sz w:val="20"/>
          <w:szCs w:val="20"/>
        </w:rPr>
      </w:pPr>
      <w:r>
        <w:rPr>
          <w:b/>
          <w:bCs/>
          <w:sz w:val="20"/>
          <w:szCs w:val="20"/>
        </w:rPr>
        <w:t>PART I – FINANCIAL INFORMATION</w:t>
      </w:r>
    </w:p>
    <w:p w14:paraId="75FFC109" w14:textId="77777777" w:rsidR="00000000" w:rsidRDefault="00D6065B">
      <w:pPr>
        <w:pStyle w:val="a3"/>
        <w:spacing w:before="0" w:beforeAutospacing="0" w:after="0" w:afterAutospacing="0"/>
        <w:jc w:val="center"/>
        <w:rPr>
          <w:sz w:val="20"/>
          <w:szCs w:val="20"/>
        </w:rPr>
      </w:pPr>
      <w:r>
        <w:rPr>
          <w:sz w:val="20"/>
          <w:szCs w:val="20"/>
        </w:rPr>
        <w:t> </w:t>
      </w:r>
    </w:p>
    <w:p w14:paraId="6F9D6862" w14:textId="77777777" w:rsidR="00000000" w:rsidRDefault="00D6065B">
      <w:pPr>
        <w:pStyle w:val="a3"/>
        <w:spacing w:before="0" w:beforeAutospacing="0" w:after="0" w:afterAutospacing="0"/>
        <w:jc w:val="center"/>
        <w:rPr>
          <w:b/>
          <w:bCs/>
          <w:sz w:val="20"/>
          <w:szCs w:val="20"/>
        </w:rPr>
      </w:pPr>
      <w:r>
        <w:rPr>
          <w:b/>
          <w:bCs/>
          <w:sz w:val="20"/>
          <w:szCs w:val="20"/>
        </w:rPr>
        <w:t>VIVOS INC</w:t>
      </w:r>
    </w:p>
    <w:p w14:paraId="04BA6A05" w14:textId="77777777" w:rsidR="00000000" w:rsidRDefault="00D6065B">
      <w:pPr>
        <w:pStyle w:val="a3"/>
        <w:spacing w:before="0" w:beforeAutospacing="0" w:after="0" w:afterAutospacing="0"/>
        <w:jc w:val="center"/>
        <w:rPr>
          <w:b/>
          <w:bCs/>
          <w:sz w:val="20"/>
          <w:szCs w:val="20"/>
        </w:rPr>
      </w:pPr>
      <w:r>
        <w:rPr>
          <w:b/>
          <w:bCs/>
          <w:sz w:val="20"/>
          <w:szCs w:val="20"/>
        </w:rPr>
        <w:t xml:space="preserve">CONDENSED </w:t>
      </w:r>
      <w:r>
        <w:rPr>
          <w:b/>
          <w:bCs/>
          <w:sz w:val="20"/>
          <w:szCs w:val="20"/>
        </w:rPr>
        <w:t>BALANCE SHEETS</w:t>
      </w:r>
    </w:p>
    <w:p w14:paraId="7E820360" w14:textId="77777777" w:rsidR="00000000" w:rsidRDefault="00D6065B">
      <w:pPr>
        <w:pStyle w:val="a3"/>
        <w:spacing w:before="0" w:beforeAutospacing="0" w:after="0" w:afterAutospacing="0"/>
        <w:jc w:val="center"/>
        <w:rPr>
          <w:b/>
          <w:bCs/>
          <w:sz w:val="20"/>
          <w:szCs w:val="20"/>
        </w:rPr>
      </w:pPr>
      <w:r>
        <w:rPr>
          <w:b/>
          <w:bCs/>
          <w:sz w:val="20"/>
          <w:szCs w:val="20"/>
        </w:rPr>
        <w:t>JUNE 30, 2021 (UNAUDITED) AND DECEMBER 31, 2020</w:t>
      </w:r>
    </w:p>
    <w:p w14:paraId="5CC8779A"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w:tblPr>
      <w:tblGrid>
        <w:gridCol w:w="4573"/>
        <w:gridCol w:w="250"/>
        <w:gridCol w:w="251"/>
        <w:gridCol w:w="1265"/>
        <w:gridCol w:w="250"/>
        <w:gridCol w:w="250"/>
        <w:gridCol w:w="250"/>
        <w:gridCol w:w="967"/>
        <w:gridCol w:w="250"/>
      </w:tblGrid>
      <w:tr w:rsidR="00000000" w14:paraId="44DAFCE4" w14:textId="77777777">
        <w:trPr>
          <w:hidden/>
        </w:trPr>
        <w:tc>
          <w:tcPr>
            <w:tcW w:w="0" w:type="auto"/>
            <w:vAlign w:val="bottom"/>
            <w:hideMark/>
          </w:tcPr>
          <w:p w14:paraId="11A1475C" w14:textId="77777777" w:rsidR="00000000" w:rsidRDefault="00D6065B">
            <w:pPr>
              <w:rPr>
                <w:rFonts w:eastAsia="Times New Roman"/>
                <w:vanish/>
                <w:sz w:val="20"/>
                <w:szCs w:val="20"/>
              </w:rPr>
            </w:pPr>
            <w:r>
              <w:rPr>
                <w:rFonts w:eastAsia="Times New Roman"/>
                <w:vanish/>
                <w:sz w:val="20"/>
                <w:szCs w:val="20"/>
              </w:rPr>
              <w:t> </w:t>
            </w:r>
          </w:p>
        </w:tc>
        <w:tc>
          <w:tcPr>
            <w:tcW w:w="0" w:type="auto"/>
            <w:vAlign w:val="bottom"/>
            <w:hideMark/>
          </w:tcPr>
          <w:p w14:paraId="733B43EC"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14:paraId="43A9BB15" w14:textId="77777777" w:rsidR="00000000" w:rsidRDefault="00D6065B">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14:paraId="617AE254"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vAlign w:val="bottom"/>
            <w:hideMark/>
          </w:tcPr>
          <w:p w14:paraId="42499837"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14:paraId="1C615ECF" w14:textId="77777777" w:rsidR="00000000" w:rsidRDefault="00D6065B">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14:paraId="5E7EE318" w14:textId="77777777" w:rsidR="00000000" w:rsidRDefault="00D6065B">
            <w:pPr>
              <w:rPr>
                <w:rFonts w:eastAsia="Times New Roman"/>
                <w:b/>
                <w:bCs/>
                <w:vanish/>
                <w:sz w:val="20"/>
                <w:szCs w:val="20"/>
              </w:rPr>
            </w:pPr>
            <w:r>
              <w:rPr>
                <w:rFonts w:eastAsia="Times New Roman"/>
                <w:b/>
                <w:bCs/>
                <w:vanish/>
                <w:sz w:val="20"/>
                <w:szCs w:val="20"/>
              </w:rPr>
              <w:t> </w:t>
            </w:r>
          </w:p>
        </w:tc>
      </w:tr>
      <w:tr w:rsidR="00000000" w14:paraId="021EE734" w14:textId="77777777">
        <w:tc>
          <w:tcPr>
            <w:tcW w:w="0" w:type="auto"/>
            <w:vAlign w:val="bottom"/>
            <w:hideMark/>
          </w:tcPr>
          <w:p w14:paraId="20248342"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33CC38F1"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3CB157B5" w14:textId="77777777" w:rsidR="00000000" w:rsidRDefault="00D6065B">
            <w:pPr>
              <w:jc w:val="center"/>
              <w:rPr>
                <w:rFonts w:eastAsia="Times New Roman"/>
                <w:b/>
                <w:bCs/>
                <w:sz w:val="20"/>
                <w:szCs w:val="20"/>
              </w:rPr>
            </w:pPr>
            <w:r>
              <w:rPr>
                <w:rFonts w:eastAsia="Times New Roman"/>
                <w:b/>
                <w:bCs/>
                <w:sz w:val="20"/>
                <w:szCs w:val="20"/>
              </w:rPr>
              <w:t>JUNE 30,</w:t>
            </w:r>
          </w:p>
        </w:tc>
        <w:tc>
          <w:tcPr>
            <w:tcW w:w="0" w:type="auto"/>
            <w:vAlign w:val="bottom"/>
            <w:hideMark/>
          </w:tcPr>
          <w:p w14:paraId="7A7E92A4" w14:textId="77777777" w:rsidR="00000000" w:rsidRDefault="00D6065B">
            <w:pPr>
              <w:rPr>
                <w:rFonts w:eastAsia="Times New Roman"/>
                <w:b/>
                <w:bCs/>
                <w:sz w:val="20"/>
                <w:szCs w:val="20"/>
              </w:rPr>
            </w:pPr>
            <w:r>
              <w:rPr>
                <w:rFonts w:eastAsia="Times New Roman"/>
                <w:b/>
                <w:bCs/>
                <w:sz w:val="20"/>
                <w:szCs w:val="20"/>
              </w:rPr>
              <w:t> </w:t>
            </w:r>
          </w:p>
        </w:tc>
        <w:tc>
          <w:tcPr>
            <w:tcW w:w="0" w:type="auto"/>
            <w:vAlign w:val="bottom"/>
            <w:hideMark/>
          </w:tcPr>
          <w:p w14:paraId="64CCA040"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192CAF10" w14:textId="77777777" w:rsidR="00000000" w:rsidRDefault="00D6065B">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244BD4C" w14:textId="77777777" w:rsidR="00000000" w:rsidRDefault="00D6065B">
            <w:pPr>
              <w:rPr>
                <w:rFonts w:eastAsia="Times New Roman"/>
                <w:b/>
                <w:bCs/>
                <w:sz w:val="20"/>
                <w:szCs w:val="20"/>
              </w:rPr>
            </w:pPr>
            <w:r>
              <w:rPr>
                <w:rFonts w:eastAsia="Times New Roman"/>
                <w:b/>
                <w:bCs/>
                <w:sz w:val="20"/>
                <w:szCs w:val="20"/>
              </w:rPr>
              <w:t> </w:t>
            </w:r>
          </w:p>
        </w:tc>
      </w:tr>
      <w:tr w:rsidR="00000000" w14:paraId="272EB0BF" w14:textId="77777777">
        <w:tc>
          <w:tcPr>
            <w:tcW w:w="0" w:type="auto"/>
            <w:vAlign w:val="bottom"/>
            <w:hideMark/>
          </w:tcPr>
          <w:p w14:paraId="76985A27"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C78713"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95CCE0" w14:textId="77777777" w:rsidR="00000000" w:rsidRDefault="00D6065B">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5FE19992" w14:textId="77777777" w:rsidR="00000000" w:rsidRDefault="00D6065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CD5AF7"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27A946" w14:textId="77777777" w:rsidR="00000000" w:rsidRDefault="00D6065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5959981" w14:textId="77777777" w:rsidR="00000000" w:rsidRDefault="00D6065B">
            <w:pPr>
              <w:rPr>
                <w:rFonts w:eastAsia="Times New Roman"/>
                <w:b/>
                <w:bCs/>
                <w:sz w:val="20"/>
                <w:szCs w:val="20"/>
              </w:rPr>
            </w:pPr>
            <w:r>
              <w:rPr>
                <w:rFonts w:eastAsia="Times New Roman"/>
                <w:b/>
                <w:bCs/>
                <w:sz w:val="20"/>
                <w:szCs w:val="20"/>
              </w:rPr>
              <w:t> </w:t>
            </w:r>
          </w:p>
        </w:tc>
      </w:tr>
      <w:tr w:rsidR="00000000" w14:paraId="67AC8F3B" w14:textId="77777777">
        <w:tc>
          <w:tcPr>
            <w:tcW w:w="0" w:type="auto"/>
            <w:shd w:val="clear" w:color="auto" w:fill="FFFFFF"/>
            <w:vAlign w:val="bottom"/>
            <w:hideMark/>
          </w:tcPr>
          <w:p w14:paraId="453F62C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D72DE"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shd w:val="clear" w:color="auto" w:fill="FFFFFF"/>
            <w:vAlign w:val="bottom"/>
            <w:hideMark/>
          </w:tcPr>
          <w:p w14:paraId="1DEC6AD1" w14:textId="77777777" w:rsidR="00000000" w:rsidRDefault="00D6065B">
            <w:pPr>
              <w:jc w:val="center"/>
              <w:rPr>
                <w:rFonts w:eastAsia="Times New Roman"/>
                <w:b/>
                <w:bCs/>
                <w:sz w:val="20"/>
                <w:szCs w:val="20"/>
              </w:rPr>
            </w:pPr>
            <w:r>
              <w:rPr>
                <w:rFonts w:eastAsia="Times New Roman"/>
                <w:b/>
                <w:bCs/>
                <w:sz w:val="20"/>
                <w:szCs w:val="20"/>
              </w:rPr>
              <w:t>(UNAUDITED)</w:t>
            </w:r>
          </w:p>
        </w:tc>
        <w:tc>
          <w:tcPr>
            <w:tcW w:w="0" w:type="auto"/>
            <w:shd w:val="clear" w:color="auto" w:fill="FFFFFF"/>
            <w:vAlign w:val="bottom"/>
            <w:hideMark/>
          </w:tcPr>
          <w:p w14:paraId="11CAA84C"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6A7335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87DB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ACE19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589DDA" w14:textId="77777777" w:rsidR="00000000" w:rsidRDefault="00D6065B">
            <w:pPr>
              <w:rPr>
                <w:rFonts w:eastAsia="Times New Roman"/>
                <w:sz w:val="20"/>
                <w:szCs w:val="20"/>
              </w:rPr>
            </w:pPr>
            <w:r>
              <w:rPr>
                <w:rFonts w:eastAsia="Times New Roman"/>
                <w:sz w:val="20"/>
                <w:szCs w:val="20"/>
              </w:rPr>
              <w:t> </w:t>
            </w:r>
          </w:p>
        </w:tc>
      </w:tr>
      <w:tr w:rsidR="00000000" w14:paraId="64C9A7A0" w14:textId="77777777">
        <w:tc>
          <w:tcPr>
            <w:tcW w:w="0" w:type="auto"/>
            <w:shd w:val="clear" w:color="auto" w:fill="CCEEFF"/>
            <w:vAlign w:val="bottom"/>
            <w:hideMark/>
          </w:tcPr>
          <w:p w14:paraId="61FFBEDF" w14:textId="77777777" w:rsidR="00000000" w:rsidRDefault="00D6065B">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14:paraId="2B4A553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30D0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0758F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9EC3D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D39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769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70CD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94CEAE" w14:textId="77777777" w:rsidR="00000000" w:rsidRDefault="00D6065B">
            <w:pPr>
              <w:rPr>
                <w:rFonts w:eastAsia="Times New Roman"/>
                <w:sz w:val="20"/>
                <w:szCs w:val="20"/>
              </w:rPr>
            </w:pPr>
            <w:r>
              <w:rPr>
                <w:rFonts w:eastAsia="Times New Roman"/>
                <w:sz w:val="20"/>
                <w:szCs w:val="20"/>
              </w:rPr>
              <w:t> </w:t>
            </w:r>
          </w:p>
        </w:tc>
      </w:tr>
      <w:tr w:rsidR="00000000" w14:paraId="46D861EC" w14:textId="77777777">
        <w:tc>
          <w:tcPr>
            <w:tcW w:w="0" w:type="auto"/>
            <w:shd w:val="clear" w:color="auto" w:fill="FFFFFF"/>
            <w:vAlign w:val="bottom"/>
            <w:hideMark/>
          </w:tcPr>
          <w:p w14:paraId="27308AB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6E7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C88A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2DE4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056C4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17EBF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4F69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35DD9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82F405" w14:textId="77777777" w:rsidR="00000000" w:rsidRDefault="00D6065B">
            <w:pPr>
              <w:rPr>
                <w:rFonts w:eastAsia="Times New Roman"/>
                <w:sz w:val="20"/>
                <w:szCs w:val="20"/>
              </w:rPr>
            </w:pPr>
            <w:r>
              <w:rPr>
                <w:rFonts w:eastAsia="Times New Roman"/>
                <w:sz w:val="20"/>
                <w:szCs w:val="20"/>
              </w:rPr>
              <w:t> </w:t>
            </w:r>
          </w:p>
        </w:tc>
      </w:tr>
      <w:tr w:rsidR="00000000" w14:paraId="38AA7A0A" w14:textId="77777777">
        <w:tc>
          <w:tcPr>
            <w:tcW w:w="0" w:type="auto"/>
            <w:shd w:val="clear" w:color="auto" w:fill="CCEEFF"/>
            <w:vAlign w:val="bottom"/>
            <w:hideMark/>
          </w:tcPr>
          <w:p w14:paraId="7631692E" w14:textId="77777777" w:rsidR="00000000" w:rsidRDefault="00D6065B">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14:paraId="609D10B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7BC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67B6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88936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BBBB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D71D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5F3F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9D2BE9" w14:textId="77777777" w:rsidR="00000000" w:rsidRDefault="00D6065B">
            <w:pPr>
              <w:rPr>
                <w:rFonts w:eastAsia="Times New Roman"/>
                <w:sz w:val="20"/>
                <w:szCs w:val="20"/>
              </w:rPr>
            </w:pPr>
            <w:r>
              <w:rPr>
                <w:rFonts w:eastAsia="Times New Roman"/>
                <w:sz w:val="20"/>
                <w:szCs w:val="20"/>
              </w:rPr>
              <w:t> </w:t>
            </w:r>
          </w:p>
        </w:tc>
      </w:tr>
      <w:tr w:rsidR="00000000" w14:paraId="3528990C" w14:textId="77777777">
        <w:tc>
          <w:tcPr>
            <w:tcW w:w="3000" w:type="pct"/>
            <w:shd w:val="clear" w:color="auto" w:fill="FFFFFF"/>
            <w:tcMar>
              <w:top w:w="0" w:type="dxa"/>
              <w:left w:w="200" w:type="dxa"/>
              <w:bottom w:w="0" w:type="dxa"/>
              <w:right w:w="0" w:type="dxa"/>
            </w:tcMar>
            <w:vAlign w:val="bottom"/>
            <w:hideMark/>
          </w:tcPr>
          <w:p w14:paraId="7F1896CA" w14:textId="77777777" w:rsidR="00000000" w:rsidRDefault="00D6065B">
            <w:pPr>
              <w:rPr>
                <w:rFonts w:eastAsia="Times New Roman"/>
                <w:sz w:val="20"/>
                <w:szCs w:val="20"/>
              </w:rPr>
            </w:pPr>
            <w:r>
              <w:rPr>
                <w:rFonts w:eastAsia="Times New Roman"/>
                <w:sz w:val="20"/>
                <w:szCs w:val="20"/>
              </w:rPr>
              <w:t>Cash</w:t>
            </w:r>
          </w:p>
        </w:tc>
        <w:tc>
          <w:tcPr>
            <w:tcW w:w="100" w:type="pct"/>
            <w:shd w:val="clear" w:color="auto" w:fill="FFFFFF"/>
            <w:vAlign w:val="bottom"/>
            <w:hideMark/>
          </w:tcPr>
          <w:p w14:paraId="6D5DB652"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285A34" w14:textId="77777777" w:rsidR="00000000" w:rsidRDefault="00D6065B">
            <w:pPr>
              <w:rPr>
                <w:rFonts w:eastAsia="Times New Roman"/>
                <w:sz w:val="20"/>
                <w:szCs w:val="20"/>
              </w:rPr>
            </w:pPr>
            <w:r>
              <w:rPr>
                <w:rFonts w:eastAsia="Times New Roman"/>
                <w:sz w:val="20"/>
                <w:szCs w:val="20"/>
              </w:rPr>
              <w:t>$</w:t>
            </w:r>
          </w:p>
        </w:tc>
        <w:tc>
          <w:tcPr>
            <w:tcW w:w="800" w:type="pct"/>
            <w:shd w:val="clear" w:color="auto" w:fill="FFFFFF"/>
            <w:vAlign w:val="bottom"/>
            <w:hideMark/>
          </w:tcPr>
          <w:p w14:paraId="0A1964D2" w14:textId="77777777" w:rsidR="00000000" w:rsidRDefault="00D6065B">
            <w:pPr>
              <w:jc w:val="right"/>
              <w:rPr>
                <w:rFonts w:eastAsia="Times New Roman"/>
                <w:sz w:val="20"/>
                <w:szCs w:val="20"/>
              </w:rPr>
            </w:pPr>
            <w:r>
              <w:rPr>
                <w:rFonts w:eastAsia="Times New Roman"/>
                <w:sz w:val="20"/>
                <w:szCs w:val="20"/>
              </w:rPr>
              <w:t>2,164,669</w:t>
            </w:r>
          </w:p>
        </w:tc>
        <w:tc>
          <w:tcPr>
            <w:tcW w:w="50" w:type="pct"/>
            <w:shd w:val="clear" w:color="auto" w:fill="FFFFFF"/>
            <w:vAlign w:val="bottom"/>
            <w:hideMark/>
          </w:tcPr>
          <w:p w14:paraId="0B3D7D4C"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0FC7824"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99EB60" w14:textId="77777777" w:rsidR="00000000" w:rsidRDefault="00D6065B">
            <w:pPr>
              <w:rPr>
                <w:rFonts w:eastAsia="Times New Roman"/>
                <w:sz w:val="20"/>
                <w:szCs w:val="20"/>
              </w:rPr>
            </w:pPr>
            <w:r>
              <w:rPr>
                <w:rFonts w:eastAsia="Times New Roman"/>
                <w:sz w:val="20"/>
                <w:szCs w:val="20"/>
              </w:rPr>
              <w:t>$</w:t>
            </w:r>
          </w:p>
        </w:tc>
        <w:tc>
          <w:tcPr>
            <w:tcW w:w="800" w:type="pct"/>
            <w:shd w:val="clear" w:color="auto" w:fill="FFFFFF"/>
            <w:vAlign w:val="bottom"/>
            <w:hideMark/>
          </w:tcPr>
          <w:p w14:paraId="2BE783BD" w14:textId="77777777" w:rsidR="00000000" w:rsidRDefault="00D6065B">
            <w:pPr>
              <w:jc w:val="right"/>
              <w:rPr>
                <w:rFonts w:eastAsia="Times New Roman"/>
                <w:sz w:val="20"/>
                <w:szCs w:val="20"/>
              </w:rPr>
            </w:pPr>
            <w:r>
              <w:rPr>
                <w:rFonts w:eastAsia="Times New Roman"/>
                <w:sz w:val="20"/>
                <w:szCs w:val="20"/>
              </w:rPr>
              <w:t>903,704</w:t>
            </w:r>
          </w:p>
        </w:tc>
        <w:tc>
          <w:tcPr>
            <w:tcW w:w="50" w:type="pct"/>
            <w:shd w:val="clear" w:color="auto" w:fill="FFFFFF"/>
            <w:vAlign w:val="bottom"/>
            <w:hideMark/>
          </w:tcPr>
          <w:p w14:paraId="6BB5B689" w14:textId="77777777" w:rsidR="00000000" w:rsidRDefault="00D6065B">
            <w:pPr>
              <w:rPr>
                <w:rFonts w:eastAsia="Times New Roman"/>
                <w:sz w:val="20"/>
                <w:szCs w:val="20"/>
              </w:rPr>
            </w:pPr>
            <w:r>
              <w:rPr>
                <w:rFonts w:eastAsia="Times New Roman"/>
                <w:sz w:val="20"/>
                <w:szCs w:val="20"/>
              </w:rPr>
              <w:t> </w:t>
            </w:r>
          </w:p>
        </w:tc>
      </w:tr>
      <w:tr w:rsidR="00000000" w14:paraId="5177B246" w14:textId="77777777">
        <w:tc>
          <w:tcPr>
            <w:tcW w:w="0" w:type="auto"/>
            <w:shd w:val="clear" w:color="auto" w:fill="CCEEFF"/>
            <w:tcMar>
              <w:top w:w="0" w:type="dxa"/>
              <w:left w:w="200" w:type="dxa"/>
              <w:bottom w:w="30" w:type="dxa"/>
              <w:right w:w="0" w:type="dxa"/>
            </w:tcMar>
            <w:vAlign w:val="bottom"/>
            <w:hideMark/>
          </w:tcPr>
          <w:p w14:paraId="7184398C" w14:textId="77777777" w:rsidR="00000000" w:rsidRDefault="00D6065B">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14:paraId="78A0A80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5B955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7C5736" w14:textId="77777777" w:rsidR="00000000" w:rsidRDefault="00D6065B">
            <w:pPr>
              <w:jc w:val="right"/>
              <w:rPr>
                <w:rFonts w:eastAsia="Times New Roman"/>
                <w:sz w:val="20"/>
                <w:szCs w:val="20"/>
              </w:rPr>
            </w:pPr>
            <w:r>
              <w:rPr>
                <w:rFonts w:eastAsia="Times New Roman"/>
                <w:sz w:val="20"/>
                <w:szCs w:val="20"/>
              </w:rPr>
              <w:t>68,123</w:t>
            </w:r>
          </w:p>
        </w:tc>
        <w:tc>
          <w:tcPr>
            <w:tcW w:w="0" w:type="auto"/>
            <w:shd w:val="clear" w:color="auto" w:fill="CCEEFF"/>
            <w:tcMar>
              <w:top w:w="0" w:type="dxa"/>
              <w:left w:w="0" w:type="dxa"/>
              <w:bottom w:w="30" w:type="dxa"/>
              <w:right w:w="0" w:type="dxa"/>
            </w:tcMar>
            <w:vAlign w:val="bottom"/>
            <w:hideMark/>
          </w:tcPr>
          <w:p w14:paraId="372A861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566E12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D90D0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D5C0A6" w14:textId="77777777" w:rsidR="00000000" w:rsidRDefault="00D6065B">
            <w:pPr>
              <w:jc w:val="right"/>
              <w:rPr>
                <w:rFonts w:eastAsia="Times New Roman"/>
                <w:sz w:val="20"/>
                <w:szCs w:val="20"/>
              </w:rPr>
            </w:pPr>
            <w:r>
              <w:rPr>
                <w:rFonts w:eastAsia="Times New Roman"/>
                <w:sz w:val="20"/>
                <w:szCs w:val="20"/>
              </w:rPr>
              <w:t>33,835</w:t>
            </w:r>
          </w:p>
        </w:tc>
        <w:tc>
          <w:tcPr>
            <w:tcW w:w="0" w:type="auto"/>
            <w:shd w:val="clear" w:color="auto" w:fill="CCEEFF"/>
            <w:tcMar>
              <w:top w:w="0" w:type="dxa"/>
              <w:left w:w="0" w:type="dxa"/>
              <w:bottom w:w="30" w:type="dxa"/>
              <w:right w:w="0" w:type="dxa"/>
            </w:tcMar>
            <w:vAlign w:val="bottom"/>
            <w:hideMark/>
          </w:tcPr>
          <w:p w14:paraId="564C8ADA" w14:textId="77777777" w:rsidR="00000000" w:rsidRDefault="00D6065B">
            <w:pPr>
              <w:rPr>
                <w:rFonts w:eastAsia="Times New Roman"/>
                <w:sz w:val="20"/>
                <w:szCs w:val="20"/>
              </w:rPr>
            </w:pPr>
            <w:r>
              <w:rPr>
                <w:rFonts w:eastAsia="Times New Roman"/>
                <w:sz w:val="20"/>
                <w:szCs w:val="20"/>
              </w:rPr>
              <w:t> </w:t>
            </w:r>
          </w:p>
        </w:tc>
      </w:tr>
      <w:tr w:rsidR="00000000" w14:paraId="38D51C14" w14:textId="77777777">
        <w:tc>
          <w:tcPr>
            <w:tcW w:w="0" w:type="auto"/>
            <w:shd w:val="clear" w:color="auto" w:fill="FFFFFF"/>
            <w:vAlign w:val="bottom"/>
            <w:hideMark/>
          </w:tcPr>
          <w:p w14:paraId="77FF028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11638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4854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95D4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1BD25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14F3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9A5C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C8F225"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FE5A26" w14:textId="77777777" w:rsidR="00000000" w:rsidRDefault="00D6065B">
            <w:pPr>
              <w:rPr>
                <w:rFonts w:eastAsia="Times New Roman"/>
                <w:sz w:val="20"/>
                <w:szCs w:val="20"/>
              </w:rPr>
            </w:pPr>
            <w:r>
              <w:rPr>
                <w:rFonts w:eastAsia="Times New Roman"/>
                <w:sz w:val="20"/>
                <w:szCs w:val="20"/>
              </w:rPr>
              <w:t> </w:t>
            </w:r>
          </w:p>
        </w:tc>
      </w:tr>
      <w:tr w:rsidR="00000000" w14:paraId="183EC6E8" w14:textId="77777777">
        <w:tc>
          <w:tcPr>
            <w:tcW w:w="0" w:type="auto"/>
            <w:shd w:val="clear" w:color="auto" w:fill="CCEEFF"/>
            <w:tcMar>
              <w:top w:w="0" w:type="dxa"/>
              <w:left w:w="400" w:type="dxa"/>
              <w:bottom w:w="30" w:type="dxa"/>
              <w:right w:w="0" w:type="dxa"/>
            </w:tcMar>
            <w:vAlign w:val="bottom"/>
            <w:hideMark/>
          </w:tcPr>
          <w:p w14:paraId="62A2EE8D" w14:textId="77777777" w:rsidR="00000000" w:rsidRDefault="00D6065B">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14:paraId="1FA680E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AAC93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F5695E" w14:textId="77777777" w:rsidR="00000000" w:rsidRDefault="00D6065B">
            <w:pPr>
              <w:jc w:val="right"/>
              <w:rPr>
                <w:rFonts w:eastAsia="Times New Roman"/>
                <w:sz w:val="20"/>
                <w:szCs w:val="20"/>
              </w:rPr>
            </w:pPr>
            <w:r>
              <w:rPr>
                <w:rFonts w:eastAsia="Times New Roman"/>
                <w:sz w:val="20"/>
                <w:szCs w:val="20"/>
              </w:rPr>
              <w:t>2,232,792</w:t>
            </w:r>
          </w:p>
        </w:tc>
        <w:tc>
          <w:tcPr>
            <w:tcW w:w="0" w:type="auto"/>
            <w:shd w:val="clear" w:color="auto" w:fill="CCEEFF"/>
            <w:tcMar>
              <w:top w:w="0" w:type="dxa"/>
              <w:left w:w="0" w:type="dxa"/>
              <w:bottom w:w="30" w:type="dxa"/>
              <w:right w:w="0" w:type="dxa"/>
            </w:tcMar>
            <w:vAlign w:val="bottom"/>
            <w:hideMark/>
          </w:tcPr>
          <w:p w14:paraId="24D80BB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458F9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A3861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5B7365" w14:textId="77777777" w:rsidR="00000000" w:rsidRDefault="00D6065B">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30" w:type="dxa"/>
              <w:right w:w="0" w:type="dxa"/>
            </w:tcMar>
            <w:vAlign w:val="bottom"/>
            <w:hideMark/>
          </w:tcPr>
          <w:p w14:paraId="4566EA7E" w14:textId="77777777" w:rsidR="00000000" w:rsidRDefault="00D6065B">
            <w:pPr>
              <w:rPr>
                <w:rFonts w:eastAsia="Times New Roman"/>
                <w:sz w:val="20"/>
                <w:szCs w:val="20"/>
              </w:rPr>
            </w:pPr>
            <w:r>
              <w:rPr>
                <w:rFonts w:eastAsia="Times New Roman"/>
                <w:sz w:val="20"/>
                <w:szCs w:val="20"/>
              </w:rPr>
              <w:t> </w:t>
            </w:r>
          </w:p>
        </w:tc>
      </w:tr>
      <w:tr w:rsidR="00000000" w14:paraId="29724AFF" w14:textId="77777777">
        <w:tc>
          <w:tcPr>
            <w:tcW w:w="0" w:type="auto"/>
            <w:shd w:val="clear" w:color="auto" w:fill="FFFFFF"/>
            <w:vAlign w:val="bottom"/>
            <w:hideMark/>
          </w:tcPr>
          <w:p w14:paraId="3B6171A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2A09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770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F98A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EF33C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A12FB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0F0C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0CB1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4C2D49" w14:textId="77777777" w:rsidR="00000000" w:rsidRDefault="00D6065B">
            <w:pPr>
              <w:rPr>
                <w:rFonts w:eastAsia="Times New Roman"/>
                <w:sz w:val="20"/>
                <w:szCs w:val="20"/>
              </w:rPr>
            </w:pPr>
            <w:r>
              <w:rPr>
                <w:rFonts w:eastAsia="Times New Roman"/>
                <w:sz w:val="20"/>
                <w:szCs w:val="20"/>
              </w:rPr>
              <w:t> </w:t>
            </w:r>
          </w:p>
        </w:tc>
      </w:tr>
      <w:tr w:rsidR="00000000" w14:paraId="66085594" w14:textId="77777777">
        <w:tc>
          <w:tcPr>
            <w:tcW w:w="0" w:type="auto"/>
            <w:shd w:val="clear" w:color="auto" w:fill="CCEEFF"/>
            <w:tcMar>
              <w:top w:w="0" w:type="dxa"/>
              <w:left w:w="0" w:type="dxa"/>
              <w:bottom w:w="50" w:type="dxa"/>
              <w:right w:w="0" w:type="dxa"/>
            </w:tcMar>
            <w:vAlign w:val="bottom"/>
            <w:hideMark/>
          </w:tcPr>
          <w:p w14:paraId="20B3EDAF" w14:textId="77777777" w:rsidR="00000000" w:rsidRDefault="00D6065B">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14:paraId="31B20C45"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68D87A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E9A3B01" w14:textId="77777777" w:rsidR="00000000" w:rsidRDefault="00D6065B">
            <w:pPr>
              <w:jc w:val="right"/>
              <w:rPr>
                <w:rFonts w:eastAsia="Times New Roman"/>
                <w:sz w:val="20"/>
                <w:szCs w:val="20"/>
              </w:rPr>
            </w:pPr>
            <w:r>
              <w:rPr>
                <w:rFonts w:eastAsia="Times New Roman"/>
                <w:sz w:val="20"/>
                <w:szCs w:val="20"/>
              </w:rPr>
              <w:t>2,232,792</w:t>
            </w:r>
          </w:p>
        </w:tc>
        <w:tc>
          <w:tcPr>
            <w:tcW w:w="0" w:type="auto"/>
            <w:shd w:val="clear" w:color="auto" w:fill="CCEEFF"/>
            <w:tcMar>
              <w:top w:w="0" w:type="dxa"/>
              <w:left w:w="0" w:type="dxa"/>
              <w:bottom w:w="50" w:type="dxa"/>
              <w:right w:w="0" w:type="dxa"/>
            </w:tcMar>
            <w:vAlign w:val="bottom"/>
            <w:hideMark/>
          </w:tcPr>
          <w:p w14:paraId="0DD682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9604DE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9ACC45"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39B7C6A" w14:textId="77777777" w:rsidR="00000000" w:rsidRDefault="00D6065B">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14:paraId="4F00A009" w14:textId="77777777" w:rsidR="00000000" w:rsidRDefault="00D6065B">
            <w:pPr>
              <w:rPr>
                <w:rFonts w:eastAsia="Times New Roman"/>
                <w:sz w:val="20"/>
                <w:szCs w:val="20"/>
              </w:rPr>
            </w:pPr>
            <w:r>
              <w:rPr>
                <w:rFonts w:eastAsia="Times New Roman"/>
                <w:sz w:val="20"/>
                <w:szCs w:val="20"/>
              </w:rPr>
              <w:t> </w:t>
            </w:r>
          </w:p>
        </w:tc>
      </w:tr>
      <w:tr w:rsidR="00000000" w14:paraId="072F7A07" w14:textId="77777777">
        <w:tc>
          <w:tcPr>
            <w:tcW w:w="0" w:type="auto"/>
            <w:shd w:val="clear" w:color="auto" w:fill="FFFFFF"/>
            <w:vAlign w:val="bottom"/>
            <w:hideMark/>
          </w:tcPr>
          <w:p w14:paraId="68C8069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B120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F11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C2FB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5015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2AB1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49ED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C485E"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10E50A" w14:textId="77777777" w:rsidR="00000000" w:rsidRDefault="00D6065B">
            <w:pPr>
              <w:rPr>
                <w:rFonts w:eastAsia="Times New Roman"/>
                <w:sz w:val="20"/>
                <w:szCs w:val="20"/>
              </w:rPr>
            </w:pPr>
            <w:r>
              <w:rPr>
                <w:rFonts w:eastAsia="Times New Roman"/>
                <w:sz w:val="20"/>
                <w:szCs w:val="20"/>
              </w:rPr>
              <w:t> </w:t>
            </w:r>
          </w:p>
        </w:tc>
      </w:tr>
      <w:tr w:rsidR="00000000" w14:paraId="27A99A5C" w14:textId="77777777">
        <w:tc>
          <w:tcPr>
            <w:tcW w:w="0" w:type="auto"/>
            <w:shd w:val="clear" w:color="auto" w:fill="CCEEFF"/>
            <w:vAlign w:val="bottom"/>
            <w:hideMark/>
          </w:tcPr>
          <w:p w14:paraId="43692204" w14:textId="77777777" w:rsidR="00000000" w:rsidRDefault="00D6065B">
            <w:pPr>
              <w:jc w:val="center"/>
              <w:rPr>
                <w:rFonts w:eastAsia="Times New Roman"/>
                <w:b/>
                <w:bCs/>
                <w:sz w:val="20"/>
                <w:szCs w:val="20"/>
                <w:u w:val="single"/>
              </w:rPr>
            </w:pPr>
            <w:r>
              <w:rPr>
                <w:rFonts w:eastAsia="Times New Roman"/>
                <w:b/>
                <w:bCs/>
                <w:sz w:val="20"/>
                <w:szCs w:val="20"/>
                <w:u w:val="single"/>
              </w:rPr>
              <w:t>LIABILITIES AND STOCKHOLDERS’ EQUITY (DEFICIT)</w:t>
            </w:r>
          </w:p>
        </w:tc>
        <w:tc>
          <w:tcPr>
            <w:tcW w:w="0" w:type="auto"/>
            <w:shd w:val="clear" w:color="auto" w:fill="CCEEFF"/>
            <w:vAlign w:val="bottom"/>
            <w:hideMark/>
          </w:tcPr>
          <w:p w14:paraId="334ACFE1"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815B36B"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390F10D" w14:textId="77777777" w:rsidR="00000000" w:rsidRDefault="00D6065B">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7C701D"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2E5F40F"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AD0B01A"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300A851" w14:textId="77777777" w:rsidR="00000000" w:rsidRDefault="00D6065B">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B460138" w14:textId="77777777" w:rsidR="00000000" w:rsidRDefault="00D6065B">
            <w:pPr>
              <w:rPr>
                <w:rFonts w:eastAsia="Times New Roman"/>
                <w:b/>
                <w:bCs/>
                <w:sz w:val="20"/>
                <w:szCs w:val="20"/>
              </w:rPr>
            </w:pPr>
            <w:r>
              <w:rPr>
                <w:rFonts w:eastAsia="Times New Roman"/>
                <w:b/>
                <w:bCs/>
                <w:sz w:val="20"/>
                <w:szCs w:val="20"/>
              </w:rPr>
              <w:t> </w:t>
            </w:r>
          </w:p>
        </w:tc>
      </w:tr>
      <w:tr w:rsidR="00000000" w14:paraId="33CD5B74" w14:textId="77777777">
        <w:tc>
          <w:tcPr>
            <w:tcW w:w="0" w:type="auto"/>
            <w:shd w:val="clear" w:color="auto" w:fill="FFFFFF"/>
            <w:vAlign w:val="bottom"/>
            <w:hideMark/>
          </w:tcPr>
          <w:p w14:paraId="30938D2B"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79B8A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F894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2A80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E4438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001E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90FB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03E4F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730D2E" w14:textId="77777777" w:rsidR="00000000" w:rsidRDefault="00D6065B">
            <w:pPr>
              <w:rPr>
                <w:rFonts w:eastAsia="Times New Roman"/>
                <w:sz w:val="20"/>
                <w:szCs w:val="20"/>
              </w:rPr>
            </w:pPr>
            <w:r>
              <w:rPr>
                <w:rFonts w:eastAsia="Times New Roman"/>
                <w:sz w:val="20"/>
                <w:szCs w:val="20"/>
              </w:rPr>
              <w:t> </w:t>
            </w:r>
          </w:p>
        </w:tc>
      </w:tr>
      <w:tr w:rsidR="00000000" w14:paraId="7EE4C95D" w14:textId="77777777">
        <w:tc>
          <w:tcPr>
            <w:tcW w:w="0" w:type="auto"/>
            <w:shd w:val="clear" w:color="auto" w:fill="CCEEFF"/>
            <w:vAlign w:val="bottom"/>
            <w:hideMark/>
          </w:tcPr>
          <w:p w14:paraId="683A3E64" w14:textId="77777777" w:rsidR="00000000" w:rsidRDefault="00D6065B">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1D78669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43D5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B1287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692CA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1CB1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930C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24DE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43E63F" w14:textId="77777777" w:rsidR="00000000" w:rsidRDefault="00D6065B">
            <w:pPr>
              <w:rPr>
                <w:rFonts w:eastAsia="Times New Roman"/>
                <w:sz w:val="20"/>
                <w:szCs w:val="20"/>
              </w:rPr>
            </w:pPr>
            <w:r>
              <w:rPr>
                <w:rFonts w:eastAsia="Times New Roman"/>
                <w:sz w:val="20"/>
                <w:szCs w:val="20"/>
              </w:rPr>
              <w:t> </w:t>
            </w:r>
          </w:p>
        </w:tc>
      </w:tr>
      <w:tr w:rsidR="00000000" w14:paraId="7E33ACDD" w14:textId="77777777">
        <w:tc>
          <w:tcPr>
            <w:tcW w:w="0" w:type="auto"/>
            <w:shd w:val="clear" w:color="auto" w:fill="FFFFFF"/>
            <w:vAlign w:val="bottom"/>
            <w:hideMark/>
          </w:tcPr>
          <w:p w14:paraId="2A0DE3C1" w14:textId="77777777" w:rsidR="00000000" w:rsidRDefault="00D6065B">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71E73D6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2B6D8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607C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35ED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E84A1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70246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319CD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5BF0DA" w14:textId="77777777" w:rsidR="00000000" w:rsidRDefault="00D6065B">
            <w:pPr>
              <w:rPr>
                <w:rFonts w:eastAsia="Times New Roman"/>
                <w:sz w:val="20"/>
                <w:szCs w:val="20"/>
              </w:rPr>
            </w:pPr>
            <w:r>
              <w:rPr>
                <w:rFonts w:eastAsia="Times New Roman"/>
                <w:sz w:val="20"/>
                <w:szCs w:val="20"/>
              </w:rPr>
              <w:t> </w:t>
            </w:r>
          </w:p>
        </w:tc>
      </w:tr>
      <w:tr w:rsidR="00000000" w14:paraId="50EE5990" w14:textId="77777777">
        <w:tc>
          <w:tcPr>
            <w:tcW w:w="0" w:type="auto"/>
            <w:shd w:val="clear" w:color="auto" w:fill="CCEEFF"/>
            <w:tcMar>
              <w:top w:w="0" w:type="dxa"/>
              <w:left w:w="200" w:type="dxa"/>
              <w:bottom w:w="0" w:type="dxa"/>
              <w:right w:w="0" w:type="dxa"/>
            </w:tcMar>
            <w:vAlign w:val="bottom"/>
            <w:hideMark/>
          </w:tcPr>
          <w:p w14:paraId="1F7B9A0A" w14:textId="77777777" w:rsidR="00000000" w:rsidRDefault="00D6065B">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63D13FE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E868B"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0FCC70B8" w14:textId="77777777" w:rsidR="00000000" w:rsidRDefault="00D6065B">
            <w:pPr>
              <w:jc w:val="right"/>
              <w:rPr>
                <w:rFonts w:eastAsia="Times New Roman"/>
                <w:sz w:val="20"/>
                <w:szCs w:val="20"/>
              </w:rPr>
            </w:pPr>
            <w:r>
              <w:rPr>
                <w:rFonts w:eastAsia="Times New Roman"/>
                <w:sz w:val="20"/>
                <w:szCs w:val="20"/>
              </w:rPr>
              <w:t>167,068</w:t>
            </w:r>
          </w:p>
        </w:tc>
        <w:tc>
          <w:tcPr>
            <w:tcW w:w="0" w:type="auto"/>
            <w:shd w:val="clear" w:color="auto" w:fill="CCEEFF"/>
            <w:vAlign w:val="bottom"/>
            <w:hideMark/>
          </w:tcPr>
          <w:p w14:paraId="310CFD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1EC8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8BDA5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13436F7B" w14:textId="77777777" w:rsidR="00000000" w:rsidRDefault="00D6065B">
            <w:pPr>
              <w:jc w:val="right"/>
              <w:rPr>
                <w:rFonts w:eastAsia="Times New Roman"/>
                <w:sz w:val="20"/>
                <w:szCs w:val="20"/>
              </w:rPr>
            </w:pPr>
            <w:r>
              <w:rPr>
                <w:rFonts w:eastAsia="Times New Roman"/>
                <w:sz w:val="20"/>
                <w:szCs w:val="20"/>
              </w:rPr>
              <w:t>361,880</w:t>
            </w:r>
          </w:p>
        </w:tc>
        <w:tc>
          <w:tcPr>
            <w:tcW w:w="0" w:type="auto"/>
            <w:shd w:val="clear" w:color="auto" w:fill="CCEEFF"/>
            <w:vAlign w:val="bottom"/>
            <w:hideMark/>
          </w:tcPr>
          <w:p w14:paraId="1D18868C" w14:textId="77777777" w:rsidR="00000000" w:rsidRDefault="00D6065B">
            <w:pPr>
              <w:rPr>
                <w:rFonts w:eastAsia="Times New Roman"/>
                <w:sz w:val="20"/>
                <w:szCs w:val="20"/>
              </w:rPr>
            </w:pPr>
            <w:r>
              <w:rPr>
                <w:rFonts w:eastAsia="Times New Roman"/>
                <w:sz w:val="20"/>
                <w:szCs w:val="20"/>
              </w:rPr>
              <w:t> </w:t>
            </w:r>
          </w:p>
        </w:tc>
      </w:tr>
      <w:tr w:rsidR="00000000" w14:paraId="7111FF50" w14:textId="77777777">
        <w:tc>
          <w:tcPr>
            <w:tcW w:w="0" w:type="auto"/>
            <w:shd w:val="clear" w:color="auto" w:fill="FFFFFF"/>
            <w:tcMar>
              <w:top w:w="0" w:type="dxa"/>
              <w:left w:w="200" w:type="dxa"/>
              <w:bottom w:w="0" w:type="dxa"/>
              <w:right w:w="0" w:type="dxa"/>
            </w:tcMar>
            <w:vAlign w:val="bottom"/>
            <w:hideMark/>
          </w:tcPr>
          <w:p w14:paraId="62EEC5B3" w14:textId="77777777" w:rsidR="00000000" w:rsidRDefault="00D6065B">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14:paraId="7D233C7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2A1C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952A54" w14:textId="77777777" w:rsidR="00000000" w:rsidRDefault="00D6065B">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14:paraId="7785CCF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490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49C9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7E73A" w14:textId="77777777" w:rsidR="00000000" w:rsidRDefault="00D6065B">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14:paraId="1F6E99E1" w14:textId="77777777" w:rsidR="00000000" w:rsidRDefault="00D6065B">
            <w:pPr>
              <w:rPr>
                <w:rFonts w:eastAsia="Times New Roman"/>
                <w:sz w:val="20"/>
                <w:szCs w:val="20"/>
              </w:rPr>
            </w:pPr>
            <w:r>
              <w:rPr>
                <w:rFonts w:eastAsia="Times New Roman"/>
                <w:sz w:val="20"/>
                <w:szCs w:val="20"/>
              </w:rPr>
              <w:t> </w:t>
            </w:r>
          </w:p>
        </w:tc>
      </w:tr>
      <w:tr w:rsidR="00000000" w14:paraId="6BB86963" w14:textId="77777777">
        <w:tc>
          <w:tcPr>
            <w:tcW w:w="0" w:type="auto"/>
            <w:shd w:val="clear" w:color="auto" w:fill="CCEEFF"/>
            <w:tcMar>
              <w:top w:w="0" w:type="dxa"/>
              <w:left w:w="200" w:type="dxa"/>
              <w:bottom w:w="0" w:type="dxa"/>
              <w:right w:w="0" w:type="dxa"/>
            </w:tcMar>
            <w:vAlign w:val="bottom"/>
            <w:hideMark/>
          </w:tcPr>
          <w:p w14:paraId="5A7C9134" w14:textId="77777777" w:rsidR="00000000" w:rsidRDefault="00D6065B">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14:paraId="77DB5C8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7931F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F581B" w14:textId="77777777" w:rsidR="00000000" w:rsidRDefault="00D6065B">
            <w:pPr>
              <w:jc w:val="right"/>
              <w:rPr>
                <w:rFonts w:eastAsia="Times New Roman"/>
                <w:sz w:val="20"/>
                <w:szCs w:val="20"/>
              </w:rPr>
            </w:pPr>
            <w:r>
              <w:rPr>
                <w:rFonts w:eastAsia="Times New Roman"/>
                <w:sz w:val="20"/>
                <w:szCs w:val="20"/>
              </w:rPr>
              <w:t>112,745</w:t>
            </w:r>
          </w:p>
        </w:tc>
        <w:tc>
          <w:tcPr>
            <w:tcW w:w="0" w:type="auto"/>
            <w:shd w:val="clear" w:color="auto" w:fill="CCEEFF"/>
            <w:vAlign w:val="bottom"/>
            <w:hideMark/>
          </w:tcPr>
          <w:p w14:paraId="0163C93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A3E4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4361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BAC406" w14:textId="77777777" w:rsidR="00000000" w:rsidRDefault="00D6065B">
            <w:pPr>
              <w:jc w:val="right"/>
              <w:rPr>
                <w:rFonts w:eastAsia="Times New Roman"/>
                <w:sz w:val="20"/>
                <w:szCs w:val="20"/>
              </w:rPr>
            </w:pPr>
            <w:r>
              <w:rPr>
                <w:rFonts w:eastAsia="Times New Roman"/>
                <w:sz w:val="20"/>
                <w:szCs w:val="20"/>
              </w:rPr>
              <w:t>100,954</w:t>
            </w:r>
          </w:p>
        </w:tc>
        <w:tc>
          <w:tcPr>
            <w:tcW w:w="0" w:type="auto"/>
            <w:shd w:val="clear" w:color="auto" w:fill="CCEEFF"/>
            <w:vAlign w:val="bottom"/>
            <w:hideMark/>
          </w:tcPr>
          <w:p w14:paraId="78FF0D91" w14:textId="77777777" w:rsidR="00000000" w:rsidRDefault="00D6065B">
            <w:pPr>
              <w:rPr>
                <w:rFonts w:eastAsia="Times New Roman"/>
                <w:sz w:val="20"/>
                <w:szCs w:val="20"/>
              </w:rPr>
            </w:pPr>
            <w:r>
              <w:rPr>
                <w:rFonts w:eastAsia="Times New Roman"/>
                <w:sz w:val="20"/>
                <w:szCs w:val="20"/>
              </w:rPr>
              <w:t> </w:t>
            </w:r>
          </w:p>
        </w:tc>
      </w:tr>
      <w:tr w:rsidR="00000000" w14:paraId="12056A8A" w14:textId="77777777">
        <w:tc>
          <w:tcPr>
            <w:tcW w:w="0" w:type="auto"/>
            <w:shd w:val="clear" w:color="auto" w:fill="FFFFFF"/>
            <w:tcMar>
              <w:top w:w="0" w:type="dxa"/>
              <w:left w:w="200" w:type="dxa"/>
              <w:bottom w:w="0" w:type="dxa"/>
              <w:right w:w="0" w:type="dxa"/>
            </w:tcMar>
            <w:vAlign w:val="bottom"/>
            <w:hideMark/>
          </w:tcPr>
          <w:p w14:paraId="1CAFE298" w14:textId="77777777" w:rsidR="00000000" w:rsidRDefault="00D6065B">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14:paraId="22949C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FB4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762D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22708F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902DD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C8F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13E4F" w14:textId="77777777" w:rsidR="00000000" w:rsidRDefault="00D6065B">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14:paraId="0FA041B5" w14:textId="77777777" w:rsidR="00000000" w:rsidRDefault="00D6065B">
            <w:pPr>
              <w:rPr>
                <w:rFonts w:eastAsia="Times New Roman"/>
                <w:sz w:val="20"/>
                <w:szCs w:val="20"/>
              </w:rPr>
            </w:pPr>
            <w:r>
              <w:rPr>
                <w:rFonts w:eastAsia="Times New Roman"/>
                <w:sz w:val="20"/>
                <w:szCs w:val="20"/>
              </w:rPr>
              <w:t> </w:t>
            </w:r>
          </w:p>
        </w:tc>
      </w:tr>
      <w:tr w:rsidR="00000000" w14:paraId="623F947E" w14:textId="77777777">
        <w:tc>
          <w:tcPr>
            <w:tcW w:w="0" w:type="auto"/>
            <w:shd w:val="clear" w:color="auto" w:fill="CCEEFF"/>
            <w:tcMar>
              <w:top w:w="0" w:type="dxa"/>
              <w:left w:w="200" w:type="dxa"/>
              <w:bottom w:w="0" w:type="dxa"/>
              <w:right w:w="0" w:type="dxa"/>
            </w:tcMar>
            <w:vAlign w:val="bottom"/>
            <w:hideMark/>
          </w:tcPr>
          <w:p w14:paraId="74D4E2EE" w14:textId="77777777" w:rsidR="00000000" w:rsidRDefault="00D6065B">
            <w:pPr>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14:paraId="2612CA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FB56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F9BB1" w14:textId="77777777" w:rsidR="00000000" w:rsidRDefault="00D6065B">
            <w:pPr>
              <w:jc w:val="right"/>
              <w:rPr>
                <w:rFonts w:eastAsia="Times New Roman"/>
                <w:sz w:val="20"/>
                <w:szCs w:val="20"/>
              </w:rPr>
            </w:pPr>
            <w:r>
              <w:rPr>
                <w:rFonts w:eastAsia="Times New Roman"/>
                <w:sz w:val="20"/>
                <w:szCs w:val="20"/>
              </w:rPr>
              <w:t>58,308</w:t>
            </w:r>
          </w:p>
        </w:tc>
        <w:tc>
          <w:tcPr>
            <w:tcW w:w="0" w:type="auto"/>
            <w:shd w:val="clear" w:color="auto" w:fill="CCEEFF"/>
            <w:vAlign w:val="bottom"/>
            <w:hideMark/>
          </w:tcPr>
          <w:p w14:paraId="3DD4BCA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5327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E187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D2BCE" w14:textId="77777777" w:rsidR="00000000" w:rsidRDefault="00D6065B">
            <w:pPr>
              <w:jc w:val="right"/>
              <w:rPr>
                <w:rFonts w:eastAsia="Times New Roman"/>
                <w:sz w:val="20"/>
                <w:szCs w:val="20"/>
              </w:rPr>
            </w:pPr>
            <w:r>
              <w:rPr>
                <w:rFonts w:eastAsia="Times New Roman"/>
                <w:sz w:val="20"/>
                <w:szCs w:val="20"/>
              </w:rPr>
              <w:t>107,418</w:t>
            </w:r>
          </w:p>
        </w:tc>
        <w:tc>
          <w:tcPr>
            <w:tcW w:w="0" w:type="auto"/>
            <w:shd w:val="clear" w:color="auto" w:fill="CCEEFF"/>
            <w:vAlign w:val="bottom"/>
            <w:hideMark/>
          </w:tcPr>
          <w:p w14:paraId="2D063582" w14:textId="77777777" w:rsidR="00000000" w:rsidRDefault="00D6065B">
            <w:pPr>
              <w:rPr>
                <w:rFonts w:eastAsia="Times New Roman"/>
                <w:sz w:val="20"/>
                <w:szCs w:val="20"/>
              </w:rPr>
            </w:pPr>
            <w:r>
              <w:rPr>
                <w:rFonts w:eastAsia="Times New Roman"/>
                <w:sz w:val="20"/>
                <w:szCs w:val="20"/>
              </w:rPr>
              <w:t> </w:t>
            </w:r>
          </w:p>
        </w:tc>
      </w:tr>
      <w:tr w:rsidR="00000000" w14:paraId="0E0BADAF" w14:textId="77777777">
        <w:tc>
          <w:tcPr>
            <w:tcW w:w="0" w:type="auto"/>
            <w:shd w:val="clear" w:color="auto" w:fill="FFFFFF"/>
            <w:tcMar>
              <w:top w:w="0" w:type="dxa"/>
              <w:left w:w="200" w:type="dxa"/>
              <w:bottom w:w="30" w:type="dxa"/>
              <w:right w:w="0" w:type="dxa"/>
            </w:tcMar>
            <w:vAlign w:val="bottom"/>
            <w:hideMark/>
          </w:tcPr>
          <w:p w14:paraId="3C307E90" w14:textId="77777777" w:rsidR="00000000" w:rsidRDefault="00D6065B">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14:paraId="2B743D8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68DDA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0CFED4" w14:textId="77777777" w:rsidR="00000000" w:rsidRDefault="00D6065B">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14:paraId="6498E1B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17BCA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AD8C6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F0A35D" w14:textId="77777777" w:rsidR="00000000" w:rsidRDefault="00D6065B">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14:paraId="3FB7ECFE" w14:textId="77777777" w:rsidR="00000000" w:rsidRDefault="00D6065B">
            <w:pPr>
              <w:rPr>
                <w:rFonts w:eastAsia="Times New Roman"/>
                <w:sz w:val="20"/>
                <w:szCs w:val="20"/>
              </w:rPr>
            </w:pPr>
            <w:r>
              <w:rPr>
                <w:rFonts w:eastAsia="Times New Roman"/>
                <w:sz w:val="20"/>
                <w:szCs w:val="20"/>
              </w:rPr>
              <w:t> </w:t>
            </w:r>
          </w:p>
        </w:tc>
      </w:tr>
      <w:tr w:rsidR="00000000" w14:paraId="7C978DD0" w14:textId="77777777">
        <w:tc>
          <w:tcPr>
            <w:tcW w:w="0" w:type="auto"/>
            <w:shd w:val="clear" w:color="auto" w:fill="CCEEFF"/>
            <w:tcMar>
              <w:top w:w="0" w:type="dxa"/>
              <w:left w:w="200" w:type="dxa"/>
              <w:bottom w:w="0" w:type="dxa"/>
              <w:right w:w="0" w:type="dxa"/>
            </w:tcMar>
            <w:vAlign w:val="bottom"/>
            <w:hideMark/>
          </w:tcPr>
          <w:p w14:paraId="7112CB2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0829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30C6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74F75"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C0230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DAB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6AB8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C8F5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54784B" w14:textId="77777777" w:rsidR="00000000" w:rsidRDefault="00D6065B">
            <w:pPr>
              <w:rPr>
                <w:rFonts w:eastAsia="Times New Roman"/>
                <w:sz w:val="20"/>
                <w:szCs w:val="20"/>
              </w:rPr>
            </w:pPr>
            <w:r>
              <w:rPr>
                <w:rFonts w:eastAsia="Times New Roman"/>
                <w:sz w:val="20"/>
                <w:szCs w:val="20"/>
              </w:rPr>
              <w:t> </w:t>
            </w:r>
          </w:p>
        </w:tc>
      </w:tr>
      <w:tr w:rsidR="00000000" w14:paraId="4AF0EA0A" w14:textId="77777777">
        <w:tc>
          <w:tcPr>
            <w:tcW w:w="0" w:type="auto"/>
            <w:shd w:val="clear" w:color="auto" w:fill="FFFFFF"/>
            <w:tcMar>
              <w:top w:w="0" w:type="dxa"/>
              <w:left w:w="400" w:type="dxa"/>
              <w:bottom w:w="30" w:type="dxa"/>
              <w:right w:w="0" w:type="dxa"/>
            </w:tcMar>
            <w:vAlign w:val="bottom"/>
            <w:hideMark/>
          </w:tcPr>
          <w:p w14:paraId="5D286A15" w14:textId="77777777" w:rsidR="00000000" w:rsidRDefault="00D6065B">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14:paraId="727A9BD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B97CB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F365C2" w14:textId="77777777" w:rsidR="00000000" w:rsidRDefault="00D6065B">
            <w:pPr>
              <w:jc w:val="right"/>
              <w:rPr>
                <w:rFonts w:eastAsia="Times New Roman"/>
                <w:sz w:val="20"/>
                <w:szCs w:val="20"/>
              </w:rPr>
            </w:pPr>
            <w:r>
              <w:rPr>
                <w:rFonts w:eastAsia="Times New Roman"/>
                <w:sz w:val="20"/>
                <w:szCs w:val="20"/>
              </w:rPr>
              <w:t>607,231</w:t>
            </w:r>
          </w:p>
        </w:tc>
        <w:tc>
          <w:tcPr>
            <w:tcW w:w="0" w:type="auto"/>
            <w:shd w:val="clear" w:color="auto" w:fill="FFFFFF"/>
            <w:tcMar>
              <w:top w:w="0" w:type="dxa"/>
              <w:left w:w="0" w:type="dxa"/>
              <w:bottom w:w="30" w:type="dxa"/>
              <w:right w:w="0" w:type="dxa"/>
            </w:tcMar>
            <w:vAlign w:val="bottom"/>
            <w:hideMark/>
          </w:tcPr>
          <w:p w14:paraId="26938A1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5243F5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9E909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1D1213" w14:textId="77777777" w:rsidR="00000000" w:rsidRDefault="00D6065B">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14:paraId="464B1EFF" w14:textId="77777777" w:rsidR="00000000" w:rsidRDefault="00D6065B">
            <w:pPr>
              <w:rPr>
                <w:rFonts w:eastAsia="Times New Roman"/>
                <w:sz w:val="20"/>
                <w:szCs w:val="20"/>
              </w:rPr>
            </w:pPr>
            <w:r>
              <w:rPr>
                <w:rFonts w:eastAsia="Times New Roman"/>
                <w:sz w:val="20"/>
                <w:szCs w:val="20"/>
              </w:rPr>
              <w:t> </w:t>
            </w:r>
          </w:p>
        </w:tc>
      </w:tr>
      <w:tr w:rsidR="00000000" w14:paraId="769559B9" w14:textId="77777777">
        <w:tc>
          <w:tcPr>
            <w:tcW w:w="0" w:type="auto"/>
            <w:shd w:val="clear" w:color="auto" w:fill="CCEEFF"/>
            <w:vAlign w:val="bottom"/>
            <w:hideMark/>
          </w:tcPr>
          <w:p w14:paraId="174F4D7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B7A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835A5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CF70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0E59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BA08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9EA2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B9B4B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568767" w14:textId="77777777" w:rsidR="00000000" w:rsidRDefault="00D6065B">
            <w:pPr>
              <w:rPr>
                <w:rFonts w:eastAsia="Times New Roman"/>
                <w:sz w:val="20"/>
                <w:szCs w:val="20"/>
              </w:rPr>
            </w:pPr>
            <w:r>
              <w:rPr>
                <w:rFonts w:eastAsia="Times New Roman"/>
                <w:sz w:val="20"/>
                <w:szCs w:val="20"/>
              </w:rPr>
              <w:t> </w:t>
            </w:r>
          </w:p>
        </w:tc>
      </w:tr>
      <w:tr w:rsidR="00000000" w14:paraId="3D5B175B" w14:textId="77777777">
        <w:tc>
          <w:tcPr>
            <w:tcW w:w="0" w:type="auto"/>
            <w:shd w:val="clear" w:color="auto" w:fill="FFFFFF"/>
            <w:tcMar>
              <w:top w:w="0" w:type="dxa"/>
              <w:left w:w="400" w:type="dxa"/>
              <w:bottom w:w="30" w:type="dxa"/>
              <w:right w:w="0" w:type="dxa"/>
            </w:tcMar>
            <w:vAlign w:val="bottom"/>
            <w:hideMark/>
          </w:tcPr>
          <w:p w14:paraId="5AA01035" w14:textId="77777777" w:rsidR="00000000" w:rsidRDefault="00D6065B">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14:paraId="499AA0C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172F9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887A69" w14:textId="77777777" w:rsidR="00000000" w:rsidRDefault="00D6065B">
            <w:pPr>
              <w:jc w:val="right"/>
              <w:rPr>
                <w:rFonts w:eastAsia="Times New Roman"/>
                <w:sz w:val="20"/>
                <w:szCs w:val="20"/>
              </w:rPr>
            </w:pPr>
            <w:r>
              <w:rPr>
                <w:rFonts w:eastAsia="Times New Roman"/>
                <w:sz w:val="20"/>
                <w:szCs w:val="20"/>
              </w:rPr>
              <w:t>607,231</w:t>
            </w:r>
          </w:p>
        </w:tc>
        <w:tc>
          <w:tcPr>
            <w:tcW w:w="0" w:type="auto"/>
            <w:shd w:val="clear" w:color="auto" w:fill="FFFFFF"/>
            <w:tcMar>
              <w:top w:w="0" w:type="dxa"/>
              <w:left w:w="0" w:type="dxa"/>
              <w:bottom w:w="30" w:type="dxa"/>
              <w:right w:w="0" w:type="dxa"/>
            </w:tcMar>
            <w:vAlign w:val="bottom"/>
            <w:hideMark/>
          </w:tcPr>
          <w:p w14:paraId="7ECCD27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B3855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0F073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939933" w14:textId="77777777" w:rsidR="00000000" w:rsidRDefault="00D6065B">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14:paraId="34690E6C" w14:textId="77777777" w:rsidR="00000000" w:rsidRDefault="00D6065B">
            <w:pPr>
              <w:rPr>
                <w:rFonts w:eastAsia="Times New Roman"/>
                <w:sz w:val="20"/>
                <w:szCs w:val="20"/>
              </w:rPr>
            </w:pPr>
            <w:r>
              <w:rPr>
                <w:rFonts w:eastAsia="Times New Roman"/>
                <w:sz w:val="20"/>
                <w:szCs w:val="20"/>
              </w:rPr>
              <w:t> </w:t>
            </w:r>
          </w:p>
        </w:tc>
      </w:tr>
      <w:tr w:rsidR="00000000" w14:paraId="43360327" w14:textId="77777777">
        <w:tc>
          <w:tcPr>
            <w:tcW w:w="0" w:type="auto"/>
            <w:shd w:val="clear" w:color="auto" w:fill="CCEEFF"/>
            <w:vAlign w:val="bottom"/>
            <w:hideMark/>
          </w:tcPr>
          <w:p w14:paraId="6A9BDA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295F0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06A1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2AB4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51A2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49B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7E541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CB99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17C6E4" w14:textId="77777777" w:rsidR="00000000" w:rsidRDefault="00D6065B">
            <w:pPr>
              <w:rPr>
                <w:rFonts w:eastAsia="Times New Roman"/>
                <w:sz w:val="20"/>
                <w:szCs w:val="20"/>
              </w:rPr>
            </w:pPr>
            <w:r>
              <w:rPr>
                <w:rFonts w:eastAsia="Times New Roman"/>
                <w:sz w:val="20"/>
                <w:szCs w:val="20"/>
              </w:rPr>
              <w:t> </w:t>
            </w:r>
          </w:p>
        </w:tc>
      </w:tr>
      <w:tr w:rsidR="00000000" w14:paraId="37E6D7B1" w14:textId="77777777">
        <w:tc>
          <w:tcPr>
            <w:tcW w:w="0" w:type="auto"/>
            <w:shd w:val="clear" w:color="auto" w:fill="FFFFFF"/>
            <w:vAlign w:val="bottom"/>
            <w:hideMark/>
          </w:tcPr>
          <w:p w14:paraId="0A23BF6B" w14:textId="77777777" w:rsidR="00000000" w:rsidRDefault="00D6065B">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14:paraId="187333F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CE77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79EB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E3F88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550FD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D35A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0D27E"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167D86E" w14:textId="77777777" w:rsidR="00000000" w:rsidRDefault="00D6065B">
            <w:pPr>
              <w:rPr>
                <w:rFonts w:eastAsia="Times New Roman"/>
                <w:sz w:val="20"/>
                <w:szCs w:val="20"/>
              </w:rPr>
            </w:pPr>
            <w:r>
              <w:rPr>
                <w:rFonts w:eastAsia="Times New Roman"/>
                <w:sz w:val="20"/>
                <w:szCs w:val="20"/>
              </w:rPr>
              <w:t> </w:t>
            </w:r>
          </w:p>
        </w:tc>
      </w:tr>
      <w:tr w:rsidR="00000000" w14:paraId="76B4FC34" w14:textId="77777777">
        <w:tc>
          <w:tcPr>
            <w:tcW w:w="0" w:type="auto"/>
            <w:shd w:val="clear" w:color="auto" w:fill="CCEEFF"/>
            <w:vAlign w:val="bottom"/>
            <w:hideMark/>
          </w:tcPr>
          <w:p w14:paraId="2DED72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40F54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0E2D4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B2AF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DC5EC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2E089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B3C3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2549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43DE53" w14:textId="77777777" w:rsidR="00000000" w:rsidRDefault="00D6065B">
            <w:pPr>
              <w:rPr>
                <w:rFonts w:eastAsia="Times New Roman"/>
                <w:sz w:val="20"/>
                <w:szCs w:val="20"/>
              </w:rPr>
            </w:pPr>
            <w:r>
              <w:rPr>
                <w:rFonts w:eastAsia="Times New Roman"/>
                <w:sz w:val="20"/>
                <w:szCs w:val="20"/>
              </w:rPr>
              <w:t> </w:t>
            </w:r>
          </w:p>
        </w:tc>
      </w:tr>
      <w:tr w:rsidR="00000000" w14:paraId="333DFEC4" w14:textId="77777777">
        <w:tc>
          <w:tcPr>
            <w:tcW w:w="0" w:type="auto"/>
            <w:shd w:val="clear" w:color="auto" w:fill="FFFFFF"/>
            <w:vAlign w:val="bottom"/>
            <w:hideMark/>
          </w:tcPr>
          <w:p w14:paraId="183C4005" w14:textId="77777777" w:rsidR="00000000" w:rsidRDefault="00D6065B">
            <w:pPr>
              <w:rPr>
                <w:rFonts w:eastAsia="Times New Roman"/>
                <w:b/>
                <w:bCs/>
                <w:sz w:val="20"/>
                <w:szCs w:val="20"/>
              </w:rPr>
            </w:pPr>
            <w:r>
              <w:rPr>
                <w:rFonts w:eastAsia="Times New Roman"/>
                <w:b/>
                <w:bCs/>
                <w:sz w:val="20"/>
                <w:szCs w:val="20"/>
              </w:rPr>
              <w:t>STOCKHOLDERS’ EQUITY (DEFICIT)</w:t>
            </w:r>
          </w:p>
        </w:tc>
        <w:tc>
          <w:tcPr>
            <w:tcW w:w="0" w:type="auto"/>
            <w:shd w:val="clear" w:color="auto" w:fill="FFFFFF"/>
            <w:vAlign w:val="bottom"/>
            <w:hideMark/>
          </w:tcPr>
          <w:p w14:paraId="5A70AD4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5204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A39A8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6B43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68E6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21CE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C6E3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1CFDB6" w14:textId="77777777" w:rsidR="00000000" w:rsidRDefault="00D6065B">
            <w:pPr>
              <w:rPr>
                <w:rFonts w:eastAsia="Times New Roman"/>
                <w:sz w:val="20"/>
                <w:szCs w:val="20"/>
              </w:rPr>
            </w:pPr>
            <w:r>
              <w:rPr>
                <w:rFonts w:eastAsia="Times New Roman"/>
                <w:sz w:val="20"/>
                <w:szCs w:val="20"/>
              </w:rPr>
              <w:t> </w:t>
            </w:r>
          </w:p>
        </w:tc>
      </w:tr>
      <w:tr w:rsidR="00000000" w14:paraId="3676C1C8" w14:textId="77777777">
        <w:tc>
          <w:tcPr>
            <w:tcW w:w="0" w:type="auto"/>
            <w:shd w:val="clear" w:color="auto" w:fill="CCEEFF"/>
            <w:tcMar>
              <w:top w:w="0" w:type="dxa"/>
              <w:left w:w="200" w:type="dxa"/>
              <w:bottom w:w="0" w:type="dxa"/>
              <w:right w:w="0" w:type="dxa"/>
            </w:tcMar>
            <w:vAlign w:val="bottom"/>
            <w:hideMark/>
          </w:tcPr>
          <w:p w14:paraId="6C638243" w14:textId="77777777" w:rsidR="00000000" w:rsidRDefault="00D6065B">
            <w:pPr>
              <w:rPr>
                <w:rFonts w:eastAsia="Times New Roman"/>
                <w:sz w:val="20"/>
                <w:szCs w:val="20"/>
              </w:rPr>
            </w:pPr>
            <w:r>
              <w:rPr>
                <w:rFonts w:eastAsia="Times New Roman"/>
                <w:sz w:val="20"/>
                <w:szCs w:val="20"/>
              </w:rPr>
              <w:t>Preferred stock, par value,</w:t>
            </w:r>
            <w:r>
              <w:rPr>
                <w:rFonts w:eastAsia="Times New Roman"/>
                <w:sz w:val="20"/>
                <w:szCs w:val="20"/>
              </w:rPr>
              <w:t xml:space="preserve"> </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w:t>
            </w:r>
            <w:r>
              <w:rPr>
                <w:rFonts w:eastAsia="Times New Roman"/>
                <w:sz w:val="20"/>
                <w:szCs w:val="20"/>
              </w:rPr>
              <w:t>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and</w:t>
            </w:r>
            <w:r>
              <w:rPr>
                <w:rFonts w:eastAsia="Times New Roman"/>
                <w:sz w:val="20"/>
                <w:szCs w:val="20"/>
              </w:rPr>
              <w:t xml:space="preserve"> </w:t>
            </w:r>
            <w:r>
              <w:rPr>
                <w:rFonts w:eastAsia="Times New Roman"/>
                <w:sz w:val="20"/>
                <w:szCs w:val="20"/>
              </w:rPr>
              <w:t>2,171,00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CCEEFF"/>
            <w:vAlign w:val="bottom"/>
            <w:hideMark/>
          </w:tcPr>
          <w:p w14:paraId="408935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734E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4A767" w14:textId="77777777" w:rsidR="00000000" w:rsidRDefault="00D6065B">
            <w:pPr>
              <w:jc w:val="right"/>
              <w:rPr>
                <w:rFonts w:eastAsia="Times New Roman"/>
                <w:sz w:val="20"/>
                <w:szCs w:val="20"/>
              </w:rPr>
            </w:pPr>
            <w:r>
              <w:rPr>
                <w:rFonts w:eastAsia="Times New Roman"/>
                <w:sz w:val="20"/>
                <w:szCs w:val="20"/>
              </w:rPr>
              <w:t>    2,071</w:t>
            </w:r>
          </w:p>
        </w:tc>
        <w:tc>
          <w:tcPr>
            <w:tcW w:w="0" w:type="auto"/>
            <w:shd w:val="clear" w:color="auto" w:fill="CCEEFF"/>
            <w:vAlign w:val="bottom"/>
            <w:hideMark/>
          </w:tcPr>
          <w:p w14:paraId="1FD70A7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8337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A5E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1CB6CD" w14:textId="77777777" w:rsidR="00000000" w:rsidRDefault="00D6065B">
            <w:pPr>
              <w:jc w:val="right"/>
              <w:rPr>
                <w:rFonts w:eastAsia="Times New Roman"/>
                <w:sz w:val="20"/>
                <w:szCs w:val="20"/>
              </w:rPr>
            </w:pPr>
            <w:r>
              <w:rPr>
                <w:rFonts w:eastAsia="Times New Roman"/>
                <w:sz w:val="20"/>
                <w:szCs w:val="20"/>
              </w:rPr>
              <w:t>    2,171</w:t>
            </w:r>
          </w:p>
        </w:tc>
        <w:tc>
          <w:tcPr>
            <w:tcW w:w="0" w:type="auto"/>
            <w:shd w:val="clear" w:color="auto" w:fill="CCEEFF"/>
            <w:vAlign w:val="bottom"/>
            <w:hideMark/>
          </w:tcPr>
          <w:p w14:paraId="219D9C02" w14:textId="77777777" w:rsidR="00000000" w:rsidRDefault="00D6065B">
            <w:pPr>
              <w:rPr>
                <w:rFonts w:eastAsia="Times New Roman"/>
                <w:sz w:val="20"/>
                <w:szCs w:val="20"/>
              </w:rPr>
            </w:pPr>
            <w:r>
              <w:rPr>
                <w:rFonts w:eastAsia="Times New Roman"/>
                <w:sz w:val="20"/>
                <w:szCs w:val="20"/>
              </w:rPr>
              <w:t>     </w:t>
            </w:r>
          </w:p>
        </w:tc>
      </w:tr>
      <w:tr w:rsidR="00000000" w14:paraId="5D6969EF" w14:textId="77777777">
        <w:tc>
          <w:tcPr>
            <w:tcW w:w="0" w:type="auto"/>
            <w:shd w:val="clear" w:color="auto" w:fill="FFFFFF"/>
            <w:tcMar>
              <w:top w:w="0" w:type="dxa"/>
              <w:left w:w="200" w:type="dxa"/>
              <w:bottom w:w="0" w:type="dxa"/>
              <w:right w:w="0" w:type="dxa"/>
            </w:tcMar>
            <w:vAlign w:val="bottom"/>
            <w:hideMark/>
          </w:tcPr>
          <w:p w14:paraId="04F4F352" w14:textId="77777777" w:rsidR="00000000" w:rsidRDefault="00D6065B">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FFFFFF"/>
            <w:vAlign w:val="bottom"/>
            <w:hideMark/>
          </w:tcPr>
          <w:p w14:paraId="4427463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BD730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F21B6C" w14:textId="77777777" w:rsidR="00000000" w:rsidRDefault="00D6065B">
            <w:pPr>
              <w:jc w:val="right"/>
              <w:rPr>
                <w:rFonts w:eastAsia="Times New Roman"/>
                <w:sz w:val="20"/>
                <w:szCs w:val="20"/>
              </w:rPr>
            </w:pPr>
            <w:r>
              <w:rPr>
                <w:rFonts w:eastAsia="Times New Roman"/>
                <w:sz w:val="20"/>
                <w:szCs w:val="20"/>
              </w:rPr>
              <w:t>8,842,458</w:t>
            </w:r>
          </w:p>
        </w:tc>
        <w:tc>
          <w:tcPr>
            <w:tcW w:w="0" w:type="auto"/>
            <w:shd w:val="clear" w:color="auto" w:fill="FFFFFF"/>
            <w:vAlign w:val="bottom"/>
            <w:hideMark/>
          </w:tcPr>
          <w:p w14:paraId="2212D6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B045C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72E38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8F76E6" w14:textId="77777777" w:rsidR="00000000" w:rsidRDefault="00D6065B">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14:paraId="34D152FC" w14:textId="77777777" w:rsidR="00000000" w:rsidRDefault="00D6065B">
            <w:pPr>
              <w:rPr>
                <w:rFonts w:eastAsia="Times New Roman"/>
                <w:sz w:val="20"/>
                <w:szCs w:val="20"/>
              </w:rPr>
            </w:pPr>
            <w:r>
              <w:rPr>
                <w:rFonts w:eastAsia="Times New Roman"/>
                <w:sz w:val="20"/>
                <w:szCs w:val="20"/>
              </w:rPr>
              <w:t> </w:t>
            </w:r>
          </w:p>
        </w:tc>
      </w:tr>
      <w:tr w:rsidR="00000000" w14:paraId="169B7DA7" w14:textId="77777777">
        <w:tc>
          <w:tcPr>
            <w:tcW w:w="0" w:type="auto"/>
            <w:shd w:val="clear" w:color="auto" w:fill="CCEEFF"/>
            <w:tcMar>
              <w:top w:w="0" w:type="dxa"/>
              <w:left w:w="200" w:type="dxa"/>
              <w:bottom w:w="0" w:type="dxa"/>
              <w:right w:w="0" w:type="dxa"/>
            </w:tcMar>
            <w:vAlign w:val="bottom"/>
            <w:hideMark/>
          </w:tcPr>
          <w:p w14:paraId="3011CE3E" w14:textId="77777777" w:rsidR="00000000" w:rsidRDefault="00D6065B">
            <w:pPr>
              <w:rPr>
                <w:rFonts w:eastAsia="Times New Roman"/>
                <w:sz w:val="20"/>
                <w:szCs w:val="20"/>
              </w:rPr>
            </w:pPr>
            <w:r>
              <w:rPr>
                <w:rFonts w:eastAsia="Times New Roman"/>
                <w:sz w:val="20"/>
                <w:szCs w:val="20"/>
              </w:rPr>
              <w:lastRenderedPageBreak/>
              <w:t>Series B Conv</w:t>
            </w:r>
            <w:r>
              <w:rPr>
                <w:rFonts w:eastAsia="Times New Roman"/>
                <w:sz w:val="20"/>
                <w:szCs w:val="20"/>
              </w:rPr>
              <w:t>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436,65</w:t>
            </w:r>
            <w:r>
              <w:rPr>
                <w:rFonts w:eastAsia="Times New Roman"/>
                <w:sz w:val="20"/>
                <w:szCs w:val="20"/>
              </w:rPr>
              <w:t>3</w:t>
            </w:r>
            <w:r>
              <w:rPr>
                <w:rFonts w:eastAsia="Times New Roman"/>
                <w:sz w:val="20"/>
                <w:szCs w:val="20"/>
              </w:rPr>
              <w:t xml:space="preserve"> and</w:t>
            </w:r>
            <w:r>
              <w:rPr>
                <w:rFonts w:eastAsia="Times New Roman"/>
                <w:sz w:val="20"/>
                <w:szCs w:val="20"/>
              </w:rPr>
              <w:t xml:space="preserve"> </w:t>
            </w:r>
            <w:r>
              <w:rPr>
                <w:rFonts w:eastAsia="Times New Roman"/>
                <w:sz w:val="20"/>
                <w:szCs w:val="20"/>
              </w:rPr>
              <w:t>436,65</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CCEEFF"/>
            <w:vAlign w:val="bottom"/>
            <w:hideMark/>
          </w:tcPr>
          <w:p w14:paraId="3621E0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D3F6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72612" w14:textId="77777777" w:rsidR="00000000" w:rsidRDefault="00D6065B">
            <w:pPr>
              <w:jc w:val="right"/>
              <w:rPr>
                <w:rFonts w:eastAsia="Times New Roman"/>
                <w:sz w:val="20"/>
                <w:szCs w:val="20"/>
              </w:rPr>
            </w:pPr>
            <w:r>
              <w:rPr>
                <w:rFonts w:eastAsia="Times New Roman"/>
                <w:sz w:val="20"/>
                <w:szCs w:val="20"/>
              </w:rPr>
              <w:t>  436</w:t>
            </w:r>
          </w:p>
        </w:tc>
        <w:tc>
          <w:tcPr>
            <w:tcW w:w="0" w:type="auto"/>
            <w:shd w:val="clear" w:color="auto" w:fill="CCEEFF"/>
            <w:vAlign w:val="bottom"/>
            <w:hideMark/>
          </w:tcPr>
          <w:p w14:paraId="45BC427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F16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22C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1D6D0" w14:textId="77777777" w:rsidR="00000000" w:rsidRDefault="00D6065B">
            <w:pPr>
              <w:jc w:val="right"/>
              <w:rPr>
                <w:rFonts w:eastAsia="Times New Roman"/>
                <w:sz w:val="20"/>
                <w:szCs w:val="20"/>
              </w:rPr>
            </w:pPr>
            <w:r>
              <w:rPr>
                <w:rFonts w:eastAsia="Times New Roman"/>
                <w:sz w:val="20"/>
                <w:szCs w:val="20"/>
              </w:rPr>
              <w:t>  436</w:t>
            </w:r>
          </w:p>
        </w:tc>
        <w:tc>
          <w:tcPr>
            <w:tcW w:w="0" w:type="auto"/>
            <w:shd w:val="clear" w:color="auto" w:fill="CCEEFF"/>
            <w:vAlign w:val="bottom"/>
            <w:hideMark/>
          </w:tcPr>
          <w:p w14:paraId="29AAC02E" w14:textId="77777777" w:rsidR="00000000" w:rsidRDefault="00D6065B">
            <w:pPr>
              <w:rPr>
                <w:rFonts w:eastAsia="Times New Roman"/>
                <w:sz w:val="20"/>
                <w:szCs w:val="20"/>
              </w:rPr>
            </w:pPr>
            <w:r>
              <w:rPr>
                <w:rFonts w:eastAsia="Times New Roman"/>
                <w:sz w:val="20"/>
                <w:szCs w:val="20"/>
              </w:rPr>
              <w:t>   </w:t>
            </w:r>
          </w:p>
        </w:tc>
      </w:tr>
      <w:tr w:rsidR="00000000" w14:paraId="53D9DD98" w14:textId="77777777">
        <w:tc>
          <w:tcPr>
            <w:tcW w:w="0" w:type="auto"/>
            <w:shd w:val="clear" w:color="auto" w:fill="FFFFFF"/>
            <w:tcMar>
              <w:top w:w="0" w:type="dxa"/>
              <w:left w:w="200" w:type="dxa"/>
              <w:bottom w:w="0" w:type="dxa"/>
              <w:right w:w="0" w:type="dxa"/>
            </w:tcMar>
            <w:vAlign w:val="bottom"/>
            <w:hideMark/>
          </w:tcPr>
          <w:p w14:paraId="66303A72" w14:textId="77777777" w:rsidR="00000000" w:rsidRDefault="00D6065B">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FFFFFF"/>
            <w:vAlign w:val="bottom"/>
            <w:hideMark/>
          </w:tcPr>
          <w:p w14:paraId="633F0B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B819E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C74263" w14:textId="77777777" w:rsidR="00000000" w:rsidRDefault="00D6065B">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14:paraId="684A86A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CF2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2F6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468D87" w14:textId="77777777" w:rsidR="00000000" w:rsidRDefault="00D6065B">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14:paraId="1BB041D2" w14:textId="77777777" w:rsidR="00000000" w:rsidRDefault="00D6065B">
            <w:pPr>
              <w:rPr>
                <w:rFonts w:eastAsia="Times New Roman"/>
                <w:sz w:val="20"/>
                <w:szCs w:val="20"/>
              </w:rPr>
            </w:pPr>
            <w:r>
              <w:rPr>
                <w:rFonts w:eastAsia="Times New Roman"/>
                <w:sz w:val="20"/>
                <w:szCs w:val="20"/>
              </w:rPr>
              <w:t> </w:t>
            </w:r>
          </w:p>
        </w:tc>
      </w:tr>
      <w:tr w:rsidR="00000000" w14:paraId="39382AB7" w14:textId="77777777">
        <w:tc>
          <w:tcPr>
            <w:tcW w:w="0" w:type="auto"/>
            <w:shd w:val="clear" w:color="auto" w:fill="CCEEFF"/>
            <w:tcMar>
              <w:top w:w="0" w:type="dxa"/>
              <w:left w:w="200" w:type="dxa"/>
              <w:bottom w:w="0" w:type="dxa"/>
              <w:right w:w="0" w:type="dxa"/>
            </w:tcMar>
            <w:vAlign w:val="bottom"/>
            <w:hideMark/>
          </w:tcPr>
          <w:p w14:paraId="6816F4EC" w14:textId="77777777" w:rsidR="00000000" w:rsidRDefault="00D6065B">
            <w:pPr>
              <w:rPr>
                <w:rFonts w:eastAsia="Times New Roman"/>
                <w:sz w:val="20"/>
                <w:szCs w:val="20"/>
              </w:rPr>
            </w:pPr>
            <w:r>
              <w:rPr>
                <w:rFonts w:eastAsia="Times New Roman"/>
                <w:sz w:val="20"/>
                <w:szCs w:val="20"/>
              </w:rPr>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and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CCEEFF"/>
            <w:vAlign w:val="bottom"/>
            <w:hideMark/>
          </w:tcPr>
          <w:p w14:paraId="53BEE05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25F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1F34B" w14:textId="77777777" w:rsidR="00000000" w:rsidRDefault="00D6065B">
            <w:pPr>
              <w:jc w:val="right"/>
              <w:rPr>
                <w:rFonts w:eastAsia="Times New Roman"/>
                <w:sz w:val="20"/>
                <w:szCs w:val="20"/>
              </w:rPr>
            </w:pPr>
            <w:r>
              <w:rPr>
                <w:rFonts w:eastAsia="Times New Roman"/>
                <w:sz w:val="20"/>
                <w:szCs w:val="20"/>
              </w:rPr>
              <w:t>  385</w:t>
            </w:r>
          </w:p>
        </w:tc>
        <w:tc>
          <w:tcPr>
            <w:tcW w:w="0" w:type="auto"/>
            <w:shd w:val="clear" w:color="auto" w:fill="CCEEFF"/>
            <w:vAlign w:val="bottom"/>
            <w:hideMark/>
          </w:tcPr>
          <w:p w14:paraId="45AF6A7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938E5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C7EA1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CF3A2" w14:textId="77777777" w:rsidR="00000000" w:rsidRDefault="00D6065B">
            <w:pPr>
              <w:jc w:val="right"/>
              <w:rPr>
                <w:rFonts w:eastAsia="Times New Roman"/>
                <w:sz w:val="20"/>
                <w:szCs w:val="20"/>
              </w:rPr>
            </w:pPr>
            <w:r>
              <w:rPr>
                <w:rFonts w:eastAsia="Times New Roman"/>
                <w:sz w:val="20"/>
                <w:szCs w:val="20"/>
              </w:rPr>
              <w:t>  385</w:t>
            </w:r>
          </w:p>
        </w:tc>
        <w:tc>
          <w:tcPr>
            <w:tcW w:w="0" w:type="auto"/>
            <w:shd w:val="clear" w:color="auto" w:fill="CCEEFF"/>
            <w:vAlign w:val="bottom"/>
            <w:hideMark/>
          </w:tcPr>
          <w:p w14:paraId="36CB8849" w14:textId="77777777" w:rsidR="00000000" w:rsidRDefault="00D6065B">
            <w:pPr>
              <w:rPr>
                <w:rFonts w:eastAsia="Times New Roman"/>
                <w:sz w:val="20"/>
                <w:szCs w:val="20"/>
              </w:rPr>
            </w:pPr>
            <w:r>
              <w:rPr>
                <w:rFonts w:eastAsia="Times New Roman"/>
                <w:sz w:val="20"/>
                <w:szCs w:val="20"/>
              </w:rPr>
              <w:t>   </w:t>
            </w:r>
          </w:p>
        </w:tc>
      </w:tr>
      <w:tr w:rsidR="00000000" w14:paraId="38A7CFF2" w14:textId="77777777">
        <w:tc>
          <w:tcPr>
            <w:tcW w:w="0" w:type="auto"/>
            <w:shd w:val="clear" w:color="auto" w:fill="FFFFFF"/>
            <w:tcMar>
              <w:top w:w="0" w:type="dxa"/>
              <w:left w:w="200" w:type="dxa"/>
              <w:bottom w:w="0" w:type="dxa"/>
              <w:right w:w="0" w:type="dxa"/>
            </w:tcMar>
            <w:vAlign w:val="bottom"/>
            <w:hideMark/>
          </w:tcPr>
          <w:p w14:paraId="3ACB9249" w14:textId="77777777" w:rsidR="00000000" w:rsidRDefault="00D6065B">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FFFFFF"/>
            <w:vAlign w:val="bottom"/>
            <w:hideMark/>
          </w:tcPr>
          <w:p w14:paraId="2EB7D24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A22B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E2A02B" w14:textId="77777777" w:rsidR="00000000" w:rsidRDefault="00D6065B">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14:paraId="59277BB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2237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D7CCC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D880E8" w14:textId="77777777" w:rsidR="00000000" w:rsidRDefault="00D6065B">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14:paraId="1DD6131C" w14:textId="77777777" w:rsidR="00000000" w:rsidRDefault="00D6065B">
            <w:pPr>
              <w:rPr>
                <w:rFonts w:eastAsia="Times New Roman"/>
                <w:sz w:val="20"/>
                <w:szCs w:val="20"/>
              </w:rPr>
            </w:pPr>
            <w:r>
              <w:rPr>
                <w:rFonts w:eastAsia="Times New Roman"/>
                <w:sz w:val="20"/>
                <w:szCs w:val="20"/>
              </w:rPr>
              <w:t> </w:t>
            </w:r>
          </w:p>
        </w:tc>
      </w:tr>
      <w:tr w:rsidR="00000000" w14:paraId="225C1E19" w14:textId="77777777">
        <w:tc>
          <w:tcPr>
            <w:tcW w:w="0" w:type="auto"/>
            <w:shd w:val="clear" w:color="auto" w:fill="CCEEFF"/>
            <w:tcMar>
              <w:top w:w="0" w:type="dxa"/>
              <w:left w:w="200" w:type="dxa"/>
              <w:bottom w:w="0" w:type="dxa"/>
              <w:right w:w="0" w:type="dxa"/>
            </w:tcMar>
            <w:vAlign w:val="bottom"/>
            <w:hideMark/>
          </w:tcPr>
          <w:p w14:paraId="18E1484A" w14:textId="77777777" w:rsidR="00000000" w:rsidRDefault="00D6065B">
            <w:pPr>
              <w:rPr>
                <w:rFonts w:eastAsia="Times New Roman"/>
                <w:sz w:val="20"/>
                <w:szCs w:val="20"/>
              </w:rPr>
            </w:pPr>
            <w:r>
              <w:rPr>
                <w:rFonts w:eastAsia="Times New Roman"/>
                <w:sz w:val="20"/>
                <w:szCs w:val="20"/>
              </w:rPr>
              <w:t>Common stock, par value,</w:t>
            </w:r>
            <w:r>
              <w:rPr>
                <w:rFonts w:eastAsia="Times New Roman"/>
                <w:sz w:val="20"/>
                <w:szCs w:val="20"/>
              </w:rPr>
              <w:t xml:space="preserve"> </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334,937,19</w:t>
            </w:r>
            <w:r>
              <w:rPr>
                <w:rFonts w:eastAsia="Times New Roman"/>
                <w:sz w:val="20"/>
                <w:szCs w:val="20"/>
              </w:rPr>
              <w:t>4</w:t>
            </w:r>
            <w:r>
              <w:rPr>
                <w:rFonts w:eastAsia="Times New Roman"/>
                <w:sz w:val="20"/>
                <w:szCs w:val="20"/>
              </w:rPr>
              <w:t xml:space="preserve"> and</w:t>
            </w:r>
            <w:r>
              <w:rPr>
                <w:rFonts w:eastAsia="Times New Roman"/>
                <w:sz w:val="20"/>
                <w:szCs w:val="20"/>
              </w:rPr>
              <w:t xml:space="preserve"> </w:t>
            </w:r>
            <w:r>
              <w:rPr>
                <w:rFonts w:eastAsia="Times New Roman"/>
                <w:sz w:val="20"/>
                <w:szCs w:val="20"/>
              </w:rPr>
              <w:t>292,278,59</w:t>
            </w:r>
            <w:r>
              <w:rPr>
                <w:rFonts w:eastAsia="Times New Roman"/>
                <w:sz w:val="20"/>
                <w:szCs w:val="20"/>
              </w:rPr>
              <w:t>1</w:t>
            </w:r>
            <w:r>
              <w:rPr>
                <w:rFonts w:eastAsia="Times New Roman"/>
                <w:sz w:val="20"/>
                <w:szCs w:val="20"/>
              </w:rPr>
              <w:t xml:space="preserve"> issued and outstanding, respectively</w:t>
            </w:r>
          </w:p>
        </w:tc>
        <w:tc>
          <w:tcPr>
            <w:tcW w:w="0" w:type="auto"/>
            <w:shd w:val="clear" w:color="auto" w:fill="CCEEFF"/>
            <w:vAlign w:val="bottom"/>
            <w:hideMark/>
          </w:tcPr>
          <w:p w14:paraId="159EFC6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5B3C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E3076" w14:textId="77777777" w:rsidR="00000000" w:rsidRDefault="00D6065B">
            <w:pPr>
              <w:jc w:val="right"/>
              <w:rPr>
                <w:rFonts w:eastAsia="Times New Roman"/>
                <w:sz w:val="20"/>
                <w:szCs w:val="20"/>
              </w:rPr>
            </w:pPr>
            <w:r>
              <w:rPr>
                <w:rFonts w:eastAsia="Times New Roman"/>
                <w:sz w:val="20"/>
                <w:szCs w:val="20"/>
              </w:rPr>
              <w:t>  334,937</w:t>
            </w:r>
          </w:p>
        </w:tc>
        <w:tc>
          <w:tcPr>
            <w:tcW w:w="0" w:type="auto"/>
            <w:shd w:val="clear" w:color="auto" w:fill="CCEEFF"/>
            <w:vAlign w:val="bottom"/>
            <w:hideMark/>
          </w:tcPr>
          <w:p w14:paraId="3B65D29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BEB4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CF74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73065" w14:textId="77777777" w:rsidR="00000000" w:rsidRDefault="00D6065B">
            <w:pPr>
              <w:jc w:val="right"/>
              <w:rPr>
                <w:rFonts w:eastAsia="Times New Roman"/>
                <w:sz w:val="20"/>
                <w:szCs w:val="20"/>
              </w:rPr>
            </w:pPr>
            <w:r>
              <w:rPr>
                <w:rFonts w:eastAsia="Times New Roman"/>
                <w:sz w:val="20"/>
                <w:szCs w:val="20"/>
              </w:rPr>
              <w:t>  292,279</w:t>
            </w:r>
          </w:p>
        </w:tc>
        <w:tc>
          <w:tcPr>
            <w:tcW w:w="0" w:type="auto"/>
            <w:shd w:val="clear" w:color="auto" w:fill="CCEEFF"/>
            <w:vAlign w:val="bottom"/>
            <w:hideMark/>
          </w:tcPr>
          <w:p w14:paraId="47083EC0" w14:textId="77777777" w:rsidR="00000000" w:rsidRDefault="00D6065B">
            <w:pPr>
              <w:rPr>
                <w:rFonts w:eastAsia="Times New Roman"/>
                <w:sz w:val="20"/>
                <w:szCs w:val="20"/>
              </w:rPr>
            </w:pPr>
            <w:r>
              <w:rPr>
                <w:rFonts w:eastAsia="Times New Roman"/>
                <w:sz w:val="20"/>
                <w:szCs w:val="20"/>
              </w:rPr>
              <w:t>   </w:t>
            </w:r>
          </w:p>
        </w:tc>
      </w:tr>
      <w:tr w:rsidR="00000000" w14:paraId="6202965B" w14:textId="77777777">
        <w:tc>
          <w:tcPr>
            <w:tcW w:w="0" w:type="auto"/>
            <w:shd w:val="clear" w:color="auto" w:fill="FFFFFF"/>
            <w:tcMar>
              <w:top w:w="0" w:type="dxa"/>
              <w:left w:w="200" w:type="dxa"/>
              <w:bottom w:w="0" w:type="dxa"/>
              <w:right w:w="0" w:type="dxa"/>
            </w:tcMar>
            <w:vAlign w:val="bottom"/>
            <w:hideMark/>
          </w:tcPr>
          <w:p w14:paraId="42FB7076" w14:textId="77777777" w:rsidR="00000000" w:rsidRDefault="00D6065B">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14:paraId="43162E5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D9B4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3A9F13" w14:textId="77777777" w:rsidR="00000000" w:rsidRDefault="00D6065B">
            <w:pPr>
              <w:jc w:val="right"/>
              <w:rPr>
                <w:rFonts w:eastAsia="Times New Roman"/>
                <w:sz w:val="20"/>
                <w:szCs w:val="20"/>
              </w:rPr>
            </w:pPr>
            <w:r>
              <w:rPr>
                <w:rFonts w:eastAsia="Times New Roman"/>
                <w:sz w:val="20"/>
                <w:szCs w:val="20"/>
              </w:rPr>
              <w:t>68,266,009</w:t>
            </w:r>
          </w:p>
        </w:tc>
        <w:tc>
          <w:tcPr>
            <w:tcW w:w="0" w:type="auto"/>
            <w:shd w:val="clear" w:color="auto" w:fill="FFFFFF"/>
            <w:vAlign w:val="bottom"/>
            <w:hideMark/>
          </w:tcPr>
          <w:p w14:paraId="73F5832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554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794F8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DEC7B" w14:textId="77777777" w:rsidR="00000000" w:rsidRDefault="00D6065B">
            <w:pPr>
              <w:jc w:val="right"/>
              <w:rPr>
                <w:rFonts w:eastAsia="Times New Roman"/>
                <w:sz w:val="20"/>
                <w:szCs w:val="20"/>
              </w:rPr>
            </w:pPr>
            <w:r>
              <w:rPr>
                <w:rFonts w:eastAsia="Times New Roman"/>
                <w:sz w:val="20"/>
                <w:szCs w:val="20"/>
              </w:rPr>
              <w:t>64,551,764</w:t>
            </w:r>
          </w:p>
        </w:tc>
        <w:tc>
          <w:tcPr>
            <w:tcW w:w="0" w:type="auto"/>
            <w:shd w:val="clear" w:color="auto" w:fill="FFFFFF"/>
            <w:vAlign w:val="bottom"/>
            <w:hideMark/>
          </w:tcPr>
          <w:p w14:paraId="0595E1C3" w14:textId="77777777" w:rsidR="00000000" w:rsidRDefault="00D6065B">
            <w:pPr>
              <w:rPr>
                <w:rFonts w:eastAsia="Times New Roman"/>
                <w:sz w:val="20"/>
                <w:szCs w:val="20"/>
              </w:rPr>
            </w:pPr>
            <w:r>
              <w:rPr>
                <w:rFonts w:eastAsia="Times New Roman"/>
                <w:sz w:val="20"/>
                <w:szCs w:val="20"/>
              </w:rPr>
              <w:t> </w:t>
            </w:r>
          </w:p>
        </w:tc>
      </w:tr>
      <w:tr w:rsidR="00000000" w14:paraId="58982F64" w14:textId="77777777">
        <w:tc>
          <w:tcPr>
            <w:tcW w:w="0" w:type="auto"/>
            <w:shd w:val="clear" w:color="auto" w:fill="CCEEFF"/>
            <w:tcMar>
              <w:top w:w="0" w:type="dxa"/>
              <w:left w:w="200" w:type="dxa"/>
              <w:bottom w:w="0" w:type="dxa"/>
              <w:right w:w="0" w:type="dxa"/>
            </w:tcMar>
            <w:vAlign w:val="bottom"/>
            <w:hideMark/>
          </w:tcPr>
          <w:p w14:paraId="184F1AD2" w14:textId="77777777" w:rsidR="00000000" w:rsidRDefault="00D6065B">
            <w:pPr>
              <w:rPr>
                <w:rFonts w:eastAsia="Times New Roman"/>
                <w:sz w:val="20"/>
                <w:szCs w:val="20"/>
              </w:rPr>
            </w:pPr>
            <w:r>
              <w:rPr>
                <w:rFonts w:eastAsia="Times New Roman"/>
                <w:sz w:val="20"/>
                <w:szCs w:val="20"/>
              </w:rPr>
              <w:t>Subscription receivable</w:t>
            </w:r>
          </w:p>
        </w:tc>
        <w:tc>
          <w:tcPr>
            <w:tcW w:w="0" w:type="auto"/>
            <w:shd w:val="clear" w:color="auto" w:fill="CCEEFF"/>
            <w:vAlign w:val="bottom"/>
            <w:hideMark/>
          </w:tcPr>
          <w:p w14:paraId="2DC4A4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98EE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B4879"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2811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039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6FE4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61DE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36B3B1" w14:textId="77777777" w:rsidR="00000000" w:rsidRDefault="00D6065B">
            <w:pPr>
              <w:rPr>
                <w:rFonts w:eastAsia="Times New Roman"/>
                <w:sz w:val="20"/>
                <w:szCs w:val="20"/>
              </w:rPr>
            </w:pPr>
            <w:r>
              <w:rPr>
                <w:rFonts w:eastAsia="Times New Roman"/>
                <w:sz w:val="20"/>
                <w:szCs w:val="20"/>
              </w:rPr>
              <w:t> </w:t>
            </w:r>
          </w:p>
        </w:tc>
      </w:tr>
      <w:tr w:rsidR="00000000" w14:paraId="69321808" w14:textId="77777777">
        <w:tc>
          <w:tcPr>
            <w:tcW w:w="0" w:type="auto"/>
            <w:shd w:val="clear" w:color="auto" w:fill="FFFFFF"/>
            <w:tcMar>
              <w:top w:w="0" w:type="dxa"/>
              <w:left w:w="200" w:type="dxa"/>
              <w:bottom w:w="30" w:type="dxa"/>
              <w:right w:w="0" w:type="dxa"/>
            </w:tcMar>
            <w:vAlign w:val="bottom"/>
            <w:hideMark/>
          </w:tcPr>
          <w:p w14:paraId="615F01F7" w14:textId="77777777" w:rsidR="00000000" w:rsidRDefault="00D6065B">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14:paraId="14DB5D7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9E487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4E148E" w14:textId="77777777" w:rsidR="00000000" w:rsidRDefault="00D6065B">
            <w:pPr>
              <w:jc w:val="right"/>
              <w:rPr>
                <w:rFonts w:eastAsia="Times New Roman"/>
                <w:sz w:val="20"/>
                <w:szCs w:val="20"/>
              </w:rPr>
            </w:pPr>
            <w:r>
              <w:rPr>
                <w:rFonts w:eastAsia="Times New Roman"/>
                <w:sz w:val="20"/>
                <w:szCs w:val="20"/>
              </w:rPr>
              <w:t>(76,706,477</w:t>
            </w:r>
          </w:p>
        </w:tc>
        <w:tc>
          <w:tcPr>
            <w:tcW w:w="0" w:type="auto"/>
            <w:shd w:val="clear" w:color="auto" w:fill="FFFFFF"/>
            <w:tcMar>
              <w:top w:w="0" w:type="dxa"/>
              <w:left w:w="0" w:type="dxa"/>
              <w:bottom w:w="30" w:type="dxa"/>
              <w:right w:w="0" w:type="dxa"/>
            </w:tcMar>
            <w:vAlign w:val="bottom"/>
            <w:hideMark/>
          </w:tcPr>
          <w:p w14:paraId="23776EF1"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7E7E7D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B6309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72287B" w14:textId="77777777" w:rsidR="00000000" w:rsidRDefault="00D6065B">
            <w:pPr>
              <w:jc w:val="right"/>
              <w:rPr>
                <w:rFonts w:eastAsia="Times New Roman"/>
                <w:sz w:val="20"/>
                <w:szCs w:val="20"/>
              </w:rPr>
            </w:pPr>
            <w:r>
              <w:rPr>
                <w:rFonts w:eastAsia="Times New Roman"/>
                <w:sz w:val="20"/>
                <w:szCs w:val="20"/>
              </w:rPr>
              <w:t>(74,558,101</w:t>
            </w:r>
          </w:p>
        </w:tc>
        <w:tc>
          <w:tcPr>
            <w:tcW w:w="0" w:type="auto"/>
            <w:shd w:val="clear" w:color="auto" w:fill="FFFFFF"/>
            <w:tcMar>
              <w:top w:w="0" w:type="dxa"/>
              <w:left w:w="0" w:type="dxa"/>
              <w:bottom w:w="30" w:type="dxa"/>
              <w:right w:w="0" w:type="dxa"/>
            </w:tcMar>
            <w:vAlign w:val="bottom"/>
            <w:hideMark/>
          </w:tcPr>
          <w:p w14:paraId="0487CF8D" w14:textId="77777777" w:rsidR="00000000" w:rsidRDefault="00D6065B">
            <w:pPr>
              <w:rPr>
                <w:rFonts w:eastAsia="Times New Roman"/>
                <w:sz w:val="20"/>
                <w:szCs w:val="20"/>
              </w:rPr>
            </w:pPr>
            <w:r>
              <w:rPr>
                <w:rFonts w:eastAsia="Times New Roman"/>
                <w:sz w:val="20"/>
                <w:szCs w:val="20"/>
              </w:rPr>
              <w:t>)</w:t>
            </w:r>
          </w:p>
        </w:tc>
      </w:tr>
      <w:tr w:rsidR="00000000" w14:paraId="6F924ABE" w14:textId="77777777">
        <w:tc>
          <w:tcPr>
            <w:tcW w:w="0" w:type="auto"/>
            <w:shd w:val="clear" w:color="auto" w:fill="CCEEFF"/>
            <w:vAlign w:val="bottom"/>
            <w:hideMark/>
          </w:tcPr>
          <w:p w14:paraId="41D0D3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EEB9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0864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D034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139A5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3F6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EB689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7907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0D0C00" w14:textId="77777777" w:rsidR="00000000" w:rsidRDefault="00D6065B">
            <w:pPr>
              <w:rPr>
                <w:rFonts w:eastAsia="Times New Roman"/>
                <w:sz w:val="20"/>
                <w:szCs w:val="20"/>
              </w:rPr>
            </w:pPr>
            <w:r>
              <w:rPr>
                <w:rFonts w:eastAsia="Times New Roman"/>
                <w:sz w:val="20"/>
                <w:szCs w:val="20"/>
              </w:rPr>
              <w:t> </w:t>
            </w:r>
          </w:p>
        </w:tc>
      </w:tr>
      <w:tr w:rsidR="00000000" w14:paraId="5BED8276" w14:textId="77777777">
        <w:tc>
          <w:tcPr>
            <w:tcW w:w="0" w:type="auto"/>
            <w:shd w:val="clear" w:color="auto" w:fill="FFFFFF"/>
            <w:tcMar>
              <w:top w:w="0" w:type="dxa"/>
              <w:left w:w="400" w:type="dxa"/>
              <w:bottom w:w="30" w:type="dxa"/>
              <w:right w:w="0" w:type="dxa"/>
            </w:tcMar>
            <w:vAlign w:val="bottom"/>
            <w:hideMark/>
          </w:tcPr>
          <w:p w14:paraId="5A4A46B2" w14:textId="77777777" w:rsidR="00000000" w:rsidRDefault="00D6065B">
            <w:pPr>
              <w:rPr>
                <w:rFonts w:eastAsia="Times New Roman"/>
                <w:b/>
                <w:bCs/>
                <w:sz w:val="20"/>
                <w:szCs w:val="20"/>
              </w:rPr>
            </w:pPr>
            <w:r>
              <w:rPr>
                <w:rFonts w:eastAsia="Times New Roman"/>
                <w:b/>
                <w:bCs/>
                <w:sz w:val="20"/>
                <w:szCs w:val="20"/>
              </w:rPr>
              <w:t xml:space="preserve">Total Stockholders’ </w:t>
            </w:r>
            <w:r>
              <w:rPr>
                <w:rFonts w:eastAsia="Times New Roman"/>
                <w:b/>
                <w:bCs/>
                <w:sz w:val="20"/>
                <w:szCs w:val="20"/>
              </w:rPr>
              <w:t>Equity (Deficit)</w:t>
            </w:r>
          </w:p>
        </w:tc>
        <w:tc>
          <w:tcPr>
            <w:tcW w:w="0" w:type="auto"/>
            <w:shd w:val="clear" w:color="auto" w:fill="FFFFFF"/>
            <w:tcMar>
              <w:top w:w="0" w:type="dxa"/>
              <w:left w:w="0" w:type="dxa"/>
              <w:bottom w:w="30" w:type="dxa"/>
              <w:right w:w="0" w:type="dxa"/>
            </w:tcMar>
            <w:vAlign w:val="bottom"/>
            <w:hideMark/>
          </w:tcPr>
          <w:p w14:paraId="6E86F54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7B893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4CE612" w14:textId="77777777" w:rsidR="00000000" w:rsidRDefault="00D6065B">
            <w:pPr>
              <w:jc w:val="right"/>
              <w:rPr>
                <w:rFonts w:eastAsia="Times New Roman"/>
                <w:sz w:val="20"/>
                <w:szCs w:val="20"/>
              </w:rPr>
            </w:pPr>
            <w:r>
              <w:rPr>
                <w:rFonts w:eastAsia="Times New Roman"/>
                <w:sz w:val="20"/>
                <w:szCs w:val="20"/>
              </w:rPr>
              <w:t>1,625,561</w:t>
            </w:r>
          </w:p>
        </w:tc>
        <w:tc>
          <w:tcPr>
            <w:tcW w:w="0" w:type="auto"/>
            <w:shd w:val="clear" w:color="auto" w:fill="FFFFFF"/>
            <w:tcMar>
              <w:top w:w="0" w:type="dxa"/>
              <w:left w:w="0" w:type="dxa"/>
              <w:bottom w:w="30" w:type="dxa"/>
              <w:right w:w="0" w:type="dxa"/>
            </w:tcMar>
            <w:vAlign w:val="bottom"/>
            <w:hideMark/>
          </w:tcPr>
          <w:p w14:paraId="2122EC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3CA3CB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87B7E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A6218F" w14:textId="77777777" w:rsidR="00000000" w:rsidRDefault="00D6065B">
            <w:pPr>
              <w:jc w:val="right"/>
              <w:rPr>
                <w:rFonts w:eastAsia="Times New Roman"/>
                <w:sz w:val="20"/>
                <w:szCs w:val="20"/>
              </w:rPr>
            </w:pPr>
            <w:r>
              <w:rPr>
                <w:rFonts w:eastAsia="Times New Roman"/>
                <w:sz w:val="20"/>
                <w:szCs w:val="20"/>
              </w:rPr>
              <w:t>32,034</w:t>
            </w:r>
          </w:p>
        </w:tc>
        <w:tc>
          <w:tcPr>
            <w:tcW w:w="0" w:type="auto"/>
            <w:shd w:val="clear" w:color="auto" w:fill="FFFFFF"/>
            <w:tcMar>
              <w:top w:w="0" w:type="dxa"/>
              <w:left w:w="0" w:type="dxa"/>
              <w:bottom w:w="30" w:type="dxa"/>
              <w:right w:w="0" w:type="dxa"/>
            </w:tcMar>
            <w:vAlign w:val="bottom"/>
            <w:hideMark/>
          </w:tcPr>
          <w:p w14:paraId="1D62373B" w14:textId="77777777" w:rsidR="00000000" w:rsidRDefault="00D6065B">
            <w:pPr>
              <w:rPr>
                <w:rFonts w:eastAsia="Times New Roman"/>
                <w:sz w:val="20"/>
                <w:szCs w:val="20"/>
              </w:rPr>
            </w:pPr>
            <w:r>
              <w:rPr>
                <w:rFonts w:eastAsia="Times New Roman"/>
                <w:sz w:val="20"/>
                <w:szCs w:val="20"/>
              </w:rPr>
              <w:t> </w:t>
            </w:r>
          </w:p>
        </w:tc>
      </w:tr>
      <w:tr w:rsidR="00000000" w14:paraId="0D4C43FF" w14:textId="77777777">
        <w:tc>
          <w:tcPr>
            <w:tcW w:w="0" w:type="auto"/>
            <w:shd w:val="clear" w:color="auto" w:fill="CCEEFF"/>
            <w:vAlign w:val="bottom"/>
            <w:hideMark/>
          </w:tcPr>
          <w:p w14:paraId="41B2D34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FAED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C377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8ADF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96040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4E4E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6DFE0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8494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DF51A7" w14:textId="77777777" w:rsidR="00000000" w:rsidRDefault="00D6065B">
            <w:pPr>
              <w:rPr>
                <w:rFonts w:eastAsia="Times New Roman"/>
                <w:sz w:val="20"/>
                <w:szCs w:val="20"/>
              </w:rPr>
            </w:pPr>
            <w:r>
              <w:rPr>
                <w:rFonts w:eastAsia="Times New Roman"/>
                <w:sz w:val="20"/>
                <w:szCs w:val="20"/>
              </w:rPr>
              <w:t> </w:t>
            </w:r>
          </w:p>
        </w:tc>
      </w:tr>
      <w:tr w:rsidR="00000000" w14:paraId="45D0F3C8" w14:textId="77777777">
        <w:tc>
          <w:tcPr>
            <w:tcW w:w="0" w:type="auto"/>
            <w:shd w:val="clear" w:color="auto" w:fill="FFFFFF"/>
            <w:tcMar>
              <w:top w:w="0" w:type="dxa"/>
              <w:left w:w="0" w:type="dxa"/>
              <w:bottom w:w="50" w:type="dxa"/>
              <w:right w:w="0" w:type="dxa"/>
            </w:tcMar>
            <w:vAlign w:val="bottom"/>
            <w:hideMark/>
          </w:tcPr>
          <w:p w14:paraId="41D93653" w14:textId="77777777" w:rsidR="00000000" w:rsidRDefault="00D6065B">
            <w:pPr>
              <w:rPr>
                <w:rFonts w:eastAsia="Times New Roman"/>
                <w:b/>
                <w:bCs/>
                <w:sz w:val="20"/>
                <w:szCs w:val="20"/>
              </w:rPr>
            </w:pPr>
            <w:r>
              <w:rPr>
                <w:rFonts w:eastAsia="Times New Roman"/>
                <w:b/>
                <w:bCs/>
                <w:sz w:val="20"/>
                <w:szCs w:val="20"/>
              </w:rPr>
              <w:t>TOTAL LIABILITIES AND STOCKHOLDERS’ EQUITY (DEFICIT)</w:t>
            </w:r>
          </w:p>
        </w:tc>
        <w:tc>
          <w:tcPr>
            <w:tcW w:w="0" w:type="auto"/>
            <w:shd w:val="clear" w:color="auto" w:fill="FFFFFF"/>
            <w:tcMar>
              <w:top w:w="0" w:type="dxa"/>
              <w:left w:w="0" w:type="dxa"/>
              <w:bottom w:w="50" w:type="dxa"/>
              <w:right w:w="0" w:type="dxa"/>
            </w:tcMar>
            <w:vAlign w:val="bottom"/>
            <w:hideMark/>
          </w:tcPr>
          <w:p w14:paraId="4505D9D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C828564"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6440BF9" w14:textId="77777777" w:rsidR="00000000" w:rsidRDefault="00D6065B">
            <w:pPr>
              <w:jc w:val="right"/>
              <w:rPr>
                <w:rFonts w:eastAsia="Times New Roman"/>
                <w:sz w:val="20"/>
                <w:szCs w:val="20"/>
              </w:rPr>
            </w:pPr>
            <w:r>
              <w:rPr>
                <w:rFonts w:eastAsia="Times New Roman"/>
                <w:sz w:val="20"/>
                <w:szCs w:val="20"/>
              </w:rPr>
              <w:t>2,232,792</w:t>
            </w:r>
          </w:p>
        </w:tc>
        <w:tc>
          <w:tcPr>
            <w:tcW w:w="0" w:type="auto"/>
            <w:shd w:val="clear" w:color="auto" w:fill="FFFFFF"/>
            <w:tcMar>
              <w:top w:w="0" w:type="dxa"/>
              <w:left w:w="0" w:type="dxa"/>
              <w:bottom w:w="50" w:type="dxa"/>
              <w:right w:w="0" w:type="dxa"/>
            </w:tcMar>
            <w:vAlign w:val="bottom"/>
            <w:hideMark/>
          </w:tcPr>
          <w:p w14:paraId="7B8BFD3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47EE653"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356DDFC"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68EF299" w14:textId="77777777" w:rsidR="00000000" w:rsidRDefault="00D6065B">
            <w:pPr>
              <w:jc w:val="right"/>
              <w:rPr>
                <w:rFonts w:eastAsia="Times New Roman"/>
                <w:sz w:val="20"/>
                <w:szCs w:val="20"/>
              </w:rPr>
            </w:pPr>
            <w:r>
              <w:rPr>
                <w:rFonts w:eastAsia="Times New Roman"/>
                <w:sz w:val="20"/>
                <w:szCs w:val="20"/>
              </w:rPr>
              <w:t>937,539</w:t>
            </w:r>
          </w:p>
        </w:tc>
        <w:tc>
          <w:tcPr>
            <w:tcW w:w="0" w:type="auto"/>
            <w:shd w:val="clear" w:color="auto" w:fill="FFFFFF"/>
            <w:tcMar>
              <w:top w:w="0" w:type="dxa"/>
              <w:left w:w="0" w:type="dxa"/>
              <w:bottom w:w="50" w:type="dxa"/>
              <w:right w:w="0" w:type="dxa"/>
            </w:tcMar>
            <w:vAlign w:val="bottom"/>
            <w:hideMark/>
          </w:tcPr>
          <w:p w14:paraId="74FDC08E" w14:textId="77777777" w:rsidR="00000000" w:rsidRDefault="00D6065B">
            <w:pPr>
              <w:rPr>
                <w:rFonts w:eastAsia="Times New Roman"/>
                <w:sz w:val="20"/>
                <w:szCs w:val="20"/>
              </w:rPr>
            </w:pPr>
            <w:r>
              <w:rPr>
                <w:rFonts w:eastAsia="Times New Roman"/>
                <w:sz w:val="20"/>
                <w:szCs w:val="20"/>
              </w:rPr>
              <w:t> </w:t>
            </w:r>
          </w:p>
        </w:tc>
      </w:tr>
    </w:tbl>
    <w:p w14:paraId="7C252495" w14:textId="77777777" w:rsidR="00000000" w:rsidRDefault="00D6065B">
      <w:pPr>
        <w:pStyle w:val="a3"/>
        <w:spacing w:before="0" w:beforeAutospacing="0" w:after="0" w:afterAutospacing="0"/>
        <w:jc w:val="center"/>
        <w:rPr>
          <w:sz w:val="20"/>
          <w:szCs w:val="20"/>
        </w:rPr>
      </w:pPr>
      <w:r>
        <w:rPr>
          <w:sz w:val="20"/>
          <w:szCs w:val="20"/>
        </w:rPr>
        <w:t> </w:t>
      </w:r>
    </w:p>
    <w:p w14:paraId="37F95BAB" w14:textId="77777777" w:rsidR="00000000" w:rsidRDefault="00D6065B">
      <w:pPr>
        <w:pStyle w:val="a3"/>
        <w:spacing w:before="0" w:beforeAutospacing="0" w:after="0" w:afterAutospacing="0"/>
        <w:jc w:val="center"/>
        <w:rPr>
          <w:sz w:val="20"/>
          <w:szCs w:val="20"/>
        </w:rPr>
      </w:pPr>
      <w:r>
        <w:rPr>
          <w:sz w:val="20"/>
          <w:szCs w:val="20"/>
        </w:rPr>
        <w:t>The accompanying notes are an integral part of these financial statements. </w:t>
      </w:r>
    </w:p>
    <w:p w14:paraId="743E8C8E"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C98EEC" w14:textId="77777777">
        <w:trPr>
          <w:divId w:val="267126424"/>
        </w:trPr>
        <w:tc>
          <w:tcPr>
            <w:tcW w:w="5000" w:type="pct"/>
            <w:hideMark/>
          </w:tcPr>
          <w:p w14:paraId="1EA310D5" w14:textId="77777777" w:rsidR="00000000" w:rsidRDefault="00D6065B">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74F24F2D" w14:textId="77777777">
        <w:tc>
          <w:tcPr>
            <w:tcW w:w="5000" w:type="pct"/>
            <w:hideMark/>
          </w:tcPr>
          <w:p w14:paraId="7F7CE1E0" w14:textId="77777777" w:rsidR="00000000" w:rsidRDefault="00D6065B">
            <w:pPr>
              <w:jc w:val="center"/>
              <w:rPr>
                <w:rFonts w:eastAsia="Times New Roman"/>
                <w:sz w:val="20"/>
                <w:szCs w:val="20"/>
              </w:rPr>
            </w:pPr>
            <w:r>
              <w:rPr>
                <w:rFonts w:eastAsia="Times New Roman"/>
                <w:sz w:val="20"/>
                <w:szCs w:val="20"/>
              </w:rPr>
              <w:t> </w:t>
            </w:r>
          </w:p>
        </w:tc>
      </w:tr>
    </w:tbl>
    <w:p w14:paraId="0ED4547B" w14:textId="77777777" w:rsidR="00000000" w:rsidRDefault="00D6065B">
      <w:pPr>
        <w:pStyle w:val="a3"/>
        <w:spacing w:before="0" w:beforeAutospacing="0" w:after="0" w:afterAutospacing="0"/>
        <w:jc w:val="center"/>
        <w:rPr>
          <w:sz w:val="20"/>
          <w:szCs w:val="20"/>
        </w:rPr>
      </w:pPr>
      <w:r>
        <w:rPr>
          <w:sz w:val="20"/>
          <w:szCs w:val="20"/>
        </w:rPr>
        <w:t> </w:t>
      </w:r>
    </w:p>
    <w:p w14:paraId="02B9B227" w14:textId="77777777" w:rsidR="00000000" w:rsidRDefault="00D6065B">
      <w:pPr>
        <w:pStyle w:val="a3"/>
        <w:spacing w:before="0" w:beforeAutospacing="0" w:after="0" w:afterAutospacing="0"/>
        <w:jc w:val="center"/>
        <w:rPr>
          <w:sz w:val="20"/>
          <w:szCs w:val="20"/>
        </w:rPr>
      </w:pPr>
      <w:r>
        <w:rPr>
          <w:b/>
          <w:bCs/>
          <w:sz w:val="20"/>
          <w:szCs w:val="20"/>
        </w:rPr>
        <w:t>VIVOS INC</w:t>
      </w:r>
    </w:p>
    <w:p w14:paraId="28F42FE0" w14:textId="77777777" w:rsidR="00000000" w:rsidRDefault="00D6065B">
      <w:pPr>
        <w:pStyle w:val="a3"/>
        <w:spacing w:before="0" w:beforeAutospacing="0" w:after="0" w:afterAutospacing="0"/>
        <w:jc w:val="center"/>
        <w:rPr>
          <w:sz w:val="20"/>
          <w:szCs w:val="20"/>
        </w:rPr>
      </w:pPr>
      <w:r>
        <w:rPr>
          <w:b/>
          <w:bCs/>
          <w:sz w:val="20"/>
          <w:szCs w:val="20"/>
        </w:rPr>
        <w:t>CONDENSED STATEMENTS OF OPERATIONS (UNAUDITED)</w:t>
      </w:r>
    </w:p>
    <w:p w14:paraId="3ADD7693" w14:textId="77777777" w:rsidR="00000000" w:rsidRDefault="00D6065B">
      <w:pPr>
        <w:pStyle w:val="a3"/>
        <w:spacing w:before="0" w:beforeAutospacing="0" w:after="0" w:afterAutospacing="0"/>
        <w:jc w:val="center"/>
        <w:rPr>
          <w:sz w:val="20"/>
          <w:szCs w:val="20"/>
        </w:rPr>
      </w:pPr>
      <w:r>
        <w:rPr>
          <w:b/>
          <w:bCs/>
          <w:sz w:val="20"/>
          <w:szCs w:val="20"/>
        </w:rPr>
        <w:t>FOR THE SIX AND THREE MONTHS ENDED JUNE 30, 2021 AND 2020</w:t>
      </w:r>
    </w:p>
    <w:p w14:paraId="5D1AB9D8"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Operations (Unaudited)"/>
      </w:tblPr>
      <w:tblGrid>
        <w:gridCol w:w="3438"/>
        <w:gridCol w:w="50"/>
        <w:gridCol w:w="100"/>
        <w:gridCol w:w="1000"/>
        <w:gridCol w:w="67"/>
        <w:gridCol w:w="50"/>
        <w:gridCol w:w="100"/>
        <w:gridCol w:w="1000"/>
        <w:gridCol w:w="67"/>
        <w:gridCol w:w="50"/>
        <w:gridCol w:w="100"/>
        <w:gridCol w:w="1000"/>
        <w:gridCol w:w="67"/>
        <w:gridCol w:w="50"/>
        <w:gridCol w:w="100"/>
        <w:gridCol w:w="1000"/>
        <w:gridCol w:w="67"/>
      </w:tblGrid>
      <w:tr w:rsidR="00000000" w14:paraId="33E3DC96" w14:textId="77777777">
        <w:trPr>
          <w:hidden/>
        </w:trPr>
        <w:tc>
          <w:tcPr>
            <w:tcW w:w="0" w:type="auto"/>
            <w:tcMar>
              <w:top w:w="0" w:type="dxa"/>
              <w:left w:w="0" w:type="dxa"/>
              <w:bottom w:w="30" w:type="dxa"/>
              <w:right w:w="0" w:type="dxa"/>
            </w:tcMar>
            <w:vAlign w:val="bottom"/>
            <w:hideMark/>
          </w:tcPr>
          <w:p w14:paraId="65588881" w14:textId="77777777" w:rsidR="00000000" w:rsidRDefault="00D6065B">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1079B26E"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27BED937" w14:textId="77777777" w:rsidR="00000000" w:rsidRDefault="00D6065B">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5F9FCFBF"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10F1B824"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24320A2E" w14:textId="77777777" w:rsidR="00000000" w:rsidRDefault="00D6065B">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2EBD5D08"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31A6B8F9"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641303B8" w14:textId="77777777" w:rsidR="00000000" w:rsidRDefault="00D6065B">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48828CD3"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3615278"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57A59AF0" w14:textId="77777777" w:rsidR="00000000" w:rsidRDefault="00D6065B">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0735BEC2" w14:textId="77777777" w:rsidR="00000000" w:rsidRDefault="00D6065B">
            <w:pPr>
              <w:rPr>
                <w:rFonts w:eastAsia="Times New Roman"/>
                <w:b/>
                <w:bCs/>
                <w:vanish/>
                <w:sz w:val="20"/>
                <w:szCs w:val="20"/>
              </w:rPr>
            </w:pPr>
            <w:r>
              <w:rPr>
                <w:rFonts w:eastAsia="Times New Roman"/>
                <w:b/>
                <w:bCs/>
                <w:vanish/>
                <w:sz w:val="20"/>
                <w:szCs w:val="20"/>
              </w:rPr>
              <w:t> </w:t>
            </w:r>
          </w:p>
        </w:tc>
      </w:tr>
      <w:tr w:rsidR="00000000" w14:paraId="0D28295B" w14:textId="77777777">
        <w:tc>
          <w:tcPr>
            <w:tcW w:w="0" w:type="auto"/>
            <w:tcMar>
              <w:top w:w="0" w:type="dxa"/>
              <w:left w:w="0" w:type="dxa"/>
              <w:bottom w:w="30" w:type="dxa"/>
              <w:right w:w="0" w:type="dxa"/>
            </w:tcMar>
            <w:vAlign w:val="bottom"/>
            <w:hideMark/>
          </w:tcPr>
          <w:p w14:paraId="4792449A"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5EA72E" w14:textId="77777777" w:rsidR="00000000" w:rsidRDefault="00D6065B">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14:paraId="37406461" w14:textId="77777777" w:rsidR="00000000" w:rsidRDefault="00D6065B">
            <w:pPr>
              <w:jc w:val="center"/>
              <w:rPr>
                <w:rFonts w:eastAsia="Times New Roman"/>
                <w:b/>
                <w:bCs/>
                <w:sz w:val="20"/>
                <w:szCs w:val="20"/>
              </w:rPr>
            </w:pPr>
            <w:r>
              <w:rPr>
                <w:rFonts w:eastAsia="Times New Roman"/>
                <w:b/>
                <w:bCs/>
                <w:sz w:val="20"/>
                <w:szCs w:val="20"/>
              </w:rPr>
              <w:t xml:space="preserve">SIX MONTHS ENDED </w:t>
            </w:r>
          </w:p>
        </w:tc>
        <w:tc>
          <w:tcPr>
            <w:tcW w:w="0" w:type="auto"/>
            <w:tcMar>
              <w:top w:w="0" w:type="dxa"/>
              <w:left w:w="0" w:type="dxa"/>
              <w:bottom w:w="30" w:type="dxa"/>
              <w:right w:w="0" w:type="dxa"/>
            </w:tcMar>
            <w:vAlign w:val="bottom"/>
            <w:hideMark/>
          </w:tcPr>
          <w:p w14:paraId="3C57C0D2" w14:textId="77777777" w:rsidR="00000000" w:rsidRDefault="00D6065B">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0D8CFB21" w14:textId="77777777" w:rsidR="00000000" w:rsidRDefault="00D6065B">
            <w:pPr>
              <w:jc w:val="center"/>
              <w:rPr>
                <w:rFonts w:eastAsia="Times New Roman"/>
                <w:sz w:val="20"/>
                <w:szCs w:val="20"/>
              </w:rPr>
            </w:pPr>
            <w:r>
              <w:rPr>
                <w:rFonts w:eastAsia="Times New Roman"/>
                <w:b/>
                <w:bCs/>
                <w:sz w:val="20"/>
                <w:szCs w:val="20"/>
              </w:rPr>
              <w:t>THREE MONTHS ENDED</w:t>
            </w:r>
          </w:p>
        </w:tc>
        <w:tc>
          <w:tcPr>
            <w:tcW w:w="0" w:type="auto"/>
            <w:tcMar>
              <w:top w:w="0" w:type="dxa"/>
              <w:left w:w="0" w:type="dxa"/>
              <w:bottom w:w="30" w:type="dxa"/>
              <w:right w:w="0" w:type="dxa"/>
            </w:tcMar>
            <w:vAlign w:val="bottom"/>
            <w:hideMark/>
          </w:tcPr>
          <w:p w14:paraId="748AD55C" w14:textId="77777777" w:rsidR="00000000" w:rsidRDefault="00D6065B">
            <w:pPr>
              <w:rPr>
                <w:rFonts w:eastAsia="Times New Roman"/>
                <w:sz w:val="20"/>
                <w:szCs w:val="20"/>
              </w:rPr>
            </w:pPr>
            <w:r>
              <w:rPr>
                <w:rFonts w:eastAsia="Times New Roman"/>
                <w:sz w:val="20"/>
                <w:szCs w:val="20"/>
              </w:rPr>
              <w:t> </w:t>
            </w:r>
          </w:p>
        </w:tc>
      </w:tr>
      <w:tr w:rsidR="00000000" w14:paraId="6FC06C10" w14:textId="77777777">
        <w:tc>
          <w:tcPr>
            <w:tcW w:w="0" w:type="auto"/>
            <w:vAlign w:val="bottom"/>
            <w:hideMark/>
          </w:tcPr>
          <w:p w14:paraId="58C73025"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6C8EDC19"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3F9E910F" w14:textId="77777777" w:rsidR="00000000" w:rsidRDefault="00D6065B">
            <w:pPr>
              <w:jc w:val="center"/>
              <w:rPr>
                <w:rFonts w:eastAsia="Times New Roman"/>
                <w:b/>
                <w:bCs/>
                <w:sz w:val="20"/>
                <w:szCs w:val="20"/>
              </w:rPr>
            </w:pPr>
            <w:r>
              <w:rPr>
                <w:rFonts w:eastAsia="Times New Roman"/>
                <w:b/>
                <w:bCs/>
                <w:sz w:val="20"/>
                <w:szCs w:val="20"/>
              </w:rPr>
              <w:t>JUNE 30,</w:t>
            </w:r>
          </w:p>
        </w:tc>
        <w:tc>
          <w:tcPr>
            <w:tcW w:w="0" w:type="auto"/>
            <w:vAlign w:val="bottom"/>
            <w:hideMark/>
          </w:tcPr>
          <w:p w14:paraId="412FCE88" w14:textId="77777777" w:rsidR="00000000" w:rsidRDefault="00D6065B">
            <w:pPr>
              <w:rPr>
                <w:rFonts w:eastAsia="Times New Roman"/>
                <w:b/>
                <w:bCs/>
                <w:sz w:val="20"/>
                <w:szCs w:val="20"/>
              </w:rPr>
            </w:pPr>
            <w:r>
              <w:rPr>
                <w:rFonts w:eastAsia="Times New Roman"/>
                <w:b/>
                <w:bCs/>
                <w:sz w:val="20"/>
                <w:szCs w:val="20"/>
              </w:rPr>
              <w:t> </w:t>
            </w:r>
          </w:p>
        </w:tc>
        <w:tc>
          <w:tcPr>
            <w:tcW w:w="0" w:type="auto"/>
            <w:vAlign w:val="bottom"/>
            <w:hideMark/>
          </w:tcPr>
          <w:p w14:paraId="62130854"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0F335EF4" w14:textId="77777777" w:rsidR="00000000" w:rsidRDefault="00D6065B">
            <w:pPr>
              <w:jc w:val="center"/>
              <w:rPr>
                <w:rFonts w:eastAsia="Times New Roman"/>
                <w:b/>
                <w:bCs/>
                <w:sz w:val="20"/>
                <w:szCs w:val="20"/>
              </w:rPr>
            </w:pPr>
            <w:r>
              <w:rPr>
                <w:rFonts w:eastAsia="Times New Roman"/>
                <w:b/>
                <w:bCs/>
                <w:sz w:val="20"/>
                <w:szCs w:val="20"/>
              </w:rPr>
              <w:t>JUNE 30,</w:t>
            </w:r>
          </w:p>
        </w:tc>
        <w:tc>
          <w:tcPr>
            <w:tcW w:w="0" w:type="auto"/>
            <w:vAlign w:val="bottom"/>
            <w:hideMark/>
          </w:tcPr>
          <w:p w14:paraId="40CE615A" w14:textId="77777777" w:rsidR="00000000" w:rsidRDefault="00D6065B">
            <w:pPr>
              <w:rPr>
                <w:rFonts w:eastAsia="Times New Roman"/>
                <w:b/>
                <w:bCs/>
                <w:sz w:val="20"/>
                <w:szCs w:val="20"/>
              </w:rPr>
            </w:pPr>
            <w:r>
              <w:rPr>
                <w:rFonts w:eastAsia="Times New Roman"/>
                <w:b/>
                <w:bCs/>
                <w:sz w:val="20"/>
                <w:szCs w:val="20"/>
              </w:rPr>
              <w:t> </w:t>
            </w:r>
          </w:p>
        </w:tc>
        <w:tc>
          <w:tcPr>
            <w:tcW w:w="0" w:type="auto"/>
            <w:vAlign w:val="bottom"/>
            <w:hideMark/>
          </w:tcPr>
          <w:p w14:paraId="487981B4"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78719F38" w14:textId="77777777" w:rsidR="00000000" w:rsidRDefault="00D6065B">
            <w:pPr>
              <w:jc w:val="center"/>
              <w:rPr>
                <w:rFonts w:eastAsia="Times New Roman"/>
                <w:b/>
                <w:bCs/>
                <w:sz w:val="20"/>
                <w:szCs w:val="20"/>
              </w:rPr>
            </w:pPr>
            <w:r>
              <w:rPr>
                <w:rFonts w:eastAsia="Times New Roman"/>
                <w:b/>
                <w:bCs/>
                <w:sz w:val="20"/>
                <w:szCs w:val="20"/>
              </w:rPr>
              <w:t>JUNE 30,</w:t>
            </w:r>
          </w:p>
        </w:tc>
        <w:tc>
          <w:tcPr>
            <w:tcW w:w="0" w:type="auto"/>
            <w:vAlign w:val="bottom"/>
            <w:hideMark/>
          </w:tcPr>
          <w:p w14:paraId="39F61677" w14:textId="77777777" w:rsidR="00000000" w:rsidRDefault="00D6065B">
            <w:pPr>
              <w:rPr>
                <w:rFonts w:eastAsia="Times New Roman"/>
                <w:b/>
                <w:bCs/>
                <w:sz w:val="20"/>
                <w:szCs w:val="20"/>
              </w:rPr>
            </w:pPr>
            <w:r>
              <w:rPr>
                <w:rFonts w:eastAsia="Times New Roman"/>
                <w:b/>
                <w:bCs/>
                <w:sz w:val="20"/>
                <w:szCs w:val="20"/>
              </w:rPr>
              <w:t> </w:t>
            </w:r>
          </w:p>
        </w:tc>
        <w:tc>
          <w:tcPr>
            <w:tcW w:w="0" w:type="auto"/>
            <w:vAlign w:val="bottom"/>
            <w:hideMark/>
          </w:tcPr>
          <w:p w14:paraId="30C89518"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1A0C8699" w14:textId="77777777" w:rsidR="00000000" w:rsidRDefault="00D6065B">
            <w:pPr>
              <w:jc w:val="center"/>
              <w:rPr>
                <w:rFonts w:eastAsia="Times New Roman"/>
                <w:b/>
                <w:bCs/>
                <w:sz w:val="20"/>
                <w:szCs w:val="20"/>
              </w:rPr>
            </w:pPr>
            <w:r>
              <w:rPr>
                <w:rFonts w:eastAsia="Times New Roman"/>
                <w:b/>
                <w:bCs/>
                <w:sz w:val="20"/>
                <w:szCs w:val="20"/>
              </w:rPr>
              <w:t>JUNE 30,</w:t>
            </w:r>
          </w:p>
        </w:tc>
        <w:tc>
          <w:tcPr>
            <w:tcW w:w="0" w:type="auto"/>
            <w:vAlign w:val="bottom"/>
            <w:hideMark/>
          </w:tcPr>
          <w:p w14:paraId="6D945CFE" w14:textId="77777777" w:rsidR="00000000" w:rsidRDefault="00D6065B">
            <w:pPr>
              <w:rPr>
                <w:rFonts w:eastAsia="Times New Roman"/>
                <w:b/>
                <w:bCs/>
                <w:sz w:val="20"/>
                <w:szCs w:val="20"/>
              </w:rPr>
            </w:pPr>
            <w:r>
              <w:rPr>
                <w:rFonts w:eastAsia="Times New Roman"/>
                <w:b/>
                <w:bCs/>
                <w:sz w:val="20"/>
                <w:szCs w:val="20"/>
              </w:rPr>
              <w:t> </w:t>
            </w:r>
          </w:p>
        </w:tc>
      </w:tr>
      <w:tr w:rsidR="00000000" w14:paraId="0F25E47A" w14:textId="77777777">
        <w:tc>
          <w:tcPr>
            <w:tcW w:w="0" w:type="auto"/>
            <w:tcMar>
              <w:top w:w="0" w:type="dxa"/>
              <w:left w:w="0" w:type="dxa"/>
              <w:bottom w:w="30" w:type="dxa"/>
              <w:right w:w="0" w:type="dxa"/>
            </w:tcMar>
            <w:vAlign w:val="bottom"/>
            <w:hideMark/>
          </w:tcPr>
          <w:p w14:paraId="43FEA251"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AA5C4AF"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773D72" w14:textId="77777777" w:rsidR="00000000" w:rsidRDefault="00D6065B">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D7D3061" w14:textId="77777777" w:rsidR="00000000" w:rsidRDefault="00D6065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B5DDA4"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04C5B5" w14:textId="77777777" w:rsidR="00000000" w:rsidRDefault="00D6065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4215E29" w14:textId="77777777" w:rsidR="00000000" w:rsidRDefault="00D6065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262795"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C94D0F" w14:textId="77777777" w:rsidR="00000000" w:rsidRDefault="00D6065B">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69DE855" w14:textId="77777777" w:rsidR="00000000" w:rsidRDefault="00D6065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E6BAFA"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9FE835" w14:textId="77777777" w:rsidR="00000000" w:rsidRDefault="00D6065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99BF580" w14:textId="77777777" w:rsidR="00000000" w:rsidRDefault="00D6065B">
            <w:pPr>
              <w:rPr>
                <w:rFonts w:eastAsia="Times New Roman"/>
                <w:b/>
                <w:bCs/>
                <w:sz w:val="20"/>
                <w:szCs w:val="20"/>
              </w:rPr>
            </w:pPr>
            <w:r>
              <w:rPr>
                <w:rFonts w:eastAsia="Times New Roman"/>
                <w:b/>
                <w:bCs/>
                <w:sz w:val="20"/>
                <w:szCs w:val="20"/>
              </w:rPr>
              <w:t> </w:t>
            </w:r>
          </w:p>
        </w:tc>
      </w:tr>
      <w:tr w:rsidR="00000000" w14:paraId="4AA319B9" w14:textId="77777777">
        <w:tc>
          <w:tcPr>
            <w:tcW w:w="0" w:type="auto"/>
            <w:vAlign w:val="bottom"/>
            <w:hideMark/>
          </w:tcPr>
          <w:p w14:paraId="3BBADFE8"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B2C9AFB"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49423E8A"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D66062F"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1E07E895"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307255C0"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2D507461"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28D679D"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05CC9242"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1413A581"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0C100D2"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17496760"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760F7908" w14:textId="77777777" w:rsidR="00000000" w:rsidRDefault="00D6065B">
            <w:pPr>
              <w:rPr>
                <w:rFonts w:eastAsia="Times New Roman"/>
                <w:sz w:val="20"/>
                <w:szCs w:val="20"/>
              </w:rPr>
            </w:pPr>
            <w:r>
              <w:rPr>
                <w:rFonts w:eastAsia="Times New Roman"/>
                <w:sz w:val="20"/>
                <w:szCs w:val="20"/>
              </w:rPr>
              <w:t> </w:t>
            </w:r>
          </w:p>
        </w:tc>
      </w:tr>
      <w:tr w:rsidR="00000000" w14:paraId="387FEF28" w14:textId="77777777">
        <w:tc>
          <w:tcPr>
            <w:tcW w:w="0" w:type="auto"/>
            <w:shd w:val="clear" w:color="auto" w:fill="CCEEFF"/>
            <w:tcMar>
              <w:top w:w="0" w:type="dxa"/>
              <w:left w:w="0" w:type="dxa"/>
              <w:bottom w:w="30" w:type="dxa"/>
              <w:right w:w="0" w:type="dxa"/>
            </w:tcMar>
            <w:vAlign w:val="bottom"/>
            <w:hideMark/>
          </w:tcPr>
          <w:p w14:paraId="6E1EA4BF" w14:textId="77777777" w:rsidR="00000000" w:rsidRDefault="00D6065B">
            <w:pPr>
              <w:rPr>
                <w:rFonts w:eastAsia="Times New Roman"/>
                <w:b/>
                <w:bCs/>
                <w:sz w:val="20"/>
                <w:szCs w:val="20"/>
              </w:rPr>
            </w:pPr>
            <w:r>
              <w:rPr>
                <w:rFonts w:eastAsia="Times New Roman"/>
                <w:b/>
                <w:bCs/>
                <w:sz w:val="20"/>
                <w:szCs w:val="20"/>
              </w:rPr>
              <w:t>Consulting revenues, net</w:t>
            </w:r>
          </w:p>
        </w:tc>
        <w:tc>
          <w:tcPr>
            <w:tcW w:w="0" w:type="auto"/>
            <w:shd w:val="clear" w:color="auto" w:fill="CCEEFF"/>
            <w:tcMar>
              <w:top w:w="0" w:type="dxa"/>
              <w:left w:w="0" w:type="dxa"/>
              <w:bottom w:w="30" w:type="dxa"/>
              <w:right w:w="0" w:type="dxa"/>
            </w:tcMar>
            <w:vAlign w:val="bottom"/>
            <w:hideMark/>
          </w:tcPr>
          <w:p w14:paraId="28A32BB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D12742" w14:textId="77777777" w:rsidR="00000000" w:rsidRDefault="00D6065B">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0DBDAA7"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D6024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5378B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4AB93C" w14:textId="77777777" w:rsidR="00000000" w:rsidRDefault="00D6065B">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2B0E17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6C6E5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75A8ED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265DFE" w14:textId="77777777" w:rsidR="00000000" w:rsidRDefault="00D6065B">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2F0A03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43FD1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F605B3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977012" w14:textId="77777777" w:rsidR="00000000" w:rsidRDefault="00D6065B">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2B3336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FC7366E" w14:textId="77777777" w:rsidR="00000000" w:rsidRDefault="00D6065B">
            <w:pPr>
              <w:rPr>
                <w:rFonts w:eastAsia="Times New Roman"/>
                <w:sz w:val="20"/>
                <w:szCs w:val="20"/>
              </w:rPr>
            </w:pPr>
            <w:r>
              <w:rPr>
                <w:rFonts w:eastAsia="Times New Roman"/>
                <w:sz w:val="20"/>
                <w:szCs w:val="20"/>
              </w:rPr>
              <w:t> </w:t>
            </w:r>
          </w:p>
        </w:tc>
      </w:tr>
      <w:tr w:rsidR="00000000" w14:paraId="634295D3" w14:textId="77777777">
        <w:tc>
          <w:tcPr>
            <w:tcW w:w="0" w:type="auto"/>
            <w:shd w:val="clear" w:color="auto" w:fill="FFFFFF"/>
            <w:vAlign w:val="bottom"/>
            <w:hideMark/>
          </w:tcPr>
          <w:p w14:paraId="1F0699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EAC9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A0BA0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DAB2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6D019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E2DD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F8EF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D68E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AD924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2528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545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30C4F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01D6D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C6B3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C93CA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7895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CC7F75" w14:textId="77777777" w:rsidR="00000000" w:rsidRDefault="00D6065B">
            <w:pPr>
              <w:rPr>
                <w:rFonts w:eastAsia="Times New Roman"/>
                <w:sz w:val="20"/>
                <w:szCs w:val="20"/>
              </w:rPr>
            </w:pPr>
            <w:r>
              <w:rPr>
                <w:rFonts w:eastAsia="Times New Roman"/>
                <w:sz w:val="20"/>
                <w:szCs w:val="20"/>
              </w:rPr>
              <w:t> </w:t>
            </w:r>
          </w:p>
        </w:tc>
      </w:tr>
      <w:tr w:rsidR="00000000" w14:paraId="112A371D" w14:textId="77777777">
        <w:tc>
          <w:tcPr>
            <w:tcW w:w="0" w:type="auto"/>
            <w:shd w:val="clear" w:color="auto" w:fill="CCEEFF"/>
            <w:vAlign w:val="bottom"/>
            <w:hideMark/>
          </w:tcPr>
          <w:p w14:paraId="0C7AB644" w14:textId="77777777" w:rsidR="00000000" w:rsidRDefault="00D6065B">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14:paraId="5AAF16C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9EC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EF8E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305E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CF2B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8A0D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0093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CE4F0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ACDC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745BE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F5766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CBC8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CE04B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77C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4B8A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AD79E5" w14:textId="77777777" w:rsidR="00000000" w:rsidRDefault="00D6065B">
            <w:pPr>
              <w:rPr>
                <w:rFonts w:eastAsia="Times New Roman"/>
                <w:sz w:val="20"/>
                <w:szCs w:val="20"/>
              </w:rPr>
            </w:pPr>
            <w:r>
              <w:rPr>
                <w:rFonts w:eastAsia="Times New Roman"/>
                <w:sz w:val="20"/>
                <w:szCs w:val="20"/>
              </w:rPr>
              <w:t> </w:t>
            </w:r>
          </w:p>
        </w:tc>
      </w:tr>
      <w:tr w:rsidR="00000000" w14:paraId="4764BF19" w14:textId="77777777">
        <w:tc>
          <w:tcPr>
            <w:tcW w:w="2200" w:type="pct"/>
            <w:shd w:val="clear" w:color="auto" w:fill="FFFFFF"/>
            <w:tcMar>
              <w:top w:w="0" w:type="dxa"/>
              <w:left w:w="200" w:type="dxa"/>
              <w:bottom w:w="0" w:type="dxa"/>
              <w:right w:w="0" w:type="dxa"/>
            </w:tcMar>
            <w:vAlign w:val="bottom"/>
            <w:hideMark/>
          </w:tcPr>
          <w:p w14:paraId="1B90FCC0" w14:textId="77777777" w:rsidR="00000000" w:rsidRDefault="00D6065B">
            <w:pPr>
              <w:rPr>
                <w:rFonts w:eastAsia="Times New Roman"/>
                <w:sz w:val="20"/>
                <w:szCs w:val="20"/>
              </w:rPr>
            </w:pPr>
            <w:r>
              <w:rPr>
                <w:rFonts w:eastAsia="Times New Roman"/>
                <w:sz w:val="20"/>
                <w:szCs w:val="20"/>
              </w:rPr>
              <w:t>Professional fees</w:t>
            </w:r>
          </w:p>
        </w:tc>
        <w:tc>
          <w:tcPr>
            <w:tcW w:w="100" w:type="pct"/>
            <w:shd w:val="clear" w:color="auto" w:fill="FFFFFF"/>
            <w:vAlign w:val="bottom"/>
            <w:hideMark/>
          </w:tcPr>
          <w:p w14:paraId="243D017B"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6E9A35"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51ECAE1" w14:textId="77777777" w:rsidR="00000000" w:rsidRDefault="00D6065B">
            <w:pPr>
              <w:jc w:val="right"/>
              <w:rPr>
                <w:rFonts w:eastAsia="Times New Roman"/>
                <w:sz w:val="20"/>
                <w:szCs w:val="20"/>
              </w:rPr>
            </w:pPr>
            <w:r>
              <w:rPr>
                <w:rFonts w:eastAsia="Times New Roman"/>
                <w:sz w:val="20"/>
                <w:szCs w:val="20"/>
              </w:rPr>
              <w:t>116,445</w:t>
            </w:r>
          </w:p>
        </w:tc>
        <w:tc>
          <w:tcPr>
            <w:tcW w:w="50" w:type="pct"/>
            <w:shd w:val="clear" w:color="auto" w:fill="FFFFFF"/>
            <w:vAlign w:val="bottom"/>
            <w:hideMark/>
          </w:tcPr>
          <w:p w14:paraId="1959FB99"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C15D89A"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235260"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FFFFFF"/>
            <w:vAlign w:val="bottom"/>
            <w:hideMark/>
          </w:tcPr>
          <w:p w14:paraId="2F1C2330" w14:textId="77777777" w:rsidR="00000000" w:rsidRDefault="00D6065B">
            <w:pPr>
              <w:jc w:val="right"/>
              <w:rPr>
                <w:rFonts w:eastAsia="Times New Roman"/>
                <w:sz w:val="20"/>
                <w:szCs w:val="20"/>
              </w:rPr>
            </w:pPr>
            <w:r>
              <w:rPr>
                <w:rFonts w:eastAsia="Times New Roman"/>
                <w:sz w:val="20"/>
                <w:szCs w:val="20"/>
              </w:rPr>
              <w:t>111,269</w:t>
            </w:r>
          </w:p>
        </w:tc>
        <w:tc>
          <w:tcPr>
            <w:tcW w:w="50" w:type="pct"/>
            <w:shd w:val="clear" w:color="auto" w:fill="FFFFFF"/>
            <w:vAlign w:val="bottom"/>
            <w:hideMark/>
          </w:tcPr>
          <w:p w14:paraId="657EBB02"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9D91C02"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14623A"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FFFFFF"/>
            <w:vAlign w:val="bottom"/>
            <w:hideMark/>
          </w:tcPr>
          <w:p w14:paraId="0E091B52" w14:textId="77777777" w:rsidR="00000000" w:rsidRDefault="00D6065B">
            <w:pPr>
              <w:jc w:val="right"/>
              <w:rPr>
                <w:rFonts w:eastAsia="Times New Roman"/>
                <w:sz w:val="20"/>
                <w:szCs w:val="20"/>
              </w:rPr>
            </w:pPr>
            <w:r>
              <w:rPr>
                <w:rFonts w:eastAsia="Times New Roman"/>
                <w:sz w:val="20"/>
                <w:szCs w:val="20"/>
              </w:rPr>
              <w:t>38,231</w:t>
            </w:r>
          </w:p>
        </w:tc>
        <w:tc>
          <w:tcPr>
            <w:tcW w:w="50" w:type="pct"/>
            <w:shd w:val="clear" w:color="auto" w:fill="FFFFFF"/>
            <w:vAlign w:val="bottom"/>
            <w:hideMark/>
          </w:tcPr>
          <w:p w14:paraId="0E69E0E0"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EE49AD0" w14:textId="77777777" w:rsidR="00000000" w:rsidRDefault="00D6065B">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13E232"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CD980B0" w14:textId="77777777" w:rsidR="00000000" w:rsidRDefault="00D6065B">
            <w:pPr>
              <w:jc w:val="right"/>
              <w:rPr>
                <w:rFonts w:eastAsia="Times New Roman"/>
                <w:sz w:val="20"/>
                <w:szCs w:val="20"/>
              </w:rPr>
            </w:pPr>
            <w:r>
              <w:rPr>
                <w:rFonts w:eastAsia="Times New Roman"/>
                <w:sz w:val="20"/>
                <w:szCs w:val="20"/>
              </w:rPr>
              <w:t>57,277</w:t>
            </w:r>
          </w:p>
        </w:tc>
        <w:tc>
          <w:tcPr>
            <w:tcW w:w="50" w:type="pct"/>
            <w:shd w:val="clear" w:color="auto" w:fill="FFFFFF"/>
            <w:vAlign w:val="bottom"/>
            <w:hideMark/>
          </w:tcPr>
          <w:p w14:paraId="1F2AC8C4" w14:textId="77777777" w:rsidR="00000000" w:rsidRDefault="00D6065B">
            <w:pPr>
              <w:rPr>
                <w:rFonts w:eastAsia="Times New Roman"/>
                <w:sz w:val="20"/>
                <w:szCs w:val="20"/>
              </w:rPr>
            </w:pPr>
            <w:r>
              <w:rPr>
                <w:rFonts w:eastAsia="Times New Roman"/>
                <w:sz w:val="20"/>
                <w:szCs w:val="20"/>
              </w:rPr>
              <w:t> </w:t>
            </w:r>
          </w:p>
        </w:tc>
      </w:tr>
      <w:tr w:rsidR="00000000" w14:paraId="47B36183" w14:textId="77777777">
        <w:tc>
          <w:tcPr>
            <w:tcW w:w="0" w:type="auto"/>
            <w:shd w:val="clear" w:color="auto" w:fill="CCEEFF"/>
            <w:tcMar>
              <w:top w:w="0" w:type="dxa"/>
              <w:left w:w="200" w:type="dxa"/>
              <w:bottom w:w="0" w:type="dxa"/>
              <w:right w:w="0" w:type="dxa"/>
            </w:tcMar>
            <w:vAlign w:val="bottom"/>
            <w:hideMark/>
          </w:tcPr>
          <w:p w14:paraId="7F040F40" w14:textId="77777777" w:rsidR="00000000" w:rsidRDefault="00D6065B">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59C9FD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D4CF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E5B85" w14:textId="77777777" w:rsidR="00000000" w:rsidRDefault="00D6065B">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14:paraId="2E89FB9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4EC6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EEA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145BD1" w14:textId="77777777" w:rsidR="00000000" w:rsidRDefault="00D6065B">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14:paraId="66133B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D60F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AC992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B3479" w14:textId="77777777" w:rsidR="00000000" w:rsidRDefault="00D6065B">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14:paraId="3098C3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7380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E47B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919D54" w14:textId="77777777" w:rsidR="00000000" w:rsidRDefault="00D6065B">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14:paraId="714D90A8" w14:textId="77777777" w:rsidR="00000000" w:rsidRDefault="00D6065B">
            <w:pPr>
              <w:rPr>
                <w:rFonts w:eastAsia="Times New Roman"/>
                <w:sz w:val="20"/>
                <w:szCs w:val="20"/>
              </w:rPr>
            </w:pPr>
            <w:r>
              <w:rPr>
                <w:rFonts w:eastAsia="Times New Roman"/>
                <w:sz w:val="20"/>
                <w:szCs w:val="20"/>
              </w:rPr>
              <w:t> </w:t>
            </w:r>
          </w:p>
        </w:tc>
      </w:tr>
      <w:tr w:rsidR="00000000" w14:paraId="49A7A8D4" w14:textId="77777777">
        <w:tc>
          <w:tcPr>
            <w:tcW w:w="0" w:type="auto"/>
            <w:shd w:val="clear" w:color="auto" w:fill="FFFFFF"/>
            <w:tcMar>
              <w:top w:w="0" w:type="dxa"/>
              <w:left w:w="200" w:type="dxa"/>
              <w:bottom w:w="0" w:type="dxa"/>
              <w:right w:w="0" w:type="dxa"/>
            </w:tcMar>
            <w:vAlign w:val="bottom"/>
            <w:hideMark/>
          </w:tcPr>
          <w:p w14:paraId="47B0A865" w14:textId="77777777" w:rsidR="00000000" w:rsidRDefault="00D6065B">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5F3901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40C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95BA5C" w14:textId="77777777" w:rsidR="00000000" w:rsidRDefault="00D6065B">
            <w:pPr>
              <w:jc w:val="right"/>
              <w:rPr>
                <w:rFonts w:eastAsia="Times New Roman"/>
                <w:sz w:val="20"/>
                <w:szCs w:val="20"/>
              </w:rPr>
            </w:pPr>
            <w:r>
              <w:rPr>
                <w:rFonts w:eastAsia="Times New Roman"/>
                <w:sz w:val="20"/>
                <w:szCs w:val="20"/>
              </w:rPr>
              <w:t>137,503</w:t>
            </w:r>
          </w:p>
        </w:tc>
        <w:tc>
          <w:tcPr>
            <w:tcW w:w="0" w:type="auto"/>
            <w:shd w:val="clear" w:color="auto" w:fill="FFFFFF"/>
            <w:vAlign w:val="bottom"/>
            <w:hideMark/>
          </w:tcPr>
          <w:p w14:paraId="4C1B198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F8CD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BC9E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EB2E2" w14:textId="77777777" w:rsidR="00000000" w:rsidRDefault="00D6065B">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14:paraId="326178D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66C4A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2F2A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34B5A" w14:textId="77777777" w:rsidR="00000000" w:rsidRDefault="00D6065B">
            <w:pPr>
              <w:jc w:val="right"/>
              <w:rPr>
                <w:rFonts w:eastAsia="Times New Roman"/>
                <w:sz w:val="20"/>
                <w:szCs w:val="20"/>
              </w:rPr>
            </w:pPr>
            <w:r>
              <w:rPr>
                <w:rFonts w:eastAsia="Times New Roman"/>
                <w:sz w:val="20"/>
                <w:szCs w:val="20"/>
              </w:rPr>
              <w:t>82,500</w:t>
            </w:r>
          </w:p>
        </w:tc>
        <w:tc>
          <w:tcPr>
            <w:tcW w:w="0" w:type="auto"/>
            <w:shd w:val="clear" w:color="auto" w:fill="FFFFFF"/>
            <w:vAlign w:val="bottom"/>
            <w:hideMark/>
          </w:tcPr>
          <w:p w14:paraId="2B1EAA5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A967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EC180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347A5" w14:textId="77777777" w:rsidR="00000000" w:rsidRDefault="00D6065B">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14:paraId="22C06321" w14:textId="77777777" w:rsidR="00000000" w:rsidRDefault="00D6065B">
            <w:pPr>
              <w:rPr>
                <w:rFonts w:eastAsia="Times New Roman"/>
                <w:sz w:val="20"/>
                <w:szCs w:val="20"/>
              </w:rPr>
            </w:pPr>
            <w:r>
              <w:rPr>
                <w:rFonts w:eastAsia="Times New Roman"/>
                <w:sz w:val="20"/>
                <w:szCs w:val="20"/>
              </w:rPr>
              <w:t> </w:t>
            </w:r>
          </w:p>
        </w:tc>
      </w:tr>
      <w:tr w:rsidR="00000000" w14:paraId="4ED78919" w14:textId="77777777">
        <w:tc>
          <w:tcPr>
            <w:tcW w:w="0" w:type="auto"/>
            <w:shd w:val="clear" w:color="auto" w:fill="CCEEFF"/>
            <w:tcMar>
              <w:top w:w="0" w:type="dxa"/>
              <w:left w:w="200" w:type="dxa"/>
              <w:bottom w:w="0" w:type="dxa"/>
              <w:right w:w="0" w:type="dxa"/>
            </w:tcMar>
            <w:vAlign w:val="bottom"/>
            <w:hideMark/>
          </w:tcPr>
          <w:p w14:paraId="40049D90" w14:textId="77777777" w:rsidR="00000000" w:rsidRDefault="00D6065B">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0C1D814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F4F3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9BCBB" w14:textId="77777777" w:rsidR="00000000" w:rsidRDefault="00D6065B">
            <w:pPr>
              <w:jc w:val="right"/>
              <w:rPr>
                <w:rFonts w:eastAsia="Times New Roman"/>
                <w:sz w:val="20"/>
                <w:szCs w:val="20"/>
              </w:rPr>
            </w:pPr>
            <w:r>
              <w:rPr>
                <w:rFonts w:eastAsia="Times New Roman"/>
                <w:sz w:val="20"/>
                <w:szCs w:val="20"/>
              </w:rPr>
              <w:t>160,322</w:t>
            </w:r>
          </w:p>
        </w:tc>
        <w:tc>
          <w:tcPr>
            <w:tcW w:w="0" w:type="auto"/>
            <w:shd w:val="clear" w:color="auto" w:fill="CCEEFF"/>
            <w:vAlign w:val="bottom"/>
            <w:hideMark/>
          </w:tcPr>
          <w:p w14:paraId="5E3A52B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4D95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330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7AFFB" w14:textId="77777777" w:rsidR="00000000" w:rsidRDefault="00D6065B">
            <w:pPr>
              <w:jc w:val="right"/>
              <w:rPr>
                <w:rFonts w:eastAsia="Times New Roman"/>
                <w:sz w:val="20"/>
                <w:szCs w:val="20"/>
              </w:rPr>
            </w:pPr>
            <w:r>
              <w:rPr>
                <w:rFonts w:eastAsia="Times New Roman"/>
                <w:sz w:val="20"/>
                <w:szCs w:val="20"/>
              </w:rPr>
              <w:t>17,425</w:t>
            </w:r>
          </w:p>
        </w:tc>
        <w:tc>
          <w:tcPr>
            <w:tcW w:w="0" w:type="auto"/>
            <w:shd w:val="clear" w:color="auto" w:fill="CCEEFF"/>
            <w:vAlign w:val="bottom"/>
            <w:hideMark/>
          </w:tcPr>
          <w:p w14:paraId="57E70D1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E34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62CF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AFF608" w14:textId="77777777" w:rsidR="00000000" w:rsidRDefault="00D6065B">
            <w:pPr>
              <w:jc w:val="right"/>
              <w:rPr>
                <w:rFonts w:eastAsia="Times New Roman"/>
                <w:sz w:val="20"/>
                <w:szCs w:val="20"/>
              </w:rPr>
            </w:pPr>
            <w:r>
              <w:rPr>
                <w:rFonts w:eastAsia="Times New Roman"/>
                <w:sz w:val="20"/>
                <w:szCs w:val="20"/>
              </w:rPr>
              <w:t>88,624</w:t>
            </w:r>
          </w:p>
        </w:tc>
        <w:tc>
          <w:tcPr>
            <w:tcW w:w="0" w:type="auto"/>
            <w:shd w:val="clear" w:color="auto" w:fill="CCEEFF"/>
            <w:vAlign w:val="bottom"/>
            <w:hideMark/>
          </w:tcPr>
          <w:p w14:paraId="3C7E65B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15BB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8A9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E8BBE" w14:textId="77777777" w:rsidR="00000000" w:rsidRDefault="00D6065B">
            <w:pPr>
              <w:jc w:val="right"/>
              <w:rPr>
                <w:rFonts w:eastAsia="Times New Roman"/>
                <w:sz w:val="20"/>
                <w:szCs w:val="20"/>
              </w:rPr>
            </w:pPr>
            <w:r>
              <w:rPr>
                <w:rFonts w:eastAsia="Times New Roman"/>
                <w:sz w:val="20"/>
                <w:szCs w:val="20"/>
              </w:rPr>
              <w:t>16,397</w:t>
            </w:r>
          </w:p>
        </w:tc>
        <w:tc>
          <w:tcPr>
            <w:tcW w:w="0" w:type="auto"/>
            <w:shd w:val="clear" w:color="auto" w:fill="CCEEFF"/>
            <w:vAlign w:val="bottom"/>
            <w:hideMark/>
          </w:tcPr>
          <w:p w14:paraId="43C3EFE9" w14:textId="77777777" w:rsidR="00000000" w:rsidRDefault="00D6065B">
            <w:pPr>
              <w:rPr>
                <w:rFonts w:eastAsia="Times New Roman"/>
                <w:sz w:val="20"/>
                <w:szCs w:val="20"/>
              </w:rPr>
            </w:pPr>
            <w:r>
              <w:rPr>
                <w:rFonts w:eastAsia="Times New Roman"/>
                <w:sz w:val="20"/>
                <w:szCs w:val="20"/>
              </w:rPr>
              <w:t> </w:t>
            </w:r>
          </w:p>
        </w:tc>
      </w:tr>
      <w:tr w:rsidR="00000000" w14:paraId="138E693C" w14:textId="77777777">
        <w:tc>
          <w:tcPr>
            <w:tcW w:w="0" w:type="auto"/>
            <w:shd w:val="clear" w:color="auto" w:fill="FFFFFF"/>
            <w:tcMar>
              <w:top w:w="0" w:type="dxa"/>
              <w:left w:w="200" w:type="dxa"/>
              <w:bottom w:w="30" w:type="dxa"/>
              <w:right w:w="0" w:type="dxa"/>
            </w:tcMar>
            <w:vAlign w:val="bottom"/>
            <w:hideMark/>
          </w:tcPr>
          <w:p w14:paraId="3DB35A8D" w14:textId="77777777" w:rsidR="00000000" w:rsidRDefault="00D6065B">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24A59E3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B3EA1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285817" w14:textId="77777777" w:rsidR="00000000" w:rsidRDefault="00D6065B">
            <w:pPr>
              <w:jc w:val="right"/>
              <w:rPr>
                <w:rFonts w:eastAsia="Times New Roman"/>
                <w:sz w:val="20"/>
                <w:szCs w:val="20"/>
              </w:rPr>
            </w:pPr>
            <w:r>
              <w:rPr>
                <w:rFonts w:eastAsia="Times New Roman"/>
                <w:sz w:val="20"/>
                <w:szCs w:val="20"/>
              </w:rPr>
              <w:t>60,505</w:t>
            </w:r>
          </w:p>
        </w:tc>
        <w:tc>
          <w:tcPr>
            <w:tcW w:w="0" w:type="auto"/>
            <w:shd w:val="clear" w:color="auto" w:fill="FFFFFF"/>
            <w:tcMar>
              <w:top w:w="0" w:type="dxa"/>
              <w:left w:w="0" w:type="dxa"/>
              <w:bottom w:w="30" w:type="dxa"/>
              <w:right w:w="0" w:type="dxa"/>
            </w:tcMar>
            <w:vAlign w:val="bottom"/>
            <w:hideMark/>
          </w:tcPr>
          <w:p w14:paraId="53C814C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DD1813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56698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1B3E60" w14:textId="77777777" w:rsidR="00000000" w:rsidRDefault="00D6065B">
            <w:pPr>
              <w:jc w:val="right"/>
              <w:rPr>
                <w:rFonts w:eastAsia="Times New Roman"/>
                <w:sz w:val="20"/>
                <w:szCs w:val="20"/>
              </w:rPr>
            </w:pPr>
            <w:r>
              <w:rPr>
                <w:rFonts w:eastAsia="Times New Roman"/>
                <w:sz w:val="20"/>
                <w:szCs w:val="20"/>
              </w:rPr>
              <w:t>57,957</w:t>
            </w:r>
          </w:p>
        </w:tc>
        <w:tc>
          <w:tcPr>
            <w:tcW w:w="0" w:type="auto"/>
            <w:shd w:val="clear" w:color="auto" w:fill="FFFFFF"/>
            <w:tcMar>
              <w:top w:w="0" w:type="dxa"/>
              <w:left w:w="0" w:type="dxa"/>
              <w:bottom w:w="30" w:type="dxa"/>
              <w:right w:w="0" w:type="dxa"/>
            </w:tcMar>
            <w:vAlign w:val="bottom"/>
            <w:hideMark/>
          </w:tcPr>
          <w:p w14:paraId="7734DD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20FAAE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1C78F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5AABFF" w14:textId="77777777" w:rsidR="00000000" w:rsidRDefault="00D6065B">
            <w:pPr>
              <w:jc w:val="right"/>
              <w:rPr>
                <w:rFonts w:eastAsia="Times New Roman"/>
                <w:sz w:val="20"/>
                <w:szCs w:val="20"/>
              </w:rPr>
            </w:pPr>
            <w:r>
              <w:rPr>
                <w:rFonts w:eastAsia="Times New Roman"/>
                <w:sz w:val="20"/>
                <w:szCs w:val="20"/>
              </w:rPr>
              <w:t>30,330</w:t>
            </w:r>
          </w:p>
        </w:tc>
        <w:tc>
          <w:tcPr>
            <w:tcW w:w="0" w:type="auto"/>
            <w:shd w:val="clear" w:color="auto" w:fill="FFFFFF"/>
            <w:tcMar>
              <w:top w:w="0" w:type="dxa"/>
              <w:left w:w="0" w:type="dxa"/>
              <w:bottom w:w="30" w:type="dxa"/>
              <w:right w:w="0" w:type="dxa"/>
            </w:tcMar>
            <w:vAlign w:val="bottom"/>
            <w:hideMark/>
          </w:tcPr>
          <w:p w14:paraId="12853C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C5E174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AF634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811B0C" w14:textId="77777777" w:rsidR="00000000" w:rsidRDefault="00D6065B">
            <w:pPr>
              <w:jc w:val="right"/>
              <w:rPr>
                <w:rFonts w:eastAsia="Times New Roman"/>
                <w:sz w:val="20"/>
                <w:szCs w:val="20"/>
              </w:rPr>
            </w:pPr>
            <w:r>
              <w:rPr>
                <w:rFonts w:eastAsia="Times New Roman"/>
                <w:sz w:val="20"/>
                <w:szCs w:val="20"/>
              </w:rPr>
              <w:t>22,603</w:t>
            </w:r>
          </w:p>
        </w:tc>
        <w:tc>
          <w:tcPr>
            <w:tcW w:w="0" w:type="auto"/>
            <w:shd w:val="clear" w:color="auto" w:fill="FFFFFF"/>
            <w:tcMar>
              <w:top w:w="0" w:type="dxa"/>
              <w:left w:w="0" w:type="dxa"/>
              <w:bottom w:w="30" w:type="dxa"/>
              <w:right w:w="0" w:type="dxa"/>
            </w:tcMar>
            <w:vAlign w:val="bottom"/>
            <w:hideMark/>
          </w:tcPr>
          <w:p w14:paraId="4AF77D4A" w14:textId="77777777" w:rsidR="00000000" w:rsidRDefault="00D6065B">
            <w:pPr>
              <w:rPr>
                <w:rFonts w:eastAsia="Times New Roman"/>
                <w:sz w:val="20"/>
                <w:szCs w:val="20"/>
              </w:rPr>
            </w:pPr>
            <w:r>
              <w:rPr>
                <w:rFonts w:eastAsia="Times New Roman"/>
                <w:sz w:val="20"/>
                <w:szCs w:val="20"/>
              </w:rPr>
              <w:t> </w:t>
            </w:r>
          </w:p>
        </w:tc>
      </w:tr>
      <w:tr w:rsidR="00000000" w14:paraId="47D4AFD1" w14:textId="77777777">
        <w:tc>
          <w:tcPr>
            <w:tcW w:w="0" w:type="auto"/>
            <w:shd w:val="clear" w:color="auto" w:fill="CCEEFF"/>
            <w:vAlign w:val="bottom"/>
            <w:hideMark/>
          </w:tcPr>
          <w:p w14:paraId="5967E5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D338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D5E3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3231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7711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F6F39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EB70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3853A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ED64E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5308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3D5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7193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8F06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BA74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CE4F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8F54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378ACD" w14:textId="77777777" w:rsidR="00000000" w:rsidRDefault="00D6065B">
            <w:pPr>
              <w:rPr>
                <w:rFonts w:eastAsia="Times New Roman"/>
                <w:sz w:val="20"/>
                <w:szCs w:val="20"/>
              </w:rPr>
            </w:pPr>
            <w:r>
              <w:rPr>
                <w:rFonts w:eastAsia="Times New Roman"/>
                <w:sz w:val="20"/>
                <w:szCs w:val="20"/>
              </w:rPr>
              <w:t> </w:t>
            </w:r>
          </w:p>
        </w:tc>
      </w:tr>
      <w:tr w:rsidR="00000000" w14:paraId="24D5DDE5" w14:textId="77777777">
        <w:tc>
          <w:tcPr>
            <w:tcW w:w="0" w:type="auto"/>
            <w:shd w:val="clear" w:color="auto" w:fill="FFFFFF"/>
            <w:tcMar>
              <w:top w:w="0" w:type="dxa"/>
              <w:left w:w="400" w:type="dxa"/>
              <w:bottom w:w="30" w:type="dxa"/>
              <w:right w:w="0" w:type="dxa"/>
            </w:tcMar>
            <w:vAlign w:val="bottom"/>
            <w:hideMark/>
          </w:tcPr>
          <w:p w14:paraId="4569BA7E" w14:textId="77777777" w:rsidR="00000000" w:rsidRDefault="00D6065B">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04245E4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40750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D539DE" w14:textId="77777777" w:rsidR="00000000" w:rsidRDefault="00D6065B">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30" w:type="dxa"/>
              <w:right w:w="0" w:type="dxa"/>
            </w:tcMar>
            <w:vAlign w:val="bottom"/>
            <w:hideMark/>
          </w:tcPr>
          <w:p w14:paraId="7819F4A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CCB1D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D078D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B8150F" w14:textId="77777777" w:rsidR="00000000" w:rsidRDefault="00D6065B">
            <w:pPr>
              <w:jc w:val="right"/>
              <w:rPr>
                <w:rFonts w:eastAsia="Times New Roman"/>
                <w:sz w:val="20"/>
                <w:szCs w:val="20"/>
              </w:rPr>
            </w:pPr>
            <w:r>
              <w:rPr>
                <w:rFonts w:eastAsia="Times New Roman"/>
                <w:sz w:val="20"/>
                <w:szCs w:val="20"/>
              </w:rPr>
              <w:t>248,827</w:t>
            </w:r>
          </w:p>
        </w:tc>
        <w:tc>
          <w:tcPr>
            <w:tcW w:w="0" w:type="auto"/>
            <w:shd w:val="clear" w:color="auto" w:fill="FFFFFF"/>
            <w:tcMar>
              <w:top w:w="0" w:type="dxa"/>
              <w:left w:w="0" w:type="dxa"/>
              <w:bottom w:w="30" w:type="dxa"/>
              <w:right w:w="0" w:type="dxa"/>
            </w:tcMar>
            <w:vAlign w:val="bottom"/>
            <w:hideMark/>
          </w:tcPr>
          <w:p w14:paraId="560CDB8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64FC12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B11A6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4FC913" w14:textId="77777777" w:rsidR="00000000" w:rsidRDefault="00D6065B">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30" w:type="dxa"/>
              <w:right w:w="0" w:type="dxa"/>
            </w:tcMar>
            <w:vAlign w:val="bottom"/>
            <w:hideMark/>
          </w:tcPr>
          <w:p w14:paraId="5CE1B2F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9ACDF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DC9E0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A83557" w14:textId="77777777" w:rsidR="00000000" w:rsidRDefault="00D6065B">
            <w:pPr>
              <w:jc w:val="right"/>
              <w:rPr>
                <w:rFonts w:eastAsia="Times New Roman"/>
                <w:sz w:val="20"/>
                <w:szCs w:val="20"/>
              </w:rPr>
            </w:pPr>
            <w:r>
              <w:rPr>
                <w:rFonts w:eastAsia="Times New Roman"/>
                <w:sz w:val="20"/>
                <w:szCs w:val="20"/>
              </w:rPr>
              <w:t>128,453</w:t>
            </w:r>
          </w:p>
        </w:tc>
        <w:tc>
          <w:tcPr>
            <w:tcW w:w="0" w:type="auto"/>
            <w:shd w:val="clear" w:color="auto" w:fill="FFFFFF"/>
            <w:tcMar>
              <w:top w:w="0" w:type="dxa"/>
              <w:left w:w="0" w:type="dxa"/>
              <w:bottom w:w="30" w:type="dxa"/>
              <w:right w:w="0" w:type="dxa"/>
            </w:tcMar>
            <w:vAlign w:val="bottom"/>
            <w:hideMark/>
          </w:tcPr>
          <w:p w14:paraId="4412EB33" w14:textId="77777777" w:rsidR="00000000" w:rsidRDefault="00D6065B">
            <w:pPr>
              <w:rPr>
                <w:rFonts w:eastAsia="Times New Roman"/>
                <w:sz w:val="20"/>
                <w:szCs w:val="20"/>
              </w:rPr>
            </w:pPr>
            <w:r>
              <w:rPr>
                <w:rFonts w:eastAsia="Times New Roman"/>
                <w:sz w:val="20"/>
                <w:szCs w:val="20"/>
              </w:rPr>
              <w:t> </w:t>
            </w:r>
          </w:p>
        </w:tc>
      </w:tr>
      <w:tr w:rsidR="00000000" w14:paraId="66247BB3" w14:textId="77777777">
        <w:tc>
          <w:tcPr>
            <w:tcW w:w="0" w:type="auto"/>
            <w:shd w:val="clear" w:color="auto" w:fill="CCEEFF"/>
            <w:vAlign w:val="bottom"/>
            <w:hideMark/>
          </w:tcPr>
          <w:p w14:paraId="3BAE4F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CA6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C2FD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24BE0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9AC1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F9478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9129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8A952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87D2E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2BF7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6E52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2159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B2DE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FF77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DB3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FC4F6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7EFFB5" w14:textId="77777777" w:rsidR="00000000" w:rsidRDefault="00D6065B">
            <w:pPr>
              <w:rPr>
                <w:rFonts w:eastAsia="Times New Roman"/>
                <w:sz w:val="20"/>
                <w:szCs w:val="20"/>
              </w:rPr>
            </w:pPr>
            <w:r>
              <w:rPr>
                <w:rFonts w:eastAsia="Times New Roman"/>
                <w:sz w:val="20"/>
                <w:szCs w:val="20"/>
              </w:rPr>
              <w:t> </w:t>
            </w:r>
          </w:p>
        </w:tc>
      </w:tr>
      <w:tr w:rsidR="00000000" w14:paraId="16B6AFDE" w14:textId="77777777">
        <w:tc>
          <w:tcPr>
            <w:tcW w:w="0" w:type="auto"/>
            <w:shd w:val="clear" w:color="auto" w:fill="FFFFFF"/>
            <w:tcMar>
              <w:top w:w="0" w:type="dxa"/>
              <w:left w:w="0" w:type="dxa"/>
              <w:bottom w:w="30" w:type="dxa"/>
              <w:right w:w="0" w:type="dxa"/>
            </w:tcMar>
            <w:vAlign w:val="bottom"/>
            <w:hideMark/>
          </w:tcPr>
          <w:p w14:paraId="20AA5DAB" w14:textId="77777777" w:rsidR="00000000" w:rsidRDefault="00D6065B">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14:paraId="42D8223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A5818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67FBCF" w14:textId="77777777" w:rsidR="00000000" w:rsidRDefault="00D6065B">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30" w:type="dxa"/>
              <w:right w:w="0" w:type="dxa"/>
            </w:tcMar>
            <w:vAlign w:val="bottom"/>
            <w:hideMark/>
          </w:tcPr>
          <w:p w14:paraId="3033D1CC"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F044F4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62730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E355F1" w14:textId="77777777" w:rsidR="00000000" w:rsidRDefault="00D6065B">
            <w:pPr>
              <w:jc w:val="right"/>
              <w:rPr>
                <w:rFonts w:eastAsia="Times New Roman"/>
                <w:sz w:val="20"/>
                <w:szCs w:val="20"/>
              </w:rPr>
            </w:pPr>
            <w:r>
              <w:rPr>
                <w:rFonts w:eastAsia="Times New Roman"/>
                <w:sz w:val="20"/>
                <w:szCs w:val="20"/>
              </w:rPr>
              <w:t>(248,827</w:t>
            </w:r>
          </w:p>
        </w:tc>
        <w:tc>
          <w:tcPr>
            <w:tcW w:w="0" w:type="auto"/>
            <w:shd w:val="clear" w:color="auto" w:fill="FFFFFF"/>
            <w:tcMar>
              <w:top w:w="0" w:type="dxa"/>
              <w:left w:w="0" w:type="dxa"/>
              <w:bottom w:w="30" w:type="dxa"/>
              <w:right w:w="0" w:type="dxa"/>
            </w:tcMar>
            <w:vAlign w:val="bottom"/>
            <w:hideMark/>
          </w:tcPr>
          <w:p w14:paraId="0664D133"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4BA526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F891E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018217" w14:textId="77777777" w:rsidR="00000000" w:rsidRDefault="00D6065B">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30" w:type="dxa"/>
              <w:right w:w="0" w:type="dxa"/>
            </w:tcMar>
            <w:vAlign w:val="bottom"/>
            <w:hideMark/>
          </w:tcPr>
          <w:p w14:paraId="0DE870EB"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940A29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A95B2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1BF0FF" w14:textId="77777777" w:rsidR="00000000" w:rsidRDefault="00D6065B">
            <w:pPr>
              <w:jc w:val="right"/>
              <w:rPr>
                <w:rFonts w:eastAsia="Times New Roman"/>
                <w:sz w:val="20"/>
                <w:szCs w:val="20"/>
              </w:rPr>
            </w:pPr>
            <w:r>
              <w:rPr>
                <w:rFonts w:eastAsia="Times New Roman"/>
                <w:sz w:val="20"/>
                <w:szCs w:val="20"/>
              </w:rPr>
              <w:t>(128,453</w:t>
            </w:r>
          </w:p>
        </w:tc>
        <w:tc>
          <w:tcPr>
            <w:tcW w:w="0" w:type="auto"/>
            <w:shd w:val="clear" w:color="auto" w:fill="FFFFFF"/>
            <w:tcMar>
              <w:top w:w="0" w:type="dxa"/>
              <w:left w:w="0" w:type="dxa"/>
              <w:bottom w:w="30" w:type="dxa"/>
              <w:right w:w="0" w:type="dxa"/>
            </w:tcMar>
            <w:vAlign w:val="bottom"/>
            <w:hideMark/>
          </w:tcPr>
          <w:p w14:paraId="3DF90EB9" w14:textId="77777777" w:rsidR="00000000" w:rsidRDefault="00D6065B">
            <w:pPr>
              <w:rPr>
                <w:rFonts w:eastAsia="Times New Roman"/>
                <w:sz w:val="20"/>
                <w:szCs w:val="20"/>
              </w:rPr>
            </w:pPr>
            <w:r>
              <w:rPr>
                <w:rFonts w:eastAsia="Times New Roman"/>
                <w:sz w:val="20"/>
                <w:szCs w:val="20"/>
              </w:rPr>
              <w:t>)</w:t>
            </w:r>
          </w:p>
        </w:tc>
      </w:tr>
      <w:tr w:rsidR="00000000" w14:paraId="19214C13" w14:textId="77777777">
        <w:tc>
          <w:tcPr>
            <w:tcW w:w="0" w:type="auto"/>
            <w:shd w:val="clear" w:color="auto" w:fill="CCEEFF"/>
            <w:vAlign w:val="bottom"/>
            <w:hideMark/>
          </w:tcPr>
          <w:p w14:paraId="798597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8C75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46B4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4B41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1D0D9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F98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9376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EE4A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568EA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C12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35E2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01BB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B5217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D28D9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F3AF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D4FBE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D0AA48" w14:textId="77777777" w:rsidR="00000000" w:rsidRDefault="00D6065B">
            <w:pPr>
              <w:rPr>
                <w:rFonts w:eastAsia="Times New Roman"/>
                <w:sz w:val="20"/>
                <w:szCs w:val="20"/>
              </w:rPr>
            </w:pPr>
            <w:r>
              <w:rPr>
                <w:rFonts w:eastAsia="Times New Roman"/>
                <w:sz w:val="20"/>
                <w:szCs w:val="20"/>
              </w:rPr>
              <w:t> </w:t>
            </w:r>
          </w:p>
        </w:tc>
      </w:tr>
      <w:tr w:rsidR="00000000" w14:paraId="4EB8B4F7" w14:textId="77777777">
        <w:tc>
          <w:tcPr>
            <w:tcW w:w="0" w:type="auto"/>
            <w:shd w:val="clear" w:color="auto" w:fill="FFFFFF"/>
            <w:vAlign w:val="bottom"/>
            <w:hideMark/>
          </w:tcPr>
          <w:p w14:paraId="2D70260F" w14:textId="77777777" w:rsidR="00000000" w:rsidRDefault="00D6065B">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14:paraId="4270C6E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C0B6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9F1735"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04A388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758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DEED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7FCBF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C0051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F243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CE69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6E07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6DCB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FC25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FB27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F3D4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CF8F48" w14:textId="77777777" w:rsidR="00000000" w:rsidRDefault="00D6065B">
            <w:pPr>
              <w:rPr>
                <w:rFonts w:eastAsia="Times New Roman"/>
                <w:sz w:val="20"/>
                <w:szCs w:val="20"/>
              </w:rPr>
            </w:pPr>
            <w:r>
              <w:rPr>
                <w:rFonts w:eastAsia="Times New Roman"/>
                <w:sz w:val="20"/>
                <w:szCs w:val="20"/>
              </w:rPr>
              <w:t> </w:t>
            </w:r>
          </w:p>
        </w:tc>
      </w:tr>
      <w:tr w:rsidR="00000000" w14:paraId="24E3E107" w14:textId="77777777">
        <w:tc>
          <w:tcPr>
            <w:tcW w:w="0" w:type="auto"/>
            <w:shd w:val="clear" w:color="auto" w:fill="CCEEFF"/>
            <w:tcMar>
              <w:top w:w="0" w:type="dxa"/>
              <w:left w:w="200" w:type="dxa"/>
              <w:bottom w:w="0" w:type="dxa"/>
              <w:right w:w="0" w:type="dxa"/>
            </w:tcMar>
            <w:vAlign w:val="bottom"/>
            <w:hideMark/>
          </w:tcPr>
          <w:p w14:paraId="1F0352A8" w14:textId="77777777" w:rsidR="00000000" w:rsidRDefault="00D6065B">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14:paraId="5D86B23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0219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C501AF" w14:textId="77777777" w:rsidR="00000000" w:rsidRDefault="00D6065B">
            <w:pPr>
              <w:jc w:val="right"/>
              <w:rPr>
                <w:rFonts w:eastAsia="Times New Roman"/>
                <w:sz w:val="20"/>
                <w:szCs w:val="20"/>
              </w:rPr>
            </w:pPr>
            <w:r>
              <w:rPr>
                <w:rFonts w:eastAsia="Times New Roman"/>
                <w:sz w:val="20"/>
                <w:szCs w:val="20"/>
              </w:rPr>
              <w:t>(13,051</w:t>
            </w:r>
          </w:p>
        </w:tc>
        <w:tc>
          <w:tcPr>
            <w:tcW w:w="0" w:type="auto"/>
            <w:shd w:val="clear" w:color="auto" w:fill="CCEEFF"/>
            <w:vAlign w:val="bottom"/>
            <w:hideMark/>
          </w:tcPr>
          <w:p w14:paraId="53DE6506"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15D677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032B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669ED9" w14:textId="77777777" w:rsidR="00000000" w:rsidRDefault="00D6065B">
            <w:pPr>
              <w:jc w:val="right"/>
              <w:rPr>
                <w:rFonts w:eastAsia="Times New Roman"/>
                <w:sz w:val="20"/>
                <w:szCs w:val="20"/>
              </w:rPr>
            </w:pPr>
            <w:r>
              <w:rPr>
                <w:rFonts w:eastAsia="Times New Roman"/>
                <w:sz w:val="20"/>
                <w:szCs w:val="20"/>
              </w:rPr>
              <w:t>(273,491</w:t>
            </w:r>
          </w:p>
        </w:tc>
        <w:tc>
          <w:tcPr>
            <w:tcW w:w="0" w:type="auto"/>
            <w:shd w:val="clear" w:color="auto" w:fill="CCEEFF"/>
            <w:vAlign w:val="bottom"/>
            <w:hideMark/>
          </w:tcPr>
          <w:p w14:paraId="5AE8DB26"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22C256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4EAF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7D9AE" w14:textId="77777777" w:rsidR="00000000" w:rsidRDefault="00D6065B">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14:paraId="52C6C605"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2EA7978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D6E4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CC899" w14:textId="77777777" w:rsidR="00000000" w:rsidRDefault="00D6065B">
            <w:pPr>
              <w:jc w:val="right"/>
              <w:rPr>
                <w:rFonts w:eastAsia="Times New Roman"/>
                <w:sz w:val="20"/>
                <w:szCs w:val="20"/>
              </w:rPr>
            </w:pPr>
            <w:r>
              <w:rPr>
                <w:rFonts w:eastAsia="Times New Roman"/>
                <w:sz w:val="20"/>
                <w:szCs w:val="20"/>
              </w:rPr>
              <w:t>(33,634</w:t>
            </w:r>
          </w:p>
        </w:tc>
        <w:tc>
          <w:tcPr>
            <w:tcW w:w="0" w:type="auto"/>
            <w:shd w:val="clear" w:color="auto" w:fill="CCEEFF"/>
            <w:vAlign w:val="bottom"/>
            <w:hideMark/>
          </w:tcPr>
          <w:p w14:paraId="0C188CF2" w14:textId="77777777" w:rsidR="00000000" w:rsidRDefault="00D6065B">
            <w:pPr>
              <w:rPr>
                <w:rFonts w:eastAsia="Times New Roman"/>
                <w:sz w:val="20"/>
                <w:szCs w:val="20"/>
              </w:rPr>
            </w:pPr>
            <w:r>
              <w:rPr>
                <w:rFonts w:eastAsia="Times New Roman"/>
                <w:sz w:val="20"/>
                <w:szCs w:val="20"/>
              </w:rPr>
              <w:t>)</w:t>
            </w:r>
          </w:p>
        </w:tc>
      </w:tr>
      <w:tr w:rsidR="00000000" w14:paraId="5813C517" w14:textId="77777777">
        <w:tc>
          <w:tcPr>
            <w:tcW w:w="0" w:type="auto"/>
            <w:shd w:val="clear" w:color="auto" w:fill="FFFFFF"/>
            <w:tcMar>
              <w:top w:w="0" w:type="dxa"/>
              <w:left w:w="200" w:type="dxa"/>
              <w:bottom w:w="0" w:type="dxa"/>
              <w:right w:w="0" w:type="dxa"/>
            </w:tcMar>
            <w:vAlign w:val="bottom"/>
            <w:hideMark/>
          </w:tcPr>
          <w:p w14:paraId="553C9D76" w14:textId="77777777" w:rsidR="00000000" w:rsidRDefault="00D6065B">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14:paraId="1171A27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3817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A3C8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E2FA98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889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1509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E7585" w14:textId="77777777" w:rsidR="00000000" w:rsidRDefault="00D6065B">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14:paraId="596F4B0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E31F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FDC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CBE7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953289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4897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0710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C68C3" w14:textId="77777777" w:rsidR="00000000" w:rsidRDefault="00D6065B">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14:paraId="3ABBF787" w14:textId="77777777" w:rsidR="00000000" w:rsidRDefault="00D6065B">
            <w:pPr>
              <w:rPr>
                <w:rFonts w:eastAsia="Times New Roman"/>
                <w:sz w:val="20"/>
                <w:szCs w:val="20"/>
              </w:rPr>
            </w:pPr>
            <w:r>
              <w:rPr>
                <w:rFonts w:eastAsia="Times New Roman"/>
                <w:sz w:val="20"/>
                <w:szCs w:val="20"/>
              </w:rPr>
              <w:t> </w:t>
            </w:r>
          </w:p>
        </w:tc>
      </w:tr>
      <w:tr w:rsidR="00000000" w14:paraId="49CCBC08" w14:textId="77777777">
        <w:tc>
          <w:tcPr>
            <w:tcW w:w="0" w:type="auto"/>
            <w:shd w:val="clear" w:color="auto" w:fill="CCEEFF"/>
            <w:tcMar>
              <w:top w:w="0" w:type="dxa"/>
              <w:left w:w="200" w:type="dxa"/>
              <w:bottom w:w="0" w:type="dxa"/>
              <w:right w:w="0" w:type="dxa"/>
            </w:tcMar>
            <w:vAlign w:val="bottom"/>
            <w:hideMark/>
          </w:tcPr>
          <w:p w14:paraId="097CF566" w14:textId="77777777" w:rsidR="00000000" w:rsidRDefault="00D6065B">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14:paraId="19DF0F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51BD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BCF12" w14:textId="77777777" w:rsidR="00000000" w:rsidRDefault="00D6065B">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14:paraId="6873BEB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67DF1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5B40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7EEA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CC019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503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F872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06EB6"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9A3EE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032DB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D18C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B46B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C54AA0" w14:textId="77777777" w:rsidR="00000000" w:rsidRDefault="00D6065B">
            <w:pPr>
              <w:rPr>
                <w:rFonts w:eastAsia="Times New Roman"/>
                <w:sz w:val="20"/>
                <w:szCs w:val="20"/>
              </w:rPr>
            </w:pPr>
            <w:r>
              <w:rPr>
                <w:rFonts w:eastAsia="Times New Roman"/>
                <w:sz w:val="20"/>
                <w:szCs w:val="20"/>
              </w:rPr>
              <w:t> </w:t>
            </w:r>
          </w:p>
        </w:tc>
      </w:tr>
      <w:tr w:rsidR="00000000" w14:paraId="2CF3F231" w14:textId="77777777">
        <w:tc>
          <w:tcPr>
            <w:tcW w:w="0" w:type="auto"/>
            <w:shd w:val="clear" w:color="auto" w:fill="FFFFFF"/>
            <w:tcMar>
              <w:top w:w="0" w:type="dxa"/>
              <w:left w:w="200" w:type="dxa"/>
              <w:bottom w:w="30" w:type="dxa"/>
              <w:right w:w="0" w:type="dxa"/>
            </w:tcMar>
            <w:vAlign w:val="bottom"/>
            <w:hideMark/>
          </w:tcPr>
          <w:p w14:paraId="4E566BED" w14:textId="77777777" w:rsidR="00000000" w:rsidRDefault="00D6065B">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14:paraId="647747F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1021D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EF633D" w14:textId="77777777" w:rsidR="00000000" w:rsidRDefault="00D6065B">
            <w:pPr>
              <w:jc w:val="right"/>
              <w:rPr>
                <w:rFonts w:eastAsia="Times New Roman"/>
                <w:sz w:val="20"/>
                <w:szCs w:val="20"/>
              </w:rPr>
            </w:pPr>
            <w:r>
              <w:rPr>
                <w:rFonts w:eastAsia="Times New Roman"/>
                <w:sz w:val="20"/>
                <w:szCs w:val="20"/>
              </w:rPr>
              <w:t>(176,295</w:t>
            </w:r>
          </w:p>
        </w:tc>
        <w:tc>
          <w:tcPr>
            <w:tcW w:w="0" w:type="auto"/>
            <w:shd w:val="clear" w:color="auto" w:fill="FFFFFF"/>
            <w:tcMar>
              <w:top w:w="0" w:type="dxa"/>
              <w:left w:w="0" w:type="dxa"/>
              <w:bottom w:w="30" w:type="dxa"/>
              <w:right w:w="0" w:type="dxa"/>
            </w:tcMar>
            <w:vAlign w:val="bottom"/>
            <w:hideMark/>
          </w:tcPr>
          <w:p w14:paraId="52BEFA18"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38D49E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580A7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95526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8688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53A8BB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0EDF9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A59F37"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FD9F39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763F14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2D0F4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B1189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40989AF" w14:textId="77777777" w:rsidR="00000000" w:rsidRDefault="00D6065B">
            <w:pPr>
              <w:rPr>
                <w:rFonts w:eastAsia="Times New Roman"/>
                <w:sz w:val="20"/>
                <w:szCs w:val="20"/>
              </w:rPr>
            </w:pPr>
            <w:r>
              <w:rPr>
                <w:rFonts w:eastAsia="Times New Roman"/>
                <w:sz w:val="20"/>
                <w:szCs w:val="20"/>
              </w:rPr>
              <w:t> </w:t>
            </w:r>
          </w:p>
        </w:tc>
      </w:tr>
      <w:tr w:rsidR="00000000" w14:paraId="3FB60EBF" w14:textId="77777777">
        <w:tc>
          <w:tcPr>
            <w:tcW w:w="0" w:type="auto"/>
            <w:shd w:val="clear" w:color="auto" w:fill="CCEEFF"/>
            <w:tcMar>
              <w:top w:w="0" w:type="dxa"/>
              <w:left w:w="200" w:type="dxa"/>
              <w:bottom w:w="0" w:type="dxa"/>
              <w:right w:w="0" w:type="dxa"/>
            </w:tcMar>
            <w:vAlign w:val="bottom"/>
            <w:hideMark/>
          </w:tcPr>
          <w:p w14:paraId="259EFFC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6E45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375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285A6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1FE65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3C2A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EC1C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BDC67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7399C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F12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4F6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D940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84C42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6226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4284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5025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C6CD13" w14:textId="77777777" w:rsidR="00000000" w:rsidRDefault="00D6065B">
            <w:pPr>
              <w:rPr>
                <w:rFonts w:eastAsia="Times New Roman"/>
                <w:sz w:val="20"/>
                <w:szCs w:val="20"/>
              </w:rPr>
            </w:pPr>
            <w:r>
              <w:rPr>
                <w:rFonts w:eastAsia="Times New Roman"/>
                <w:sz w:val="20"/>
                <w:szCs w:val="20"/>
              </w:rPr>
              <w:t> </w:t>
            </w:r>
          </w:p>
        </w:tc>
      </w:tr>
      <w:tr w:rsidR="00000000" w14:paraId="2536FAEE" w14:textId="77777777">
        <w:tc>
          <w:tcPr>
            <w:tcW w:w="0" w:type="auto"/>
            <w:shd w:val="clear" w:color="auto" w:fill="FFFFFF"/>
            <w:tcMar>
              <w:top w:w="0" w:type="dxa"/>
              <w:left w:w="400" w:type="dxa"/>
              <w:bottom w:w="30" w:type="dxa"/>
              <w:right w:w="0" w:type="dxa"/>
            </w:tcMar>
            <w:vAlign w:val="bottom"/>
            <w:hideMark/>
          </w:tcPr>
          <w:p w14:paraId="46607BBF" w14:textId="77777777" w:rsidR="00000000" w:rsidRDefault="00D6065B">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14:paraId="7E78175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2547D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41E317" w14:textId="77777777" w:rsidR="00000000" w:rsidRDefault="00D6065B">
            <w:pPr>
              <w:jc w:val="right"/>
              <w:rPr>
                <w:rFonts w:eastAsia="Times New Roman"/>
                <w:sz w:val="20"/>
                <w:szCs w:val="20"/>
              </w:rPr>
            </w:pPr>
            <w:r>
              <w:rPr>
                <w:rFonts w:eastAsia="Times New Roman"/>
                <w:sz w:val="20"/>
                <w:szCs w:val="20"/>
              </w:rPr>
              <w:t>(59,601</w:t>
            </w:r>
          </w:p>
        </w:tc>
        <w:tc>
          <w:tcPr>
            <w:tcW w:w="0" w:type="auto"/>
            <w:shd w:val="clear" w:color="auto" w:fill="FFFFFF"/>
            <w:tcMar>
              <w:top w:w="0" w:type="dxa"/>
              <w:left w:w="0" w:type="dxa"/>
              <w:bottom w:w="30" w:type="dxa"/>
              <w:right w:w="0" w:type="dxa"/>
            </w:tcMar>
            <w:vAlign w:val="bottom"/>
            <w:hideMark/>
          </w:tcPr>
          <w:p w14:paraId="27B1B6FC"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7C59BE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FB4CF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C40A87" w14:textId="77777777" w:rsidR="00000000" w:rsidRDefault="00D6065B">
            <w:pPr>
              <w:jc w:val="right"/>
              <w:rPr>
                <w:rFonts w:eastAsia="Times New Roman"/>
                <w:sz w:val="20"/>
                <w:szCs w:val="20"/>
              </w:rPr>
            </w:pPr>
            <w:r>
              <w:rPr>
                <w:rFonts w:eastAsia="Times New Roman"/>
                <w:sz w:val="20"/>
                <w:szCs w:val="20"/>
              </w:rPr>
              <w:t>(270,491</w:t>
            </w:r>
          </w:p>
        </w:tc>
        <w:tc>
          <w:tcPr>
            <w:tcW w:w="0" w:type="auto"/>
            <w:shd w:val="clear" w:color="auto" w:fill="FFFFFF"/>
            <w:tcMar>
              <w:top w:w="0" w:type="dxa"/>
              <w:left w:w="0" w:type="dxa"/>
              <w:bottom w:w="30" w:type="dxa"/>
              <w:right w:w="0" w:type="dxa"/>
            </w:tcMar>
            <w:vAlign w:val="bottom"/>
            <w:hideMark/>
          </w:tcPr>
          <w:p w14:paraId="04D4A760"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25C88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8B5EF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C68431" w14:textId="77777777" w:rsidR="00000000" w:rsidRDefault="00D6065B">
            <w:pPr>
              <w:jc w:val="right"/>
              <w:rPr>
                <w:rFonts w:eastAsia="Times New Roman"/>
                <w:sz w:val="20"/>
                <w:szCs w:val="20"/>
              </w:rPr>
            </w:pPr>
            <w:r>
              <w:rPr>
                <w:rFonts w:eastAsia="Times New Roman"/>
                <w:sz w:val="20"/>
                <w:szCs w:val="20"/>
              </w:rPr>
              <w:t>(6,502</w:t>
            </w:r>
          </w:p>
        </w:tc>
        <w:tc>
          <w:tcPr>
            <w:tcW w:w="0" w:type="auto"/>
            <w:shd w:val="clear" w:color="auto" w:fill="FFFFFF"/>
            <w:tcMar>
              <w:top w:w="0" w:type="dxa"/>
              <w:left w:w="0" w:type="dxa"/>
              <w:bottom w:w="30" w:type="dxa"/>
              <w:right w:w="0" w:type="dxa"/>
            </w:tcMar>
            <w:vAlign w:val="bottom"/>
            <w:hideMark/>
          </w:tcPr>
          <w:p w14:paraId="48CA2591"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E0FF66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6BC4C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67C799" w14:textId="77777777" w:rsidR="00000000" w:rsidRDefault="00D6065B">
            <w:pPr>
              <w:jc w:val="right"/>
              <w:rPr>
                <w:rFonts w:eastAsia="Times New Roman"/>
                <w:sz w:val="20"/>
                <w:szCs w:val="20"/>
              </w:rPr>
            </w:pPr>
            <w:r>
              <w:rPr>
                <w:rFonts w:eastAsia="Times New Roman"/>
                <w:sz w:val="20"/>
                <w:szCs w:val="20"/>
              </w:rPr>
              <w:t>(30,634</w:t>
            </w:r>
          </w:p>
        </w:tc>
        <w:tc>
          <w:tcPr>
            <w:tcW w:w="0" w:type="auto"/>
            <w:shd w:val="clear" w:color="auto" w:fill="FFFFFF"/>
            <w:tcMar>
              <w:top w:w="0" w:type="dxa"/>
              <w:left w:w="0" w:type="dxa"/>
              <w:bottom w:w="30" w:type="dxa"/>
              <w:right w:w="0" w:type="dxa"/>
            </w:tcMar>
            <w:vAlign w:val="bottom"/>
            <w:hideMark/>
          </w:tcPr>
          <w:p w14:paraId="42612E38" w14:textId="77777777" w:rsidR="00000000" w:rsidRDefault="00D6065B">
            <w:pPr>
              <w:rPr>
                <w:rFonts w:eastAsia="Times New Roman"/>
                <w:sz w:val="20"/>
                <w:szCs w:val="20"/>
              </w:rPr>
            </w:pPr>
            <w:r>
              <w:rPr>
                <w:rFonts w:eastAsia="Times New Roman"/>
                <w:sz w:val="20"/>
                <w:szCs w:val="20"/>
              </w:rPr>
              <w:t>)</w:t>
            </w:r>
          </w:p>
        </w:tc>
      </w:tr>
      <w:tr w:rsidR="00000000" w14:paraId="01D13CA4" w14:textId="77777777">
        <w:tc>
          <w:tcPr>
            <w:tcW w:w="0" w:type="auto"/>
            <w:shd w:val="clear" w:color="auto" w:fill="CCEEFF"/>
            <w:vAlign w:val="bottom"/>
            <w:hideMark/>
          </w:tcPr>
          <w:p w14:paraId="4945351B" w14:textId="77777777" w:rsidR="00000000" w:rsidRDefault="00D6065B">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7F1332E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5EAC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C496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79CD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A72A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DE17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704A4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DF80A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688B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7A15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8607D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E766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780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B12E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037F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D03D6C" w14:textId="77777777" w:rsidR="00000000" w:rsidRDefault="00D6065B">
            <w:pPr>
              <w:rPr>
                <w:rFonts w:eastAsia="Times New Roman"/>
                <w:sz w:val="20"/>
                <w:szCs w:val="20"/>
              </w:rPr>
            </w:pPr>
            <w:r>
              <w:rPr>
                <w:rFonts w:eastAsia="Times New Roman"/>
                <w:sz w:val="20"/>
                <w:szCs w:val="20"/>
              </w:rPr>
              <w:t> </w:t>
            </w:r>
          </w:p>
        </w:tc>
      </w:tr>
      <w:tr w:rsidR="00000000" w14:paraId="3B5E2870" w14:textId="77777777">
        <w:tc>
          <w:tcPr>
            <w:tcW w:w="0" w:type="auto"/>
            <w:shd w:val="clear" w:color="auto" w:fill="FFFFFF"/>
            <w:vAlign w:val="bottom"/>
            <w:hideMark/>
          </w:tcPr>
          <w:p w14:paraId="53102257" w14:textId="77777777" w:rsidR="00000000" w:rsidRDefault="00D6065B">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14:paraId="2D0237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13519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CEC8A" w14:textId="77777777" w:rsidR="00000000" w:rsidRDefault="00D6065B">
            <w:pPr>
              <w:jc w:val="right"/>
              <w:rPr>
                <w:rFonts w:eastAsia="Times New Roman"/>
                <w:sz w:val="20"/>
                <w:szCs w:val="20"/>
              </w:rPr>
            </w:pPr>
            <w:r>
              <w:rPr>
                <w:rFonts w:eastAsia="Times New Roman"/>
                <w:sz w:val="20"/>
                <w:szCs w:val="20"/>
              </w:rPr>
              <w:t>(2,148,376</w:t>
            </w:r>
          </w:p>
        </w:tc>
        <w:tc>
          <w:tcPr>
            <w:tcW w:w="0" w:type="auto"/>
            <w:shd w:val="clear" w:color="auto" w:fill="FFFFFF"/>
            <w:vAlign w:val="bottom"/>
            <w:hideMark/>
          </w:tcPr>
          <w:p w14:paraId="277B1AD7"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38C1602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1AA6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31826" w14:textId="77777777" w:rsidR="00000000" w:rsidRDefault="00D6065B">
            <w:pPr>
              <w:jc w:val="right"/>
              <w:rPr>
                <w:rFonts w:eastAsia="Times New Roman"/>
                <w:sz w:val="20"/>
                <w:szCs w:val="20"/>
              </w:rPr>
            </w:pPr>
            <w:r>
              <w:rPr>
                <w:rFonts w:eastAsia="Times New Roman"/>
                <w:sz w:val="20"/>
                <w:szCs w:val="20"/>
              </w:rPr>
              <w:t>(519,318</w:t>
            </w:r>
          </w:p>
        </w:tc>
        <w:tc>
          <w:tcPr>
            <w:tcW w:w="0" w:type="auto"/>
            <w:shd w:val="clear" w:color="auto" w:fill="FFFFFF"/>
            <w:vAlign w:val="bottom"/>
            <w:hideMark/>
          </w:tcPr>
          <w:p w14:paraId="11021E7C"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195822C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A50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351141" w14:textId="77777777" w:rsidR="00000000" w:rsidRDefault="00D6065B">
            <w:pPr>
              <w:jc w:val="right"/>
              <w:rPr>
                <w:rFonts w:eastAsia="Times New Roman"/>
                <w:sz w:val="20"/>
                <w:szCs w:val="20"/>
              </w:rPr>
            </w:pPr>
            <w:r>
              <w:rPr>
                <w:rFonts w:eastAsia="Times New Roman"/>
                <w:sz w:val="20"/>
                <w:szCs w:val="20"/>
              </w:rPr>
              <w:t>(</w:t>
            </w:r>
            <w:r>
              <w:rPr>
                <w:rFonts w:eastAsia="Times New Roman"/>
                <w:sz w:val="20"/>
                <w:szCs w:val="20"/>
              </w:rPr>
              <w:t>1,860,187</w:t>
            </w:r>
          </w:p>
        </w:tc>
        <w:tc>
          <w:tcPr>
            <w:tcW w:w="0" w:type="auto"/>
            <w:shd w:val="clear" w:color="auto" w:fill="FFFFFF"/>
            <w:vAlign w:val="bottom"/>
            <w:hideMark/>
          </w:tcPr>
          <w:p w14:paraId="53E3A462"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5F261F2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666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09B15" w14:textId="77777777" w:rsidR="00000000" w:rsidRDefault="00D6065B">
            <w:pPr>
              <w:jc w:val="right"/>
              <w:rPr>
                <w:rFonts w:eastAsia="Times New Roman"/>
                <w:sz w:val="20"/>
                <w:szCs w:val="20"/>
              </w:rPr>
            </w:pPr>
            <w:r>
              <w:rPr>
                <w:rFonts w:eastAsia="Times New Roman"/>
                <w:sz w:val="20"/>
                <w:szCs w:val="20"/>
              </w:rPr>
              <w:t>(159,087</w:t>
            </w:r>
          </w:p>
        </w:tc>
        <w:tc>
          <w:tcPr>
            <w:tcW w:w="0" w:type="auto"/>
            <w:shd w:val="clear" w:color="auto" w:fill="FFFFFF"/>
            <w:vAlign w:val="bottom"/>
            <w:hideMark/>
          </w:tcPr>
          <w:p w14:paraId="54EA4B78" w14:textId="77777777" w:rsidR="00000000" w:rsidRDefault="00D6065B">
            <w:pPr>
              <w:rPr>
                <w:rFonts w:eastAsia="Times New Roman"/>
                <w:sz w:val="20"/>
                <w:szCs w:val="20"/>
              </w:rPr>
            </w:pPr>
            <w:r>
              <w:rPr>
                <w:rFonts w:eastAsia="Times New Roman"/>
                <w:sz w:val="20"/>
                <w:szCs w:val="20"/>
              </w:rPr>
              <w:t>)</w:t>
            </w:r>
          </w:p>
        </w:tc>
      </w:tr>
      <w:tr w:rsidR="00000000" w14:paraId="102DEF62" w14:textId="77777777">
        <w:tc>
          <w:tcPr>
            <w:tcW w:w="0" w:type="auto"/>
            <w:shd w:val="clear" w:color="auto" w:fill="CCEEFF"/>
            <w:vAlign w:val="bottom"/>
            <w:hideMark/>
          </w:tcPr>
          <w:p w14:paraId="264235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9FBD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EFFE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C45D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902BE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260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5C49E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C526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41FC5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7A043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00D3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14DE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07069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95917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FB948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D950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C9DCF1" w14:textId="77777777" w:rsidR="00000000" w:rsidRDefault="00D6065B">
            <w:pPr>
              <w:rPr>
                <w:rFonts w:eastAsia="Times New Roman"/>
                <w:sz w:val="20"/>
                <w:szCs w:val="20"/>
              </w:rPr>
            </w:pPr>
            <w:r>
              <w:rPr>
                <w:rFonts w:eastAsia="Times New Roman"/>
                <w:sz w:val="20"/>
                <w:szCs w:val="20"/>
              </w:rPr>
              <w:t> </w:t>
            </w:r>
          </w:p>
        </w:tc>
      </w:tr>
      <w:tr w:rsidR="00000000" w14:paraId="3D8BA932" w14:textId="77777777">
        <w:tc>
          <w:tcPr>
            <w:tcW w:w="0" w:type="auto"/>
            <w:shd w:val="clear" w:color="auto" w:fill="FFFFFF"/>
            <w:tcMar>
              <w:top w:w="0" w:type="dxa"/>
              <w:left w:w="0" w:type="dxa"/>
              <w:bottom w:w="30" w:type="dxa"/>
              <w:right w:w="0" w:type="dxa"/>
            </w:tcMar>
            <w:vAlign w:val="bottom"/>
            <w:hideMark/>
          </w:tcPr>
          <w:p w14:paraId="4D45304F" w14:textId="77777777" w:rsidR="00000000" w:rsidRDefault="00D6065B">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14:paraId="725B18E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D6ECF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4ECA6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CB6B99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8FB95E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B1840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2399C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7CE290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B09AA7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DC9F4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D6FB5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07470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DFF493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A8433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2710A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CB60287" w14:textId="77777777" w:rsidR="00000000" w:rsidRDefault="00D6065B">
            <w:pPr>
              <w:rPr>
                <w:rFonts w:eastAsia="Times New Roman"/>
                <w:sz w:val="20"/>
                <w:szCs w:val="20"/>
              </w:rPr>
            </w:pPr>
            <w:r>
              <w:rPr>
                <w:rFonts w:eastAsia="Times New Roman"/>
                <w:sz w:val="20"/>
                <w:szCs w:val="20"/>
              </w:rPr>
              <w:t> </w:t>
            </w:r>
          </w:p>
        </w:tc>
      </w:tr>
      <w:tr w:rsidR="00000000" w14:paraId="0E88DE37" w14:textId="77777777">
        <w:tc>
          <w:tcPr>
            <w:tcW w:w="0" w:type="auto"/>
            <w:shd w:val="clear" w:color="auto" w:fill="CCEEFF"/>
            <w:vAlign w:val="bottom"/>
            <w:hideMark/>
          </w:tcPr>
          <w:p w14:paraId="31E6BD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0CE3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45B4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E351E"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388B9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F71C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C9DF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3ADF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C5DC4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FC6A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9536C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646EE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FE72E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AAE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9FA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D736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11A8E3" w14:textId="77777777" w:rsidR="00000000" w:rsidRDefault="00D6065B">
            <w:pPr>
              <w:rPr>
                <w:rFonts w:eastAsia="Times New Roman"/>
                <w:sz w:val="20"/>
                <w:szCs w:val="20"/>
              </w:rPr>
            </w:pPr>
            <w:r>
              <w:rPr>
                <w:rFonts w:eastAsia="Times New Roman"/>
                <w:sz w:val="20"/>
                <w:szCs w:val="20"/>
              </w:rPr>
              <w:t> </w:t>
            </w:r>
          </w:p>
        </w:tc>
      </w:tr>
      <w:tr w:rsidR="00000000" w14:paraId="5F5E29C4" w14:textId="77777777">
        <w:tc>
          <w:tcPr>
            <w:tcW w:w="0" w:type="auto"/>
            <w:shd w:val="clear" w:color="auto" w:fill="FFFFFF"/>
            <w:tcMar>
              <w:top w:w="0" w:type="dxa"/>
              <w:left w:w="0" w:type="dxa"/>
              <w:bottom w:w="50" w:type="dxa"/>
              <w:right w:w="0" w:type="dxa"/>
            </w:tcMar>
            <w:vAlign w:val="bottom"/>
            <w:hideMark/>
          </w:tcPr>
          <w:p w14:paraId="33C19DFA" w14:textId="77777777" w:rsidR="00000000" w:rsidRDefault="00D6065B">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14:paraId="25D649ED"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DED53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7A6DA88" w14:textId="77777777" w:rsidR="00000000" w:rsidRDefault="00D6065B">
            <w:pPr>
              <w:jc w:val="right"/>
              <w:rPr>
                <w:rFonts w:eastAsia="Times New Roman"/>
                <w:sz w:val="20"/>
                <w:szCs w:val="20"/>
              </w:rPr>
            </w:pPr>
            <w:r>
              <w:rPr>
                <w:rFonts w:eastAsia="Times New Roman"/>
                <w:sz w:val="20"/>
                <w:szCs w:val="20"/>
              </w:rPr>
              <w:t>(2,148,376</w:t>
            </w:r>
          </w:p>
        </w:tc>
        <w:tc>
          <w:tcPr>
            <w:tcW w:w="0" w:type="auto"/>
            <w:shd w:val="clear" w:color="auto" w:fill="FFFFFF"/>
            <w:tcMar>
              <w:top w:w="0" w:type="dxa"/>
              <w:left w:w="0" w:type="dxa"/>
              <w:bottom w:w="50" w:type="dxa"/>
              <w:right w:w="0" w:type="dxa"/>
            </w:tcMar>
            <w:vAlign w:val="bottom"/>
            <w:hideMark/>
          </w:tcPr>
          <w:p w14:paraId="271A3952"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415D52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4A0301C"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627950" w14:textId="77777777" w:rsidR="00000000" w:rsidRDefault="00D6065B">
            <w:pPr>
              <w:jc w:val="right"/>
              <w:rPr>
                <w:rFonts w:eastAsia="Times New Roman"/>
                <w:sz w:val="20"/>
                <w:szCs w:val="20"/>
              </w:rPr>
            </w:pPr>
            <w:r>
              <w:rPr>
                <w:rFonts w:eastAsia="Times New Roman"/>
                <w:sz w:val="20"/>
                <w:szCs w:val="20"/>
              </w:rPr>
              <w:t>(519,318</w:t>
            </w:r>
          </w:p>
        </w:tc>
        <w:tc>
          <w:tcPr>
            <w:tcW w:w="0" w:type="auto"/>
            <w:shd w:val="clear" w:color="auto" w:fill="FFFFFF"/>
            <w:tcMar>
              <w:top w:w="0" w:type="dxa"/>
              <w:left w:w="0" w:type="dxa"/>
              <w:bottom w:w="50" w:type="dxa"/>
              <w:right w:w="0" w:type="dxa"/>
            </w:tcMar>
            <w:vAlign w:val="bottom"/>
            <w:hideMark/>
          </w:tcPr>
          <w:p w14:paraId="6CD4D56A"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C0C3E2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CB9B86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BE558BC" w14:textId="77777777" w:rsidR="00000000" w:rsidRDefault="00D6065B">
            <w:pPr>
              <w:jc w:val="right"/>
              <w:rPr>
                <w:rFonts w:eastAsia="Times New Roman"/>
                <w:sz w:val="20"/>
                <w:szCs w:val="20"/>
              </w:rPr>
            </w:pPr>
            <w:r>
              <w:rPr>
                <w:rFonts w:eastAsia="Times New Roman"/>
                <w:sz w:val="20"/>
                <w:szCs w:val="20"/>
              </w:rPr>
              <w:t>(1,860,187</w:t>
            </w:r>
          </w:p>
        </w:tc>
        <w:tc>
          <w:tcPr>
            <w:tcW w:w="0" w:type="auto"/>
            <w:shd w:val="clear" w:color="auto" w:fill="FFFFFF"/>
            <w:tcMar>
              <w:top w:w="0" w:type="dxa"/>
              <w:left w:w="0" w:type="dxa"/>
              <w:bottom w:w="50" w:type="dxa"/>
              <w:right w:w="0" w:type="dxa"/>
            </w:tcMar>
            <w:vAlign w:val="bottom"/>
            <w:hideMark/>
          </w:tcPr>
          <w:p w14:paraId="6889F90A"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023DF2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35CCC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9FE3C7E" w14:textId="77777777" w:rsidR="00000000" w:rsidRDefault="00D6065B">
            <w:pPr>
              <w:jc w:val="right"/>
              <w:rPr>
                <w:rFonts w:eastAsia="Times New Roman"/>
                <w:sz w:val="20"/>
                <w:szCs w:val="20"/>
              </w:rPr>
            </w:pPr>
            <w:r>
              <w:rPr>
                <w:rFonts w:eastAsia="Times New Roman"/>
                <w:sz w:val="20"/>
                <w:szCs w:val="20"/>
              </w:rPr>
              <w:t>(159,087</w:t>
            </w:r>
          </w:p>
        </w:tc>
        <w:tc>
          <w:tcPr>
            <w:tcW w:w="0" w:type="auto"/>
            <w:shd w:val="clear" w:color="auto" w:fill="FFFFFF"/>
            <w:tcMar>
              <w:top w:w="0" w:type="dxa"/>
              <w:left w:w="0" w:type="dxa"/>
              <w:bottom w:w="50" w:type="dxa"/>
              <w:right w:w="0" w:type="dxa"/>
            </w:tcMar>
            <w:vAlign w:val="bottom"/>
            <w:hideMark/>
          </w:tcPr>
          <w:p w14:paraId="5963A92E" w14:textId="77777777" w:rsidR="00000000" w:rsidRDefault="00D6065B">
            <w:pPr>
              <w:rPr>
                <w:rFonts w:eastAsia="Times New Roman"/>
                <w:sz w:val="20"/>
                <w:szCs w:val="20"/>
              </w:rPr>
            </w:pPr>
            <w:r>
              <w:rPr>
                <w:rFonts w:eastAsia="Times New Roman"/>
                <w:sz w:val="20"/>
                <w:szCs w:val="20"/>
              </w:rPr>
              <w:t>)</w:t>
            </w:r>
          </w:p>
        </w:tc>
      </w:tr>
      <w:tr w:rsidR="00000000" w14:paraId="473EF356" w14:textId="77777777">
        <w:tc>
          <w:tcPr>
            <w:tcW w:w="0" w:type="auto"/>
            <w:shd w:val="clear" w:color="auto" w:fill="CCEEFF"/>
            <w:vAlign w:val="bottom"/>
            <w:hideMark/>
          </w:tcPr>
          <w:p w14:paraId="3A753F2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04E4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F162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2E36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9C1BC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25DE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98B7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8033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9004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00496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D67D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6429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460C6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577C7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E333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FFDA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C83CC3C" w14:textId="77777777" w:rsidR="00000000" w:rsidRDefault="00D6065B">
            <w:pPr>
              <w:rPr>
                <w:rFonts w:eastAsia="Times New Roman"/>
                <w:sz w:val="20"/>
                <w:szCs w:val="20"/>
              </w:rPr>
            </w:pPr>
            <w:r>
              <w:rPr>
                <w:rFonts w:eastAsia="Times New Roman"/>
                <w:sz w:val="20"/>
                <w:szCs w:val="20"/>
              </w:rPr>
              <w:t> </w:t>
            </w:r>
          </w:p>
        </w:tc>
      </w:tr>
      <w:tr w:rsidR="00000000" w14:paraId="07AC12F5" w14:textId="77777777">
        <w:tc>
          <w:tcPr>
            <w:tcW w:w="0" w:type="auto"/>
            <w:shd w:val="clear" w:color="auto" w:fill="FFFFFF"/>
            <w:tcMar>
              <w:top w:w="0" w:type="dxa"/>
              <w:left w:w="0" w:type="dxa"/>
              <w:bottom w:w="50" w:type="dxa"/>
              <w:right w:w="0" w:type="dxa"/>
            </w:tcMar>
            <w:vAlign w:val="bottom"/>
            <w:hideMark/>
          </w:tcPr>
          <w:p w14:paraId="550A0667" w14:textId="77777777" w:rsidR="00000000" w:rsidRDefault="00D6065B">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14:paraId="7CA4874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EE714F9"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21C6E4D" w14:textId="77777777" w:rsidR="00000000" w:rsidRDefault="00D6065B">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14:paraId="67C02B47"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249428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8AC315"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96AEEBE" w14:textId="77777777" w:rsidR="00000000" w:rsidRDefault="00D6065B">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4655E15D"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7B38DA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E4EADA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B684238" w14:textId="77777777" w:rsidR="00000000" w:rsidRDefault="00D6065B">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14:paraId="49C14FDC"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8218BE2"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001239"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FC80C97" w14:textId="77777777" w:rsidR="00000000" w:rsidRDefault="00D6065B">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4897EEAC" w14:textId="77777777" w:rsidR="00000000" w:rsidRDefault="00D6065B">
            <w:pPr>
              <w:rPr>
                <w:rFonts w:eastAsia="Times New Roman"/>
                <w:sz w:val="20"/>
                <w:szCs w:val="20"/>
              </w:rPr>
            </w:pPr>
            <w:r>
              <w:rPr>
                <w:rFonts w:eastAsia="Times New Roman"/>
                <w:sz w:val="20"/>
                <w:szCs w:val="20"/>
              </w:rPr>
              <w:t>)</w:t>
            </w:r>
          </w:p>
        </w:tc>
      </w:tr>
      <w:tr w:rsidR="00000000" w14:paraId="271F0B56" w14:textId="77777777">
        <w:tc>
          <w:tcPr>
            <w:tcW w:w="0" w:type="auto"/>
            <w:shd w:val="clear" w:color="auto" w:fill="CCEEFF"/>
            <w:vAlign w:val="bottom"/>
            <w:hideMark/>
          </w:tcPr>
          <w:p w14:paraId="6F5FE5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9BDF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96A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811D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81D10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DDF6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039A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171B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9491C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A96A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35B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77F1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C2AE7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C6F7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3CE67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36DC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783F3E" w14:textId="77777777" w:rsidR="00000000" w:rsidRDefault="00D6065B">
            <w:pPr>
              <w:rPr>
                <w:rFonts w:eastAsia="Times New Roman"/>
                <w:sz w:val="20"/>
                <w:szCs w:val="20"/>
              </w:rPr>
            </w:pPr>
            <w:r>
              <w:rPr>
                <w:rFonts w:eastAsia="Times New Roman"/>
                <w:sz w:val="20"/>
                <w:szCs w:val="20"/>
              </w:rPr>
              <w:t> </w:t>
            </w:r>
          </w:p>
        </w:tc>
      </w:tr>
      <w:tr w:rsidR="00000000" w14:paraId="748F9C63" w14:textId="77777777">
        <w:tc>
          <w:tcPr>
            <w:tcW w:w="0" w:type="auto"/>
            <w:shd w:val="clear" w:color="auto" w:fill="FFFFFF"/>
            <w:tcMar>
              <w:top w:w="0" w:type="dxa"/>
              <w:left w:w="0" w:type="dxa"/>
              <w:bottom w:w="50" w:type="dxa"/>
              <w:right w:w="0" w:type="dxa"/>
            </w:tcMar>
            <w:vAlign w:val="bottom"/>
            <w:hideMark/>
          </w:tcPr>
          <w:p w14:paraId="6D02A59A" w14:textId="77777777" w:rsidR="00000000" w:rsidRDefault="00D6065B">
            <w:pPr>
              <w:rPr>
                <w:rFonts w:eastAsia="Times New Roman"/>
                <w:b/>
                <w:bCs/>
                <w:sz w:val="20"/>
                <w:szCs w:val="20"/>
              </w:rPr>
            </w:pPr>
            <w:r>
              <w:rPr>
                <w:rFonts w:eastAsia="Times New Roman"/>
                <w:b/>
                <w:bCs/>
                <w:sz w:val="20"/>
                <w:szCs w:val="20"/>
              </w:rPr>
              <w:t>Weighted average common shares outstanding – basic and diluted</w:t>
            </w:r>
          </w:p>
        </w:tc>
        <w:tc>
          <w:tcPr>
            <w:tcW w:w="0" w:type="auto"/>
            <w:shd w:val="clear" w:color="auto" w:fill="FFFFFF"/>
            <w:tcMar>
              <w:top w:w="0" w:type="dxa"/>
              <w:left w:w="0" w:type="dxa"/>
              <w:bottom w:w="50" w:type="dxa"/>
              <w:right w:w="0" w:type="dxa"/>
            </w:tcMar>
            <w:vAlign w:val="bottom"/>
            <w:hideMark/>
          </w:tcPr>
          <w:p w14:paraId="1997EA1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3FCA34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1212EC" w14:textId="77777777" w:rsidR="00000000" w:rsidRDefault="00D6065B">
            <w:pPr>
              <w:jc w:val="right"/>
              <w:rPr>
                <w:rFonts w:eastAsia="Times New Roman"/>
                <w:sz w:val="20"/>
                <w:szCs w:val="20"/>
              </w:rPr>
            </w:pPr>
            <w:r>
              <w:rPr>
                <w:rFonts w:eastAsia="Times New Roman"/>
                <w:sz w:val="20"/>
                <w:szCs w:val="20"/>
              </w:rPr>
              <w:t>314,454,422</w:t>
            </w:r>
          </w:p>
        </w:tc>
        <w:tc>
          <w:tcPr>
            <w:tcW w:w="0" w:type="auto"/>
            <w:shd w:val="clear" w:color="auto" w:fill="FFFFFF"/>
            <w:tcMar>
              <w:top w:w="0" w:type="dxa"/>
              <w:left w:w="0" w:type="dxa"/>
              <w:bottom w:w="50" w:type="dxa"/>
              <w:right w:w="0" w:type="dxa"/>
            </w:tcMar>
            <w:vAlign w:val="bottom"/>
            <w:hideMark/>
          </w:tcPr>
          <w:p w14:paraId="566CC01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51178A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A4ECA7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BA976B" w14:textId="77777777" w:rsidR="00000000" w:rsidRDefault="00D6065B">
            <w:pPr>
              <w:jc w:val="right"/>
              <w:rPr>
                <w:rFonts w:eastAsia="Times New Roman"/>
                <w:sz w:val="20"/>
                <w:szCs w:val="20"/>
              </w:rPr>
            </w:pPr>
            <w:r>
              <w:rPr>
                <w:rFonts w:eastAsia="Times New Roman"/>
                <w:sz w:val="20"/>
                <w:szCs w:val="20"/>
              </w:rPr>
              <w:t>169,693,285</w:t>
            </w:r>
          </w:p>
        </w:tc>
        <w:tc>
          <w:tcPr>
            <w:tcW w:w="0" w:type="auto"/>
            <w:shd w:val="clear" w:color="auto" w:fill="FFFFFF"/>
            <w:tcMar>
              <w:top w:w="0" w:type="dxa"/>
              <w:left w:w="0" w:type="dxa"/>
              <w:bottom w:w="50" w:type="dxa"/>
              <w:right w:w="0" w:type="dxa"/>
            </w:tcMar>
            <w:vAlign w:val="bottom"/>
            <w:hideMark/>
          </w:tcPr>
          <w:p w14:paraId="304FA95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B1FE3F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1795C8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7DEE913" w14:textId="77777777" w:rsidR="00000000" w:rsidRDefault="00D6065B">
            <w:pPr>
              <w:jc w:val="right"/>
              <w:rPr>
                <w:rFonts w:eastAsia="Times New Roman"/>
                <w:sz w:val="20"/>
                <w:szCs w:val="20"/>
              </w:rPr>
            </w:pPr>
            <w:r>
              <w:rPr>
                <w:rFonts w:eastAsia="Times New Roman"/>
                <w:sz w:val="20"/>
                <w:szCs w:val="20"/>
              </w:rPr>
              <w:t>328,215,562</w:t>
            </w:r>
          </w:p>
        </w:tc>
        <w:tc>
          <w:tcPr>
            <w:tcW w:w="0" w:type="auto"/>
            <w:shd w:val="clear" w:color="auto" w:fill="FFFFFF"/>
            <w:tcMar>
              <w:top w:w="0" w:type="dxa"/>
              <w:left w:w="0" w:type="dxa"/>
              <w:bottom w:w="50" w:type="dxa"/>
              <w:right w:w="0" w:type="dxa"/>
            </w:tcMar>
            <w:vAlign w:val="bottom"/>
            <w:hideMark/>
          </w:tcPr>
          <w:p w14:paraId="3DA075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FD391D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8E953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FF039F" w14:textId="77777777" w:rsidR="00000000" w:rsidRDefault="00D6065B">
            <w:pPr>
              <w:jc w:val="right"/>
              <w:rPr>
                <w:rFonts w:eastAsia="Times New Roman"/>
                <w:sz w:val="20"/>
                <w:szCs w:val="20"/>
              </w:rPr>
            </w:pPr>
            <w:r>
              <w:rPr>
                <w:rFonts w:eastAsia="Times New Roman"/>
                <w:sz w:val="20"/>
                <w:szCs w:val="20"/>
              </w:rPr>
              <w:t>173,196,401</w:t>
            </w:r>
          </w:p>
        </w:tc>
        <w:tc>
          <w:tcPr>
            <w:tcW w:w="0" w:type="auto"/>
            <w:shd w:val="clear" w:color="auto" w:fill="FFFFFF"/>
            <w:tcMar>
              <w:top w:w="0" w:type="dxa"/>
              <w:left w:w="0" w:type="dxa"/>
              <w:bottom w:w="50" w:type="dxa"/>
              <w:right w:w="0" w:type="dxa"/>
            </w:tcMar>
            <w:vAlign w:val="bottom"/>
            <w:hideMark/>
          </w:tcPr>
          <w:p w14:paraId="7C3ABDC8" w14:textId="77777777" w:rsidR="00000000" w:rsidRDefault="00D6065B">
            <w:pPr>
              <w:rPr>
                <w:rFonts w:eastAsia="Times New Roman"/>
                <w:sz w:val="20"/>
                <w:szCs w:val="20"/>
              </w:rPr>
            </w:pPr>
            <w:r>
              <w:rPr>
                <w:rFonts w:eastAsia="Times New Roman"/>
                <w:sz w:val="20"/>
                <w:szCs w:val="20"/>
              </w:rPr>
              <w:t> </w:t>
            </w:r>
          </w:p>
        </w:tc>
      </w:tr>
    </w:tbl>
    <w:p w14:paraId="446F702F" w14:textId="77777777" w:rsidR="00000000" w:rsidRDefault="00D6065B">
      <w:pPr>
        <w:pStyle w:val="a3"/>
        <w:spacing w:before="0" w:beforeAutospacing="0" w:after="0" w:afterAutospacing="0"/>
        <w:jc w:val="center"/>
        <w:rPr>
          <w:sz w:val="20"/>
          <w:szCs w:val="20"/>
        </w:rPr>
      </w:pPr>
      <w:r>
        <w:rPr>
          <w:sz w:val="20"/>
          <w:szCs w:val="20"/>
        </w:rPr>
        <w:t> </w:t>
      </w:r>
    </w:p>
    <w:p w14:paraId="022F9C69" w14:textId="77777777" w:rsidR="00000000" w:rsidRDefault="00D6065B">
      <w:pPr>
        <w:pStyle w:val="a3"/>
        <w:spacing w:before="0" w:beforeAutospacing="0" w:after="0" w:afterAutospacing="0"/>
        <w:jc w:val="center"/>
        <w:rPr>
          <w:sz w:val="20"/>
          <w:szCs w:val="20"/>
        </w:rPr>
      </w:pPr>
      <w:r>
        <w:rPr>
          <w:sz w:val="20"/>
          <w:szCs w:val="20"/>
        </w:rPr>
        <w:t>The accompanying notes are an integral part of these financial statements.</w:t>
      </w:r>
    </w:p>
    <w:p w14:paraId="779019BE"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1F5F74" w14:textId="77777777">
        <w:trPr>
          <w:divId w:val="903637234"/>
        </w:trPr>
        <w:tc>
          <w:tcPr>
            <w:tcW w:w="5000" w:type="pct"/>
            <w:hideMark/>
          </w:tcPr>
          <w:p w14:paraId="6E3897AB" w14:textId="77777777" w:rsidR="00000000" w:rsidRDefault="00D6065B">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7C36A895" w14:textId="77777777">
        <w:tc>
          <w:tcPr>
            <w:tcW w:w="5000" w:type="pct"/>
            <w:hideMark/>
          </w:tcPr>
          <w:p w14:paraId="2A9DA103" w14:textId="77777777" w:rsidR="00000000" w:rsidRDefault="00D6065B">
            <w:pPr>
              <w:jc w:val="center"/>
              <w:rPr>
                <w:rFonts w:eastAsia="Times New Roman"/>
                <w:sz w:val="20"/>
                <w:szCs w:val="20"/>
              </w:rPr>
            </w:pPr>
            <w:r>
              <w:rPr>
                <w:rFonts w:eastAsia="Times New Roman"/>
                <w:sz w:val="20"/>
                <w:szCs w:val="20"/>
              </w:rPr>
              <w:t> </w:t>
            </w:r>
          </w:p>
        </w:tc>
      </w:tr>
    </w:tbl>
    <w:p w14:paraId="57EE5AAF" w14:textId="77777777" w:rsidR="00000000" w:rsidRDefault="00D6065B">
      <w:pPr>
        <w:pStyle w:val="a3"/>
        <w:spacing w:before="0" w:beforeAutospacing="0" w:after="0" w:afterAutospacing="0"/>
        <w:jc w:val="center"/>
        <w:rPr>
          <w:sz w:val="20"/>
          <w:szCs w:val="20"/>
        </w:rPr>
      </w:pPr>
      <w:r>
        <w:rPr>
          <w:sz w:val="20"/>
          <w:szCs w:val="20"/>
        </w:rPr>
        <w:t> </w:t>
      </w:r>
    </w:p>
    <w:p w14:paraId="6E19BD78" w14:textId="77777777" w:rsidR="00000000" w:rsidRDefault="00D6065B">
      <w:pPr>
        <w:pStyle w:val="a3"/>
        <w:spacing w:before="0" w:beforeAutospacing="0" w:after="0" w:afterAutospacing="0"/>
        <w:jc w:val="center"/>
        <w:rPr>
          <w:b/>
          <w:bCs/>
          <w:sz w:val="20"/>
          <w:szCs w:val="20"/>
        </w:rPr>
      </w:pPr>
      <w:r>
        <w:rPr>
          <w:b/>
          <w:bCs/>
          <w:sz w:val="20"/>
          <w:szCs w:val="20"/>
        </w:rPr>
        <w:t>VIVOS INC</w:t>
      </w:r>
    </w:p>
    <w:p w14:paraId="6C8692E3" w14:textId="77777777" w:rsidR="00000000" w:rsidRDefault="00D6065B">
      <w:pPr>
        <w:pStyle w:val="a3"/>
        <w:spacing w:before="0" w:beforeAutospacing="0" w:after="0" w:afterAutospacing="0"/>
        <w:jc w:val="center"/>
        <w:rPr>
          <w:b/>
          <w:bCs/>
          <w:sz w:val="20"/>
          <w:szCs w:val="20"/>
        </w:rPr>
      </w:pPr>
      <w:r>
        <w:rPr>
          <w:b/>
          <w:bCs/>
          <w:sz w:val="20"/>
          <w:szCs w:val="20"/>
        </w:rPr>
        <w:t>CONDENSED STATEMENT OF CHANGES IN  STOCKHOLDERS’ EQUITY (DEFICIT) (UNAUDITED)</w:t>
      </w:r>
    </w:p>
    <w:p w14:paraId="01BDF6B2" w14:textId="77777777" w:rsidR="00000000" w:rsidRDefault="00D6065B">
      <w:pPr>
        <w:pStyle w:val="a3"/>
        <w:spacing w:before="0" w:beforeAutospacing="0" w:after="0" w:afterAutospacing="0"/>
        <w:jc w:val="center"/>
        <w:rPr>
          <w:b/>
          <w:bCs/>
          <w:sz w:val="20"/>
          <w:szCs w:val="20"/>
        </w:rPr>
      </w:pPr>
      <w:r>
        <w:rPr>
          <w:b/>
          <w:bCs/>
          <w:sz w:val="20"/>
          <w:szCs w:val="20"/>
        </w:rPr>
        <w:t xml:space="preserve">FOR THE SIX MONTHS </w:t>
      </w:r>
      <w:r>
        <w:rPr>
          <w:b/>
          <w:bCs/>
          <w:sz w:val="20"/>
          <w:szCs w:val="20"/>
        </w:rPr>
        <w:t>ENDED JUNE 30, 2021 AND 2020</w:t>
      </w:r>
    </w:p>
    <w:p w14:paraId="6FADB140"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 of Changes in  Stockholders&amp;apos; Equity (Deficit) (Unaudited)"/>
      </w:tblPr>
      <w:tblGrid>
        <w:gridCol w:w="1729"/>
        <w:gridCol w:w="40"/>
        <w:gridCol w:w="40"/>
        <w:gridCol w:w="640"/>
        <w:gridCol w:w="54"/>
        <w:gridCol w:w="40"/>
        <w:gridCol w:w="187"/>
        <w:gridCol w:w="374"/>
        <w:gridCol w:w="54"/>
        <w:gridCol w:w="40"/>
        <w:gridCol w:w="244"/>
        <w:gridCol w:w="640"/>
        <w:gridCol w:w="54"/>
        <w:gridCol w:w="40"/>
        <w:gridCol w:w="40"/>
        <w:gridCol w:w="640"/>
        <w:gridCol w:w="54"/>
        <w:gridCol w:w="40"/>
        <w:gridCol w:w="187"/>
        <w:gridCol w:w="374"/>
        <w:gridCol w:w="54"/>
        <w:gridCol w:w="40"/>
        <w:gridCol w:w="244"/>
        <w:gridCol w:w="520"/>
        <w:gridCol w:w="54"/>
        <w:gridCol w:w="40"/>
        <w:gridCol w:w="40"/>
        <w:gridCol w:w="574"/>
        <w:gridCol w:w="54"/>
        <w:gridCol w:w="40"/>
        <w:gridCol w:w="187"/>
        <w:gridCol w:w="374"/>
        <w:gridCol w:w="54"/>
        <w:gridCol w:w="40"/>
        <w:gridCol w:w="244"/>
        <w:gridCol w:w="574"/>
        <w:gridCol w:w="54"/>
        <w:gridCol w:w="40"/>
        <w:gridCol w:w="40"/>
        <w:gridCol w:w="800"/>
        <w:gridCol w:w="54"/>
        <w:gridCol w:w="40"/>
        <w:gridCol w:w="80"/>
        <w:gridCol w:w="520"/>
        <w:gridCol w:w="40"/>
        <w:gridCol w:w="40"/>
        <w:gridCol w:w="80"/>
        <w:gridCol w:w="720"/>
        <w:gridCol w:w="54"/>
        <w:gridCol w:w="40"/>
        <w:gridCol w:w="309"/>
        <w:gridCol w:w="616"/>
        <w:gridCol w:w="94"/>
        <w:gridCol w:w="40"/>
        <w:gridCol w:w="303"/>
        <w:gridCol w:w="774"/>
        <w:gridCol w:w="94"/>
        <w:gridCol w:w="40"/>
        <w:gridCol w:w="80"/>
        <w:gridCol w:w="694"/>
        <w:gridCol w:w="54"/>
      </w:tblGrid>
      <w:tr w:rsidR="00000000" w14:paraId="39DD8B06" w14:textId="77777777">
        <w:trPr>
          <w:hidden/>
        </w:trPr>
        <w:tc>
          <w:tcPr>
            <w:tcW w:w="0" w:type="auto"/>
            <w:vAlign w:val="bottom"/>
            <w:hideMark/>
          </w:tcPr>
          <w:p w14:paraId="7575D2F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tcMar>
              <w:top w:w="0" w:type="dxa"/>
              <w:left w:w="0" w:type="dxa"/>
              <w:bottom w:w="30" w:type="dxa"/>
              <w:right w:w="0" w:type="dxa"/>
            </w:tcMar>
            <w:vAlign w:val="bottom"/>
            <w:hideMark/>
          </w:tcPr>
          <w:p w14:paraId="442C5D0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74F987AB" w14:textId="77777777" w:rsidR="00000000" w:rsidRDefault="00D6065B">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14:paraId="23D698D1"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7AB160C4"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01DA2D0D" w14:textId="77777777" w:rsidR="00000000" w:rsidRDefault="00D6065B">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14:paraId="29FF0A4A"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383A8610"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3835E1BD" w14:textId="77777777" w:rsidR="00000000" w:rsidRDefault="00D6065B">
            <w:pPr>
              <w:jc w:val="center"/>
              <w:rPr>
                <w:rFonts w:eastAsia="Times New Roman"/>
                <w:b/>
                <w:bCs/>
                <w:vanish/>
                <w:sz w:val="16"/>
                <w:szCs w:val="16"/>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14:paraId="0621E5E8"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5D7DAB61"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3924879F" w14:textId="77777777" w:rsidR="00000000" w:rsidRDefault="00D6065B">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14:paraId="4973C15E"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78CE0E7C"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140E9500" w14:textId="77777777" w:rsidR="00000000" w:rsidRDefault="00D6065B">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14:paraId="0E76CE7C"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7EDC285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5F045B69" w14:textId="77777777" w:rsidR="00000000" w:rsidRDefault="00D6065B">
            <w:pPr>
              <w:jc w:val="center"/>
              <w:rPr>
                <w:rFonts w:eastAsia="Times New Roman"/>
                <w:b/>
                <w:bCs/>
                <w:vanish/>
                <w:sz w:val="16"/>
                <w:szCs w:val="16"/>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14:paraId="4533A1D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68D46EA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38A5C353" w14:textId="77777777" w:rsidR="00000000" w:rsidRDefault="00D6065B">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14:paraId="4A432C01"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0DFC0EF0"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19D5C83C" w14:textId="77777777" w:rsidR="00000000" w:rsidRDefault="00D6065B">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14:paraId="396F5E5E"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00841B50"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67187366" w14:textId="77777777" w:rsidR="00000000" w:rsidRDefault="00D6065B">
            <w:pPr>
              <w:jc w:val="center"/>
              <w:rPr>
                <w:rFonts w:eastAsia="Times New Roman"/>
                <w:b/>
                <w:bCs/>
                <w:vanish/>
                <w:sz w:val="16"/>
                <w:szCs w:val="16"/>
              </w:rPr>
            </w:pPr>
            <w:r>
              <w:rPr>
                <w:rFonts w:eastAsia="Times New Roman"/>
                <w:b/>
                <w:bCs/>
                <w:vanish/>
                <w:sz w:val="16"/>
                <w:szCs w:val="16"/>
              </w:rPr>
              <w:t>Preferred</w:t>
            </w:r>
          </w:p>
        </w:tc>
        <w:tc>
          <w:tcPr>
            <w:tcW w:w="0" w:type="auto"/>
            <w:tcMar>
              <w:top w:w="0" w:type="dxa"/>
              <w:left w:w="0" w:type="dxa"/>
              <w:bottom w:w="30" w:type="dxa"/>
              <w:right w:w="0" w:type="dxa"/>
            </w:tcMar>
            <w:vAlign w:val="bottom"/>
            <w:hideMark/>
          </w:tcPr>
          <w:p w14:paraId="300FF7C2"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6FA09B6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7F7694A8" w14:textId="77777777" w:rsidR="00000000" w:rsidRDefault="00D6065B">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14:paraId="0331F3EF"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2E67D7E4"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60D204EB" w14:textId="77777777" w:rsidR="00000000" w:rsidRDefault="00D6065B">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14:paraId="741399F6"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2F067678"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25FB9610" w14:textId="77777777" w:rsidR="00000000" w:rsidRDefault="00D6065B">
            <w:pPr>
              <w:jc w:val="center"/>
              <w:rPr>
                <w:rFonts w:eastAsia="Times New Roman"/>
                <w:b/>
                <w:bCs/>
                <w:vanish/>
                <w:sz w:val="16"/>
                <w:szCs w:val="16"/>
              </w:rPr>
            </w:pPr>
            <w:r>
              <w:rPr>
                <w:rFonts w:eastAsia="Times New Roman"/>
                <w:b/>
                <w:bCs/>
                <w:vanish/>
                <w:sz w:val="16"/>
                <w:szCs w:val="16"/>
              </w:rPr>
              <w:t>Common</w:t>
            </w:r>
          </w:p>
        </w:tc>
        <w:tc>
          <w:tcPr>
            <w:tcW w:w="0" w:type="auto"/>
            <w:tcMar>
              <w:top w:w="0" w:type="dxa"/>
              <w:left w:w="0" w:type="dxa"/>
              <w:bottom w:w="30" w:type="dxa"/>
              <w:right w:w="0" w:type="dxa"/>
            </w:tcMar>
            <w:vAlign w:val="bottom"/>
            <w:hideMark/>
          </w:tcPr>
          <w:p w14:paraId="3FB8ADB1"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2AEC3CE3"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43E8A549" w14:textId="77777777" w:rsidR="00000000" w:rsidRDefault="00D6065B">
            <w:pPr>
              <w:jc w:val="center"/>
              <w:rPr>
                <w:rFonts w:eastAsia="Times New Roman"/>
                <w:b/>
                <w:bCs/>
                <w:vanish/>
                <w:sz w:val="16"/>
                <w:szCs w:val="16"/>
              </w:rPr>
            </w:pPr>
            <w:r>
              <w:rPr>
                <w:rFonts w:eastAsia="Times New Roman"/>
                <w:b/>
                <w:bCs/>
                <w:vanish/>
                <w:sz w:val="16"/>
                <w:szCs w:val="16"/>
              </w:rPr>
              <w:t>Issued</w:t>
            </w:r>
          </w:p>
        </w:tc>
        <w:tc>
          <w:tcPr>
            <w:tcW w:w="0" w:type="auto"/>
            <w:tcMar>
              <w:top w:w="0" w:type="dxa"/>
              <w:left w:w="0" w:type="dxa"/>
              <w:bottom w:w="30" w:type="dxa"/>
              <w:right w:w="0" w:type="dxa"/>
            </w:tcMar>
            <w:vAlign w:val="bottom"/>
            <w:hideMark/>
          </w:tcPr>
          <w:p w14:paraId="4F19ACAC"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27022372"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1816818A" w14:textId="77777777" w:rsidR="00000000" w:rsidRDefault="00D6065B">
            <w:pPr>
              <w:jc w:val="center"/>
              <w:rPr>
                <w:rFonts w:eastAsia="Times New Roman"/>
                <w:b/>
                <w:bCs/>
                <w:vanish/>
                <w:sz w:val="16"/>
                <w:szCs w:val="16"/>
              </w:rPr>
            </w:pPr>
            <w:r>
              <w:rPr>
                <w:rFonts w:eastAsia="Times New Roman"/>
                <w:b/>
                <w:bCs/>
                <w:vanish/>
                <w:sz w:val="16"/>
                <w:szCs w:val="16"/>
              </w:rPr>
              <w:t>Deficit</w:t>
            </w:r>
          </w:p>
        </w:tc>
        <w:tc>
          <w:tcPr>
            <w:tcW w:w="0" w:type="auto"/>
            <w:tcMar>
              <w:top w:w="0" w:type="dxa"/>
              <w:left w:w="0" w:type="dxa"/>
              <w:bottom w:w="30" w:type="dxa"/>
              <w:right w:w="0" w:type="dxa"/>
            </w:tcMar>
            <w:vAlign w:val="bottom"/>
            <w:hideMark/>
          </w:tcPr>
          <w:p w14:paraId="32745CA8"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14:paraId="3513647C" w14:textId="77777777" w:rsidR="00000000" w:rsidRDefault="00D6065B">
            <w:pP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14:paraId="4402BF84" w14:textId="77777777" w:rsidR="00000000" w:rsidRDefault="00D6065B">
            <w:pPr>
              <w:jc w:val="center"/>
              <w:rPr>
                <w:rFonts w:eastAsia="Times New Roman"/>
                <w:b/>
                <w:bCs/>
                <w:vanish/>
                <w:sz w:val="16"/>
                <w:szCs w:val="16"/>
              </w:rPr>
            </w:pPr>
            <w:r>
              <w:rPr>
                <w:rFonts w:eastAsia="Times New Roman"/>
                <w:b/>
                <w:bCs/>
                <w:vanish/>
                <w:sz w:val="16"/>
                <w:szCs w:val="16"/>
              </w:rPr>
              <w:t>Total</w:t>
            </w:r>
          </w:p>
        </w:tc>
        <w:tc>
          <w:tcPr>
            <w:tcW w:w="0" w:type="auto"/>
            <w:tcMar>
              <w:top w:w="0" w:type="dxa"/>
              <w:left w:w="0" w:type="dxa"/>
              <w:bottom w:w="30" w:type="dxa"/>
              <w:right w:w="0" w:type="dxa"/>
            </w:tcMar>
            <w:vAlign w:val="bottom"/>
            <w:hideMark/>
          </w:tcPr>
          <w:p w14:paraId="3879F5F5" w14:textId="77777777" w:rsidR="00000000" w:rsidRDefault="00D6065B">
            <w:pPr>
              <w:rPr>
                <w:rFonts w:eastAsia="Times New Roman"/>
                <w:b/>
                <w:bCs/>
                <w:vanish/>
                <w:sz w:val="16"/>
                <w:szCs w:val="16"/>
              </w:rPr>
            </w:pPr>
            <w:r>
              <w:rPr>
                <w:rFonts w:eastAsia="Times New Roman"/>
                <w:b/>
                <w:bCs/>
                <w:vanish/>
                <w:sz w:val="16"/>
                <w:szCs w:val="16"/>
              </w:rPr>
              <w:t> </w:t>
            </w:r>
          </w:p>
        </w:tc>
      </w:tr>
      <w:tr w:rsidR="00000000" w14:paraId="214B903E" w14:textId="77777777">
        <w:tc>
          <w:tcPr>
            <w:tcW w:w="0" w:type="auto"/>
            <w:vAlign w:val="bottom"/>
            <w:hideMark/>
          </w:tcPr>
          <w:p w14:paraId="032B48EA"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E98E36B"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3A59525F"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FB9D07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67F49C8"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3C3E74B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4310825F"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B6653F2"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4FAF5829" w14:textId="77777777" w:rsidR="00000000" w:rsidRDefault="00D6065B">
            <w:pPr>
              <w:jc w:val="center"/>
              <w:rPr>
                <w:rFonts w:eastAsia="Times New Roman"/>
                <w:b/>
                <w:bCs/>
                <w:sz w:val="16"/>
                <w:szCs w:val="16"/>
              </w:rPr>
            </w:pPr>
            <w:r>
              <w:rPr>
                <w:rFonts w:eastAsia="Times New Roman"/>
                <w:b/>
                <w:bCs/>
                <w:sz w:val="16"/>
                <w:szCs w:val="16"/>
              </w:rPr>
              <w:t>Additional</w:t>
            </w:r>
          </w:p>
        </w:tc>
        <w:tc>
          <w:tcPr>
            <w:tcW w:w="0" w:type="auto"/>
            <w:vAlign w:val="bottom"/>
            <w:hideMark/>
          </w:tcPr>
          <w:p w14:paraId="14D5F071"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E75E6D4"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3C2553AB"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F079C50"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204970E"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6523E6CD"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D5A23D6"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61D88A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66106C8C" w14:textId="77777777" w:rsidR="00000000" w:rsidRDefault="00D6065B">
            <w:pPr>
              <w:jc w:val="center"/>
              <w:rPr>
                <w:rFonts w:eastAsia="Times New Roman"/>
                <w:b/>
                <w:bCs/>
                <w:sz w:val="16"/>
                <w:szCs w:val="16"/>
              </w:rPr>
            </w:pPr>
            <w:r>
              <w:rPr>
                <w:rFonts w:eastAsia="Times New Roman"/>
                <w:b/>
                <w:bCs/>
                <w:sz w:val="16"/>
                <w:szCs w:val="16"/>
              </w:rPr>
              <w:t>Additional</w:t>
            </w:r>
          </w:p>
        </w:tc>
        <w:tc>
          <w:tcPr>
            <w:tcW w:w="0" w:type="auto"/>
            <w:vAlign w:val="bottom"/>
            <w:hideMark/>
          </w:tcPr>
          <w:p w14:paraId="1F2116B2"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3706A5A"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1AACE7AC"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6407751"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22E435B"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63DAC74F"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B1D05F4"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37A3CD5"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37C6D08" w14:textId="77777777" w:rsidR="00000000" w:rsidRDefault="00D6065B">
            <w:pPr>
              <w:jc w:val="center"/>
              <w:rPr>
                <w:rFonts w:eastAsia="Times New Roman"/>
                <w:b/>
                <w:bCs/>
                <w:sz w:val="16"/>
                <w:szCs w:val="16"/>
              </w:rPr>
            </w:pPr>
            <w:r>
              <w:rPr>
                <w:rFonts w:eastAsia="Times New Roman"/>
                <w:b/>
                <w:bCs/>
                <w:sz w:val="16"/>
                <w:szCs w:val="16"/>
              </w:rPr>
              <w:t>Additional</w:t>
            </w:r>
          </w:p>
        </w:tc>
        <w:tc>
          <w:tcPr>
            <w:tcW w:w="0" w:type="auto"/>
            <w:vAlign w:val="bottom"/>
            <w:hideMark/>
          </w:tcPr>
          <w:p w14:paraId="576F817B"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BC720A6"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513C7FC2"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18FE0E45"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57629E8"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1329602"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CB16D59"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DBC9FAA"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184601CF" w14:textId="77777777" w:rsidR="00000000" w:rsidRDefault="00D6065B">
            <w:pPr>
              <w:rPr>
                <w:rFonts w:eastAsia="Times New Roman"/>
                <w:b/>
                <w:bCs/>
                <w:sz w:val="16"/>
                <w:szCs w:val="16"/>
              </w:rPr>
            </w:pPr>
          </w:p>
        </w:tc>
        <w:tc>
          <w:tcPr>
            <w:tcW w:w="0" w:type="auto"/>
            <w:vAlign w:val="bottom"/>
            <w:hideMark/>
          </w:tcPr>
          <w:p w14:paraId="50C01124"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35E775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A154449" w14:textId="77777777" w:rsidR="00000000" w:rsidRDefault="00D6065B">
            <w:pPr>
              <w:jc w:val="center"/>
              <w:rPr>
                <w:rFonts w:eastAsia="Times New Roman"/>
                <w:b/>
                <w:bCs/>
                <w:sz w:val="16"/>
                <w:szCs w:val="16"/>
              </w:rPr>
            </w:pPr>
            <w:r>
              <w:rPr>
                <w:rFonts w:eastAsia="Times New Roman"/>
                <w:b/>
                <w:bCs/>
                <w:sz w:val="16"/>
                <w:szCs w:val="16"/>
              </w:rPr>
              <w:t>(Subscription</w:t>
            </w:r>
          </w:p>
        </w:tc>
        <w:tc>
          <w:tcPr>
            <w:tcW w:w="0" w:type="auto"/>
            <w:vAlign w:val="bottom"/>
            <w:hideMark/>
          </w:tcPr>
          <w:p w14:paraId="6CE96BC6"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1D8812A"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79E01A5F"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2560A0DB"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707AC3B"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4C670F87"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28CB7B72" w14:textId="77777777" w:rsidR="00000000" w:rsidRDefault="00D6065B">
            <w:pPr>
              <w:rPr>
                <w:rFonts w:eastAsia="Times New Roman"/>
                <w:sz w:val="16"/>
                <w:szCs w:val="16"/>
              </w:rPr>
            </w:pPr>
            <w:r>
              <w:rPr>
                <w:rFonts w:eastAsia="Times New Roman"/>
                <w:sz w:val="16"/>
                <w:szCs w:val="16"/>
              </w:rPr>
              <w:t> </w:t>
            </w:r>
          </w:p>
        </w:tc>
      </w:tr>
      <w:tr w:rsidR="00000000" w14:paraId="2063A3AF" w14:textId="77777777">
        <w:tc>
          <w:tcPr>
            <w:tcW w:w="0" w:type="auto"/>
            <w:vAlign w:val="bottom"/>
            <w:hideMark/>
          </w:tcPr>
          <w:p w14:paraId="6AE96D77"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1819715C"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231E851B"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64E51680"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439D2775"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7EFF901D"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2D4895DB"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54A9CCFF"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112A35B2" w14:textId="77777777" w:rsidR="00000000" w:rsidRDefault="00D6065B">
            <w:pPr>
              <w:jc w:val="center"/>
              <w:rPr>
                <w:rFonts w:eastAsia="Times New Roman"/>
                <w:b/>
                <w:bCs/>
                <w:sz w:val="16"/>
                <w:szCs w:val="16"/>
              </w:rPr>
            </w:pPr>
            <w:r>
              <w:rPr>
                <w:rFonts w:eastAsia="Times New Roman"/>
                <w:b/>
                <w:bCs/>
                <w:sz w:val="16"/>
                <w:szCs w:val="16"/>
              </w:rPr>
              <w:t>Paid-In</w:t>
            </w:r>
          </w:p>
        </w:tc>
        <w:tc>
          <w:tcPr>
            <w:tcW w:w="0" w:type="auto"/>
            <w:vAlign w:val="bottom"/>
            <w:hideMark/>
          </w:tcPr>
          <w:p w14:paraId="1B5AA616"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FA26B36"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14F7F2ED"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072F2EC4"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3821BF50"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01B53D0D"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20F3DF29"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46C4EDA8"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BDE14A2" w14:textId="77777777" w:rsidR="00000000" w:rsidRDefault="00D6065B">
            <w:pPr>
              <w:jc w:val="center"/>
              <w:rPr>
                <w:rFonts w:eastAsia="Times New Roman"/>
                <w:b/>
                <w:bCs/>
                <w:sz w:val="16"/>
                <w:szCs w:val="16"/>
              </w:rPr>
            </w:pPr>
            <w:r>
              <w:rPr>
                <w:rFonts w:eastAsia="Times New Roman"/>
                <w:b/>
                <w:bCs/>
                <w:sz w:val="16"/>
                <w:szCs w:val="16"/>
              </w:rPr>
              <w:t>Paid-In</w:t>
            </w:r>
          </w:p>
        </w:tc>
        <w:tc>
          <w:tcPr>
            <w:tcW w:w="0" w:type="auto"/>
            <w:vAlign w:val="bottom"/>
            <w:hideMark/>
          </w:tcPr>
          <w:p w14:paraId="61CA5315"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9E22A5E"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6480148A"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20A0DB69"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560E067D"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731BBDDA"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0A4F493D"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1EB95226"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46913CFE" w14:textId="77777777" w:rsidR="00000000" w:rsidRDefault="00D6065B">
            <w:pPr>
              <w:jc w:val="center"/>
              <w:rPr>
                <w:rFonts w:eastAsia="Times New Roman"/>
                <w:b/>
                <w:bCs/>
                <w:sz w:val="16"/>
                <w:szCs w:val="16"/>
              </w:rPr>
            </w:pPr>
            <w:r>
              <w:rPr>
                <w:rFonts w:eastAsia="Times New Roman"/>
                <w:b/>
                <w:bCs/>
                <w:sz w:val="16"/>
                <w:szCs w:val="16"/>
              </w:rPr>
              <w:t>Paid-In</w:t>
            </w:r>
          </w:p>
        </w:tc>
        <w:tc>
          <w:tcPr>
            <w:tcW w:w="0" w:type="auto"/>
            <w:vAlign w:val="bottom"/>
            <w:hideMark/>
          </w:tcPr>
          <w:p w14:paraId="4CDDB729"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0C88665" w14:textId="77777777" w:rsidR="00000000" w:rsidRDefault="00D6065B">
            <w:pPr>
              <w:rPr>
                <w:rFonts w:eastAsia="Times New Roman"/>
                <w:b/>
                <w:bCs/>
                <w:sz w:val="16"/>
                <w:szCs w:val="16"/>
              </w:rPr>
            </w:pPr>
            <w:r>
              <w:rPr>
                <w:rFonts w:eastAsia="Times New Roman"/>
                <w:b/>
                <w:bCs/>
                <w:sz w:val="16"/>
                <w:szCs w:val="16"/>
              </w:rPr>
              <w:t> </w:t>
            </w:r>
          </w:p>
        </w:tc>
        <w:tc>
          <w:tcPr>
            <w:tcW w:w="0" w:type="auto"/>
            <w:gridSpan w:val="6"/>
            <w:vAlign w:val="bottom"/>
            <w:hideMark/>
          </w:tcPr>
          <w:p w14:paraId="57D8BD1D"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30DBD515"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C8A4E68"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60EEEC6E" w14:textId="77777777" w:rsidR="00000000" w:rsidRDefault="00D6065B">
            <w:pPr>
              <w:jc w:val="center"/>
              <w:rPr>
                <w:rFonts w:eastAsia="Times New Roman"/>
                <w:b/>
                <w:bCs/>
                <w:sz w:val="16"/>
                <w:szCs w:val="16"/>
              </w:rPr>
            </w:pPr>
            <w:r>
              <w:rPr>
                <w:rFonts w:eastAsia="Times New Roman"/>
                <w:b/>
                <w:bCs/>
                <w:sz w:val="16"/>
                <w:szCs w:val="16"/>
              </w:rPr>
              <w:t>Additional</w:t>
            </w:r>
          </w:p>
        </w:tc>
        <w:tc>
          <w:tcPr>
            <w:tcW w:w="0" w:type="auto"/>
            <w:vAlign w:val="bottom"/>
            <w:hideMark/>
          </w:tcPr>
          <w:p w14:paraId="48F13384"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8523CF2"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35F902A1" w14:textId="77777777" w:rsidR="00000000" w:rsidRDefault="00D6065B">
            <w:pPr>
              <w:jc w:val="center"/>
              <w:rPr>
                <w:rFonts w:eastAsia="Times New Roman"/>
                <w:b/>
                <w:bCs/>
                <w:sz w:val="16"/>
                <w:szCs w:val="16"/>
              </w:rPr>
            </w:pPr>
            <w:r>
              <w:rPr>
                <w:rFonts w:eastAsia="Times New Roman"/>
                <w:b/>
                <w:bCs/>
                <w:sz w:val="16"/>
                <w:szCs w:val="16"/>
              </w:rPr>
              <w:t>Receivable) /</w:t>
            </w:r>
          </w:p>
        </w:tc>
        <w:tc>
          <w:tcPr>
            <w:tcW w:w="0" w:type="auto"/>
            <w:vAlign w:val="bottom"/>
            <w:hideMark/>
          </w:tcPr>
          <w:p w14:paraId="2CE6B7DA"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A27E61C"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57B397B0"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1FCF1AC6"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742DD9E"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0B3CDF60"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39522BB5" w14:textId="77777777" w:rsidR="00000000" w:rsidRDefault="00D6065B">
            <w:pPr>
              <w:rPr>
                <w:rFonts w:eastAsia="Times New Roman"/>
                <w:sz w:val="16"/>
                <w:szCs w:val="16"/>
              </w:rPr>
            </w:pPr>
            <w:r>
              <w:rPr>
                <w:rFonts w:eastAsia="Times New Roman"/>
                <w:sz w:val="16"/>
                <w:szCs w:val="16"/>
              </w:rPr>
              <w:t> </w:t>
            </w:r>
          </w:p>
        </w:tc>
      </w:tr>
      <w:tr w:rsidR="00000000" w14:paraId="675B8197" w14:textId="77777777">
        <w:tc>
          <w:tcPr>
            <w:tcW w:w="0" w:type="auto"/>
            <w:vAlign w:val="bottom"/>
            <w:hideMark/>
          </w:tcPr>
          <w:p w14:paraId="298B3DC1"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5DCCCC09" w14:textId="77777777" w:rsidR="00000000" w:rsidRDefault="00D6065B">
            <w:pPr>
              <w:rPr>
                <w:rFonts w:eastAsia="Times New Roman"/>
                <w:b/>
                <w:bCs/>
                <w:sz w:val="16"/>
                <w:szCs w:val="16"/>
              </w:rPr>
            </w:pPr>
            <w:r>
              <w:rPr>
                <w:rFonts w:eastAsia="Times New Roman"/>
                <w:b/>
                <w:bCs/>
                <w:sz w:val="16"/>
                <w:szCs w:val="16"/>
              </w:rPr>
              <w:t> </w:t>
            </w:r>
          </w:p>
        </w:tc>
        <w:tc>
          <w:tcPr>
            <w:tcW w:w="0" w:type="auto"/>
            <w:gridSpan w:val="6"/>
            <w:vAlign w:val="bottom"/>
            <w:hideMark/>
          </w:tcPr>
          <w:p w14:paraId="14BC5495" w14:textId="77777777" w:rsidR="00000000" w:rsidRDefault="00D6065B">
            <w:pPr>
              <w:jc w:val="center"/>
              <w:rPr>
                <w:rFonts w:eastAsia="Times New Roman"/>
                <w:b/>
                <w:bCs/>
                <w:sz w:val="16"/>
                <w:szCs w:val="16"/>
              </w:rPr>
            </w:pPr>
            <w:r>
              <w:rPr>
                <w:rFonts w:eastAsia="Times New Roman"/>
                <w:b/>
                <w:bCs/>
                <w:sz w:val="16"/>
                <w:szCs w:val="16"/>
              </w:rPr>
              <w:t>Series A Preferred</w:t>
            </w:r>
          </w:p>
        </w:tc>
        <w:tc>
          <w:tcPr>
            <w:tcW w:w="0" w:type="auto"/>
            <w:vAlign w:val="bottom"/>
            <w:hideMark/>
          </w:tcPr>
          <w:p w14:paraId="18058D6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80E87E1"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507F85F3" w14:textId="77777777" w:rsidR="00000000" w:rsidRDefault="00D6065B">
            <w:pPr>
              <w:jc w:val="center"/>
              <w:rPr>
                <w:rFonts w:eastAsia="Times New Roman"/>
                <w:b/>
                <w:bCs/>
                <w:sz w:val="16"/>
                <w:szCs w:val="16"/>
              </w:rPr>
            </w:pPr>
            <w:r>
              <w:rPr>
                <w:rFonts w:eastAsia="Times New Roman"/>
                <w:b/>
                <w:bCs/>
                <w:sz w:val="16"/>
                <w:szCs w:val="16"/>
              </w:rPr>
              <w:t>Capital - Series A</w:t>
            </w:r>
          </w:p>
        </w:tc>
        <w:tc>
          <w:tcPr>
            <w:tcW w:w="0" w:type="auto"/>
            <w:vAlign w:val="bottom"/>
            <w:hideMark/>
          </w:tcPr>
          <w:p w14:paraId="4742927E"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FFAD618" w14:textId="77777777" w:rsidR="00000000" w:rsidRDefault="00D6065B">
            <w:pPr>
              <w:rPr>
                <w:rFonts w:eastAsia="Times New Roman"/>
                <w:b/>
                <w:bCs/>
                <w:sz w:val="16"/>
                <w:szCs w:val="16"/>
              </w:rPr>
            </w:pPr>
            <w:r>
              <w:rPr>
                <w:rFonts w:eastAsia="Times New Roman"/>
                <w:b/>
                <w:bCs/>
                <w:sz w:val="16"/>
                <w:szCs w:val="16"/>
              </w:rPr>
              <w:t> </w:t>
            </w:r>
          </w:p>
        </w:tc>
        <w:tc>
          <w:tcPr>
            <w:tcW w:w="0" w:type="auto"/>
            <w:gridSpan w:val="6"/>
            <w:vAlign w:val="bottom"/>
            <w:hideMark/>
          </w:tcPr>
          <w:p w14:paraId="34F44D42" w14:textId="77777777" w:rsidR="00000000" w:rsidRDefault="00D6065B">
            <w:pPr>
              <w:jc w:val="center"/>
              <w:rPr>
                <w:rFonts w:eastAsia="Times New Roman"/>
                <w:b/>
                <w:bCs/>
                <w:sz w:val="16"/>
                <w:szCs w:val="16"/>
              </w:rPr>
            </w:pPr>
            <w:r>
              <w:rPr>
                <w:rFonts w:eastAsia="Times New Roman"/>
                <w:b/>
                <w:bCs/>
                <w:sz w:val="16"/>
                <w:szCs w:val="16"/>
              </w:rPr>
              <w:t>Series B Preferred</w:t>
            </w:r>
          </w:p>
        </w:tc>
        <w:tc>
          <w:tcPr>
            <w:tcW w:w="0" w:type="auto"/>
            <w:vAlign w:val="bottom"/>
            <w:hideMark/>
          </w:tcPr>
          <w:p w14:paraId="1B449E1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3271AC4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4DEAE40D" w14:textId="77777777" w:rsidR="00000000" w:rsidRDefault="00D6065B">
            <w:pPr>
              <w:jc w:val="center"/>
              <w:rPr>
                <w:rFonts w:eastAsia="Times New Roman"/>
                <w:b/>
                <w:bCs/>
                <w:sz w:val="16"/>
                <w:szCs w:val="16"/>
              </w:rPr>
            </w:pPr>
            <w:r>
              <w:rPr>
                <w:rFonts w:eastAsia="Times New Roman"/>
                <w:b/>
                <w:bCs/>
                <w:sz w:val="16"/>
                <w:szCs w:val="16"/>
              </w:rPr>
              <w:t>Capital - Series B</w:t>
            </w:r>
          </w:p>
        </w:tc>
        <w:tc>
          <w:tcPr>
            <w:tcW w:w="0" w:type="auto"/>
            <w:vAlign w:val="bottom"/>
            <w:hideMark/>
          </w:tcPr>
          <w:p w14:paraId="473BB2C5"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846068F" w14:textId="77777777" w:rsidR="00000000" w:rsidRDefault="00D6065B">
            <w:pPr>
              <w:rPr>
                <w:rFonts w:eastAsia="Times New Roman"/>
                <w:b/>
                <w:bCs/>
                <w:sz w:val="16"/>
                <w:szCs w:val="16"/>
              </w:rPr>
            </w:pPr>
            <w:r>
              <w:rPr>
                <w:rFonts w:eastAsia="Times New Roman"/>
                <w:b/>
                <w:bCs/>
                <w:sz w:val="16"/>
                <w:szCs w:val="16"/>
              </w:rPr>
              <w:t> </w:t>
            </w:r>
          </w:p>
        </w:tc>
        <w:tc>
          <w:tcPr>
            <w:tcW w:w="0" w:type="auto"/>
            <w:gridSpan w:val="6"/>
            <w:vAlign w:val="bottom"/>
            <w:hideMark/>
          </w:tcPr>
          <w:p w14:paraId="1176715F" w14:textId="77777777" w:rsidR="00000000" w:rsidRDefault="00D6065B">
            <w:pPr>
              <w:jc w:val="center"/>
              <w:rPr>
                <w:rFonts w:eastAsia="Times New Roman"/>
                <w:b/>
                <w:bCs/>
                <w:sz w:val="16"/>
                <w:szCs w:val="16"/>
              </w:rPr>
            </w:pPr>
            <w:r>
              <w:rPr>
                <w:rFonts w:eastAsia="Times New Roman"/>
                <w:b/>
                <w:bCs/>
                <w:sz w:val="16"/>
                <w:szCs w:val="16"/>
              </w:rPr>
              <w:t>Series C Preferred</w:t>
            </w:r>
          </w:p>
        </w:tc>
        <w:tc>
          <w:tcPr>
            <w:tcW w:w="0" w:type="auto"/>
            <w:vAlign w:val="bottom"/>
            <w:hideMark/>
          </w:tcPr>
          <w:p w14:paraId="07E7FFB0"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A48C2ED"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46ADC96" w14:textId="77777777" w:rsidR="00000000" w:rsidRDefault="00D6065B">
            <w:pPr>
              <w:jc w:val="center"/>
              <w:rPr>
                <w:rFonts w:eastAsia="Times New Roman"/>
                <w:b/>
                <w:bCs/>
                <w:sz w:val="16"/>
                <w:szCs w:val="16"/>
              </w:rPr>
            </w:pPr>
            <w:r>
              <w:rPr>
                <w:rFonts w:eastAsia="Times New Roman"/>
                <w:b/>
                <w:bCs/>
                <w:sz w:val="16"/>
                <w:szCs w:val="16"/>
              </w:rPr>
              <w:t>Capital - Series C</w:t>
            </w:r>
          </w:p>
        </w:tc>
        <w:tc>
          <w:tcPr>
            <w:tcW w:w="0" w:type="auto"/>
            <w:vAlign w:val="bottom"/>
            <w:hideMark/>
          </w:tcPr>
          <w:p w14:paraId="129D1BD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3041ED89" w14:textId="77777777" w:rsidR="00000000" w:rsidRDefault="00D6065B">
            <w:pPr>
              <w:rPr>
                <w:rFonts w:eastAsia="Times New Roman"/>
                <w:b/>
                <w:bCs/>
                <w:sz w:val="16"/>
                <w:szCs w:val="16"/>
              </w:rPr>
            </w:pPr>
            <w:r>
              <w:rPr>
                <w:rFonts w:eastAsia="Times New Roman"/>
                <w:b/>
                <w:bCs/>
                <w:sz w:val="16"/>
                <w:szCs w:val="16"/>
              </w:rPr>
              <w:t> </w:t>
            </w:r>
          </w:p>
        </w:tc>
        <w:tc>
          <w:tcPr>
            <w:tcW w:w="0" w:type="auto"/>
            <w:gridSpan w:val="6"/>
            <w:vAlign w:val="bottom"/>
            <w:hideMark/>
          </w:tcPr>
          <w:p w14:paraId="6C425FDB" w14:textId="77777777" w:rsidR="00000000" w:rsidRDefault="00D6065B">
            <w:pPr>
              <w:jc w:val="center"/>
              <w:rPr>
                <w:rFonts w:eastAsia="Times New Roman"/>
                <w:b/>
                <w:bCs/>
                <w:sz w:val="16"/>
                <w:szCs w:val="16"/>
              </w:rPr>
            </w:pPr>
            <w:r>
              <w:rPr>
                <w:rFonts w:eastAsia="Times New Roman"/>
                <w:b/>
                <w:bCs/>
                <w:sz w:val="16"/>
                <w:szCs w:val="16"/>
              </w:rPr>
              <w:t>Common Stock</w:t>
            </w:r>
          </w:p>
        </w:tc>
        <w:tc>
          <w:tcPr>
            <w:tcW w:w="0" w:type="auto"/>
            <w:vAlign w:val="bottom"/>
            <w:hideMark/>
          </w:tcPr>
          <w:p w14:paraId="49645283"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8BE5278"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286E8822" w14:textId="77777777" w:rsidR="00000000" w:rsidRDefault="00D6065B">
            <w:pPr>
              <w:jc w:val="center"/>
              <w:rPr>
                <w:rFonts w:eastAsia="Times New Roman"/>
                <w:b/>
                <w:bCs/>
                <w:sz w:val="16"/>
                <w:szCs w:val="16"/>
              </w:rPr>
            </w:pPr>
            <w:r>
              <w:rPr>
                <w:rFonts w:eastAsia="Times New Roman"/>
                <w:b/>
                <w:bCs/>
                <w:sz w:val="16"/>
                <w:szCs w:val="16"/>
              </w:rPr>
              <w:t>Paid-InCapital -</w:t>
            </w:r>
          </w:p>
        </w:tc>
        <w:tc>
          <w:tcPr>
            <w:tcW w:w="0" w:type="auto"/>
            <w:vAlign w:val="bottom"/>
            <w:hideMark/>
          </w:tcPr>
          <w:p w14:paraId="33693F38"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7AB0A0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27ACA1B6" w14:textId="77777777" w:rsidR="00000000" w:rsidRDefault="00D6065B">
            <w:pPr>
              <w:jc w:val="center"/>
              <w:rPr>
                <w:rFonts w:eastAsia="Times New Roman"/>
                <w:b/>
                <w:bCs/>
                <w:sz w:val="16"/>
                <w:szCs w:val="16"/>
              </w:rPr>
            </w:pPr>
            <w:r>
              <w:rPr>
                <w:rFonts w:eastAsia="Times New Roman"/>
                <w:b/>
                <w:bCs/>
                <w:sz w:val="16"/>
                <w:szCs w:val="16"/>
              </w:rPr>
              <w:t xml:space="preserve">Shares </w:t>
            </w:r>
            <w:r>
              <w:rPr>
                <w:rFonts w:eastAsia="Times New Roman"/>
                <w:b/>
                <w:bCs/>
                <w:sz w:val="16"/>
                <w:szCs w:val="16"/>
              </w:rPr>
              <w:br/>
              <w:t>to be</w:t>
            </w:r>
          </w:p>
        </w:tc>
        <w:tc>
          <w:tcPr>
            <w:tcW w:w="0" w:type="auto"/>
            <w:vAlign w:val="bottom"/>
            <w:hideMark/>
          </w:tcPr>
          <w:p w14:paraId="24C47D90"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2111CADE"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42A05A0D" w14:textId="77777777" w:rsidR="00000000" w:rsidRDefault="00D6065B">
            <w:pPr>
              <w:jc w:val="center"/>
              <w:rPr>
                <w:rFonts w:eastAsia="Times New Roman"/>
                <w:b/>
                <w:bCs/>
                <w:sz w:val="16"/>
                <w:szCs w:val="16"/>
              </w:rPr>
            </w:pPr>
            <w:r>
              <w:rPr>
                <w:rFonts w:eastAsia="Times New Roman"/>
                <w:b/>
                <w:bCs/>
                <w:sz w:val="16"/>
                <w:szCs w:val="16"/>
              </w:rPr>
              <w:t>Accumulated</w:t>
            </w:r>
          </w:p>
        </w:tc>
        <w:tc>
          <w:tcPr>
            <w:tcW w:w="0" w:type="auto"/>
            <w:vAlign w:val="bottom"/>
            <w:hideMark/>
          </w:tcPr>
          <w:p w14:paraId="1CAB6F6E"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7DE861B"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2ECBAE06"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56DFEB87" w14:textId="77777777" w:rsidR="00000000" w:rsidRDefault="00D6065B">
            <w:pPr>
              <w:rPr>
                <w:rFonts w:eastAsia="Times New Roman"/>
                <w:sz w:val="16"/>
                <w:szCs w:val="16"/>
              </w:rPr>
            </w:pPr>
            <w:r>
              <w:rPr>
                <w:rFonts w:eastAsia="Times New Roman"/>
                <w:sz w:val="16"/>
                <w:szCs w:val="16"/>
              </w:rPr>
              <w:t> </w:t>
            </w:r>
          </w:p>
        </w:tc>
      </w:tr>
      <w:tr w:rsidR="00000000" w14:paraId="082B8F86" w14:textId="77777777">
        <w:tc>
          <w:tcPr>
            <w:tcW w:w="0" w:type="auto"/>
            <w:vAlign w:val="bottom"/>
            <w:hideMark/>
          </w:tcPr>
          <w:p w14:paraId="3C877F1B" w14:textId="77777777" w:rsidR="00000000" w:rsidRDefault="00D6065B">
            <w:pPr>
              <w:jc w:val="right"/>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35241550"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4452641F" w14:textId="77777777" w:rsidR="00000000" w:rsidRDefault="00D6065B">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27D7CCBC"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CD6091D"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A285595" w14:textId="77777777" w:rsidR="00000000" w:rsidRDefault="00D6065B">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586809DF"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2A4F9A90"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4AE94507" w14:textId="77777777" w:rsidR="00000000" w:rsidRDefault="00D6065B">
            <w:pPr>
              <w:jc w:val="center"/>
              <w:rPr>
                <w:rFonts w:eastAsia="Times New Roman"/>
                <w:b/>
                <w:bCs/>
                <w:sz w:val="16"/>
                <w:szCs w:val="16"/>
              </w:rPr>
            </w:pPr>
            <w:r>
              <w:rPr>
                <w:rFonts w:eastAsia="Times New Roman"/>
                <w:b/>
                <w:bCs/>
                <w:sz w:val="16"/>
                <w:szCs w:val="16"/>
              </w:rPr>
              <w:t>Preferred</w:t>
            </w:r>
          </w:p>
        </w:tc>
        <w:tc>
          <w:tcPr>
            <w:tcW w:w="0" w:type="auto"/>
            <w:tcMar>
              <w:top w:w="0" w:type="dxa"/>
              <w:left w:w="0" w:type="dxa"/>
              <w:bottom w:w="30" w:type="dxa"/>
              <w:right w:w="0" w:type="dxa"/>
            </w:tcMar>
            <w:vAlign w:val="bottom"/>
            <w:hideMark/>
          </w:tcPr>
          <w:p w14:paraId="7209F8A7"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03951A14"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A162B0A" w14:textId="77777777" w:rsidR="00000000" w:rsidRDefault="00D6065B">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0F7DD3D6"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69346ADE"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1AF4B459" w14:textId="77777777" w:rsidR="00000000" w:rsidRDefault="00D6065B">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38B76AD0"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6F89750B"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75C0BC7" w14:textId="77777777" w:rsidR="00000000" w:rsidRDefault="00D6065B">
            <w:pPr>
              <w:jc w:val="center"/>
              <w:rPr>
                <w:rFonts w:eastAsia="Times New Roman"/>
                <w:b/>
                <w:bCs/>
                <w:sz w:val="16"/>
                <w:szCs w:val="16"/>
              </w:rPr>
            </w:pPr>
            <w:r>
              <w:rPr>
                <w:rFonts w:eastAsia="Times New Roman"/>
                <w:b/>
                <w:bCs/>
                <w:sz w:val="16"/>
                <w:szCs w:val="16"/>
              </w:rPr>
              <w:t>Preferred</w:t>
            </w:r>
          </w:p>
        </w:tc>
        <w:tc>
          <w:tcPr>
            <w:tcW w:w="0" w:type="auto"/>
            <w:tcMar>
              <w:top w:w="0" w:type="dxa"/>
              <w:left w:w="0" w:type="dxa"/>
              <w:bottom w:w="30" w:type="dxa"/>
              <w:right w:w="0" w:type="dxa"/>
            </w:tcMar>
            <w:vAlign w:val="bottom"/>
            <w:hideMark/>
          </w:tcPr>
          <w:p w14:paraId="713C909B"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3B8476CE"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63CE9746" w14:textId="77777777" w:rsidR="00000000" w:rsidRDefault="00D6065B">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078E3B7D"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768CE2D4"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15E6D69B" w14:textId="77777777" w:rsidR="00000000" w:rsidRDefault="00D6065B">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53C3A7E3"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40C966B"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41F35060" w14:textId="77777777" w:rsidR="00000000" w:rsidRDefault="00D6065B">
            <w:pPr>
              <w:jc w:val="center"/>
              <w:rPr>
                <w:rFonts w:eastAsia="Times New Roman"/>
                <w:b/>
                <w:bCs/>
                <w:sz w:val="16"/>
                <w:szCs w:val="16"/>
              </w:rPr>
            </w:pPr>
            <w:r>
              <w:rPr>
                <w:rFonts w:eastAsia="Times New Roman"/>
                <w:b/>
                <w:bCs/>
                <w:sz w:val="16"/>
                <w:szCs w:val="16"/>
              </w:rPr>
              <w:t>Preferred</w:t>
            </w:r>
          </w:p>
        </w:tc>
        <w:tc>
          <w:tcPr>
            <w:tcW w:w="0" w:type="auto"/>
            <w:tcMar>
              <w:top w:w="0" w:type="dxa"/>
              <w:left w:w="0" w:type="dxa"/>
              <w:bottom w:w="30" w:type="dxa"/>
              <w:right w:w="0" w:type="dxa"/>
            </w:tcMar>
            <w:vAlign w:val="bottom"/>
            <w:hideMark/>
          </w:tcPr>
          <w:p w14:paraId="2E5F53FC"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1A25AD9C"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328202F4" w14:textId="77777777" w:rsidR="00000000" w:rsidRDefault="00D6065B">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14:paraId="40B816D8"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71512BE4"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20DB859" w14:textId="77777777" w:rsidR="00000000" w:rsidRDefault="00D6065B">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14:paraId="7366052C"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2BE156D5"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7ECCE7F1" w14:textId="77777777" w:rsidR="00000000" w:rsidRDefault="00D6065B">
            <w:pPr>
              <w:jc w:val="center"/>
              <w:rPr>
                <w:rFonts w:eastAsia="Times New Roman"/>
                <w:b/>
                <w:bCs/>
                <w:sz w:val="16"/>
                <w:szCs w:val="16"/>
              </w:rPr>
            </w:pPr>
            <w:r>
              <w:rPr>
                <w:rFonts w:eastAsia="Times New Roman"/>
                <w:b/>
                <w:bCs/>
                <w:sz w:val="16"/>
                <w:szCs w:val="16"/>
              </w:rPr>
              <w:t>Common</w:t>
            </w:r>
          </w:p>
        </w:tc>
        <w:tc>
          <w:tcPr>
            <w:tcW w:w="0" w:type="auto"/>
            <w:tcMar>
              <w:top w:w="0" w:type="dxa"/>
              <w:left w:w="0" w:type="dxa"/>
              <w:bottom w:w="30" w:type="dxa"/>
              <w:right w:w="0" w:type="dxa"/>
            </w:tcMar>
            <w:vAlign w:val="bottom"/>
            <w:hideMark/>
          </w:tcPr>
          <w:p w14:paraId="15EAFC18"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72D5DBCA"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115DC1A2" w14:textId="77777777" w:rsidR="00000000" w:rsidRDefault="00D6065B">
            <w:pPr>
              <w:jc w:val="center"/>
              <w:rPr>
                <w:rFonts w:eastAsia="Times New Roman"/>
                <w:b/>
                <w:bCs/>
                <w:sz w:val="16"/>
                <w:szCs w:val="16"/>
              </w:rPr>
            </w:pPr>
            <w:r>
              <w:rPr>
                <w:rFonts w:eastAsia="Times New Roman"/>
                <w:b/>
                <w:bCs/>
                <w:sz w:val="16"/>
                <w:szCs w:val="16"/>
              </w:rPr>
              <w:t>Issued</w:t>
            </w:r>
          </w:p>
        </w:tc>
        <w:tc>
          <w:tcPr>
            <w:tcW w:w="0" w:type="auto"/>
            <w:tcMar>
              <w:top w:w="0" w:type="dxa"/>
              <w:left w:w="0" w:type="dxa"/>
              <w:bottom w:w="30" w:type="dxa"/>
              <w:right w:w="0" w:type="dxa"/>
            </w:tcMar>
            <w:vAlign w:val="bottom"/>
            <w:hideMark/>
          </w:tcPr>
          <w:p w14:paraId="54DA1108"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4CCC4E0D"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54DB2303" w14:textId="77777777" w:rsidR="00000000" w:rsidRDefault="00D6065B">
            <w:pPr>
              <w:jc w:val="center"/>
              <w:rPr>
                <w:rFonts w:eastAsia="Times New Roman"/>
                <w:b/>
                <w:bCs/>
                <w:sz w:val="16"/>
                <w:szCs w:val="16"/>
              </w:rPr>
            </w:pPr>
            <w:r>
              <w:rPr>
                <w:rFonts w:eastAsia="Times New Roman"/>
                <w:b/>
                <w:bCs/>
                <w:sz w:val="16"/>
                <w:szCs w:val="16"/>
              </w:rPr>
              <w:t>Deficit</w:t>
            </w:r>
          </w:p>
        </w:tc>
        <w:tc>
          <w:tcPr>
            <w:tcW w:w="0" w:type="auto"/>
            <w:tcMar>
              <w:top w:w="0" w:type="dxa"/>
              <w:left w:w="0" w:type="dxa"/>
              <w:bottom w:w="30" w:type="dxa"/>
              <w:right w:w="0" w:type="dxa"/>
            </w:tcMar>
            <w:vAlign w:val="bottom"/>
            <w:hideMark/>
          </w:tcPr>
          <w:p w14:paraId="75DAFF35" w14:textId="77777777" w:rsidR="00000000" w:rsidRDefault="00D6065B">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14:paraId="6D7D7B4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14:paraId="01EF49B5" w14:textId="77777777" w:rsidR="00000000" w:rsidRDefault="00D6065B">
            <w:pPr>
              <w:jc w:val="center"/>
              <w:rPr>
                <w:rFonts w:eastAsia="Times New Roman"/>
                <w:b/>
                <w:bCs/>
                <w:sz w:val="16"/>
                <w:szCs w:val="16"/>
              </w:rPr>
            </w:pPr>
            <w:r>
              <w:rPr>
                <w:rFonts w:eastAsia="Times New Roman"/>
                <w:b/>
                <w:bCs/>
                <w:sz w:val="16"/>
                <w:szCs w:val="16"/>
              </w:rPr>
              <w:t>Total</w:t>
            </w:r>
          </w:p>
        </w:tc>
        <w:tc>
          <w:tcPr>
            <w:tcW w:w="0" w:type="auto"/>
            <w:tcMar>
              <w:top w:w="0" w:type="dxa"/>
              <w:left w:w="0" w:type="dxa"/>
              <w:bottom w:w="30" w:type="dxa"/>
              <w:right w:w="0" w:type="dxa"/>
            </w:tcMar>
            <w:vAlign w:val="bottom"/>
            <w:hideMark/>
          </w:tcPr>
          <w:p w14:paraId="53EB626B" w14:textId="77777777" w:rsidR="00000000" w:rsidRDefault="00D6065B">
            <w:pPr>
              <w:rPr>
                <w:rFonts w:eastAsia="Times New Roman"/>
                <w:b/>
                <w:bCs/>
                <w:sz w:val="16"/>
                <w:szCs w:val="16"/>
              </w:rPr>
            </w:pPr>
            <w:r>
              <w:rPr>
                <w:rFonts w:eastAsia="Times New Roman"/>
                <w:b/>
                <w:bCs/>
                <w:sz w:val="16"/>
                <w:szCs w:val="16"/>
              </w:rPr>
              <w:t> </w:t>
            </w:r>
          </w:p>
        </w:tc>
      </w:tr>
      <w:tr w:rsidR="00000000" w14:paraId="5EC52B2A" w14:textId="77777777">
        <w:tc>
          <w:tcPr>
            <w:tcW w:w="0" w:type="auto"/>
            <w:vAlign w:val="bottom"/>
            <w:hideMark/>
          </w:tcPr>
          <w:p w14:paraId="0A2DBA56"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175220A1"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44BA7A7C"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40F9B127"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460DF14C"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1FEEB911"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243E8D74"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0EC57189"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47A158CE"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13D8ADFB"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7A97332C"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159319A5"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474B8FC1"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38D6BD86"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2131926D"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05CB23C9"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5D2894BC"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78DECB68"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162E5031"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09C72193"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375FB99A"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6E60216F"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78EF8D04"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1901CFA9"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75884DF3" w14:textId="77777777" w:rsidR="00000000" w:rsidRDefault="00D6065B">
            <w:pPr>
              <w:rPr>
                <w:rFonts w:eastAsia="Times New Roman"/>
                <w:sz w:val="16"/>
                <w:szCs w:val="16"/>
              </w:rPr>
            </w:pPr>
            <w:r>
              <w:rPr>
                <w:rFonts w:eastAsia="Times New Roman"/>
                <w:sz w:val="16"/>
                <w:szCs w:val="16"/>
              </w:rPr>
              <w:t> </w:t>
            </w:r>
          </w:p>
        </w:tc>
        <w:tc>
          <w:tcPr>
            <w:tcW w:w="0" w:type="auto"/>
            <w:vAlign w:val="bottom"/>
            <w:hideMark/>
          </w:tcPr>
          <w:p w14:paraId="09234F07"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2A9B7AD0"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29C34B0A"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4422916E"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7D31F7C8"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00FBB729"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3AE4AFA"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607F43AB"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0D53DD2D"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6558C9F5"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1A48A834"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70699174"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1CFE02AF"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57B9AAA5"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08D46931"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7D429D5" w14:textId="77777777" w:rsidR="00000000" w:rsidRDefault="00D6065B">
            <w:pPr>
              <w:rPr>
                <w:rFonts w:eastAsia="Times New Roman"/>
                <w:b/>
                <w:bCs/>
                <w:sz w:val="16"/>
                <w:szCs w:val="16"/>
              </w:rPr>
            </w:pPr>
            <w:r>
              <w:rPr>
                <w:rFonts w:eastAsia="Times New Roman"/>
                <w:b/>
                <w:bCs/>
                <w:sz w:val="16"/>
                <w:szCs w:val="16"/>
              </w:rPr>
              <w:t> </w:t>
            </w:r>
          </w:p>
        </w:tc>
        <w:tc>
          <w:tcPr>
            <w:tcW w:w="0" w:type="auto"/>
            <w:gridSpan w:val="2"/>
            <w:vAlign w:val="bottom"/>
            <w:hideMark/>
          </w:tcPr>
          <w:p w14:paraId="0155B097" w14:textId="77777777" w:rsidR="00000000" w:rsidRDefault="00D6065B">
            <w:pPr>
              <w:jc w:val="center"/>
              <w:rPr>
                <w:rFonts w:eastAsia="Times New Roman"/>
                <w:b/>
                <w:bCs/>
                <w:sz w:val="16"/>
                <w:szCs w:val="16"/>
              </w:rPr>
            </w:pPr>
            <w:r>
              <w:rPr>
                <w:rFonts w:eastAsia="Times New Roman"/>
                <w:b/>
                <w:bCs/>
                <w:sz w:val="16"/>
                <w:szCs w:val="16"/>
              </w:rPr>
              <w:t> </w:t>
            </w:r>
          </w:p>
        </w:tc>
        <w:tc>
          <w:tcPr>
            <w:tcW w:w="0" w:type="auto"/>
            <w:vAlign w:val="bottom"/>
            <w:hideMark/>
          </w:tcPr>
          <w:p w14:paraId="4F644D06" w14:textId="77777777" w:rsidR="00000000" w:rsidRDefault="00D6065B">
            <w:pPr>
              <w:rPr>
                <w:rFonts w:eastAsia="Times New Roman"/>
                <w:b/>
                <w:bCs/>
                <w:sz w:val="16"/>
                <w:szCs w:val="16"/>
              </w:rPr>
            </w:pPr>
            <w:r>
              <w:rPr>
                <w:rFonts w:eastAsia="Times New Roman"/>
                <w:b/>
                <w:bCs/>
                <w:sz w:val="16"/>
                <w:szCs w:val="16"/>
              </w:rPr>
              <w:t> </w:t>
            </w:r>
          </w:p>
        </w:tc>
        <w:tc>
          <w:tcPr>
            <w:tcW w:w="0" w:type="auto"/>
            <w:vAlign w:val="bottom"/>
            <w:hideMark/>
          </w:tcPr>
          <w:p w14:paraId="55EBB38D" w14:textId="77777777" w:rsidR="00000000" w:rsidRDefault="00D6065B">
            <w:pPr>
              <w:rPr>
                <w:rFonts w:eastAsia="Times New Roman"/>
                <w:sz w:val="16"/>
                <w:szCs w:val="16"/>
              </w:rPr>
            </w:pPr>
            <w:r>
              <w:rPr>
                <w:rFonts w:eastAsia="Times New Roman"/>
                <w:sz w:val="16"/>
                <w:szCs w:val="16"/>
              </w:rPr>
              <w:t> </w:t>
            </w:r>
          </w:p>
        </w:tc>
        <w:tc>
          <w:tcPr>
            <w:tcW w:w="0" w:type="auto"/>
            <w:gridSpan w:val="2"/>
            <w:vAlign w:val="bottom"/>
            <w:hideMark/>
          </w:tcPr>
          <w:p w14:paraId="4E53FB64" w14:textId="77777777" w:rsidR="00000000" w:rsidRDefault="00D6065B">
            <w:pPr>
              <w:jc w:val="right"/>
              <w:rPr>
                <w:rFonts w:eastAsia="Times New Roman"/>
                <w:sz w:val="16"/>
                <w:szCs w:val="16"/>
              </w:rPr>
            </w:pPr>
            <w:r>
              <w:rPr>
                <w:rFonts w:eastAsia="Times New Roman"/>
                <w:sz w:val="16"/>
                <w:szCs w:val="16"/>
              </w:rPr>
              <w:t> </w:t>
            </w:r>
          </w:p>
        </w:tc>
        <w:tc>
          <w:tcPr>
            <w:tcW w:w="0" w:type="auto"/>
            <w:vAlign w:val="bottom"/>
            <w:hideMark/>
          </w:tcPr>
          <w:p w14:paraId="06E01D00" w14:textId="77777777" w:rsidR="00000000" w:rsidRDefault="00D6065B">
            <w:pPr>
              <w:rPr>
                <w:rFonts w:eastAsia="Times New Roman"/>
                <w:sz w:val="16"/>
                <w:szCs w:val="16"/>
              </w:rPr>
            </w:pPr>
            <w:r>
              <w:rPr>
                <w:rFonts w:eastAsia="Times New Roman"/>
                <w:sz w:val="16"/>
                <w:szCs w:val="16"/>
              </w:rPr>
              <w:t> </w:t>
            </w:r>
          </w:p>
        </w:tc>
      </w:tr>
      <w:tr w:rsidR="00D6065B" w14:paraId="691BCAFC" w14:textId="77777777">
        <w:tc>
          <w:tcPr>
            <w:tcW w:w="1250" w:type="pct"/>
            <w:shd w:val="clear" w:color="auto" w:fill="CCEEFF"/>
            <w:vAlign w:val="bottom"/>
            <w:hideMark/>
          </w:tcPr>
          <w:p w14:paraId="4D15E3DE" w14:textId="77777777" w:rsidR="00000000" w:rsidRDefault="00D6065B">
            <w:pPr>
              <w:rPr>
                <w:rFonts w:eastAsia="Times New Roman"/>
                <w:sz w:val="16"/>
                <w:szCs w:val="16"/>
              </w:rPr>
            </w:pPr>
            <w:r>
              <w:rPr>
                <w:rFonts w:eastAsia="Times New Roman"/>
                <w:sz w:val="16"/>
                <w:szCs w:val="16"/>
              </w:rPr>
              <w:t>Balance - December 31, 2019</w:t>
            </w:r>
          </w:p>
        </w:tc>
        <w:tc>
          <w:tcPr>
            <w:tcW w:w="50" w:type="pct"/>
            <w:shd w:val="clear" w:color="auto" w:fill="CCEEFF"/>
            <w:vAlign w:val="bottom"/>
            <w:hideMark/>
          </w:tcPr>
          <w:p w14:paraId="5BD38DEB"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F85B24" w14:textId="77777777" w:rsidR="00000000" w:rsidRDefault="00D6065B">
            <w:pPr>
              <w:rPr>
                <w:rFonts w:eastAsia="Times New Roman"/>
                <w:sz w:val="16"/>
                <w:szCs w:val="16"/>
              </w:rPr>
            </w:pPr>
            <w:r>
              <w:rPr>
                <w:rFonts w:eastAsia="Times New Roman"/>
                <w:sz w:val="16"/>
                <w:szCs w:val="16"/>
              </w:rPr>
              <w:t> </w:t>
            </w:r>
          </w:p>
        </w:tc>
        <w:tc>
          <w:tcPr>
            <w:tcW w:w="100" w:type="pct"/>
            <w:shd w:val="clear" w:color="auto" w:fill="CCEEFF"/>
            <w:vAlign w:val="bottom"/>
            <w:hideMark/>
          </w:tcPr>
          <w:p w14:paraId="1BCD6E10" w14:textId="77777777" w:rsidR="00000000" w:rsidRDefault="00D6065B">
            <w:pPr>
              <w:jc w:val="right"/>
              <w:rPr>
                <w:rFonts w:eastAsia="Times New Roman"/>
                <w:sz w:val="16"/>
                <w:szCs w:val="16"/>
              </w:rPr>
            </w:pPr>
            <w:r>
              <w:rPr>
                <w:rFonts w:eastAsia="Times New Roman"/>
                <w:sz w:val="16"/>
                <w:szCs w:val="16"/>
              </w:rPr>
              <w:t>2,552,642</w:t>
            </w:r>
          </w:p>
        </w:tc>
        <w:tc>
          <w:tcPr>
            <w:tcW w:w="50" w:type="pct"/>
            <w:shd w:val="clear" w:color="auto" w:fill="CCEEFF"/>
            <w:vAlign w:val="bottom"/>
            <w:hideMark/>
          </w:tcPr>
          <w:p w14:paraId="33042A90"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E1AC7B"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A2C02E"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43B361DA" w14:textId="77777777" w:rsidR="00000000" w:rsidRDefault="00D6065B">
            <w:pPr>
              <w:jc w:val="right"/>
              <w:rPr>
                <w:rFonts w:eastAsia="Times New Roman"/>
                <w:sz w:val="16"/>
                <w:szCs w:val="16"/>
              </w:rPr>
            </w:pPr>
            <w:r>
              <w:rPr>
                <w:rFonts w:eastAsia="Times New Roman"/>
                <w:sz w:val="16"/>
                <w:szCs w:val="16"/>
              </w:rPr>
              <w:t>2,553</w:t>
            </w:r>
          </w:p>
        </w:tc>
        <w:tc>
          <w:tcPr>
            <w:tcW w:w="50" w:type="pct"/>
            <w:shd w:val="clear" w:color="auto" w:fill="CCEEFF"/>
            <w:vAlign w:val="bottom"/>
            <w:hideMark/>
          </w:tcPr>
          <w:p w14:paraId="53BDCA6D"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0B9675"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97DEB1"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0347247D" w14:textId="77777777" w:rsidR="00000000" w:rsidRDefault="00D6065B">
            <w:pPr>
              <w:jc w:val="right"/>
              <w:rPr>
                <w:rFonts w:eastAsia="Times New Roman"/>
                <w:sz w:val="16"/>
                <w:szCs w:val="16"/>
              </w:rPr>
            </w:pPr>
            <w:r>
              <w:rPr>
                <w:rFonts w:eastAsia="Times New Roman"/>
                <w:sz w:val="16"/>
                <w:szCs w:val="16"/>
              </w:rPr>
              <w:t>8,870,626</w:t>
            </w:r>
          </w:p>
        </w:tc>
        <w:tc>
          <w:tcPr>
            <w:tcW w:w="50" w:type="pct"/>
            <w:shd w:val="clear" w:color="auto" w:fill="CCEEFF"/>
            <w:vAlign w:val="bottom"/>
            <w:hideMark/>
          </w:tcPr>
          <w:p w14:paraId="5B4F905F"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6278DD"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C3736D" w14:textId="77777777" w:rsidR="00000000" w:rsidRDefault="00D6065B">
            <w:pPr>
              <w:rPr>
                <w:rFonts w:eastAsia="Times New Roman"/>
                <w:sz w:val="16"/>
                <w:szCs w:val="16"/>
              </w:rPr>
            </w:pPr>
            <w:r>
              <w:rPr>
                <w:rFonts w:eastAsia="Times New Roman"/>
                <w:sz w:val="16"/>
                <w:szCs w:val="16"/>
              </w:rPr>
              <w:t> </w:t>
            </w:r>
          </w:p>
        </w:tc>
        <w:tc>
          <w:tcPr>
            <w:tcW w:w="100" w:type="pct"/>
            <w:shd w:val="clear" w:color="auto" w:fill="CCEEFF"/>
            <w:vAlign w:val="bottom"/>
            <w:hideMark/>
          </w:tcPr>
          <w:p w14:paraId="172FFED5" w14:textId="77777777" w:rsidR="00000000" w:rsidRDefault="00D6065B">
            <w:pPr>
              <w:jc w:val="right"/>
              <w:rPr>
                <w:rFonts w:eastAsia="Times New Roman"/>
                <w:sz w:val="16"/>
                <w:szCs w:val="16"/>
              </w:rPr>
            </w:pPr>
            <w:r>
              <w:rPr>
                <w:rFonts w:eastAsia="Times New Roman"/>
                <w:sz w:val="16"/>
                <w:szCs w:val="16"/>
              </w:rPr>
              <w:t>1,113,245</w:t>
            </w:r>
          </w:p>
        </w:tc>
        <w:tc>
          <w:tcPr>
            <w:tcW w:w="50" w:type="pct"/>
            <w:shd w:val="clear" w:color="auto" w:fill="CCEEFF"/>
            <w:vAlign w:val="bottom"/>
            <w:hideMark/>
          </w:tcPr>
          <w:p w14:paraId="274FE9E0"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CC0E91"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57A280"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4701C976" w14:textId="77777777" w:rsidR="00000000" w:rsidRDefault="00D6065B">
            <w:pPr>
              <w:jc w:val="right"/>
              <w:rPr>
                <w:rFonts w:eastAsia="Times New Roman"/>
                <w:sz w:val="16"/>
                <w:szCs w:val="16"/>
              </w:rPr>
            </w:pPr>
            <w:r>
              <w:rPr>
                <w:rFonts w:eastAsia="Times New Roman"/>
                <w:sz w:val="16"/>
                <w:szCs w:val="16"/>
              </w:rPr>
              <w:t>1,113</w:t>
            </w:r>
          </w:p>
        </w:tc>
        <w:tc>
          <w:tcPr>
            <w:tcW w:w="50" w:type="pct"/>
            <w:shd w:val="clear" w:color="auto" w:fill="CCEEFF"/>
            <w:vAlign w:val="bottom"/>
            <w:hideMark/>
          </w:tcPr>
          <w:p w14:paraId="2A9AA037"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012A7C"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C79BFC"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60B7CA38" w14:textId="77777777" w:rsidR="00000000" w:rsidRDefault="00D6065B">
            <w:pPr>
              <w:jc w:val="right"/>
              <w:rPr>
                <w:rFonts w:eastAsia="Times New Roman"/>
                <w:sz w:val="16"/>
                <w:szCs w:val="16"/>
              </w:rPr>
            </w:pPr>
            <w:r>
              <w:rPr>
                <w:rFonts w:eastAsia="Times New Roman"/>
                <w:sz w:val="16"/>
                <w:szCs w:val="16"/>
              </w:rPr>
              <w:t>665,195</w:t>
            </w:r>
          </w:p>
        </w:tc>
        <w:tc>
          <w:tcPr>
            <w:tcW w:w="50" w:type="pct"/>
            <w:shd w:val="clear" w:color="auto" w:fill="CCEEFF"/>
            <w:vAlign w:val="bottom"/>
            <w:hideMark/>
          </w:tcPr>
          <w:p w14:paraId="05D59E9D"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329F76"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1C5514" w14:textId="77777777" w:rsidR="00000000" w:rsidRDefault="00D6065B">
            <w:pPr>
              <w:rPr>
                <w:rFonts w:eastAsia="Times New Roman"/>
                <w:sz w:val="16"/>
                <w:szCs w:val="16"/>
              </w:rPr>
            </w:pPr>
            <w:r>
              <w:rPr>
                <w:rFonts w:eastAsia="Times New Roman"/>
                <w:sz w:val="16"/>
                <w:szCs w:val="16"/>
              </w:rPr>
              <w:t> </w:t>
            </w:r>
          </w:p>
        </w:tc>
        <w:tc>
          <w:tcPr>
            <w:tcW w:w="100" w:type="pct"/>
            <w:shd w:val="clear" w:color="auto" w:fill="CCEEFF"/>
            <w:vAlign w:val="bottom"/>
            <w:hideMark/>
          </w:tcPr>
          <w:p w14:paraId="4DF88042" w14:textId="77777777" w:rsidR="00000000" w:rsidRDefault="00D6065B">
            <w:pPr>
              <w:jc w:val="right"/>
              <w:rPr>
                <w:rFonts w:eastAsia="Times New Roman"/>
                <w:sz w:val="16"/>
                <w:szCs w:val="16"/>
              </w:rPr>
            </w:pPr>
            <w:r>
              <w:rPr>
                <w:rFonts w:eastAsia="Times New Roman"/>
                <w:sz w:val="16"/>
                <w:szCs w:val="16"/>
              </w:rPr>
              <w:t>821,292</w:t>
            </w:r>
          </w:p>
        </w:tc>
        <w:tc>
          <w:tcPr>
            <w:tcW w:w="50" w:type="pct"/>
            <w:shd w:val="clear" w:color="auto" w:fill="CCEEFF"/>
            <w:vAlign w:val="bottom"/>
            <w:hideMark/>
          </w:tcPr>
          <w:p w14:paraId="515D5352"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52477C"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8D1997"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371BA2E1" w14:textId="77777777" w:rsidR="00000000" w:rsidRDefault="00D6065B">
            <w:pPr>
              <w:jc w:val="right"/>
              <w:rPr>
                <w:rFonts w:eastAsia="Times New Roman"/>
                <w:sz w:val="16"/>
                <w:szCs w:val="16"/>
              </w:rPr>
            </w:pPr>
            <w:r>
              <w:rPr>
                <w:rFonts w:eastAsia="Times New Roman"/>
                <w:sz w:val="16"/>
                <w:szCs w:val="16"/>
              </w:rPr>
              <w:t>821</w:t>
            </w:r>
          </w:p>
        </w:tc>
        <w:tc>
          <w:tcPr>
            <w:tcW w:w="50" w:type="pct"/>
            <w:shd w:val="clear" w:color="auto" w:fill="CCEEFF"/>
            <w:vAlign w:val="bottom"/>
            <w:hideMark/>
          </w:tcPr>
          <w:p w14:paraId="3A44503B"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C6ADA4"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004DFD"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54BC9B7B" w14:textId="77777777" w:rsidR="00000000" w:rsidRDefault="00D6065B">
            <w:pPr>
              <w:jc w:val="right"/>
              <w:rPr>
                <w:rFonts w:eastAsia="Times New Roman"/>
                <w:sz w:val="16"/>
                <w:szCs w:val="16"/>
              </w:rPr>
            </w:pPr>
            <w:r>
              <w:rPr>
                <w:rFonts w:eastAsia="Times New Roman"/>
                <w:sz w:val="16"/>
                <w:szCs w:val="16"/>
              </w:rPr>
              <w:t>674,457</w:t>
            </w:r>
          </w:p>
        </w:tc>
        <w:tc>
          <w:tcPr>
            <w:tcW w:w="50" w:type="pct"/>
            <w:shd w:val="clear" w:color="auto" w:fill="CCEEFF"/>
            <w:vAlign w:val="bottom"/>
            <w:hideMark/>
          </w:tcPr>
          <w:p w14:paraId="62A59CD7"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7ED82C"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4B37D152" w14:textId="77777777" w:rsidR="00000000" w:rsidRDefault="00D6065B">
            <w:pPr>
              <w:rPr>
                <w:rFonts w:eastAsia="Times New Roman"/>
                <w:sz w:val="16"/>
                <w:szCs w:val="16"/>
              </w:rPr>
            </w:pPr>
            <w:r>
              <w:rPr>
                <w:rFonts w:eastAsia="Times New Roman"/>
                <w:sz w:val="16"/>
                <w:szCs w:val="16"/>
              </w:rPr>
              <w:t> </w:t>
            </w:r>
          </w:p>
        </w:tc>
        <w:tc>
          <w:tcPr>
            <w:tcW w:w="100" w:type="pct"/>
            <w:shd w:val="clear" w:color="auto" w:fill="CCEEFF"/>
            <w:vAlign w:val="bottom"/>
            <w:hideMark/>
          </w:tcPr>
          <w:p w14:paraId="37661F9D" w14:textId="77777777" w:rsidR="00000000" w:rsidRDefault="00D6065B">
            <w:pPr>
              <w:jc w:val="right"/>
              <w:rPr>
                <w:rFonts w:eastAsia="Times New Roman"/>
                <w:sz w:val="16"/>
                <w:szCs w:val="16"/>
              </w:rPr>
            </w:pPr>
            <w:r>
              <w:rPr>
                <w:rFonts w:eastAsia="Times New Roman"/>
                <w:sz w:val="16"/>
                <w:szCs w:val="16"/>
              </w:rPr>
              <w:t>184,845,821</w:t>
            </w:r>
          </w:p>
        </w:tc>
        <w:tc>
          <w:tcPr>
            <w:tcW w:w="50" w:type="pct"/>
            <w:shd w:val="clear" w:color="auto" w:fill="CCEEFF"/>
            <w:vAlign w:val="bottom"/>
            <w:hideMark/>
          </w:tcPr>
          <w:p w14:paraId="63D7A84B"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60326A"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7AFF4B"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15A0EAF1" w14:textId="77777777" w:rsidR="00000000" w:rsidRDefault="00D6065B">
            <w:pPr>
              <w:jc w:val="right"/>
              <w:rPr>
                <w:rFonts w:eastAsia="Times New Roman"/>
                <w:sz w:val="16"/>
                <w:szCs w:val="16"/>
              </w:rPr>
            </w:pPr>
            <w:r>
              <w:rPr>
                <w:rFonts w:eastAsia="Times New Roman"/>
                <w:sz w:val="16"/>
                <w:szCs w:val="16"/>
              </w:rPr>
              <w:t>184,846</w:t>
            </w:r>
          </w:p>
        </w:tc>
        <w:tc>
          <w:tcPr>
            <w:tcW w:w="50" w:type="pct"/>
            <w:shd w:val="clear" w:color="auto" w:fill="CCEEFF"/>
            <w:vAlign w:val="bottom"/>
            <w:hideMark/>
          </w:tcPr>
          <w:p w14:paraId="5961DB6B"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2B76BC"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76BC21"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361BE973" w14:textId="77777777" w:rsidR="00000000" w:rsidRDefault="00D6065B">
            <w:pPr>
              <w:jc w:val="right"/>
              <w:rPr>
                <w:rFonts w:eastAsia="Times New Roman"/>
                <w:sz w:val="16"/>
                <w:szCs w:val="16"/>
              </w:rPr>
            </w:pPr>
            <w:r>
              <w:rPr>
                <w:rFonts w:eastAsia="Times New Roman"/>
                <w:sz w:val="16"/>
                <w:szCs w:val="16"/>
              </w:rPr>
              <w:t>61,721,809</w:t>
            </w:r>
          </w:p>
        </w:tc>
        <w:tc>
          <w:tcPr>
            <w:tcW w:w="50" w:type="pct"/>
            <w:shd w:val="clear" w:color="auto" w:fill="CCEEFF"/>
            <w:vAlign w:val="bottom"/>
            <w:hideMark/>
          </w:tcPr>
          <w:p w14:paraId="67D7A1BD"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64BC01"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8D653A"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58714D5E" w14:textId="77777777" w:rsidR="00000000" w:rsidRDefault="00D6065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B1ED30"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E4FC56"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B16E65"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35E4FBF9" w14:textId="77777777" w:rsidR="00000000" w:rsidRDefault="00D6065B">
            <w:pPr>
              <w:jc w:val="right"/>
              <w:rPr>
                <w:rFonts w:eastAsia="Times New Roman"/>
                <w:sz w:val="16"/>
                <w:szCs w:val="16"/>
              </w:rPr>
            </w:pPr>
            <w:r>
              <w:rPr>
                <w:rFonts w:eastAsia="Times New Roman"/>
                <w:sz w:val="16"/>
                <w:szCs w:val="16"/>
              </w:rPr>
              <w:t>(73,601,109</w:t>
            </w:r>
          </w:p>
        </w:tc>
        <w:tc>
          <w:tcPr>
            <w:tcW w:w="50" w:type="pct"/>
            <w:shd w:val="clear" w:color="auto" w:fill="CCEEFF"/>
            <w:vAlign w:val="bottom"/>
            <w:hideMark/>
          </w:tcPr>
          <w:p w14:paraId="2CA34CC9" w14:textId="77777777" w:rsidR="00000000" w:rsidRDefault="00D6065B">
            <w:pPr>
              <w:rPr>
                <w:rFonts w:eastAsia="Times New Roman"/>
                <w:sz w:val="16"/>
                <w:szCs w:val="16"/>
              </w:rPr>
            </w:pPr>
            <w:r>
              <w:rPr>
                <w:rFonts w:eastAsia="Times New Roman"/>
                <w:sz w:val="16"/>
                <w:szCs w:val="16"/>
              </w:rPr>
              <w:t>)</w:t>
            </w:r>
          </w:p>
        </w:tc>
        <w:tc>
          <w:tcPr>
            <w:tcW w:w="50" w:type="pct"/>
            <w:shd w:val="clear" w:color="auto" w:fill="CCEEFF"/>
            <w:vAlign w:val="bottom"/>
            <w:hideMark/>
          </w:tcPr>
          <w:p w14:paraId="0FC57FE2" w14:textId="77777777" w:rsidR="00000000" w:rsidRDefault="00D6065B">
            <w:pPr>
              <w:rPr>
                <w:rFonts w:eastAsia="Times New Roman"/>
                <w:sz w:val="16"/>
                <w:szCs w:val="16"/>
              </w:rPr>
            </w:pPr>
            <w:r>
              <w:rPr>
                <w:rFonts w:eastAsia="Times New Roman"/>
                <w:sz w:val="16"/>
                <w:szCs w:val="16"/>
              </w:rPr>
              <w:t> </w:t>
            </w:r>
          </w:p>
        </w:tc>
        <w:tc>
          <w:tcPr>
            <w:tcW w:w="50" w:type="pct"/>
            <w:shd w:val="clear" w:color="auto" w:fill="CCEEFF"/>
            <w:vAlign w:val="bottom"/>
            <w:hideMark/>
          </w:tcPr>
          <w:p w14:paraId="26C7B1CF" w14:textId="77777777" w:rsidR="00000000" w:rsidRDefault="00D6065B">
            <w:pPr>
              <w:rPr>
                <w:rFonts w:eastAsia="Times New Roman"/>
                <w:sz w:val="16"/>
                <w:szCs w:val="16"/>
              </w:rPr>
            </w:pPr>
            <w:r>
              <w:rPr>
                <w:rFonts w:eastAsia="Times New Roman"/>
                <w:sz w:val="16"/>
                <w:szCs w:val="16"/>
              </w:rPr>
              <w:t>$</w:t>
            </w:r>
          </w:p>
        </w:tc>
        <w:tc>
          <w:tcPr>
            <w:tcW w:w="100" w:type="pct"/>
            <w:shd w:val="clear" w:color="auto" w:fill="CCEEFF"/>
            <w:vAlign w:val="bottom"/>
            <w:hideMark/>
          </w:tcPr>
          <w:p w14:paraId="55FD0839" w14:textId="77777777" w:rsidR="00000000" w:rsidRDefault="00D6065B">
            <w:pPr>
              <w:jc w:val="right"/>
              <w:rPr>
                <w:rFonts w:eastAsia="Times New Roman"/>
                <w:sz w:val="16"/>
                <w:szCs w:val="16"/>
              </w:rPr>
            </w:pPr>
            <w:r>
              <w:rPr>
                <w:rFonts w:eastAsia="Times New Roman"/>
                <w:sz w:val="16"/>
                <w:szCs w:val="16"/>
              </w:rPr>
              <w:t>(1,479,689</w:t>
            </w:r>
          </w:p>
        </w:tc>
        <w:tc>
          <w:tcPr>
            <w:tcW w:w="50" w:type="pct"/>
            <w:shd w:val="clear" w:color="auto" w:fill="CCEEFF"/>
            <w:vAlign w:val="bottom"/>
            <w:hideMark/>
          </w:tcPr>
          <w:p w14:paraId="67314B1F" w14:textId="77777777" w:rsidR="00000000" w:rsidRDefault="00D6065B">
            <w:pPr>
              <w:rPr>
                <w:rFonts w:eastAsia="Times New Roman"/>
                <w:sz w:val="16"/>
                <w:szCs w:val="16"/>
              </w:rPr>
            </w:pPr>
            <w:r>
              <w:rPr>
                <w:rFonts w:eastAsia="Times New Roman"/>
                <w:sz w:val="16"/>
                <w:szCs w:val="16"/>
              </w:rPr>
              <w:t>)</w:t>
            </w:r>
          </w:p>
        </w:tc>
      </w:tr>
      <w:tr w:rsidR="00D6065B" w14:paraId="4ADD4769" w14:textId="77777777">
        <w:tc>
          <w:tcPr>
            <w:tcW w:w="0" w:type="auto"/>
            <w:shd w:val="clear" w:color="auto" w:fill="FFFFFF"/>
            <w:vAlign w:val="bottom"/>
            <w:hideMark/>
          </w:tcPr>
          <w:p w14:paraId="6A4726D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6AB26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F024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C7AB6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006FE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70D3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68FA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57B5A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BE021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7606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EA42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09290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27770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209D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3E6F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4A6E5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57875B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49EE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4B29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777BB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CD0EE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6201C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E9E9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AEFF8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48CE06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891E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6C29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8B5BF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352B2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A3EC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A931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D5297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EA4B9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7CE6E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B2FB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72665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ACD48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6F1D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C395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5A4F4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E9F3B0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DA7F0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C070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A7C61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A67758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14FB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FDC1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F68F2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7DF3B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048B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5CD1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DC5C9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AD97DC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BA07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C313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C4DE2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08B48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63516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37AD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00094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A702236" w14:textId="77777777" w:rsidR="00000000" w:rsidRDefault="00D6065B">
            <w:pPr>
              <w:rPr>
                <w:rFonts w:eastAsia="Times New Roman"/>
                <w:sz w:val="16"/>
                <w:szCs w:val="16"/>
              </w:rPr>
            </w:pPr>
            <w:r>
              <w:rPr>
                <w:rFonts w:eastAsia="Times New Roman"/>
                <w:sz w:val="16"/>
                <w:szCs w:val="16"/>
              </w:rPr>
              <w:t> </w:t>
            </w:r>
          </w:p>
        </w:tc>
      </w:tr>
      <w:tr w:rsidR="00D6065B" w14:paraId="7B155F1D" w14:textId="77777777">
        <w:tc>
          <w:tcPr>
            <w:tcW w:w="0" w:type="auto"/>
            <w:shd w:val="clear" w:color="auto" w:fill="CCEEFF"/>
            <w:vAlign w:val="bottom"/>
            <w:hideMark/>
          </w:tcPr>
          <w:p w14:paraId="26096029" w14:textId="77777777" w:rsidR="00000000" w:rsidRDefault="00D6065B">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14:paraId="50BAD6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C931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8D8E4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8989F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26EE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91FF2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F677E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36383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AA86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F673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AE6D2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29E54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0F0D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F8D41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28E54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0F04C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B597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8DD1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9F1B5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BE8D0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A47C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472B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6B4A5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A1042F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E53F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1C653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90BE3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BDF26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CAEA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95B8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E37C4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1230A5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5019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E572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73334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28282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C34D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91D2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4DB13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69452B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34FD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E4A6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C972B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34264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1EAD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042B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08A09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20664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4694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AFEE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55B2E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ABDF5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7A73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BE63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F9311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4DC95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7327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B6F8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6B368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717E768" w14:textId="77777777" w:rsidR="00000000" w:rsidRDefault="00D6065B">
            <w:pPr>
              <w:rPr>
                <w:rFonts w:eastAsia="Times New Roman"/>
                <w:sz w:val="16"/>
                <w:szCs w:val="16"/>
              </w:rPr>
            </w:pPr>
            <w:r>
              <w:rPr>
                <w:rFonts w:eastAsia="Times New Roman"/>
                <w:sz w:val="16"/>
                <w:szCs w:val="16"/>
              </w:rPr>
              <w:t> </w:t>
            </w:r>
          </w:p>
        </w:tc>
      </w:tr>
      <w:tr w:rsidR="00D6065B" w14:paraId="0F598F45" w14:textId="77777777">
        <w:tc>
          <w:tcPr>
            <w:tcW w:w="0" w:type="auto"/>
            <w:shd w:val="clear" w:color="auto" w:fill="FFFFFF"/>
            <w:tcMar>
              <w:top w:w="0" w:type="dxa"/>
              <w:left w:w="200" w:type="dxa"/>
              <w:bottom w:w="0" w:type="dxa"/>
              <w:right w:w="0" w:type="dxa"/>
            </w:tcMar>
            <w:vAlign w:val="bottom"/>
            <w:hideMark/>
          </w:tcPr>
          <w:p w14:paraId="7DEECFAC" w14:textId="77777777" w:rsidR="00000000" w:rsidRDefault="00D6065B">
            <w:pPr>
              <w:rPr>
                <w:rFonts w:eastAsia="Times New Roman"/>
                <w:sz w:val="16"/>
                <w:szCs w:val="16"/>
              </w:rPr>
            </w:pPr>
            <w:r>
              <w:rPr>
                <w:rFonts w:eastAsia="Times New Roman"/>
                <w:sz w:val="16"/>
                <w:szCs w:val="16"/>
              </w:rPr>
              <w:t>Cash</w:t>
            </w:r>
          </w:p>
        </w:tc>
        <w:tc>
          <w:tcPr>
            <w:tcW w:w="0" w:type="auto"/>
            <w:shd w:val="clear" w:color="auto" w:fill="FFFFFF"/>
            <w:vAlign w:val="bottom"/>
            <w:hideMark/>
          </w:tcPr>
          <w:p w14:paraId="4DA1E84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59C4B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DB714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29656E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9019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41920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8B898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12702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AA77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BE2AE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80877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5DA4F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3913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B034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D4837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4C51E6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2B9C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2D05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33235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7DF8B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FE92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497D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7097E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27F88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9442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DA57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51F15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0A46E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245A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C297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4117B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038BC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ABFA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C1EA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5F9A5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7B0AD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F1AD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9B2E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4439F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D6FA9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CAEE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376D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6E220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01D27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8852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C0584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083DD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239400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5A9E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8A9F9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197FDC" w14:textId="77777777" w:rsidR="00000000" w:rsidRDefault="00D6065B">
            <w:pPr>
              <w:jc w:val="right"/>
              <w:rPr>
                <w:rFonts w:eastAsia="Times New Roman"/>
                <w:sz w:val="16"/>
                <w:szCs w:val="16"/>
              </w:rPr>
            </w:pPr>
            <w:r>
              <w:rPr>
                <w:rFonts w:eastAsia="Times New Roman"/>
                <w:sz w:val="16"/>
                <w:szCs w:val="16"/>
              </w:rPr>
              <w:t>6,870</w:t>
            </w:r>
          </w:p>
        </w:tc>
        <w:tc>
          <w:tcPr>
            <w:tcW w:w="0" w:type="auto"/>
            <w:shd w:val="clear" w:color="auto" w:fill="FFFFFF"/>
            <w:vAlign w:val="bottom"/>
            <w:hideMark/>
          </w:tcPr>
          <w:p w14:paraId="0E4AD5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DFA5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CD23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C925D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8BD91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7777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1D9E1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4760DB" w14:textId="77777777" w:rsidR="00000000" w:rsidRDefault="00D6065B">
            <w:pPr>
              <w:jc w:val="right"/>
              <w:rPr>
                <w:rFonts w:eastAsia="Times New Roman"/>
                <w:sz w:val="16"/>
                <w:szCs w:val="16"/>
              </w:rPr>
            </w:pPr>
            <w:r>
              <w:rPr>
                <w:rFonts w:eastAsia="Times New Roman"/>
                <w:sz w:val="16"/>
                <w:szCs w:val="16"/>
              </w:rPr>
              <w:t>6,870</w:t>
            </w:r>
          </w:p>
        </w:tc>
        <w:tc>
          <w:tcPr>
            <w:tcW w:w="0" w:type="auto"/>
            <w:shd w:val="clear" w:color="auto" w:fill="FFFFFF"/>
            <w:vAlign w:val="bottom"/>
            <w:hideMark/>
          </w:tcPr>
          <w:p w14:paraId="355B6C61" w14:textId="77777777" w:rsidR="00000000" w:rsidRDefault="00D6065B">
            <w:pPr>
              <w:rPr>
                <w:rFonts w:eastAsia="Times New Roman"/>
                <w:sz w:val="16"/>
                <w:szCs w:val="16"/>
              </w:rPr>
            </w:pPr>
            <w:r>
              <w:rPr>
                <w:rFonts w:eastAsia="Times New Roman"/>
                <w:sz w:val="16"/>
                <w:szCs w:val="16"/>
              </w:rPr>
              <w:t> </w:t>
            </w:r>
          </w:p>
        </w:tc>
      </w:tr>
      <w:tr w:rsidR="00D6065B" w14:paraId="173A42D8" w14:textId="77777777">
        <w:tc>
          <w:tcPr>
            <w:tcW w:w="0" w:type="auto"/>
            <w:shd w:val="clear" w:color="auto" w:fill="CCEEFF"/>
            <w:tcMar>
              <w:top w:w="0" w:type="dxa"/>
              <w:left w:w="200" w:type="dxa"/>
              <w:bottom w:w="0" w:type="dxa"/>
              <w:right w:w="0" w:type="dxa"/>
            </w:tcMar>
            <w:vAlign w:val="bottom"/>
            <w:hideMark/>
          </w:tcPr>
          <w:p w14:paraId="79DA0F39" w14:textId="77777777" w:rsidR="00000000" w:rsidRDefault="00D6065B">
            <w:pPr>
              <w:rPr>
                <w:rFonts w:eastAsia="Times New Roman"/>
                <w:sz w:val="16"/>
                <w:szCs w:val="16"/>
              </w:rPr>
            </w:pPr>
            <w:r>
              <w:rPr>
                <w:rFonts w:eastAsia="Times New Roman"/>
                <w:sz w:val="16"/>
                <w:szCs w:val="16"/>
              </w:rPr>
              <w:t>Note conversions</w:t>
            </w:r>
          </w:p>
        </w:tc>
        <w:tc>
          <w:tcPr>
            <w:tcW w:w="0" w:type="auto"/>
            <w:shd w:val="clear" w:color="auto" w:fill="CCEEFF"/>
            <w:vAlign w:val="bottom"/>
            <w:hideMark/>
          </w:tcPr>
          <w:p w14:paraId="3D86F0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CADC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7476E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80299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BBD0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4461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686EE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17288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1DF09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7B73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FD4CE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67AFF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B1279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4874F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BD036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E3832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FDE4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2B5D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A2319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655F23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3AA2F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8BB0C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09BF9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90738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1CE3D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5E08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6C621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2FAF7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E93A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71B4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3663C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09DA8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5311B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DCB6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4EB4C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87B3A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8B768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4F11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68E47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212854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8F9D8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9C23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0075C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0B27F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DE8E2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0059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75084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BCAF0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8B32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2BEB4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EEFC0E" w14:textId="77777777" w:rsidR="00000000" w:rsidRDefault="00D6065B">
            <w:pPr>
              <w:jc w:val="right"/>
              <w:rPr>
                <w:rFonts w:eastAsia="Times New Roman"/>
                <w:sz w:val="16"/>
                <w:szCs w:val="16"/>
              </w:rPr>
            </w:pPr>
            <w:r>
              <w:rPr>
                <w:rFonts w:eastAsia="Times New Roman"/>
                <w:sz w:val="16"/>
                <w:szCs w:val="16"/>
              </w:rPr>
              <w:t>526,113</w:t>
            </w:r>
          </w:p>
        </w:tc>
        <w:tc>
          <w:tcPr>
            <w:tcW w:w="0" w:type="auto"/>
            <w:shd w:val="clear" w:color="auto" w:fill="CCEEFF"/>
            <w:vAlign w:val="bottom"/>
            <w:hideMark/>
          </w:tcPr>
          <w:p w14:paraId="4C4894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7316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38E49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A5C86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D06BC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6A84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6C69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2096C8" w14:textId="77777777" w:rsidR="00000000" w:rsidRDefault="00D6065B">
            <w:pPr>
              <w:jc w:val="right"/>
              <w:rPr>
                <w:rFonts w:eastAsia="Times New Roman"/>
                <w:sz w:val="16"/>
                <w:szCs w:val="16"/>
              </w:rPr>
            </w:pPr>
            <w:r>
              <w:rPr>
                <w:rFonts w:eastAsia="Times New Roman"/>
                <w:sz w:val="16"/>
                <w:szCs w:val="16"/>
              </w:rPr>
              <w:t>526,113</w:t>
            </w:r>
          </w:p>
        </w:tc>
        <w:tc>
          <w:tcPr>
            <w:tcW w:w="0" w:type="auto"/>
            <w:shd w:val="clear" w:color="auto" w:fill="CCEEFF"/>
            <w:vAlign w:val="bottom"/>
            <w:hideMark/>
          </w:tcPr>
          <w:p w14:paraId="36452F74" w14:textId="77777777" w:rsidR="00000000" w:rsidRDefault="00D6065B">
            <w:pPr>
              <w:rPr>
                <w:rFonts w:eastAsia="Times New Roman"/>
                <w:sz w:val="16"/>
                <w:szCs w:val="16"/>
              </w:rPr>
            </w:pPr>
            <w:r>
              <w:rPr>
                <w:rFonts w:eastAsia="Times New Roman"/>
                <w:sz w:val="16"/>
                <w:szCs w:val="16"/>
              </w:rPr>
              <w:t> </w:t>
            </w:r>
          </w:p>
        </w:tc>
      </w:tr>
      <w:tr w:rsidR="00D6065B" w14:paraId="1137D7A3" w14:textId="77777777">
        <w:tc>
          <w:tcPr>
            <w:tcW w:w="0" w:type="auto"/>
            <w:shd w:val="clear" w:color="auto" w:fill="FFFFFF"/>
            <w:vAlign w:val="bottom"/>
            <w:hideMark/>
          </w:tcPr>
          <w:p w14:paraId="312319CF" w14:textId="77777777" w:rsidR="00000000" w:rsidRDefault="00D6065B">
            <w:pPr>
              <w:rPr>
                <w:rFonts w:eastAsia="Times New Roman"/>
                <w:sz w:val="16"/>
                <w:szCs w:val="16"/>
              </w:rPr>
            </w:pPr>
            <w:r>
              <w:rPr>
                <w:rFonts w:eastAsia="Times New Roman"/>
                <w:sz w:val="16"/>
                <w:szCs w:val="16"/>
              </w:rPr>
              <w:t>Redemption of preferred stock in convertible note agreement</w:t>
            </w:r>
          </w:p>
        </w:tc>
        <w:tc>
          <w:tcPr>
            <w:tcW w:w="0" w:type="auto"/>
            <w:shd w:val="clear" w:color="auto" w:fill="FFFFFF"/>
            <w:vAlign w:val="bottom"/>
            <w:hideMark/>
          </w:tcPr>
          <w:p w14:paraId="2AA1DC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9B1D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CD7CD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93B108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F615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ACAF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D3CD2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773480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9F51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0443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A525B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FA44C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220E5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8DD5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4D5FDF" w14:textId="77777777" w:rsidR="00000000" w:rsidRDefault="00D6065B">
            <w:pPr>
              <w:jc w:val="right"/>
              <w:rPr>
                <w:rFonts w:eastAsia="Times New Roman"/>
                <w:sz w:val="16"/>
                <w:szCs w:val="16"/>
              </w:rPr>
            </w:pPr>
            <w:r>
              <w:rPr>
                <w:rFonts w:eastAsia="Times New Roman"/>
                <w:sz w:val="16"/>
                <w:szCs w:val="16"/>
              </w:rPr>
              <w:t>(100,000</w:t>
            </w:r>
          </w:p>
        </w:tc>
        <w:tc>
          <w:tcPr>
            <w:tcW w:w="0" w:type="auto"/>
            <w:shd w:val="clear" w:color="auto" w:fill="FFFFFF"/>
            <w:vAlign w:val="bottom"/>
            <w:hideMark/>
          </w:tcPr>
          <w:p w14:paraId="0D63A816"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4333FE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BF07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8B9CE4" w14:textId="77777777" w:rsidR="00000000" w:rsidRDefault="00D6065B">
            <w:pPr>
              <w:jc w:val="right"/>
              <w:rPr>
                <w:rFonts w:eastAsia="Times New Roman"/>
                <w:sz w:val="16"/>
                <w:szCs w:val="16"/>
              </w:rPr>
            </w:pPr>
            <w:r>
              <w:rPr>
                <w:rFonts w:eastAsia="Times New Roman"/>
                <w:sz w:val="16"/>
                <w:szCs w:val="16"/>
              </w:rPr>
              <w:t>(100</w:t>
            </w:r>
          </w:p>
        </w:tc>
        <w:tc>
          <w:tcPr>
            <w:tcW w:w="0" w:type="auto"/>
            <w:shd w:val="clear" w:color="auto" w:fill="FFFFFF"/>
            <w:vAlign w:val="bottom"/>
            <w:hideMark/>
          </w:tcPr>
          <w:p w14:paraId="120E7939"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504D41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D66B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D570E5" w14:textId="77777777" w:rsidR="00000000" w:rsidRDefault="00D6065B">
            <w:pPr>
              <w:jc w:val="right"/>
              <w:rPr>
                <w:rFonts w:eastAsia="Times New Roman"/>
                <w:sz w:val="16"/>
                <w:szCs w:val="16"/>
              </w:rPr>
            </w:pPr>
            <w:r>
              <w:rPr>
                <w:rFonts w:eastAsia="Times New Roman"/>
                <w:sz w:val="16"/>
                <w:szCs w:val="16"/>
              </w:rPr>
              <w:t>(49,900</w:t>
            </w:r>
          </w:p>
        </w:tc>
        <w:tc>
          <w:tcPr>
            <w:tcW w:w="0" w:type="auto"/>
            <w:shd w:val="clear" w:color="auto" w:fill="FFFFFF"/>
            <w:vAlign w:val="bottom"/>
            <w:hideMark/>
          </w:tcPr>
          <w:p w14:paraId="1158CA40"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653B08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A8C6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D9955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242E5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6E10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76C9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1A4E4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C3A31B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931D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CFD7B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946C8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A13CB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6A86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B165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86C67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A7942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F0D00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6A3AF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660BE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4E43A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B52F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EEEA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B8503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4EACD1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CB97A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38655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8D320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AC42F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5755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82344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1BFC6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AAEE4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276FCD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CF51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7E0856" w14:textId="77777777" w:rsidR="00000000" w:rsidRDefault="00D6065B">
            <w:pPr>
              <w:jc w:val="right"/>
              <w:rPr>
                <w:rFonts w:eastAsia="Times New Roman"/>
                <w:sz w:val="16"/>
                <w:szCs w:val="16"/>
              </w:rPr>
            </w:pPr>
            <w:r>
              <w:rPr>
                <w:rFonts w:eastAsia="Times New Roman"/>
                <w:sz w:val="16"/>
                <w:szCs w:val="16"/>
              </w:rPr>
              <w:t>(50,000</w:t>
            </w:r>
          </w:p>
        </w:tc>
        <w:tc>
          <w:tcPr>
            <w:tcW w:w="0" w:type="auto"/>
            <w:shd w:val="clear" w:color="auto" w:fill="FFFFFF"/>
            <w:vAlign w:val="bottom"/>
            <w:hideMark/>
          </w:tcPr>
          <w:p w14:paraId="7B1289A7" w14:textId="77777777" w:rsidR="00000000" w:rsidRDefault="00D6065B">
            <w:pPr>
              <w:rPr>
                <w:rFonts w:eastAsia="Times New Roman"/>
                <w:sz w:val="16"/>
                <w:szCs w:val="16"/>
              </w:rPr>
            </w:pPr>
            <w:r>
              <w:rPr>
                <w:rFonts w:eastAsia="Times New Roman"/>
                <w:sz w:val="16"/>
                <w:szCs w:val="16"/>
              </w:rPr>
              <w:t>)</w:t>
            </w:r>
          </w:p>
        </w:tc>
      </w:tr>
      <w:tr w:rsidR="00D6065B" w14:paraId="3025CAB3" w14:textId="77777777">
        <w:tc>
          <w:tcPr>
            <w:tcW w:w="0" w:type="auto"/>
            <w:shd w:val="clear" w:color="auto" w:fill="CCEEFF"/>
            <w:vAlign w:val="bottom"/>
            <w:hideMark/>
          </w:tcPr>
          <w:p w14:paraId="26584762" w14:textId="77777777" w:rsidR="00000000" w:rsidRDefault="00D6065B">
            <w:pPr>
              <w:rPr>
                <w:rFonts w:eastAsia="Times New Roman"/>
                <w:sz w:val="16"/>
                <w:szCs w:val="16"/>
              </w:rPr>
            </w:pPr>
            <w:r>
              <w:rPr>
                <w:rFonts w:eastAsia="Times New Roman"/>
                <w:sz w:val="16"/>
                <w:szCs w:val="16"/>
              </w:rPr>
              <w:t>Conversion of preferred stock into common stock</w:t>
            </w:r>
          </w:p>
        </w:tc>
        <w:tc>
          <w:tcPr>
            <w:tcW w:w="0" w:type="auto"/>
            <w:shd w:val="clear" w:color="auto" w:fill="CCEEFF"/>
            <w:vAlign w:val="bottom"/>
            <w:hideMark/>
          </w:tcPr>
          <w:p w14:paraId="23B732C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249E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EC8DB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F047E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7FF94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8AC4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A611E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60AAF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F02C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DF066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05146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AED7B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9D53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A8E47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5091F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CFBFB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EA8BC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01F8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9C070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0C7A36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D3FE1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C836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D77EA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523FC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9CAC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9381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E839C4" w14:textId="77777777" w:rsidR="00000000" w:rsidRDefault="00D6065B">
            <w:pPr>
              <w:jc w:val="right"/>
              <w:rPr>
                <w:rFonts w:eastAsia="Times New Roman"/>
                <w:sz w:val="16"/>
                <w:szCs w:val="16"/>
              </w:rPr>
            </w:pPr>
            <w:r>
              <w:rPr>
                <w:rFonts w:eastAsia="Times New Roman"/>
                <w:sz w:val="16"/>
                <w:szCs w:val="16"/>
              </w:rPr>
              <w:t>(435,990</w:t>
            </w:r>
          </w:p>
        </w:tc>
        <w:tc>
          <w:tcPr>
            <w:tcW w:w="0" w:type="auto"/>
            <w:shd w:val="clear" w:color="auto" w:fill="CCEEFF"/>
            <w:vAlign w:val="bottom"/>
            <w:hideMark/>
          </w:tcPr>
          <w:p w14:paraId="45FD044C"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vAlign w:val="bottom"/>
            <w:hideMark/>
          </w:tcPr>
          <w:p w14:paraId="169AA74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0F6C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B08609" w14:textId="77777777" w:rsidR="00000000" w:rsidRDefault="00D6065B">
            <w:pPr>
              <w:jc w:val="right"/>
              <w:rPr>
                <w:rFonts w:eastAsia="Times New Roman"/>
                <w:sz w:val="16"/>
                <w:szCs w:val="16"/>
              </w:rPr>
            </w:pPr>
            <w:r>
              <w:rPr>
                <w:rFonts w:eastAsia="Times New Roman"/>
                <w:sz w:val="16"/>
                <w:szCs w:val="16"/>
              </w:rPr>
              <w:t>(436</w:t>
            </w:r>
          </w:p>
        </w:tc>
        <w:tc>
          <w:tcPr>
            <w:tcW w:w="0" w:type="auto"/>
            <w:shd w:val="clear" w:color="auto" w:fill="CCEEFF"/>
            <w:vAlign w:val="bottom"/>
            <w:hideMark/>
          </w:tcPr>
          <w:p w14:paraId="0712EF46"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vAlign w:val="bottom"/>
            <w:hideMark/>
          </w:tcPr>
          <w:p w14:paraId="7C7208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B925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D4B7A0" w14:textId="77777777" w:rsidR="00000000" w:rsidRDefault="00D6065B">
            <w:pPr>
              <w:jc w:val="right"/>
              <w:rPr>
                <w:rFonts w:eastAsia="Times New Roman"/>
                <w:sz w:val="16"/>
                <w:szCs w:val="16"/>
              </w:rPr>
            </w:pPr>
            <w:r>
              <w:rPr>
                <w:rFonts w:eastAsia="Times New Roman"/>
                <w:sz w:val="16"/>
                <w:szCs w:val="16"/>
              </w:rPr>
              <w:t>(173,950</w:t>
            </w:r>
          </w:p>
        </w:tc>
        <w:tc>
          <w:tcPr>
            <w:tcW w:w="0" w:type="auto"/>
            <w:shd w:val="clear" w:color="auto" w:fill="CCEEFF"/>
            <w:vAlign w:val="bottom"/>
            <w:hideMark/>
          </w:tcPr>
          <w:p w14:paraId="35951B0A"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vAlign w:val="bottom"/>
            <w:hideMark/>
          </w:tcPr>
          <w:p w14:paraId="343B25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08589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3B1A34" w14:textId="77777777" w:rsidR="00000000" w:rsidRDefault="00D6065B">
            <w:pPr>
              <w:jc w:val="right"/>
              <w:rPr>
                <w:rFonts w:eastAsia="Times New Roman"/>
                <w:sz w:val="16"/>
                <w:szCs w:val="16"/>
              </w:rPr>
            </w:pPr>
            <w:r>
              <w:rPr>
                <w:rFonts w:eastAsia="Times New Roman"/>
                <w:sz w:val="16"/>
                <w:szCs w:val="16"/>
              </w:rPr>
              <w:t>5,449,875</w:t>
            </w:r>
          </w:p>
        </w:tc>
        <w:tc>
          <w:tcPr>
            <w:tcW w:w="0" w:type="auto"/>
            <w:shd w:val="clear" w:color="auto" w:fill="CCEEFF"/>
            <w:vAlign w:val="bottom"/>
            <w:hideMark/>
          </w:tcPr>
          <w:p w14:paraId="416921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2683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99899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41014E" w14:textId="77777777" w:rsidR="00000000" w:rsidRDefault="00D6065B">
            <w:pPr>
              <w:jc w:val="right"/>
              <w:rPr>
                <w:rFonts w:eastAsia="Times New Roman"/>
                <w:sz w:val="16"/>
                <w:szCs w:val="16"/>
              </w:rPr>
            </w:pPr>
            <w:r>
              <w:rPr>
                <w:rFonts w:eastAsia="Times New Roman"/>
                <w:sz w:val="16"/>
                <w:szCs w:val="16"/>
              </w:rPr>
              <w:t>5,449</w:t>
            </w:r>
          </w:p>
        </w:tc>
        <w:tc>
          <w:tcPr>
            <w:tcW w:w="0" w:type="auto"/>
            <w:shd w:val="clear" w:color="auto" w:fill="CCEEFF"/>
            <w:vAlign w:val="bottom"/>
            <w:hideMark/>
          </w:tcPr>
          <w:p w14:paraId="1EDC13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D7CF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36D5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B3A26F" w14:textId="77777777" w:rsidR="00000000" w:rsidRDefault="00D6065B">
            <w:pPr>
              <w:jc w:val="right"/>
              <w:rPr>
                <w:rFonts w:eastAsia="Times New Roman"/>
                <w:sz w:val="16"/>
                <w:szCs w:val="16"/>
              </w:rPr>
            </w:pPr>
            <w:r>
              <w:rPr>
                <w:rFonts w:eastAsia="Times New Roman"/>
                <w:sz w:val="16"/>
                <w:szCs w:val="16"/>
              </w:rPr>
              <w:t>168,937</w:t>
            </w:r>
          </w:p>
        </w:tc>
        <w:tc>
          <w:tcPr>
            <w:tcW w:w="0" w:type="auto"/>
            <w:shd w:val="clear" w:color="auto" w:fill="CCEEFF"/>
            <w:vAlign w:val="bottom"/>
            <w:hideMark/>
          </w:tcPr>
          <w:p w14:paraId="396B5B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95F24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7BEC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2DB80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6F8EA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5114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90DC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6F76B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62989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87BA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1A35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7E1DE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54D438F" w14:textId="77777777" w:rsidR="00000000" w:rsidRDefault="00D6065B">
            <w:pPr>
              <w:rPr>
                <w:rFonts w:eastAsia="Times New Roman"/>
                <w:sz w:val="16"/>
                <w:szCs w:val="16"/>
              </w:rPr>
            </w:pPr>
            <w:r>
              <w:rPr>
                <w:rFonts w:eastAsia="Times New Roman"/>
                <w:sz w:val="16"/>
                <w:szCs w:val="16"/>
              </w:rPr>
              <w:t> </w:t>
            </w:r>
          </w:p>
        </w:tc>
      </w:tr>
      <w:tr w:rsidR="00D6065B" w14:paraId="2E8726D5" w14:textId="77777777">
        <w:tc>
          <w:tcPr>
            <w:tcW w:w="0" w:type="auto"/>
            <w:shd w:val="clear" w:color="auto" w:fill="FFFFFF"/>
            <w:vAlign w:val="bottom"/>
            <w:hideMark/>
          </w:tcPr>
          <w:p w14:paraId="34DDF158" w14:textId="77777777" w:rsidR="00000000" w:rsidRDefault="00D6065B">
            <w:pPr>
              <w:rPr>
                <w:rFonts w:eastAsia="Times New Roman"/>
                <w:sz w:val="16"/>
                <w:szCs w:val="16"/>
              </w:rPr>
            </w:pPr>
            <w:r>
              <w:rPr>
                <w:rFonts w:eastAsia="Times New Roman"/>
                <w:sz w:val="16"/>
                <w:szCs w:val="16"/>
              </w:rPr>
              <w:t>Warrants issued with notes payable (discount)</w:t>
            </w:r>
          </w:p>
        </w:tc>
        <w:tc>
          <w:tcPr>
            <w:tcW w:w="0" w:type="auto"/>
            <w:shd w:val="clear" w:color="auto" w:fill="FFFFFF"/>
            <w:vAlign w:val="bottom"/>
            <w:hideMark/>
          </w:tcPr>
          <w:p w14:paraId="41809F4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6B26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A7860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8CE4C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61873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8CD2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7CCE5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90580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1AE4B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C585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8FB52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9262F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F740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649E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1FF89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890D6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7C33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D2A7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80102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9F95E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A07C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D386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E8ED5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0E66A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8595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C9E6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9412C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8A02B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A794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FFD4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89242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33D04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DCA0C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11A3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B9525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498B7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BE2F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81E7EF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F9099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0F1D3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4ABF4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988C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58298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23CD6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02FB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75CC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2BE8DD" w14:textId="77777777" w:rsidR="00000000" w:rsidRDefault="00D6065B">
            <w:pPr>
              <w:jc w:val="right"/>
              <w:rPr>
                <w:rFonts w:eastAsia="Times New Roman"/>
                <w:sz w:val="16"/>
                <w:szCs w:val="16"/>
              </w:rPr>
            </w:pPr>
            <w:r>
              <w:rPr>
                <w:rFonts w:eastAsia="Times New Roman"/>
                <w:sz w:val="16"/>
                <w:szCs w:val="16"/>
              </w:rPr>
              <w:t>28,482</w:t>
            </w:r>
          </w:p>
        </w:tc>
        <w:tc>
          <w:tcPr>
            <w:tcW w:w="0" w:type="auto"/>
            <w:shd w:val="clear" w:color="auto" w:fill="FFFFFF"/>
            <w:vAlign w:val="bottom"/>
            <w:hideMark/>
          </w:tcPr>
          <w:p w14:paraId="2D912A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2861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4076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1FD2D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4E873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9FDC1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CBDF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5026C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0ED0F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8299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5193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89D330" w14:textId="77777777" w:rsidR="00000000" w:rsidRDefault="00D6065B">
            <w:pPr>
              <w:jc w:val="right"/>
              <w:rPr>
                <w:rFonts w:eastAsia="Times New Roman"/>
                <w:sz w:val="16"/>
                <w:szCs w:val="16"/>
              </w:rPr>
            </w:pPr>
            <w:r>
              <w:rPr>
                <w:rFonts w:eastAsia="Times New Roman"/>
                <w:sz w:val="16"/>
                <w:szCs w:val="16"/>
              </w:rPr>
              <w:t>28,482</w:t>
            </w:r>
          </w:p>
        </w:tc>
        <w:tc>
          <w:tcPr>
            <w:tcW w:w="0" w:type="auto"/>
            <w:shd w:val="clear" w:color="auto" w:fill="FFFFFF"/>
            <w:vAlign w:val="bottom"/>
            <w:hideMark/>
          </w:tcPr>
          <w:p w14:paraId="2077C9D8" w14:textId="77777777" w:rsidR="00000000" w:rsidRDefault="00D6065B">
            <w:pPr>
              <w:rPr>
                <w:rFonts w:eastAsia="Times New Roman"/>
                <w:sz w:val="16"/>
                <w:szCs w:val="16"/>
              </w:rPr>
            </w:pPr>
            <w:r>
              <w:rPr>
                <w:rFonts w:eastAsia="Times New Roman"/>
                <w:sz w:val="16"/>
                <w:szCs w:val="16"/>
              </w:rPr>
              <w:t> </w:t>
            </w:r>
          </w:p>
        </w:tc>
      </w:tr>
      <w:tr w:rsidR="00D6065B" w14:paraId="61357CC3" w14:textId="77777777">
        <w:trPr>
          <w:hidden/>
        </w:trPr>
        <w:tc>
          <w:tcPr>
            <w:tcW w:w="0" w:type="auto"/>
            <w:shd w:val="clear" w:color="auto" w:fill="FFFFFF"/>
            <w:vAlign w:val="bottom"/>
            <w:hideMark/>
          </w:tcPr>
          <w:p w14:paraId="11E9782C" w14:textId="77777777" w:rsidR="00000000" w:rsidRDefault="00D6065B">
            <w:pPr>
              <w:rPr>
                <w:rFonts w:eastAsia="Times New Roman"/>
                <w:vanish/>
                <w:sz w:val="16"/>
                <w:szCs w:val="16"/>
              </w:rPr>
            </w:pPr>
            <w:r>
              <w:rPr>
                <w:rFonts w:eastAsia="Times New Roman"/>
                <w:vanish/>
                <w:sz w:val="16"/>
                <w:szCs w:val="16"/>
              </w:rPr>
              <w:t>Accounts payable</w:t>
            </w:r>
          </w:p>
        </w:tc>
        <w:tc>
          <w:tcPr>
            <w:tcW w:w="0" w:type="auto"/>
            <w:shd w:val="clear" w:color="auto" w:fill="FFFFFF"/>
            <w:vAlign w:val="bottom"/>
            <w:hideMark/>
          </w:tcPr>
          <w:p w14:paraId="44B3EBB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66295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4BC27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471533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9206C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F1AB0B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DF9838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8382E0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4ACE2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6D2D76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9E573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284E02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E9805B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2049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6A1908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32429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631EEF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4A85F7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A62BF0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94854B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6E738D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7C5EB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4A0E1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0A3A2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65C8C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D5559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242A18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3CBAE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DADC3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43E77C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B85FE2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E74BD4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8D51E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8C35A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F42C8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E5DFD0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6C1E83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F64F8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F57090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02107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F3F2EB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5EF781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DE2BB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40225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371234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62B7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18352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FBBA33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710F2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85E4D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4DEE2B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AB895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C10E7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55FEF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322577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8249F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5D865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AF795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7206DB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21F2E06" w14:textId="77777777" w:rsidR="00000000" w:rsidRDefault="00D6065B">
            <w:pPr>
              <w:rPr>
                <w:rFonts w:eastAsia="Times New Roman"/>
                <w:vanish/>
                <w:sz w:val="16"/>
                <w:szCs w:val="16"/>
              </w:rPr>
            </w:pPr>
            <w:r>
              <w:rPr>
                <w:rFonts w:eastAsia="Times New Roman"/>
                <w:vanish/>
                <w:sz w:val="16"/>
                <w:szCs w:val="16"/>
              </w:rPr>
              <w:t> </w:t>
            </w:r>
          </w:p>
        </w:tc>
      </w:tr>
      <w:tr w:rsidR="00D6065B" w14:paraId="1296F9F9" w14:textId="77777777">
        <w:trPr>
          <w:hidden/>
        </w:trPr>
        <w:tc>
          <w:tcPr>
            <w:tcW w:w="0" w:type="auto"/>
            <w:shd w:val="clear" w:color="auto" w:fill="FFFFFF"/>
            <w:vAlign w:val="bottom"/>
            <w:hideMark/>
          </w:tcPr>
          <w:p w14:paraId="5C0023D9" w14:textId="77777777" w:rsidR="00000000" w:rsidRDefault="00D6065B">
            <w:pPr>
              <w:rPr>
                <w:rFonts w:eastAsia="Times New Roman"/>
                <w:vanish/>
                <w:sz w:val="16"/>
                <w:szCs w:val="16"/>
              </w:rPr>
            </w:pPr>
            <w:r>
              <w:rPr>
                <w:rFonts w:eastAsia="Times New Roman"/>
                <w:vanish/>
                <w:sz w:val="16"/>
                <w:szCs w:val="16"/>
              </w:rPr>
              <w:t>Accounts payable, shares</w:t>
            </w:r>
          </w:p>
        </w:tc>
        <w:tc>
          <w:tcPr>
            <w:tcW w:w="0" w:type="auto"/>
            <w:shd w:val="clear" w:color="auto" w:fill="FFFFFF"/>
            <w:vAlign w:val="bottom"/>
            <w:hideMark/>
          </w:tcPr>
          <w:p w14:paraId="0C6C21F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B5FA3F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F2162FE" w14:textId="77777777" w:rsidR="00000000" w:rsidRDefault="00D6065B">
            <w:pPr>
              <w:rPr>
                <w:rFonts w:eastAsia="Times New Roman"/>
                <w:vanish/>
                <w:sz w:val="16"/>
                <w:szCs w:val="16"/>
              </w:rPr>
            </w:pPr>
          </w:p>
        </w:tc>
        <w:tc>
          <w:tcPr>
            <w:tcW w:w="0" w:type="auto"/>
            <w:shd w:val="clear" w:color="auto" w:fill="FFFFFF"/>
            <w:vAlign w:val="bottom"/>
            <w:hideMark/>
          </w:tcPr>
          <w:p w14:paraId="0EDF693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BD42CA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C131E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A3FF5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88CFE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89CBC7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F607A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8F776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6E4113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76502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3EE308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3C879A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EF772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BBB0B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7765A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F8467B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8C284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F31B1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632AA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867444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B2E67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640C73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E283EC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8FE685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2F57C9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EBA76E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270CDB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C90D61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B72572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860D0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AE45D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BA3ED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08BF7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7A6863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A7785C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653298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6D403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D464B5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C500A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B6DB6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E0C35B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74AC8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80BA01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109858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5420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761392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7DB4D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32A1C3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8A2DA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D06ED5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CBCB8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4B678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CFD1C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AFA56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69E9D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3BB8A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D272A84" w14:textId="77777777" w:rsidR="00000000" w:rsidRDefault="00D6065B">
            <w:pPr>
              <w:rPr>
                <w:rFonts w:eastAsia="Times New Roman"/>
                <w:vanish/>
                <w:sz w:val="16"/>
                <w:szCs w:val="16"/>
              </w:rPr>
            </w:pPr>
            <w:r>
              <w:rPr>
                <w:rFonts w:eastAsia="Times New Roman"/>
                <w:vanish/>
                <w:sz w:val="16"/>
                <w:szCs w:val="16"/>
              </w:rPr>
              <w:t> </w:t>
            </w:r>
          </w:p>
        </w:tc>
      </w:tr>
      <w:tr w:rsidR="00D6065B" w14:paraId="7C9A2B5C" w14:textId="77777777">
        <w:trPr>
          <w:hidden/>
        </w:trPr>
        <w:tc>
          <w:tcPr>
            <w:tcW w:w="0" w:type="auto"/>
            <w:shd w:val="clear" w:color="auto" w:fill="FFFFFF"/>
            <w:vAlign w:val="bottom"/>
            <w:hideMark/>
          </w:tcPr>
          <w:p w14:paraId="45008E36" w14:textId="77777777" w:rsidR="00000000" w:rsidRDefault="00D6065B">
            <w:pPr>
              <w:rPr>
                <w:rFonts w:eastAsia="Times New Roman"/>
                <w:vanish/>
                <w:sz w:val="16"/>
                <w:szCs w:val="16"/>
              </w:rPr>
            </w:pPr>
            <w:r>
              <w:rPr>
                <w:rFonts w:eastAsia="Times New Roman"/>
                <w:vanish/>
                <w:sz w:val="16"/>
                <w:szCs w:val="16"/>
              </w:rPr>
              <w:t>Warrant exercises</w:t>
            </w:r>
          </w:p>
        </w:tc>
        <w:tc>
          <w:tcPr>
            <w:tcW w:w="0" w:type="auto"/>
            <w:shd w:val="clear" w:color="auto" w:fill="FFFFFF"/>
            <w:vAlign w:val="bottom"/>
            <w:hideMark/>
          </w:tcPr>
          <w:p w14:paraId="415C95C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EA6C7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5049D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2E1F9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A7FA7B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E51339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356FE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133D1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1BC0C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DC02E5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BED6C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443B22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416F5D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E1E0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7D75F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323C81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BF229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9FFD9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CF41F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21C97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A39B67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318BE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42D0D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953255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CD6FC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44E21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EA2F8F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36807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EEC03F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6007C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217EF6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47470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87C11B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AC058F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0210FF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F6F08B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AF44D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BF05F2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F7E201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A13D6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BCD98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F2E73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9CFF8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60389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C49A9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16A90C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4115E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F2499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FEC7D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44E80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B874B5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61EB7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7926B7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31F2D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3E4C4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B00BA0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ED528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C847A9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15F890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918EF1D" w14:textId="77777777" w:rsidR="00000000" w:rsidRDefault="00D6065B">
            <w:pPr>
              <w:rPr>
                <w:rFonts w:eastAsia="Times New Roman"/>
                <w:vanish/>
                <w:sz w:val="16"/>
                <w:szCs w:val="16"/>
              </w:rPr>
            </w:pPr>
            <w:r>
              <w:rPr>
                <w:rFonts w:eastAsia="Times New Roman"/>
                <w:vanish/>
                <w:sz w:val="16"/>
                <w:szCs w:val="16"/>
              </w:rPr>
              <w:t> </w:t>
            </w:r>
          </w:p>
        </w:tc>
      </w:tr>
      <w:tr w:rsidR="00D6065B" w14:paraId="5F4DA492" w14:textId="77777777">
        <w:trPr>
          <w:hidden/>
        </w:trPr>
        <w:tc>
          <w:tcPr>
            <w:tcW w:w="0" w:type="auto"/>
            <w:shd w:val="clear" w:color="auto" w:fill="FFFFFF"/>
            <w:vAlign w:val="bottom"/>
            <w:hideMark/>
          </w:tcPr>
          <w:p w14:paraId="417E63FB" w14:textId="77777777" w:rsidR="00000000" w:rsidRDefault="00D6065B">
            <w:pPr>
              <w:rPr>
                <w:rFonts w:eastAsia="Times New Roman"/>
                <w:vanish/>
                <w:sz w:val="16"/>
                <w:szCs w:val="16"/>
              </w:rPr>
            </w:pPr>
            <w:r>
              <w:rPr>
                <w:rFonts w:eastAsia="Times New Roman"/>
                <w:vanish/>
                <w:sz w:val="16"/>
                <w:szCs w:val="16"/>
              </w:rPr>
              <w:t>Warrant exercises, shares</w:t>
            </w:r>
          </w:p>
        </w:tc>
        <w:tc>
          <w:tcPr>
            <w:tcW w:w="0" w:type="auto"/>
            <w:shd w:val="clear" w:color="auto" w:fill="FFFFFF"/>
            <w:vAlign w:val="bottom"/>
            <w:hideMark/>
          </w:tcPr>
          <w:p w14:paraId="28CE5B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FA80D2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D0D440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0F840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ED4F44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AACF93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8E1017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01968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6F7CB4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B3E125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53AD7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3277B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B28487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37160B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F9811A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E98D2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5D9036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165933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CE63C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D784B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0C3BA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358315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6A4DC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E37478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9BEE2C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0EA7A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41ECA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820DE2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FF707A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2EEA10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A4B5C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4DF6A1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F5CE6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FCC57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D2F99C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62C432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B1A49A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A875A2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9ACB5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E77600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4ACF3A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0CC74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44E44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8F54AB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3FEB5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33CCB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E420C4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DD103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C4492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A372CF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1C4EAB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6DCA1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EEE38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9C29C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CFABE4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A62C30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E082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4EC709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A7694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A7FAE48" w14:textId="77777777" w:rsidR="00000000" w:rsidRDefault="00D6065B">
            <w:pPr>
              <w:rPr>
                <w:rFonts w:eastAsia="Times New Roman"/>
                <w:vanish/>
                <w:sz w:val="16"/>
                <w:szCs w:val="16"/>
              </w:rPr>
            </w:pPr>
            <w:r>
              <w:rPr>
                <w:rFonts w:eastAsia="Times New Roman"/>
                <w:vanish/>
                <w:sz w:val="16"/>
                <w:szCs w:val="16"/>
              </w:rPr>
              <w:t> </w:t>
            </w:r>
          </w:p>
        </w:tc>
      </w:tr>
      <w:tr w:rsidR="00D6065B" w14:paraId="1961834A" w14:textId="77777777">
        <w:trPr>
          <w:hidden/>
        </w:trPr>
        <w:tc>
          <w:tcPr>
            <w:tcW w:w="0" w:type="auto"/>
            <w:shd w:val="clear" w:color="auto" w:fill="FFFFFF"/>
            <w:vAlign w:val="bottom"/>
            <w:hideMark/>
          </w:tcPr>
          <w:p w14:paraId="40AF5985" w14:textId="77777777" w:rsidR="00000000" w:rsidRDefault="00D6065B">
            <w:pPr>
              <w:rPr>
                <w:rFonts w:eastAsia="Times New Roman"/>
                <w:vanish/>
                <w:sz w:val="16"/>
                <w:szCs w:val="16"/>
              </w:rPr>
            </w:pPr>
            <w:r>
              <w:rPr>
                <w:rFonts w:eastAsia="Times New Roman"/>
                <w:vanish/>
                <w:sz w:val="16"/>
                <w:szCs w:val="16"/>
              </w:rPr>
              <w:t>RSUs</w:t>
            </w:r>
          </w:p>
        </w:tc>
        <w:tc>
          <w:tcPr>
            <w:tcW w:w="0" w:type="auto"/>
            <w:shd w:val="clear" w:color="auto" w:fill="FFFFFF"/>
            <w:vAlign w:val="bottom"/>
            <w:hideMark/>
          </w:tcPr>
          <w:p w14:paraId="220A0D0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6A355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3010AC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A07B1F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4213D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5FFD5C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BA0A3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627AE2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51393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60D5A3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94A921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CD2AF4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99A2E0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E56F9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EF760D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34B795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17AD8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0DF9E5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DC923B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86C670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1B9EE2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F15FB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AF2201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5C5CAB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FE25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3F705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687DDF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5A33A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7C63F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F149DF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4FD5B2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69EF78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B8BDD4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B3B1D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BBAA44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3C23F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83C5FB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F31F1E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19609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9B538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3DF3CC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62A77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628FD9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D96349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6C8CC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D6174C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CAB36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150D1C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48CA00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E3F32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0F2F08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3019BE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C7676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D6BCE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18AAE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9621FD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46D2BF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B3D666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D8F0B1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3A91A44" w14:textId="77777777" w:rsidR="00000000" w:rsidRDefault="00D6065B">
            <w:pPr>
              <w:rPr>
                <w:rFonts w:eastAsia="Times New Roman"/>
                <w:vanish/>
                <w:sz w:val="16"/>
                <w:szCs w:val="16"/>
              </w:rPr>
            </w:pPr>
            <w:r>
              <w:rPr>
                <w:rFonts w:eastAsia="Times New Roman"/>
                <w:vanish/>
                <w:sz w:val="16"/>
                <w:szCs w:val="16"/>
              </w:rPr>
              <w:t> </w:t>
            </w:r>
          </w:p>
        </w:tc>
      </w:tr>
      <w:tr w:rsidR="00D6065B" w14:paraId="0BEF35CA" w14:textId="77777777">
        <w:trPr>
          <w:hidden/>
        </w:trPr>
        <w:tc>
          <w:tcPr>
            <w:tcW w:w="0" w:type="auto"/>
            <w:shd w:val="clear" w:color="auto" w:fill="FFFFFF"/>
            <w:vAlign w:val="bottom"/>
            <w:hideMark/>
          </w:tcPr>
          <w:p w14:paraId="4CF66687" w14:textId="77777777" w:rsidR="00000000" w:rsidRDefault="00D6065B">
            <w:pPr>
              <w:rPr>
                <w:rFonts w:eastAsia="Times New Roman"/>
                <w:vanish/>
                <w:sz w:val="16"/>
                <w:szCs w:val="16"/>
              </w:rPr>
            </w:pPr>
            <w:r>
              <w:rPr>
                <w:rFonts w:eastAsia="Times New Roman"/>
                <w:vanish/>
                <w:sz w:val="16"/>
                <w:szCs w:val="16"/>
              </w:rPr>
              <w:t>RSUs, shares</w:t>
            </w:r>
          </w:p>
        </w:tc>
        <w:tc>
          <w:tcPr>
            <w:tcW w:w="0" w:type="auto"/>
            <w:shd w:val="clear" w:color="auto" w:fill="FFFFFF"/>
            <w:vAlign w:val="bottom"/>
            <w:hideMark/>
          </w:tcPr>
          <w:p w14:paraId="23C82F2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1C6749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72A06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7FDB4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0BAFB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6114E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76B29A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298F6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66F7B4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DD8F4E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73774B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586736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20693E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165026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B1ACC9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E27914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EFE05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22B808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EDAE7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E4B617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CE65E8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C554A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94D954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064ECB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AD9B7C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D6BB62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837666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061849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829887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666DF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0948F7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519FA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65A89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300D50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1F8A41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ABCC61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707A31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B0786A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AC6DAA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9BF859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375104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CFD67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0655F9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C10EF9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C4FF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90643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605A0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16AC18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78ED24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D25A1C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BCC4D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FD8024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DC7B5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759E9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52C23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F2191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B8790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B07ED9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A3290D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EBAA41" w14:textId="77777777" w:rsidR="00000000" w:rsidRDefault="00D6065B">
            <w:pPr>
              <w:rPr>
                <w:rFonts w:eastAsia="Times New Roman"/>
                <w:vanish/>
                <w:sz w:val="16"/>
                <w:szCs w:val="16"/>
              </w:rPr>
            </w:pPr>
            <w:r>
              <w:rPr>
                <w:rFonts w:eastAsia="Times New Roman"/>
                <w:vanish/>
                <w:sz w:val="16"/>
                <w:szCs w:val="16"/>
              </w:rPr>
              <w:t> </w:t>
            </w:r>
          </w:p>
        </w:tc>
      </w:tr>
      <w:tr w:rsidR="00D6065B" w14:paraId="4F06388E" w14:textId="77777777">
        <w:trPr>
          <w:hidden/>
        </w:trPr>
        <w:tc>
          <w:tcPr>
            <w:tcW w:w="0" w:type="auto"/>
            <w:shd w:val="clear" w:color="auto" w:fill="FFFFFF"/>
            <w:vAlign w:val="bottom"/>
            <w:hideMark/>
          </w:tcPr>
          <w:p w14:paraId="72EF465E" w14:textId="77777777" w:rsidR="00000000" w:rsidRDefault="00D6065B">
            <w:pPr>
              <w:rPr>
                <w:rFonts w:eastAsia="Times New Roman"/>
                <w:vanish/>
                <w:sz w:val="16"/>
                <w:szCs w:val="16"/>
              </w:rPr>
            </w:pPr>
            <w:r>
              <w:rPr>
                <w:rFonts w:eastAsia="Times New Roman"/>
                <w:vanish/>
                <w:sz w:val="16"/>
                <w:szCs w:val="16"/>
              </w:rPr>
              <w:t> </w:t>
            </w:r>
            <w:r>
              <w:rPr>
                <w:rFonts w:eastAsia="Times New Roman"/>
                <w:vanish/>
                <w:sz w:val="16"/>
                <w:szCs w:val="16"/>
              </w:rPr>
              <w:t>Stock option exercises</w:t>
            </w:r>
          </w:p>
        </w:tc>
        <w:tc>
          <w:tcPr>
            <w:tcW w:w="0" w:type="auto"/>
            <w:shd w:val="clear" w:color="auto" w:fill="FFFFFF"/>
            <w:vAlign w:val="bottom"/>
            <w:hideMark/>
          </w:tcPr>
          <w:p w14:paraId="606B88F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737A6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12C6EA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09CF7D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DC0B4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4A89F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40AE185"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07A702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2E456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E29CFE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195C9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028D0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E96D3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3105DE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EF4F3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8BEEB3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51741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DF868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438994B"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A5DD18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3CD9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5DB97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7A16D6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6EF4B2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231A9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C0039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757D2C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F3D612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C5C92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EC1991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1A86E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8B648A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40ED8E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A32D3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0B86E1"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423A0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7B92C0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DA202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C10EA7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00813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E6A29F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9D7F24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C76143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F3337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0A24C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31201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A8BE4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897FB1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895B2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7ADC4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618C5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A5121A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5849A7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25E9A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8813DD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2F999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A24CA6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762F0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F8112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B7535E" w14:textId="77777777" w:rsidR="00000000" w:rsidRDefault="00D6065B">
            <w:pPr>
              <w:rPr>
                <w:rFonts w:eastAsia="Times New Roman"/>
                <w:vanish/>
                <w:sz w:val="16"/>
                <w:szCs w:val="16"/>
              </w:rPr>
            </w:pPr>
            <w:r>
              <w:rPr>
                <w:rFonts w:eastAsia="Times New Roman"/>
                <w:vanish/>
                <w:sz w:val="16"/>
                <w:szCs w:val="16"/>
              </w:rPr>
              <w:t> </w:t>
            </w:r>
          </w:p>
        </w:tc>
      </w:tr>
      <w:tr w:rsidR="00D6065B" w14:paraId="45259B33" w14:textId="77777777">
        <w:trPr>
          <w:hidden/>
        </w:trPr>
        <w:tc>
          <w:tcPr>
            <w:tcW w:w="0" w:type="auto"/>
            <w:shd w:val="clear" w:color="auto" w:fill="FFFFFF"/>
            <w:vAlign w:val="bottom"/>
            <w:hideMark/>
          </w:tcPr>
          <w:p w14:paraId="3CB47FB8" w14:textId="77777777" w:rsidR="00000000" w:rsidRDefault="00D6065B">
            <w:pPr>
              <w:rPr>
                <w:rFonts w:eastAsia="Times New Roman"/>
                <w:vanish/>
                <w:sz w:val="16"/>
                <w:szCs w:val="16"/>
              </w:rPr>
            </w:pPr>
            <w:r>
              <w:rPr>
                <w:rFonts w:eastAsia="Times New Roman"/>
                <w:vanish/>
                <w:sz w:val="16"/>
                <w:szCs w:val="16"/>
              </w:rPr>
              <w:t> Stock option exercises, shares</w:t>
            </w:r>
          </w:p>
        </w:tc>
        <w:tc>
          <w:tcPr>
            <w:tcW w:w="0" w:type="auto"/>
            <w:shd w:val="clear" w:color="auto" w:fill="FFFFFF"/>
            <w:vAlign w:val="bottom"/>
            <w:hideMark/>
          </w:tcPr>
          <w:p w14:paraId="7394916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9B1B4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A7213D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56FD68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E86C8F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3D7D11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7C5B6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CB83A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48602C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25116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D18EA4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FE1053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9274F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B9CE02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C4EE34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72B2E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45142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523727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BEB059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423AD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D7FA7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AF543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3F487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0CB6EF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6DF2D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0A29E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0F5554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D696D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96643A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33D127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8FA21B1"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EEB619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0AAF1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FED21F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73DA5C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30D860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8DC9AE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30801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9AFC8B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7B3780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B0FBDA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EC13E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CC4430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4C7A0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0F121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DA4BA5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38E728E"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CD733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6CA300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A1E3C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EABEB3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6C418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819AA2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BA0C40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18C122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A27B4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60235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38A48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C0DE7A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C7BD19F" w14:textId="77777777" w:rsidR="00000000" w:rsidRDefault="00D6065B">
            <w:pPr>
              <w:rPr>
                <w:rFonts w:eastAsia="Times New Roman"/>
                <w:vanish/>
                <w:sz w:val="16"/>
                <w:szCs w:val="16"/>
              </w:rPr>
            </w:pPr>
            <w:r>
              <w:rPr>
                <w:rFonts w:eastAsia="Times New Roman"/>
                <w:vanish/>
                <w:sz w:val="16"/>
                <w:szCs w:val="16"/>
              </w:rPr>
              <w:t> </w:t>
            </w:r>
          </w:p>
        </w:tc>
      </w:tr>
      <w:tr w:rsidR="00D6065B" w14:paraId="3EAEF1D8" w14:textId="77777777">
        <w:trPr>
          <w:hidden/>
        </w:trPr>
        <w:tc>
          <w:tcPr>
            <w:tcW w:w="0" w:type="auto"/>
            <w:shd w:val="clear" w:color="auto" w:fill="FFFFFF"/>
            <w:vAlign w:val="bottom"/>
            <w:hideMark/>
          </w:tcPr>
          <w:p w14:paraId="4EBFD695" w14:textId="77777777" w:rsidR="00000000" w:rsidRDefault="00D6065B">
            <w:pPr>
              <w:rPr>
                <w:rFonts w:eastAsia="Times New Roman"/>
                <w:vanish/>
                <w:sz w:val="16"/>
                <w:szCs w:val="16"/>
              </w:rPr>
            </w:pPr>
            <w:r>
              <w:rPr>
                <w:rFonts w:eastAsia="Times New Roman"/>
                <w:vanish/>
                <w:sz w:val="16"/>
                <w:szCs w:val="16"/>
              </w:rPr>
              <w:t>RSU’s granted to consultants that have vested</w:t>
            </w:r>
          </w:p>
        </w:tc>
        <w:tc>
          <w:tcPr>
            <w:tcW w:w="0" w:type="auto"/>
            <w:shd w:val="clear" w:color="auto" w:fill="FFFFFF"/>
            <w:vAlign w:val="bottom"/>
            <w:hideMark/>
          </w:tcPr>
          <w:p w14:paraId="3097F0E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02123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A82376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9344D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CC442A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3E893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A23D150"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B21B01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66E68B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4B4B5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394D195" w14:textId="77777777" w:rsidR="00000000" w:rsidRDefault="00D6065B">
            <w:pPr>
              <w:rPr>
                <w:rFonts w:eastAsia="Times New Roman"/>
                <w:vanish/>
                <w:sz w:val="16"/>
                <w:szCs w:val="16"/>
              </w:rPr>
            </w:pPr>
          </w:p>
        </w:tc>
        <w:tc>
          <w:tcPr>
            <w:tcW w:w="0" w:type="auto"/>
            <w:shd w:val="clear" w:color="auto" w:fill="FFFFFF"/>
            <w:vAlign w:val="bottom"/>
            <w:hideMark/>
          </w:tcPr>
          <w:p w14:paraId="3F3915E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08F69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EE7B10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97F34A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013E61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66E46F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FA51FF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C7FCF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F40F02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9496F8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147FE0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1E87183"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D577FC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CF248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5B84F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ADDAE4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5749CF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5B64CE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DB0207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8DA4F1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A18373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E0AEC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40CD6F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9F1A6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1C460A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5BD612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D44F79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9DC82A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8E00A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1BD319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225073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927EC8"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16822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68C785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5F1D3B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953BDB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CA2E69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74C3B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A83FD7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49ED55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6AEC5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CF9333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2FE4D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B6A9D6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425C3D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7D73BA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718CEE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DC5A40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2332212" w14:textId="77777777" w:rsidR="00000000" w:rsidRDefault="00D6065B">
            <w:pPr>
              <w:rPr>
                <w:rFonts w:eastAsia="Times New Roman"/>
                <w:vanish/>
                <w:sz w:val="16"/>
                <w:szCs w:val="16"/>
              </w:rPr>
            </w:pPr>
            <w:r>
              <w:rPr>
                <w:rFonts w:eastAsia="Times New Roman"/>
                <w:vanish/>
                <w:sz w:val="16"/>
                <w:szCs w:val="16"/>
              </w:rPr>
              <w:t> </w:t>
            </w:r>
          </w:p>
        </w:tc>
      </w:tr>
      <w:tr w:rsidR="00D6065B" w14:paraId="01B44221" w14:textId="77777777">
        <w:trPr>
          <w:hidden/>
        </w:trPr>
        <w:tc>
          <w:tcPr>
            <w:tcW w:w="0" w:type="auto"/>
            <w:shd w:val="clear" w:color="auto" w:fill="CCEEFF"/>
            <w:vAlign w:val="bottom"/>
            <w:hideMark/>
          </w:tcPr>
          <w:p w14:paraId="5880B51F" w14:textId="77777777" w:rsidR="00000000" w:rsidRDefault="00D6065B">
            <w:pPr>
              <w:rPr>
                <w:rFonts w:eastAsia="Times New Roman"/>
                <w:vanish/>
                <w:sz w:val="16"/>
                <w:szCs w:val="16"/>
              </w:rPr>
            </w:pPr>
            <w:r>
              <w:rPr>
                <w:rFonts w:eastAsia="Times New Roman"/>
                <w:vanish/>
                <w:sz w:val="16"/>
                <w:szCs w:val="16"/>
              </w:rPr>
              <w:t>Warrant purchased for cash</w:t>
            </w:r>
          </w:p>
        </w:tc>
        <w:tc>
          <w:tcPr>
            <w:tcW w:w="0" w:type="auto"/>
            <w:shd w:val="clear" w:color="auto" w:fill="CCEEFF"/>
            <w:vAlign w:val="bottom"/>
            <w:hideMark/>
          </w:tcPr>
          <w:p w14:paraId="5CB1554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A22728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36902259"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282757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1E22F5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D3F5B9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2A9D69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8997EA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39C777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49F6C1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3037F9C"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8434CE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8E918F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16FDC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B57DA2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445897B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5C1B60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4371F7C0"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63A513A"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64AD4B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FCE741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E48CF3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3A41DBE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B9EEB5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6AB8279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35D3159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DF0C807"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936A3E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603A124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EDD282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55B517D"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4B520E0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5F06E9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3D081F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411676AF"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5D3F9E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026129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4FA318B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3EF9299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7BD2B5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F33BBB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6EB5F8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5FD0C3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67CA682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B09A52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C10FFD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332AF12"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A731D9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D42A10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027DFA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24BC1BA1"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F7CC30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052F80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A02E50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C187934"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1EECD4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514613B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086EC45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1C6F49A6" w14:textId="77777777" w:rsidR="00000000" w:rsidRDefault="00D6065B">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14:paraId="74692B6F" w14:textId="77777777" w:rsidR="00000000" w:rsidRDefault="00D6065B">
            <w:pPr>
              <w:rPr>
                <w:rFonts w:eastAsia="Times New Roman"/>
                <w:vanish/>
                <w:sz w:val="16"/>
                <w:szCs w:val="16"/>
              </w:rPr>
            </w:pPr>
            <w:r>
              <w:rPr>
                <w:rFonts w:eastAsia="Times New Roman"/>
                <w:vanish/>
                <w:sz w:val="16"/>
                <w:szCs w:val="16"/>
              </w:rPr>
              <w:t> </w:t>
            </w:r>
          </w:p>
        </w:tc>
      </w:tr>
      <w:tr w:rsidR="00D6065B" w14:paraId="247CC9E6" w14:textId="77777777">
        <w:tc>
          <w:tcPr>
            <w:tcW w:w="0" w:type="auto"/>
            <w:shd w:val="clear" w:color="auto" w:fill="CCEEFF"/>
            <w:vAlign w:val="bottom"/>
            <w:hideMark/>
          </w:tcPr>
          <w:p w14:paraId="7B59A8C0" w14:textId="77777777" w:rsidR="00000000" w:rsidRDefault="00D6065B">
            <w:pPr>
              <w:rPr>
                <w:rFonts w:eastAsia="Times New Roman"/>
                <w:sz w:val="16"/>
                <w:szCs w:val="16"/>
              </w:rPr>
            </w:pPr>
            <w:r>
              <w:rPr>
                <w:rFonts w:eastAsia="Times New Roman"/>
                <w:sz w:val="16"/>
                <w:szCs w:val="16"/>
              </w:rPr>
              <w:t>Options and warrants issued for services</w:t>
            </w:r>
          </w:p>
        </w:tc>
        <w:tc>
          <w:tcPr>
            <w:tcW w:w="0" w:type="auto"/>
            <w:shd w:val="clear" w:color="auto" w:fill="CCEEFF"/>
            <w:vAlign w:val="bottom"/>
            <w:hideMark/>
          </w:tcPr>
          <w:p w14:paraId="39ABD9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D1FD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03823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8A817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AAE1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877BA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A03CD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B49F4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3FF1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0F3E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CFAA5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BC5CA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07D13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F174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03F79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13D0E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6CBC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830D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BC39F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20976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19B3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F686B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99D1A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80D95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1E6D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56DA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FCA77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3B111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E804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FBC8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425F3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44AB89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9922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C961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BB7D8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5CC5B2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D17A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63B4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0E67C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DB052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6A1D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06E55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D98411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50537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43EE6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29E5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6299D5" w14:textId="77777777" w:rsidR="00000000" w:rsidRDefault="00D6065B">
            <w:pPr>
              <w:jc w:val="right"/>
              <w:rPr>
                <w:rFonts w:eastAsia="Times New Roman"/>
                <w:sz w:val="16"/>
                <w:szCs w:val="16"/>
              </w:rPr>
            </w:pPr>
            <w:r>
              <w:rPr>
                <w:rFonts w:eastAsia="Times New Roman"/>
                <w:sz w:val="16"/>
                <w:szCs w:val="16"/>
              </w:rPr>
              <w:t>77,883</w:t>
            </w:r>
          </w:p>
        </w:tc>
        <w:tc>
          <w:tcPr>
            <w:tcW w:w="0" w:type="auto"/>
            <w:shd w:val="clear" w:color="auto" w:fill="CCEEFF"/>
            <w:vAlign w:val="bottom"/>
            <w:hideMark/>
          </w:tcPr>
          <w:p w14:paraId="37B453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F333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1180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828C7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952C73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B115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89C9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1010F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768D7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2829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BE79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464643" w14:textId="77777777" w:rsidR="00000000" w:rsidRDefault="00D6065B">
            <w:pPr>
              <w:jc w:val="right"/>
              <w:rPr>
                <w:rFonts w:eastAsia="Times New Roman"/>
                <w:sz w:val="16"/>
                <w:szCs w:val="16"/>
              </w:rPr>
            </w:pPr>
            <w:r>
              <w:rPr>
                <w:rFonts w:eastAsia="Times New Roman"/>
                <w:sz w:val="16"/>
                <w:szCs w:val="16"/>
              </w:rPr>
              <w:t>77,883</w:t>
            </w:r>
          </w:p>
        </w:tc>
        <w:tc>
          <w:tcPr>
            <w:tcW w:w="0" w:type="auto"/>
            <w:shd w:val="clear" w:color="auto" w:fill="CCEEFF"/>
            <w:vAlign w:val="bottom"/>
            <w:hideMark/>
          </w:tcPr>
          <w:p w14:paraId="44023A21" w14:textId="77777777" w:rsidR="00000000" w:rsidRDefault="00D6065B">
            <w:pPr>
              <w:rPr>
                <w:rFonts w:eastAsia="Times New Roman"/>
                <w:sz w:val="16"/>
                <w:szCs w:val="16"/>
              </w:rPr>
            </w:pPr>
            <w:r>
              <w:rPr>
                <w:rFonts w:eastAsia="Times New Roman"/>
                <w:sz w:val="16"/>
                <w:szCs w:val="16"/>
              </w:rPr>
              <w:t> </w:t>
            </w:r>
          </w:p>
        </w:tc>
      </w:tr>
      <w:tr w:rsidR="00D6065B" w14:paraId="5D55D9C9" w14:textId="77777777">
        <w:tc>
          <w:tcPr>
            <w:tcW w:w="0" w:type="auto"/>
            <w:shd w:val="clear" w:color="auto" w:fill="FFFFFF"/>
            <w:vAlign w:val="bottom"/>
            <w:hideMark/>
          </w:tcPr>
          <w:p w14:paraId="625A4216" w14:textId="77777777" w:rsidR="00000000" w:rsidRDefault="00D6065B">
            <w:pPr>
              <w:rPr>
                <w:rFonts w:eastAsia="Times New Roman"/>
                <w:sz w:val="16"/>
                <w:szCs w:val="16"/>
              </w:rPr>
            </w:pPr>
            <w:r>
              <w:rPr>
                <w:rFonts w:eastAsia="Times New Roman"/>
                <w:sz w:val="16"/>
                <w:szCs w:val="16"/>
              </w:rPr>
              <w:t>Share adjustment</w:t>
            </w:r>
          </w:p>
        </w:tc>
        <w:tc>
          <w:tcPr>
            <w:tcW w:w="0" w:type="auto"/>
            <w:shd w:val="clear" w:color="auto" w:fill="FFFFFF"/>
            <w:vAlign w:val="bottom"/>
            <w:hideMark/>
          </w:tcPr>
          <w:p w14:paraId="3BA635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5BDAC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E5EC9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7B37D3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D828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9F88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36B0C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229C5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9CB3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B070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EA454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E7008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0915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948F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5A29F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A088A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C84C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3230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80A20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CD3AA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3178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EC2E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B4F8D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BBC728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81A3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69F07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39E67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24AF4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8B8A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58262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BD481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C8285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3BD0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B912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1293A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5B6E6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BA5F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DFD75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541AF7" w14:textId="77777777" w:rsidR="00000000" w:rsidRDefault="00D6065B">
            <w:pPr>
              <w:jc w:val="right"/>
              <w:rPr>
                <w:rFonts w:eastAsia="Times New Roman"/>
                <w:sz w:val="16"/>
                <w:szCs w:val="16"/>
              </w:rPr>
            </w:pPr>
            <w:r>
              <w:rPr>
                <w:rFonts w:eastAsia="Times New Roman"/>
                <w:sz w:val="16"/>
                <w:szCs w:val="16"/>
              </w:rPr>
              <w:t>(62</w:t>
            </w:r>
          </w:p>
        </w:tc>
        <w:tc>
          <w:tcPr>
            <w:tcW w:w="0" w:type="auto"/>
            <w:shd w:val="clear" w:color="auto" w:fill="FFFFFF"/>
            <w:vAlign w:val="bottom"/>
            <w:hideMark/>
          </w:tcPr>
          <w:p w14:paraId="6F9B35B7"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3068B2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8E33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503BC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612C10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83DA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69BE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BDF43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64DBE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8EAE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C3248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5D68F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68FE9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F228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1575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44E9B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2C63B3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DB6A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8CCF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F5A7B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82F6581" w14:textId="77777777" w:rsidR="00000000" w:rsidRDefault="00D6065B">
            <w:pPr>
              <w:rPr>
                <w:rFonts w:eastAsia="Times New Roman"/>
                <w:sz w:val="16"/>
                <w:szCs w:val="16"/>
              </w:rPr>
            </w:pPr>
            <w:r>
              <w:rPr>
                <w:rFonts w:eastAsia="Times New Roman"/>
                <w:sz w:val="16"/>
                <w:szCs w:val="16"/>
              </w:rPr>
              <w:t> </w:t>
            </w:r>
          </w:p>
        </w:tc>
      </w:tr>
      <w:tr w:rsidR="00D6065B" w14:paraId="4DB72AA2" w14:textId="77777777">
        <w:tc>
          <w:tcPr>
            <w:tcW w:w="0" w:type="auto"/>
            <w:shd w:val="clear" w:color="auto" w:fill="CCEEFF"/>
            <w:tcMar>
              <w:top w:w="0" w:type="dxa"/>
              <w:left w:w="0" w:type="dxa"/>
              <w:bottom w:w="30" w:type="dxa"/>
              <w:right w:w="0" w:type="dxa"/>
            </w:tcMar>
            <w:vAlign w:val="bottom"/>
            <w:hideMark/>
          </w:tcPr>
          <w:p w14:paraId="4190CF48" w14:textId="77777777" w:rsidR="00000000" w:rsidRDefault="00D6065B">
            <w:pPr>
              <w:rPr>
                <w:rFonts w:eastAsia="Times New Roman"/>
                <w:sz w:val="16"/>
                <w:szCs w:val="16"/>
              </w:rPr>
            </w:pPr>
            <w:r>
              <w:rPr>
                <w:rFonts w:eastAsia="Times New Roman"/>
                <w:sz w:val="16"/>
                <w:szCs w:val="16"/>
              </w:rPr>
              <w:t>Net loss for the period</w:t>
            </w:r>
          </w:p>
        </w:tc>
        <w:tc>
          <w:tcPr>
            <w:tcW w:w="0" w:type="auto"/>
            <w:shd w:val="clear" w:color="auto" w:fill="CCEEFF"/>
            <w:tcMar>
              <w:top w:w="0" w:type="dxa"/>
              <w:left w:w="0" w:type="dxa"/>
              <w:bottom w:w="30" w:type="dxa"/>
              <w:right w:w="0" w:type="dxa"/>
            </w:tcMar>
            <w:vAlign w:val="bottom"/>
            <w:hideMark/>
          </w:tcPr>
          <w:p w14:paraId="6B6CE02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ADF768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9D314B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31CFDF5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0EB7110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015E56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30E9DC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2C78A5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C1354E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CABC60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4D7E9C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7A307A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0CC902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2C306CE"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EE8D01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448513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4047E2B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0D077D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8916CC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7E0634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4F1A082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4B82D7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8B511E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757BFB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0635CA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EE77E8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1ED58B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4971E2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10D85F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ED9B59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1183FA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A4F46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E4FC1D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4CC10D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3AE3F9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5EC9CA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7E7744D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097CDE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AC412B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F0F5F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BD5941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B9DF02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51390F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AAD2A6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0041512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4D2BF1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3FA06F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29E8F9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9C34A4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405000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EDEC08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528D70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724E70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DC0151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CF6F95D" w14:textId="77777777" w:rsidR="00000000" w:rsidRDefault="00D6065B">
            <w:pPr>
              <w:jc w:val="right"/>
              <w:rPr>
                <w:rFonts w:eastAsia="Times New Roman"/>
                <w:sz w:val="16"/>
                <w:szCs w:val="16"/>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14:paraId="39C93A21"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77C7D98E"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8F2070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805A8A3" w14:textId="77777777" w:rsidR="00000000" w:rsidRDefault="00D6065B">
            <w:pPr>
              <w:jc w:val="right"/>
              <w:rPr>
                <w:rFonts w:eastAsia="Times New Roman"/>
                <w:sz w:val="16"/>
                <w:szCs w:val="16"/>
              </w:rPr>
            </w:pPr>
            <w:r>
              <w:rPr>
                <w:rFonts w:eastAsia="Times New Roman"/>
                <w:sz w:val="16"/>
                <w:szCs w:val="16"/>
              </w:rPr>
              <w:t>(360,231</w:t>
            </w:r>
          </w:p>
        </w:tc>
        <w:tc>
          <w:tcPr>
            <w:tcW w:w="0" w:type="auto"/>
            <w:shd w:val="clear" w:color="auto" w:fill="CCEEFF"/>
            <w:tcMar>
              <w:top w:w="0" w:type="dxa"/>
              <w:left w:w="0" w:type="dxa"/>
              <w:bottom w:w="30" w:type="dxa"/>
              <w:right w:w="0" w:type="dxa"/>
            </w:tcMar>
            <w:vAlign w:val="bottom"/>
            <w:hideMark/>
          </w:tcPr>
          <w:p w14:paraId="5C23350D" w14:textId="77777777" w:rsidR="00000000" w:rsidRDefault="00D6065B">
            <w:pPr>
              <w:rPr>
                <w:rFonts w:eastAsia="Times New Roman"/>
                <w:sz w:val="16"/>
                <w:szCs w:val="16"/>
              </w:rPr>
            </w:pPr>
            <w:r>
              <w:rPr>
                <w:rFonts w:eastAsia="Times New Roman"/>
                <w:sz w:val="16"/>
                <w:szCs w:val="16"/>
              </w:rPr>
              <w:t>)</w:t>
            </w:r>
          </w:p>
        </w:tc>
      </w:tr>
      <w:tr w:rsidR="00D6065B" w14:paraId="60CB05BD" w14:textId="77777777">
        <w:tc>
          <w:tcPr>
            <w:tcW w:w="0" w:type="auto"/>
            <w:shd w:val="clear" w:color="auto" w:fill="FFFFFF"/>
            <w:vAlign w:val="bottom"/>
            <w:hideMark/>
          </w:tcPr>
          <w:p w14:paraId="06EB6CC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0BA008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B28E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01BC6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0A6AB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FB97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E5D06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78158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ADF5C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EA71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08B8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94ABA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58951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039C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95DA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DAB1E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0E810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C595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1034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CD6FC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046030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EF06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D45A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AA7BB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45856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088D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3BDD8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AD798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81B02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4D5A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98B6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B0A58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9CA3C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7EDC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DD0B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FF31D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628FA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20B2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5CDF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E575C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8E4F3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712B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A9E0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212276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D7E9A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0457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912A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18191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D8832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FC64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98B2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F2912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1B68F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BE66B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77BF8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FC066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58E34E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8F23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476E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698C3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435D8CD" w14:textId="77777777" w:rsidR="00000000" w:rsidRDefault="00D6065B">
            <w:pPr>
              <w:rPr>
                <w:rFonts w:eastAsia="Times New Roman"/>
                <w:sz w:val="16"/>
                <w:szCs w:val="16"/>
              </w:rPr>
            </w:pPr>
            <w:r>
              <w:rPr>
                <w:rFonts w:eastAsia="Times New Roman"/>
                <w:sz w:val="16"/>
                <w:szCs w:val="16"/>
              </w:rPr>
              <w:t> </w:t>
            </w:r>
          </w:p>
        </w:tc>
      </w:tr>
      <w:tr w:rsidR="00D6065B" w14:paraId="35D884D8" w14:textId="77777777">
        <w:tc>
          <w:tcPr>
            <w:tcW w:w="0" w:type="auto"/>
            <w:shd w:val="clear" w:color="auto" w:fill="CCEEFF"/>
            <w:vAlign w:val="bottom"/>
            <w:hideMark/>
          </w:tcPr>
          <w:p w14:paraId="67A8189F" w14:textId="77777777" w:rsidR="00000000" w:rsidRDefault="00D6065B">
            <w:pPr>
              <w:rPr>
                <w:rFonts w:eastAsia="Times New Roman"/>
                <w:sz w:val="16"/>
                <w:szCs w:val="16"/>
              </w:rPr>
            </w:pPr>
            <w:r>
              <w:rPr>
                <w:rFonts w:eastAsia="Times New Roman"/>
                <w:sz w:val="16"/>
                <w:szCs w:val="16"/>
              </w:rPr>
              <w:t xml:space="preserve">Balance </w:t>
            </w:r>
            <w:r>
              <w:rPr>
                <w:rFonts w:eastAsia="Times New Roman"/>
                <w:sz w:val="16"/>
                <w:szCs w:val="16"/>
              </w:rPr>
              <w:t>- March 31, 2020</w:t>
            </w:r>
          </w:p>
        </w:tc>
        <w:tc>
          <w:tcPr>
            <w:tcW w:w="0" w:type="auto"/>
            <w:shd w:val="clear" w:color="auto" w:fill="CCEEFF"/>
            <w:vAlign w:val="bottom"/>
            <w:hideMark/>
          </w:tcPr>
          <w:p w14:paraId="36C57A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F3D2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EA9881" w14:textId="77777777" w:rsidR="00000000" w:rsidRDefault="00D6065B">
            <w:pPr>
              <w:jc w:val="right"/>
              <w:rPr>
                <w:rFonts w:eastAsia="Times New Roman"/>
                <w:sz w:val="16"/>
                <w:szCs w:val="16"/>
              </w:rPr>
            </w:pPr>
            <w:r>
              <w:rPr>
                <w:rFonts w:eastAsia="Times New Roman"/>
                <w:sz w:val="16"/>
                <w:szCs w:val="16"/>
              </w:rPr>
              <w:t>2,552,642</w:t>
            </w:r>
          </w:p>
        </w:tc>
        <w:tc>
          <w:tcPr>
            <w:tcW w:w="0" w:type="auto"/>
            <w:shd w:val="clear" w:color="auto" w:fill="CCEEFF"/>
            <w:vAlign w:val="bottom"/>
            <w:hideMark/>
          </w:tcPr>
          <w:p w14:paraId="26E94F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A640A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0A81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1CFF12" w14:textId="77777777" w:rsidR="00000000" w:rsidRDefault="00D6065B">
            <w:pPr>
              <w:jc w:val="right"/>
              <w:rPr>
                <w:rFonts w:eastAsia="Times New Roman"/>
                <w:sz w:val="16"/>
                <w:szCs w:val="16"/>
              </w:rPr>
            </w:pPr>
            <w:r>
              <w:rPr>
                <w:rFonts w:eastAsia="Times New Roman"/>
                <w:sz w:val="16"/>
                <w:szCs w:val="16"/>
              </w:rPr>
              <w:t>2,553</w:t>
            </w:r>
          </w:p>
        </w:tc>
        <w:tc>
          <w:tcPr>
            <w:tcW w:w="0" w:type="auto"/>
            <w:shd w:val="clear" w:color="auto" w:fill="CCEEFF"/>
            <w:vAlign w:val="bottom"/>
            <w:hideMark/>
          </w:tcPr>
          <w:p w14:paraId="717224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F8404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8C6A0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0A73B5" w14:textId="77777777" w:rsidR="00000000" w:rsidRDefault="00D6065B">
            <w:pPr>
              <w:jc w:val="right"/>
              <w:rPr>
                <w:rFonts w:eastAsia="Times New Roman"/>
                <w:sz w:val="16"/>
                <w:szCs w:val="16"/>
              </w:rPr>
            </w:pPr>
            <w:r>
              <w:rPr>
                <w:rFonts w:eastAsia="Times New Roman"/>
                <w:sz w:val="16"/>
                <w:szCs w:val="16"/>
              </w:rPr>
              <w:t>8,870,626</w:t>
            </w:r>
          </w:p>
        </w:tc>
        <w:tc>
          <w:tcPr>
            <w:tcW w:w="0" w:type="auto"/>
            <w:shd w:val="clear" w:color="auto" w:fill="CCEEFF"/>
            <w:vAlign w:val="bottom"/>
            <w:hideMark/>
          </w:tcPr>
          <w:p w14:paraId="37058D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11F1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5AE2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BB145B" w14:textId="77777777" w:rsidR="00000000" w:rsidRDefault="00D6065B">
            <w:pPr>
              <w:jc w:val="right"/>
              <w:rPr>
                <w:rFonts w:eastAsia="Times New Roman"/>
                <w:sz w:val="16"/>
                <w:szCs w:val="16"/>
              </w:rPr>
            </w:pPr>
            <w:r>
              <w:rPr>
                <w:rFonts w:eastAsia="Times New Roman"/>
                <w:sz w:val="16"/>
                <w:szCs w:val="16"/>
              </w:rPr>
              <w:t>1,013,245</w:t>
            </w:r>
          </w:p>
        </w:tc>
        <w:tc>
          <w:tcPr>
            <w:tcW w:w="0" w:type="auto"/>
            <w:shd w:val="clear" w:color="auto" w:fill="CCEEFF"/>
            <w:vAlign w:val="bottom"/>
            <w:hideMark/>
          </w:tcPr>
          <w:p w14:paraId="5308D10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470D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E07D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42DF78" w14:textId="77777777" w:rsidR="00000000" w:rsidRDefault="00D6065B">
            <w:pPr>
              <w:jc w:val="right"/>
              <w:rPr>
                <w:rFonts w:eastAsia="Times New Roman"/>
                <w:sz w:val="16"/>
                <w:szCs w:val="16"/>
              </w:rPr>
            </w:pPr>
            <w:r>
              <w:rPr>
                <w:rFonts w:eastAsia="Times New Roman"/>
                <w:sz w:val="16"/>
                <w:szCs w:val="16"/>
              </w:rPr>
              <w:t>1,013</w:t>
            </w:r>
          </w:p>
        </w:tc>
        <w:tc>
          <w:tcPr>
            <w:tcW w:w="0" w:type="auto"/>
            <w:shd w:val="clear" w:color="auto" w:fill="CCEEFF"/>
            <w:vAlign w:val="bottom"/>
            <w:hideMark/>
          </w:tcPr>
          <w:p w14:paraId="2783D5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9751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20A5B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82B50D" w14:textId="77777777" w:rsidR="00000000" w:rsidRDefault="00D6065B">
            <w:pPr>
              <w:jc w:val="right"/>
              <w:rPr>
                <w:rFonts w:eastAsia="Times New Roman"/>
                <w:sz w:val="16"/>
                <w:szCs w:val="16"/>
              </w:rPr>
            </w:pPr>
            <w:r>
              <w:rPr>
                <w:rFonts w:eastAsia="Times New Roman"/>
                <w:sz w:val="16"/>
                <w:szCs w:val="16"/>
              </w:rPr>
              <w:t>615,295</w:t>
            </w:r>
          </w:p>
        </w:tc>
        <w:tc>
          <w:tcPr>
            <w:tcW w:w="0" w:type="auto"/>
            <w:shd w:val="clear" w:color="auto" w:fill="CCEEFF"/>
            <w:vAlign w:val="bottom"/>
            <w:hideMark/>
          </w:tcPr>
          <w:p w14:paraId="7F687D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A19A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BC148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6C03B1" w14:textId="77777777" w:rsidR="00000000" w:rsidRDefault="00D6065B">
            <w:pPr>
              <w:jc w:val="right"/>
              <w:rPr>
                <w:rFonts w:eastAsia="Times New Roman"/>
                <w:sz w:val="16"/>
                <w:szCs w:val="16"/>
              </w:rPr>
            </w:pPr>
            <w:r>
              <w:rPr>
                <w:rFonts w:eastAsia="Times New Roman"/>
                <w:sz w:val="16"/>
                <w:szCs w:val="16"/>
              </w:rPr>
              <w:t>385,302</w:t>
            </w:r>
          </w:p>
        </w:tc>
        <w:tc>
          <w:tcPr>
            <w:tcW w:w="0" w:type="auto"/>
            <w:shd w:val="clear" w:color="auto" w:fill="CCEEFF"/>
            <w:vAlign w:val="bottom"/>
            <w:hideMark/>
          </w:tcPr>
          <w:p w14:paraId="0CD65A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66E2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1151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6F42A9" w14:textId="77777777" w:rsidR="00000000" w:rsidRDefault="00D6065B">
            <w:pPr>
              <w:jc w:val="right"/>
              <w:rPr>
                <w:rFonts w:eastAsia="Times New Roman"/>
                <w:sz w:val="16"/>
                <w:szCs w:val="16"/>
              </w:rPr>
            </w:pPr>
            <w:r>
              <w:rPr>
                <w:rFonts w:eastAsia="Times New Roman"/>
                <w:sz w:val="16"/>
                <w:szCs w:val="16"/>
              </w:rPr>
              <w:t>385</w:t>
            </w:r>
          </w:p>
        </w:tc>
        <w:tc>
          <w:tcPr>
            <w:tcW w:w="0" w:type="auto"/>
            <w:shd w:val="clear" w:color="auto" w:fill="CCEEFF"/>
            <w:vAlign w:val="bottom"/>
            <w:hideMark/>
          </w:tcPr>
          <w:p w14:paraId="725D0D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DFE6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A230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26BA81" w14:textId="77777777" w:rsidR="00000000" w:rsidRDefault="00D6065B">
            <w:pPr>
              <w:jc w:val="right"/>
              <w:rPr>
                <w:rFonts w:eastAsia="Times New Roman"/>
                <w:sz w:val="16"/>
                <w:szCs w:val="16"/>
              </w:rPr>
            </w:pPr>
            <w:r>
              <w:rPr>
                <w:rFonts w:eastAsia="Times New Roman"/>
                <w:sz w:val="16"/>
                <w:szCs w:val="16"/>
              </w:rPr>
              <w:t>500,507</w:t>
            </w:r>
          </w:p>
        </w:tc>
        <w:tc>
          <w:tcPr>
            <w:tcW w:w="0" w:type="auto"/>
            <w:shd w:val="clear" w:color="auto" w:fill="CCEEFF"/>
            <w:vAlign w:val="bottom"/>
            <w:hideMark/>
          </w:tcPr>
          <w:p w14:paraId="43CDA2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DA5F7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8C38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5FBCFE" w14:textId="77777777" w:rsidR="00000000" w:rsidRDefault="00D6065B">
            <w:pPr>
              <w:jc w:val="right"/>
              <w:rPr>
                <w:rFonts w:eastAsia="Times New Roman"/>
                <w:sz w:val="16"/>
                <w:szCs w:val="16"/>
              </w:rPr>
            </w:pPr>
            <w:r>
              <w:rPr>
                <w:rFonts w:eastAsia="Times New Roman"/>
                <w:sz w:val="16"/>
                <w:szCs w:val="16"/>
              </w:rPr>
              <w:t>190,295,634</w:t>
            </w:r>
          </w:p>
        </w:tc>
        <w:tc>
          <w:tcPr>
            <w:tcW w:w="0" w:type="auto"/>
            <w:shd w:val="clear" w:color="auto" w:fill="CCEEFF"/>
            <w:vAlign w:val="bottom"/>
            <w:hideMark/>
          </w:tcPr>
          <w:p w14:paraId="17E255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EBB2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32DB0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08CA19" w14:textId="77777777" w:rsidR="00000000" w:rsidRDefault="00D6065B">
            <w:pPr>
              <w:jc w:val="right"/>
              <w:rPr>
                <w:rFonts w:eastAsia="Times New Roman"/>
                <w:sz w:val="16"/>
                <w:szCs w:val="16"/>
              </w:rPr>
            </w:pPr>
            <w:r>
              <w:rPr>
                <w:rFonts w:eastAsia="Times New Roman"/>
                <w:sz w:val="16"/>
                <w:szCs w:val="16"/>
              </w:rPr>
              <w:t>190,295</w:t>
            </w:r>
          </w:p>
        </w:tc>
        <w:tc>
          <w:tcPr>
            <w:tcW w:w="0" w:type="auto"/>
            <w:shd w:val="clear" w:color="auto" w:fill="CCEEFF"/>
            <w:vAlign w:val="bottom"/>
            <w:hideMark/>
          </w:tcPr>
          <w:p w14:paraId="733DE9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437E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D62E7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47440D" w14:textId="77777777" w:rsidR="00000000" w:rsidRDefault="00D6065B">
            <w:pPr>
              <w:jc w:val="right"/>
              <w:rPr>
                <w:rFonts w:eastAsia="Times New Roman"/>
                <w:sz w:val="16"/>
                <w:szCs w:val="16"/>
              </w:rPr>
            </w:pPr>
            <w:r>
              <w:rPr>
                <w:rFonts w:eastAsia="Times New Roman"/>
                <w:sz w:val="16"/>
                <w:szCs w:val="16"/>
              </w:rPr>
              <w:t>61,997,111</w:t>
            </w:r>
          </w:p>
        </w:tc>
        <w:tc>
          <w:tcPr>
            <w:tcW w:w="0" w:type="auto"/>
            <w:shd w:val="clear" w:color="auto" w:fill="CCEEFF"/>
            <w:vAlign w:val="bottom"/>
            <w:hideMark/>
          </w:tcPr>
          <w:p w14:paraId="270A8E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098E0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999D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3AEE04" w14:textId="77777777" w:rsidR="00000000" w:rsidRDefault="00D6065B">
            <w:pPr>
              <w:jc w:val="right"/>
              <w:rPr>
                <w:rFonts w:eastAsia="Times New Roman"/>
                <w:sz w:val="16"/>
                <w:szCs w:val="16"/>
              </w:rPr>
            </w:pPr>
            <w:r>
              <w:rPr>
                <w:rFonts w:eastAsia="Times New Roman"/>
                <w:sz w:val="16"/>
                <w:szCs w:val="16"/>
              </w:rPr>
              <w:t>532,983</w:t>
            </w:r>
          </w:p>
        </w:tc>
        <w:tc>
          <w:tcPr>
            <w:tcW w:w="0" w:type="auto"/>
            <w:shd w:val="clear" w:color="auto" w:fill="CCEEFF"/>
            <w:vAlign w:val="bottom"/>
            <w:hideMark/>
          </w:tcPr>
          <w:p w14:paraId="67C9FF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4C2E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9875F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F18D12" w14:textId="77777777" w:rsidR="00000000" w:rsidRDefault="00D6065B">
            <w:pPr>
              <w:jc w:val="right"/>
              <w:rPr>
                <w:rFonts w:eastAsia="Times New Roman"/>
                <w:sz w:val="16"/>
                <w:szCs w:val="16"/>
              </w:rPr>
            </w:pPr>
            <w:r>
              <w:rPr>
                <w:rFonts w:eastAsia="Times New Roman"/>
                <w:sz w:val="16"/>
                <w:szCs w:val="16"/>
              </w:rPr>
              <w:t>(73,961,340</w:t>
            </w:r>
          </w:p>
        </w:tc>
        <w:tc>
          <w:tcPr>
            <w:tcW w:w="0" w:type="auto"/>
            <w:shd w:val="clear" w:color="auto" w:fill="CCEEFF"/>
            <w:vAlign w:val="bottom"/>
            <w:hideMark/>
          </w:tcPr>
          <w:p w14:paraId="78BDC24E"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vAlign w:val="bottom"/>
            <w:hideMark/>
          </w:tcPr>
          <w:p w14:paraId="22D411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A52D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D2E60E" w14:textId="77777777" w:rsidR="00000000" w:rsidRDefault="00D6065B">
            <w:pPr>
              <w:jc w:val="right"/>
              <w:rPr>
                <w:rFonts w:eastAsia="Times New Roman"/>
                <w:sz w:val="16"/>
                <w:szCs w:val="16"/>
              </w:rPr>
            </w:pPr>
            <w:r>
              <w:rPr>
                <w:rFonts w:eastAsia="Times New Roman"/>
                <w:sz w:val="16"/>
                <w:szCs w:val="16"/>
              </w:rPr>
              <w:t>(1,250,572</w:t>
            </w:r>
          </w:p>
        </w:tc>
        <w:tc>
          <w:tcPr>
            <w:tcW w:w="0" w:type="auto"/>
            <w:shd w:val="clear" w:color="auto" w:fill="CCEEFF"/>
            <w:vAlign w:val="bottom"/>
            <w:hideMark/>
          </w:tcPr>
          <w:p w14:paraId="60D065A6" w14:textId="77777777" w:rsidR="00000000" w:rsidRDefault="00D6065B">
            <w:pPr>
              <w:rPr>
                <w:rFonts w:eastAsia="Times New Roman"/>
                <w:sz w:val="16"/>
                <w:szCs w:val="16"/>
              </w:rPr>
            </w:pPr>
            <w:r>
              <w:rPr>
                <w:rFonts w:eastAsia="Times New Roman"/>
                <w:sz w:val="16"/>
                <w:szCs w:val="16"/>
              </w:rPr>
              <w:t>)</w:t>
            </w:r>
          </w:p>
        </w:tc>
      </w:tr>
      <w:tr w:rsidR="00D6065B" w14:paraId="3E340118" w14:textId="77777777">
        <w:tc>
          <w:tcPr>
            <w:tcW w:w="0" w:type="auto"/>
            <w:shd w:val="clear" w:color="auto" w:fill="FFFFFF"/>
            <w:vAlign w:val="bottom"/>
            <w:hideMark/>
          </w:tcPr>
          <w:p w14:paraId="4E6D2FC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DCDDE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DAB0D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C03A7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E8FF7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0FC3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D1C6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C14DA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7CC93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4FDA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719F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05AE9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706CA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99BB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B5D6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EAF09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81C6F3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E2E70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C58F7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1CE01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8CD4D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16EFE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FE0C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37D15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E6791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5289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69F8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62F92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AFDB5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1B34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A952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2BCDF4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2CEE0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8333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51C6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32B1E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CDFAA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9E057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455D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81A664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7D3DC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B0F2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5C6C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A9846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648B2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E5EEC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0740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4B355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E4A9B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36CD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83C4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24339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DDD0C5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302F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902C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01096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FD17B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27E65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12958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FF0B8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06AD9D8" w14:textId="77777777" w:rsidR="00000000" w:rsidRDefault="00D6065B">
            <w:pPr>
              <w:rPr>
                <w:rFonts w:eastAsia="Times New Roman"/>
                <w:sz w:val="16"/>
                <w:szCs w:val="16"/>
              </w:rPr>
            </w:pPr>
            <w:r>
              <w:rPr>
                <w:rFonts w:eastAsia="Times New Roman"/>
                <w:sz w:val="16"/>
                <w:szCs w:val="16"/>
              </w:rPr>
              <w:t> </w:t>
            </w:r>
          </w:p>
        </w:tc>
      </w:tr>
      <w:tr w:rsidR="00D6065B" w14:paraId="64E963AF" w14:textId="77777777">
        <w:tc>
          <w:tcPr>
            <w:tcW w:w="0" w:type="auto"/>
            <w:shd w:val="clear" w:color="auto" w:fill="CCEEFF"/>
            <w:vAlign w:val="bottom"/>
            <w:hideMark/>
          </w:tcPr>
          <w:p w14:paraId="6C1AD673" w14:textId="77777777" w:rsidR="00000000" w:rsidRDefault="00D6065B">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14:paraId="5CA1E6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1D25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2A93C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B7485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25CC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173A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1EFFE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B4B0B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8F46B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BCF1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8F522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F4FB51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E387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DF95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68F22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71E69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C821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B56D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41B94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F6D72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D1111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89BF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866B6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DD306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ABD7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89560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B5497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ACF4F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1CD3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E311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1134A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B1DAE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C9C64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C846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49F76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1A553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71219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22C3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B9763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2F85E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584F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F5B5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3496E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C8EED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3BD9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12A09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A8A6F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719216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241D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7C50D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37553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7CD60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F12F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B7C4E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087F8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510E9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D532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F7CA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0F4E4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83A0547" w14:textId="77777777" w:rsidR="00000000" w:rsidRDefault="00D6065B">
            <w:pPr>
              <w:rPr>
                <w:rFonts w:eastAsia="Times New Roman"/>
                <w:sz w:val="16"/>
                <w:szCs w:val="16"/>
              </w:rPr>
            </w:pPr>
            <w:r>
              <w:rPr>
                <w:rFonts w:eastAsia="Times New Roman"/>
                <w:sz w:val="16"/>
                <w:szCs w:val="16"/>
              </w:rPr>
              <w:t> </w:t>
            </w:r>
          </w:p>
        </w:tc>
      </w:tr>
      <w:tr w:rsidR="00D6065B" w14:paraId="4986A429" w14:textId="77777777">
        <w:tc>
          <w:tcPr>
            <w:tcW w:w="0" w:type="auto"/>
            <w:shd w:val="clear" w:color="auto" w:fill="FFFFFF"/>
            <w:tcMar>
              <w:top w:w="0" w:type="dxa"/>
              <w:left w:w="200" w:type="dxa"/>
              <w:bottom w:w="0" w:type="dxa"/>
              <w:right w:w="0" w:type="dxa"/>
            </w:tcMar>
            <w:vAlign w:val="bottom"/>
            <w:hideMark/>
          </w:tcPr>
          <w:p w14:paraId="68A22A2E" w14:textId="77777777" w:rsidR="00000000" w:rsidRDefault="00D6065B">
            <w:pPr>
              <w:rPr>
                <w:rFonts w:eastAsia="Times New Roman"/>
                <w:sz w:val="16"/>
                <w:szCs w:val="16"/>
              </w:rPr>
            </w:pPr>
            <w:r>
              <w:rPr>
                <w:rFonts w:eastAsia="Times New Roman"/>
                <w:sz w:val="16"/>
                <w:szCs w:val="16"/>
              </w:rPr>
              <w:t>Cash</w:t>
            </w:r>
          </w:p>
        </w:tc>
        <w:tc>
          <w:tcPr>
            <w:tcW w:w="0" w:type="auto"/>
            <w:shd w:val="clear" w:color="auto" w:fill="FFFFFF"/>
            <w:vAlign w:val="bottom"/>
            <w:hideMark/>
          </w:tcPr>
          <w:p w14:paraId="30391F5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745DB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3D15A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B7429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7041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8F4D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AE8F6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6BFAB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25DB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15DDB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C7015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58B89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1589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5320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10224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C00FE5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2996E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8E490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952F3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6424E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BF75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F8D68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4B864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86A84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5D38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4FEF8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A4507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3AF404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42420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EBFD0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55EFE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4E016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BADAF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6F4BA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B67DF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E0C4C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EBF3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D8C3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C23DF9" w14:textId="77777777" w:rsidR="00000000" w:rsidRDefault="00D6065B">
            <w:pPr>
              <w:jc w:val="right"/>
              <w:rPr>
                <w:rFonts w:eastAsia="Times New Roman"/>
                <w:sz w:val="16"/>
                <w:szCs w:val="16"/>
              </w:rPr>
            </w:pPr>
            <w:r>
              <w:rPr>
                <w:rFonts w:eastAsia="Times New Roman"/>
                <w:sz w:val="16"/>
                <w:szCs w:val="16"/>
              </w:rPr>
              <w:t>18,440,000</w:t>
            </w:r>
          </w:p>
        </w:tc>
        <w:tc>
          <w:tcPr>
            <w:tcW w:w="0" w:type="auto"/>
            <w:shd w:val="clear" w:color="auto" w:fill="FFFFFF"/>
            <w:vAlign w:val="bottom"/>
            <w:hideMark/>
          </w:tcPr>
          <w:p w14:paraId="22D05E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D308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F4C2B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DE7B4F" w14:textId="77777777" w:rsidR="00000000" w:rsidRDefault="00D6065B">
            <w:pPr>
              <w:jc w:val="right"/>
              <w:rPr>
                <w:rFonts w:eastAsia="Times New Roman"/>
                <w:sz w:val="16"/>
                <w:szCs w:val="16"/>
              </w:rPr>
            </w:pPr>
            <w:r>
              <w:rPr>
                <w:rFonts w:eastAsia="Times New Roman"/>
                <w:sz w:val="16"/>
                <w:szCs w:val="16"/>
              </w:rPr>
              <w:t>18,440</w:t>
            </w:r>
          </w:p>
        </w:tc>
        <w:tc>
          <w:tcPr>
            <w:tcW w:w="0" w:type="auto"/>
            <w:shd w:val="clear" w:color="auto" w:fill="FFFFFF"/>
            <w:vAlign w:val="bottom"/>
            <w:hideMark/>
          </w:tcPr>
          <w:p w14:paraId="0A2D72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96E1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60361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088718" w14:textId="77777777" w:rsidR="00000000" w:rsidRDefault="00D6065B">
            <w:pPr>
              <w:jc w:val="right"/>
              <w:rPr>
                <w:rFonts w:eastAsia="Times New Roman"/>
                <w:sz w:val="16"/>
                <w:szCs w:val="16"/>
              </w:rPr>
            </w:pPr>
            <w:r>
              <w:rPr>
                <w:rFonts w:eastAsia="Times New Roman"/>
                <w:sz w:val="16"/>
                <w:szCs w:val="16"/>
              </w:rPr>
              <w:t>479,440</w:t>
            </w:r>
          </w:p>
        </w:tc>
        <w:tc>
          <w:tcPr>
            <w:tcW w:w="0" w:type="auto"/>
            <w:shd w:val="clear" w:color="auto" w:fill="FFFFFF"/>
            <w:vAlign w:val="bottom"/>
            <w:hideMark/>
          </w:tcPr>
          <w:p w14:paraId="7B33830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367F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B9E7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E92612" w14:textId="77777777" w:rsidR="00000000" w:rsidRDefault="00D6065B">
            <w:pPr>
              <w:pStyle w:val="a3"/>
              <w:spacing w:before="0" w:beforeAutospacing="0" w:after="0" w:afterAutospacing="0"/>
              <w:jc w:val="right"/>
              <w:rPr>
                <w:sz w:val="16"/>
                <w:szCs w:val="16"/>
              </w:rPr>
            </w:pPr>
            <w:r>
              <w:rPr>
                <w:sz w:val="16"/>
                <w:szCs w:val="16"/>
              </w:rPr>
              <w:t>(6,980</w:t>
            </w:r>
          </w:p>
        </w:tc>
        <w:tc>
          <w:tcPr>
            <w:tcW w:w="0" w:type="auto"/>
            <w:shd w:val="clear" w:color="auto" w:fill="FFFFFF"/>
            <w:vAlign w:val="bottom"/>
            <w:hideMark/>
          </w:tcPr>
          <w:p w14:paraId="2066445A"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0E58F2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6C84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17ABE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A29C8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FA06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D0FE4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B8EF0C" w14:textId="77777777" w:rsidR="00000000" w:rsidRDefault="00D6065B">
            <w:pPr>
              <w:jc w:val="right"/>
              <w:rPr>
                <w:rFonts w:eastAsia="Times New Roman"/>
                <w:sz w:val="16"/>
                <w:szCs w:val="16"/>
              </w:rPr>
            </w:pPr>
            <w:r>
              <w:rPr>
                <w:rFonts w:eastAsia="Times New Roman"/>
                <w:sz w:val="16"/>
                <w:szCs w:val="16"/>
              </w:rPr>
              <w:t>491,010</w:t>
            </w:r>
          </w:p>
        </w:tc>
        <w:tc>
          <w:tcPr>
            <w:tcW w:w="0" w:type="auto"/>
            <w:shd w:val="clear" w:color="auto" w:fill="FFFFFF"/>
            <w:vAlign w:val="bottom"/>
            <w:hideMark/>
          </w:tcPr>
          <w:p w14:paraId="5AB76ABC" w14:textId="77777777" w:rsidR="00000000" w:rsidRDefault="00D6065B">
            <w:pPr>
              <w:rPr>
                <w:rFonts w:eastAsia="Times New Roman"/>
                <w:sz w:val="16"/>
                <w:szCs w:val="16"/>
              </w:rPr>
            </w:pPr>
            <w:r>
              <w:rPr>
                <w:rFonts w:eastAsia="Times New Roman"/>
                <w:sz w:val="16"/>
                <w:szCs w:val="16"/>
              </w:rPr>
              <w:t> </w:t>
            </w:r>
          </w:p>
        </w:tc>
      </w:tr>
      <w:tr w:rsidR="00D6065B" w14:paraId="2E863BB3" w14:textId="77777777">
        <w:tc>
          <w:tcPr>
            <w:tcW w:w="0" w:type="auto"/>
            <w:shd w:val="clear" w:color="auto" w:fill="CCEEFF"/>
            <w:tcMar>
              <w:top w:w="0" w:type="dxa"/>
              <w:left w:w="200" w:type="dxa"/>
              <w:bottom w:w="0" w:type="dxa"/>
              <w:right w:w="0" w:type="dxa"/>
            </w:tcMar>
            <w:vAlign w:val="bottom"/>
            <w:hideMark/>
          </w:tcPr>
          <w:p w14:paraId="4D548805" w14:textId="77777777" w:rsidR="00000000" w:rsidRDefault="00D6065B">
            <w:pPr>
              <w:rPr>
                <w:rFonts w:eastAsia="Times New Roman"/>
                <w:sz w:val="16"/>
                <w:szCs w:val="16"/>
              </w:rPr>
            </w:pPr>
            <w:r>
              <w:rPr>
                <w:rFonts w:eastAsia="Times New Roman"/>
                <w:sz w:val="16"/>
                <w:szCs w:val="16"/>
              </w:rPr>
              <w:t>Note conversions</w:t>
            </w:r>
          </w:p>
        </w:tc>
        <w:tc>
          <w:tcPr>
            <w:tcW w:w="0" w:type="auto"/>
            <w:shd w:val="clear" w:color="auto" w:fill="CCEEFF"/>
            <w:vAlign w:val="bottom"/>
            <w:hideMark/>
          </w:tcPr>
          <w:p w14:paraId="3EF2FA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7F68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CA2C4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B1170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127D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62C6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6982B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5C7B9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22B2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2E0D7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1C6531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06D4A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C9659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4B8A8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0DC9C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D030A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A63D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9876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07F5B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C6AD4D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74D2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AF71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AA7F3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1DFB6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6FE6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DE830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5550E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80C77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41A5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81262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A1406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4302C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1C5B4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E64F7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845E0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4190B7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D8A5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40A3A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D27BBB" w14:textId="77777777" w:rsidR="00000000" w:rsidRDefault="00D6065B">
            <w:pPr>
              <w:jc w:val="right"/>
              <w:rPr>
                <w:rFonts w:eastAsia="Times New Roman"/>
                <w:sz w:val="16"/>
                <w:szCs w:val="16"/>
              </w:rPr>
            </w:pPr>
            <w:r>
              <w:rPr>
                <w:rFonts w:eastAsia="Times New Roman"/>
                <w:sz w:val="16"/>
                <w:szCs w:val="16"/>
              </w:rPr>
              <w:t>24,112,742</w:t>
            </w:r>
          </w:p>
        </w:tc>
        <w:tc>
          <w:tcPr>
            <w:tcW w:w="0" w:type="auto"/>
            <w:shd w:val="clear" w:color="auto" w:fill="CCEEFF"/>
            <w:vAlign w:val="bottom"/>
            <w:hideMark/>
          </w:tcPr>
          <w:p w14:paraId="64E194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15094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10EB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2AC5B1" w14:textId="77777777" w:rsidR="00000000" w:rsidRDefault="00D6065B">
            <w:pPr>
              <w:jc w:val="right"/>
              <w:rPr>
                <w:rFonts w:eastAsia="Times New Roman"/>
                <w:sz w:val="16"/>
                <w:szCs w:val="16"/>
              </w:rPr>
            </w:pPr>
            <w:r>
              <w:rPr>
                <w:rFonts w:eastAsia="Times New Roman"/>
                <w:sz w:val="16"/>
                <w:szCs w:val="16"/>
              </w:rPr>
              <w:t>24,113</w:t>
            </w:r>
          </w:p>
        </w:tc>
        <w:tc>
          <w:tcPr>
            <w:tcW w:w="0" w:type="auto"/>
            <w:shd w:val="clear" w:color="auto" w:fill="CCEEFF"/>
            <w:vAlign w:val="bottom"/>
            <w:hideMark/>
          </w:tcPr>
          <w:p w14:paraId="1AEED5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8F72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34FC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D87FCB" w14:textId="77777777" w:rsidR="00000000" w:rsidRDefault="00D6065B">
            <w:pPr>
              <w:jc w:val="right"/>
              <w:rPr>
                <w:rFonts w:eastAsia="Times New Roman"/>
                <w:sz w:val="16"/>
                <w:szCs w:val="16"/>
              </w:rPr>
            </w:pPr>
            <w:r>
              <w:rPr>
                <w:rFonts w:eastAsia="Times New Roman"/>
                <w:sz w:val="16"/>
                <w:szCs w:val="16"/>
              </w:rPr>
              <w:t>626,931</w:t>
            </w:r>
          </w:p>
        </w:tc>
        <w:tc>
          <w:tcPr>
            <w:tcW w:w="0" w:type="auto"/>
            <w:shd w:val="clear" w:color="auto" w:fill="CCEEFF"/>
            <w:vAlign w:val="bottom"/>
            <w:hideMark/>
          </w:tcPr>
          <w:p w14:paraId="28AB6B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3CAF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2AE2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4C6DA1" w14:textId="77777777" w:rsidR="00000000" w:rsidRDefault="00D6065B">
            <w:pPr>
              <w:jc w:val="right"/>
              <w:rPr>
                <w:rFonts w:eastAsia="Times New Roman"/>
                <w:sz w:val="16"/>
                <w:szCs w:val="16"/>
              </w:rPr>
            </w:pPr>
            <w:r>
              <w:rPr>
                <w:rFonts w:eastAsia="Times New Roman"/>
                <w:sz w:val="16"/>
                <w:szCs w:val="16"/>
              </w:rPr>
              <w:t>(526,113</w:t>
            </w:r>
          </w:p>
        </w:tc>
        <w:tc>
          <w:tcPr>
            <w:tcW w:w="0" w:type="auto"/>
            <w:shd w:val="clear" w:color="auto" w:fill="CCEEFF"/>
            <w:vAlign w:val="bottom"/>
            <w:hideMark/>
          </w:tcPr>
          <w:p w14:paraId="21167D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C915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4E64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6AB00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CEF85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E86A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4CBD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147102" w14:textId="77777777" w:rsidR="00000000" w:rsidRDefault="00D6065B">
            <w:pPr>
              <w:jc w:val="right"/>
              <w:rPr>
                <w:rFonts w:eastAsia="Times New Roman"/>
                <w:sz w:val="16"/>
                <w:szCs w:val="16"/>
              </w:rPr>
            </w:pPr>
            <w:r>
              <w:rPr>
                <w:rFonts w:eastAsia="Times New Roman"/>
                <w:sz w:val="16"/>
                <w:szCs w:val="16"/>
              </w:rPr>
              <w:t>124,931</w:t>
            </w:r>
          </w:p>
        </w:tc>
        <w:tc>
          <w:tcPr>
            <w:tcW w:w="0" w:type="auto"/>
            <w:shd w:val="clear" w:color="auto" w:fill="CCEEFF"/>
            <w:vAlign w:val="bottom"/>
            <w:hideMark/>
          </w:tcPr>
          <w:p w14:paraId="58401C30" w14:textId="77777777" w:rsidR="00000000" w:rsidRDefault="00D6065B">
            <w:pPr>
              <w:rPr>
                <w:rFonts w:eastAsia="Times New Roman"/>
                <w:sz w:val="16"/>
                <w:szCs w:val="16"/>
              </w:rPr>
            </w:pPr>
            <w:r>
              <w:rPr>
                <w:rFonts w:eastAsia="Times New Roman"/>
                <w:sz w:val="16"/>
                <w:szCs w:val="16"/>
              </w:rPr>
              <w:t> </w:t>
            </w:r>
          </w:p>
        </w:tc>
      </w:tr>
      <w:tr w:rsidR="00D6065B" w14:paraId="248903C0" w14:textId="77777777">
        <w:tc>
          <w:tcPr>
            <w:tcW w:w="0" w:type="auto"/>
            <w:shd w:val="clear" w:color="auto" w:fill="FFFFFF"/>
            <w:vAlign w:val="bottom"/>
            <w:hideMark/>
          </w:tcPr>
          <w:p w14:paraId="6EAD08D5" w14:textId="77777777" w:rsidR="00000000" w:rsidRDefault="00D6065B">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14:paraId="7F38C6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1743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96A38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90B91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C9D1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86AC9E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D03D8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6D4DD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3A9F7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04D0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B62BA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DB557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ED54D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DC2C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994D1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C2E4E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792B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7C09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89B90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98D32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E80D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64AC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49390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21DED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2D42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5E3E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A332B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1DEA4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4B38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B77E1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6D7E2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E8DFF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8ECC9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4B1A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4E923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E4D21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0A0D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BC77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548E88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90DE02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5D39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6804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8B7F4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E9DFFB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66CE5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05C8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F9FB4B" w14:textId="77777777" w:rsidR="00000000" w:rsidRDefault="00D6065B">
            <w:pPr>
              <w:jc w:val="right"/>
              <w:rPr>
                <w:rFonts w:eastAsia="Times New Roman"/>
                <w:sz w:val="16"/>
                <w:szCs w:val="16"/>
              </w:rPr>
            </w:pPr>
            <w:r>
              <w:rPr>
                <w:rFonts w:eastAsia="Times New Roman"/>
                <w:sz w:val="16"/>
                <w:szCs w:val="16"/>
              </w:rPr>
              <w:t>6,900</w:t>
            </w:r>
          </w:p>
        </w:tc>
        <w:tc>
          <w:tcPr>
            <w:tcW w:w="0" w:type="auto"/>
            <w:shd w:val="clear" w:color="auto" w:fill="FFFFFF"/>
            <w:vAlign w:val="bottom"/>
            <w:hideMark/>
          </w:tcPr>
          <w:p w14:paraId="7A2A6C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86A9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2E5C9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A2211C" w14:textId="77777777" w:rsidR="00000000" w:rsidRDefault="00D6065B">
            <w:pPr>
              <w:jc w:val="right"/>
              <w:rPr>
                <w:rFonts w:eastAsia="Times New Roman"/>
                <w:sz w:val="16"/>
                <w:szCs w:val="16"/>
              </w:rPr>
            </w:pPr>
            <w:r>
              <w:rPr>
                <w:rFonts w:eastAsia="Times New Roman"/>
                <w:sz w:val="16"/>
                <w:szCs w:val="16"/>
              </w:rPr>
              <w:t>-</w:t>
            </w:r>
            <w:r>
              <w:rPr>
                <w:rFonts w:eastAsia="Times New Roman"/>
                <w:sz w:val="16"/>
                <w:szCs w:val="16"/>
              </w:rPr>
              <w:t> </w:t>
            </w:r>
          </w:p>
        </w:tc>
        <w:tc>
          <w:tcPr>
            <w:tcW w:w="0" w:type="auto"/>
            <w:shd w:val="clear" w:color="auto" w:fill="FFFFFF"/>
            <w:vAlign w:val="bottom"/>
            <w:hideMark/>
          </w:tcPr>
          <w:p w14:paraId="58DD018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9016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C37A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326C6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E74BE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B35E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2F4A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400B16" w14:textId="77777777" w:rsidR="00000000" w:rsidRDefault="00D6065B">
            <w:pPr>
              <w:jc w:val="right"/>
              <w:rPr>
                <w:rFonts w:eastAsia="Times New Roman"/>
                <w:sz w:val="16"/>
                <w:szCs w:val="16"/>
              </w:rPr>
            </w:pPr>
            <w:r>
              <w:rPr>
                <w:rFonts w:eastAsia="Times New Roman"/>
                <w:sz w:val="16"/>
                <w:szCs w:val="16"/>
              </w:rPr>
              <w:t>6,900</w:t>
            </w:r>
          </w:p>
        </w:tc>
        <w:tc>
          <w:tcPr>
            <w:tcW w:w="0" w:type="auto"/>
            <w:shd w:val="clear" w:color="auto" w:fill="FFFFFF"/>
            <w:vAlign w:val="bottom"/>
            <w:hideMark/>
          </w:tcPr>
          <w:p w14:paraId="27F60776" w14:textId="77777777" w:rsidR="00000000" w:rsidRDefault="00D6065B">
            <w:pPr>
              <w:rPr>
                <w:rFonts w:eastAsia="Times New Roman"/>
                <w:sz w:val="16"/>
                <w:szCs w:val="16"/>
              </w:rPr>
            </w:pPr>
            <w:r>
              <w:rPr>
                <w:rFonts w:eastAsia="Times New Roman"/>
                <w:sz w:val="16"/>
                <w:szCs w:val="16"/>
              </w:rPr>
              <w:t> </w:t>
            </w:r>
          </w:p>
        </w:tc>
      </w:tr>
      <w:tr w:rsidR="00D6065B" w14:paraId="0E150AA8" w14:textId="77777777">
        <w:tc>
          <w:tcPr>
            <w:tcW w:w="0" w:type="auto"/>
            <w:shd w:val="clear" w:color="auto" w:fill="CCEEFF"/>
            <w:vAlign w:val="bottom"/>
            <w:hideMark/>
          </w:tcPr>
          <w:p w14:paraId="376193F9" w14:textId="77777777" w:rsidR="00000000" w:rsidRDefault="00D6065B">
            <w:pPr>
              <w:rPr>
                <w:rFonts w:eastAsia="Times New Roman"/>
                <w:sz w:val="16"/>
                <w:szCs w:val="16"/>
              </w:rPr>
            </w:pPr>
            <w:r>
              <w:rPr>
                <w:rFonts w:eastAsia="Times New Roman"/>
                <w:sz w:val="16"/>
                <w:szCs w:val="16"/>
              </w:rPr>
              <w:t xml:space="preserve">Options </w:t>
            </w:r>
            <w:r>
              <w:rPr>
                <w:rFonts w:eastAsia="Times New Roman"/>
                <w:sz w:val="16"/>
                <w:szCs w:val="16"/>
              </w:rPr>
              <w:t>and warrants issued for services</w:t>
            </w:r>
          </w:p>
        </w:tc>
        <w:tc>
          <w:tcPr>
            <w:tcW w:w="0" w:type="auto"/>
            <w:shd w:val="clear" w:color="auto" w:fill="CCEEFF"/>
            <w:vAlign w:val="bottom"/>
            <w:hideMark/>
          </w:tcPr>
          <w:p w14:paraId="35768C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F04A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7806D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7AC747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DFE240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B8C5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82AE5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0664A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5020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05E2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DFCA0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05776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5E205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0BDB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ED264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5E187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05AAD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7928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04F17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BAF877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EDC7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1A248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F76F4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87518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F2AED2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D891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5CC03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04666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E967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3D1B6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51B15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00D05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9661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2053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22698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436B3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9DEC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78DA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176523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33CB8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8BAD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93AE1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8991E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CAF08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E928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CE1C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20B726" w14:textId="77777777" w:rsidR="00000000" w:rsidRDefault="00D6065B">
            <w:pPr>
              <w:jc w:val="right"/>
              <w:rPr>
                <w:rFonts w:eastAsia="Times New Roman"/>
                <w:sz w:val="16"/>
                <w:szCs w:val="16"/>
              </w:rPr>
            </w:pPr>
            <w:r>
              <w:rPr>
                <w:rFonts w:eastAsia="Times New Roman"/>
                <w:sz w:val="16"/>
                <w:szCs w:val="16"/>
              </w:rPr>
              <w:t>2,176</w:t>
            </w:r>
          </w:p>
        </w:tc>
        <w:tc>
          <w:tcPr>
            <w:tcW w:w="0" w:type="auto"/>
            <w:shd w:val="clear" w:color="auto" w:fill="CCEEFF"/>
            <w:vAlign w:val="bottom"/>
            <w:hideMark/>
          </w:tcPr>
          <w:p w14:paraId="101F0C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2292F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11B05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A0143C" w14:textId="77777777" w:rsidR="00000000" w:rsidRDefault="00D6065B">
            <w:pPr>
              <w:jc w:val="right"/>
              <w:rPr>
                <w:rFonts w:eastAsia="Times New Roman"/>
                <w:sz w:val="16"/>
                <w:szCs w:val="16"/>
              </w:rPr>
            </w:pPr>
            <w:r>
              <w:rPr>
                <w:rFonts w:eastAsia="Times New Roman"/>
                <w:sz w:val="16"/>
                <w:szCs w:val="16"/>
              </w:rPr>
              <w:t>-</w:t>
            </w:r>
            <w:r>
              <w:rPr>
                <w:rFonts w:eastAsia="Times New Roman"/>
                <w:sz w:val="16"/>
                <w:szCs w:val="16"/>
              </w:rPr>
              <w:t> </w:t>
            </w:r>
          </w:p>
        </w:tc>
        <w:tc>
          <w:tcPr>
            <w:tcW w:w="0" w:type="auto"/>
            <w:shd w:val="clear" w:color="auto" w:fill="CCEEFF"/>
            <w:vAlign w:val="bottom"/>
            <w:hideMark/>
          </w:tcPr>
          <w:p w14:paraId="5C350E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7824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22CA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AFFA2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51D42C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97892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74CA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7903E2" w14:textId="77777777" w:rsidR="00000000" w:rsidRDefault="00D6065B">
            <w:pPr>
              <w:jc w:val="right"/>
              <w:rPr>
                <w:rFonts w:eastAsia="Times New Roman"/>
                <w:sz w:val="16"/>
                <w:szCs w:val="16"/>
              </w:rPr>
            </w:pPr>
            <w:r>
              <w:rPr>
                <w:rFonts w:eastAsia="Times New Roman"/>
                <w:sz w:val="16"/>
                <w:szCs w:val="16"/>
              </w:rPr>
              <w:t>2,176</w:t>
            </w:r>
          </w:p>
        </w:tc>
        <w:tc>
          <w:tcPr>
            <w:tcW w:w="0" w:type="auto"/>
            <w:shd w:val="clear" w:color="auto" w:fill="CCEEFF"/>
            <w:vAlign w:val="bottom"/>
            <w:hideMark/>
          </w:tcPr>
          <w:p w14:paraId="2296CBCC" w14:textId="77777777" w:rsidR="00000000" w:rsidRDefault="00D6065B">
            <w:pPr>
              <w:rPr>
                <w:rFonts w:eastAsia="Times New Roman"/>
                <w:sz w:val="16"/>
                <w:szCs w:val="16"/>
              </w:rPr>
            </w:pPr>
            <w:r>
              <w:rPr>
                <w:rFonts w:eastAsia="Times New Roman"/>
                <w:sz w:val="16"/>
                <w:szCs w:val="16"/>
              </w:rPr>
              <w:t> </w:t>
            </w:r>
          </w:p>
        </w:tc>
      </w:tr>
      <w:tr w:rsidR="00D6065B" w14:paraId="045F8133" w14:textId="77777777">
        <w:tc>
          <w:tcPr>
            <w:tcW w:w="0" w:type="auto"/>
            <w:shd w:val="clear" w:color="auto" w:fill="FFFFFF"/>
            <w:tcMar>
              <w:top w:w="0" w:type="dxa"/>
              <w:left w:w="0" w:type="dxa"/>
              <w:bottom w:w="30" w:type="dxa"/>
              <w:right w:w="0" w:type="dxa"/>
            </w:tcMar>
            <w:vAlign w:val="bottom"/>
            <w:hideMark/>
          </w:tcPr>
          <w:p w14:paraId="584695B0" w14:textId="77777777" w:rsidR="00000000" w:rsidRDefault="00D6065B">
            <w:pPr>
              <w:rPr>
                <w:rFonts w:eastAsia="Times New Roman"/>
                <w:sz w:val="16"/>
                <w:szCs w:val="16"/>
              </w:rPr>
            </w:pPr>
            <w:r>
              <w:rPr>
                <w:rFonts w:eastAsia="Times New Roman"/>
                <w:sz w:val="16"/>
                <w:szCs w:val="16"/>
              </w:rPr>
              <w:t>Net loss for the period</w:t>
            </w:r>
          </w:p>
        </w:tc>
        <w:tc>
          <w:tcPr>
            <w:tcW w:w="0" w:type="auto"/>
            <w:shd w:val="clear" w:color="auto" w:fill="FFFFFF"/>
            <w:tcMar>
              <w:top w:w="0" w:type="dxa"/>
              <w:left w:w="0" w:type="dxa"/>
              <w:bottom w:w="30" w:type="dxa"/>
              <w:right w:w="0" w:type="dxa"/>
            </w:tcMar>
            <w:vAlign w:val="bottom"/>
            <w:hideMark/>
          </w:tcPr>
          <w:p w14:paraId="26E965C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2F2E2F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F98C0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27E874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B19276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F098EA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CB1AC3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72808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65CAC24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E8CF86A"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122B85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C061C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17B48A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19EBD8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1D8D68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6A9E8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F3B2EF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C850ED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7985EC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B77A8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87A565A"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84F9C7A"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132CFB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055829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224A5FC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48DEA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892C7E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20C6A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214B3D9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E85CD0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E1747D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E2C6C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959E92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95248E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4C451B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A7F94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B5D989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0B3DBD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F05415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7A85A9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00A8C86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61CAD9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53C976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08A3BE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228671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3074E8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A5C1F8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B3173DF" w14:textId="77777777" w:rsidR="00000000" w:rsidRDefault="00D6065B">
            <w:pPr>
              <w:jc w:val="right"/>
              <w:rPr>
                <w:rFonts w:eastAsia="Times New Roman"/>
                <w:sz w:val="16"/>
                <w:szCs w:val="16"/>
              </w:rPr>
            </w:pPr>
          </w:p>
        </w:tc>
        <w:tc>
          <w:tcPr>
            <w:tcW w:w="0" w:type="auto"/>
            <w:shd w:val="clear" w:color="auto" w:fill="FFFFFF"/>
            <w:tcMar>
              <w:top w:w="0" w:type="dxa"/>
              <w:left w:w="0" w:type="dxa"/>
              <w:bottom w:w="30" w:type="dxa"/>
              <w:right w:w="0" w:type="dxa"/>
            </w:tcMar>
            <w:vAlign w:val="bottom"/>
            <w:hideMark/>
          </w:tcPr>
          <w:p w14:paraId="6337344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7DEB61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5FD09D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7705E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CDC4D2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A87FEA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E41E6D9" w14:textId="77777777" w:rsidR="00000000" w:rsidRDefault="00D6065B">
            <w:pPr>
              <w:jc w:val="right"/>
              <w:rPr>
                <w:rFonts w:eastAsia="Times New Roman"/>
                <w:sz w:val="16"/>
                <w:szCs w:val="16"/>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14:paraId="2141EEEC"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977904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AE6C4A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212A11F" w14:textId="77777777" w:rsidR="00000000" w:rsidRDefault="00D6065B">
            <w:pPr>
              <w:jc w:val="right"/>
              <w:rPr>
                <w:rFonts w:eastAsia="Times New Roman"/>
                <w:sz w:val="16"/>
                <w:szCs w:val="16"/>
              </w:rPr>
            </w:pPr>
            <w:r>
              <w:rPr>
                <w:rFonts w:eastAsia="Times New Roman"/>
                <w:sz w:val="16"/>
                <w:szCs w:val="16"/>
              </w:rPr>
              <w:t>(159,087</w:t>
            </w:r>
          </w:p>
        </w:tc>
        <w:tc>
          <w:tcPr>
            <w:tcW w:w="0" w:type="auto"/>
            <w:shd w:val="clear" w:color="auto" w:fill="FFFFFF"/>
            <w:tcMar>
              <w:top w:w="0" w:type="dxa"/>
              <w:left w:w="0" w:type="dxa"/>
              <w:bottom w:w="30" w:type="dxa"/>
              <w:right w:w="0" w:type="dxa"/>
            </w:tcMar>
            <w:vAlign w:val="bottom"/>
            <w:hideMark/>
          </w:tcPr>
          <w:p w14:paraId="1FBBD823" w14:textId="77777777" w:rsidR="00000000" w:rsidRDefault="00D6065B">
            <w:pPr>
              <w:rPr>
                <w:rFonts w:eastAsia="Times New Roman"/>
                <w:sz w:val="16"/>
                <w:szCs w:val="16"/>
              </w:rPr>
            </w:pPr>
            <w:r>
              <w:rPr>
                <w:rFonts w:eastAsia="Times New Roman"/>
                <w:sz w:val="16"/>
                <w:szCs w:val="16"/>
              </w:rPr>
              <w:t>)</w:t>
            </w:r>
          </w:p>
        </w:tc>
      </w:tr>
      <w:tr w:rsidR="00D6065B" w14:paraId="01D0EE4F" w14:textId="77777777">
        <w:tc>
          <w:tcPr>
            <w:tcW w:w="0" w:type="auto"/>
            <w:shd w:val="clear" w:color="auto" w:fill="CCEEFF"/>
            <w:vAlign w:val="bottom"/>
            <w:hideMark/>
          </w:tcPr>
          <w:p w14:paraId="5EEC3AC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7978F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58C1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FA2C3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F7FC3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368C2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011B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7592A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788380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DB69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59C3C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B8A20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32BCBB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3407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172E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617B4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3C2A1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B464F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F913F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3A21B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B2B640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A973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CE67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551C4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A2AC6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048C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8059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EEC93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0AA58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221CE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F1F4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2D29D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5AA46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54F49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388B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256382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0B48C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7C19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DDA1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90E9E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76929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7413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1EEF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E159D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13F8D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217B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79424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F0D1D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CAF37D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FD19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C555E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7D103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1E459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46F0E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94AD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BDC61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165728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E800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6E15C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4670F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967E534" w14:textId="77777777" w:rsidR="00000000" w:rsidRDefault="00D6065B">
            <w:pPr>
              <w:rPr>
                <w:rFonts w:eastAsia="Times New Roman"/>
                <w:sz w:val="16"/>
                <w:szCs w:val="16"/>
              </w:rPr>
            </w:pPr>
            <w:r>
              <w:rPr>
                <w:rFonts w:eastAsia="Times New Roman"/>
                <w:sz w:val="16"/>
                <w:szCs w:val="16"/>
              </w:rPr>
              <w:t> </w:t>
            </w:r>
          </w:p>
        </w:tc>
      </w:tr>
      <w:tr w:rsidR="00D6065B" w14:paraId="566132E2" w14:textId="77777777">
        <w:tc>
          <w:tcPr>
            <w:tcW w:w="0" w:type="auto"/>
            <w:shd w:val="clear" w:color="auto" w:fill="FFFFFF"/>
            <w:tcMar>
              <w:top w:w="0" w:type="dxa"/>
              <w:left w:w="0" w:type="dxa"/>
              <w:bottom w:w="50" w:type="dxa"/>
              <w:right w:w="0" w:type="dxa"/>
            </w:tcMar>
            <w:vAlign w:val="bottom"/>
            <w:hideMark/>
          </w:tcPr>
          <w:p w14:paraId="47530E30" w14:textId="77777777" w:rsidR="00000000" w:rsidRDefault="00D6065B">
            <w:pPr>
              <w:rPr>
                <w:rFonts w:eastAsia="Times New Roman"/>
                <w:sz w:val="16"/>
                <w:szCs w:val="16"/>
              </w:rPr>
            </w:pPr>
            <w:r>
              <w:rPr>
                <w:rFonts w:eastAsia="Times New Roman"/>
                <w:sz w:val="16"/>
                <w:szCs w:val="16"/>
              </w:rPr>
              <w:t>Balance - June 30, 2020</w:t>
            </w:r>
          </w:p>
        </w:tc>
        <w:tc>
          <w:tcPr>
            <w:tcW w:w="0" w:type="auto"/>
            <w:shd w:val="clear" w:color="auto" w:fill="FFFFFF"/>
            <w:tcMar>
              <w:top w:w="0" w:type="dxa"/>
              <w:left w:w="0" w:type="dxa"/>
              <w:bottom w:w="50" w:type="dxa"/>
              <w:right w:w="0" w:type="dxa"/>
            </w:tcMar>
            <w:vAlign w:val="bottom"/>
            <w:hideMark/>
          </w:tcPr>
          <w:p w14:paraId="585417D6"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D2359C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03772B2" w14:textId="77777777" w:rsidR="00000000" w:rsidRDefault="00D6065B">
            <w:pPr>
              <w:jc w:val="right"/>
              <w:rPr>
                <w:rFonts w:eastAsia="Times New Roman"/>
                <w:sz w:val="16"/>
                <w:szCs w:val="16"/>
              </w:rPr>
            </w:pPr>
            <w:r>
              <w:rPr>
                <w:rFonts w:eastAsia="Times New Roman"/>
                <w:sz w:val="16"/>
                <w:szCs w:val="16"/>
              </w:rPr>
              <w:t>2,552,642</w:t>
            </w:r>
          </w:p>
        </w:tc>
        <w:tc>
          <w:tcPr>
            <w:tcW w:w="0" w:type="auto"/>
            <w:shd w:val="clear" w:color="auto" w:fill="FFFFFF"/>
            <w:tcMar>
              <w:top w:w="0" w:type="dxa"/>
              <w:left w:w="0" w:type="dxa"/>
              <w:bottom w:w="50" w:type="dxa"/>
              <w:right w:w="0" w:type="dxa"/>
            </w:tcMar>
            <w:vAlign w:val="bottom"/>
            <w:hideMark/>
          </w:tcPr>
          <w:p w14:paraId="2A37DCE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3C21386B"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17E3FCE"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362A0FF" w14:textId="77777777" w:rsidR="00000000" w:rsidRDefault="00D6065B">
            <w:pPr>
              <w:jc w:val="right"/>
              <w:rPr>
                <w:rFonts w:eastAsia="Times New Roman"/>
                <w:sz w:val="16"/>
                <w:szCs w:val="16"/>
              </w:rPr>
            </w:pPr>
            <w:r>
              <w:rPr>
                <w:rFonts w:eastAsia="Times New Roman"/>
                <w:sz w:val="16"/>
                <w:szCs w:val="16"/>
              </w:rPr>
              <w:t>2,553</w:t>
            </w:r>
          </w:p>
        </w:tc>
        <w:tc>
          <w:tcPr>
            <w:tcW w:w="0" w:type="auto"/>
            <w:shd w:val="clear" w:color="auto" w:fill="FFFFFF"/>
            <w:tcMar>
              <w:top w:w="0" w:type="dxa"/>
              <w:left w:w="0" w:type="dxa"/>
              <w:bottom w:w="50" w:type="dxa"/>
              <w:right w:w="0" w:type="dxa"/>
            </w:tcMar>
            <w:vAlign w:val="bottom"/>
            <w:hideMark/>
          </w:tcPr>
          <w:p w14:paraId="39C724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27C9DEF2"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67AAC61"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2B33BD23" w14:textId="77777777" w:rsidR="00000000" w:rsidRDefault="00D6065B">
            <w:pPr>
              <w:jc w:val="right"/>
              <w:rPr>
                <w:rFonts w:eastAsia="Times New Roman"/>
                <w:sz w:val="16"/>
                <w:szCs w:val="16"/>
              </w:rPr>
            </w:pPr>
            <w:r>
              <w:rPr>
                <w:rFonts w:eastAsia="Times New Roman"/>
                <w:sz w:val="16"/>
                <w:szCs w:val="16"/>
              </w:rPr>
              <w:t>8,870,626</w:t>
            </w:r>
          </w:p>
        </w:tc>
        <w:tc>
          <w:tcPr>
            <w:tcW w:w="0" w:type="auto"/>
            <w:shd w:val="clear" w:color="auto" w:fill="FFFFFF"/>
            <w:tcMar>
              <w:top w:w="0" w:type="dxa"/>
              <w:left w:w="0" w:type="dxa"/>
              <w:bottom w:w="50" w:type="dxa"/>
              <w:right w:w="0" w:type="dxa"/>
            </w:tcMar>
            <w:vAlign w:val="bottom"/>
            <w:hideMark/>
          </w:tcPr>
          <w:p w14:paraId="7AEBAE8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3E93171B"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BEA4B2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6515FDF" w14:textId="77777777" w:rsidR="00000000" w:rsidRDefault="00D6065B">
            <w:pPr>
              <w:jc w:val="right"/>
              <w:rPr>
                <w:rFonts w:eastAsia="Times New Roman"/>
                <w:sz w:val="16"/>
                <w:szCs w:val="16"/>
              </w:rPr>
            </w:pPr>
            <w:r>
              <w:rPr>
                <w:rFonts w:eastAsia="Times New Roman"/>
                <w:sz w:val="16"/>
                <w:szCs w:val="16"/>
              </w:rPr>
              <w:t>1,013,245</w:t>
            </w:r>
          </w:p>
        </w:tc>
        <w:tc>
          <w:tcPr>
            <w:tcW w:w="0" w:type="auto"/>
            <w:shd w:val="clear" w:color="auto" w:fill="FFFFFF"/>
            <w:tcMar>
              <w:top w:w="0" w:type="dxa"/>
              <w:left w:w="0" w:type="dxa"/>
              <w:bottom w:w="50" w:type="dxa"/>
              <w:right w:w="0" w:type="dxa"/>
            </w:tcMar>
            <w:vAlign w:val="bottom"/>
            <w:hideMark/>
          </w:tcPr>
          <w:p w14:paraId="0AD7C5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2D00B3C"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24BA7E1"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B744D96" w14:textId="77777777" w:rsidR="00000000" w:rsidRDefault="00D6065B">
            <w:pPr>
              <w:jc w:val="right"/>
              <w:rPr>
                <w:rFonts w:eastAsia="Times New Roman"/>
                <w:sz w:val="16"/>
                <w:szCs w:val="16"/>
              </w:rPr>
            </w:pPr>
            <w:r>
              <w:rPr>
                <w:rFonts w:eastAsia="Times New Roman"/>
                <w:sz w:val="16"/>
                <w:szCs w:val="16"/>
              </w:rPr>
              <w:t>1,013</w:t>
            </w:r>
          </w:p>
        </w:tc>
        <w:tc>
          <w:tcPr>
            <w:tcW w:w="0" w:type="auto"/>
            <w:shd w:val="clear" w:color="auto" w:fill="FFFFFF"/>
            <w:tcMar>
              <w:top w:w="0" w:type="dxa"/>
              <w:left w:w="0" w:type="dxa"/>
              <w:bottom w:w="50" w:type="dxa"/>
              <w:right w:w="0" w:type="dxa"/>
            </w:tcMar>
            <w:vAlign w:val="bottom"/>
            <w:hideMark/>
          </w:tcPr>
          <w:p w14:paraId="77D14E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33AD4642"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196D2885"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0BB8484B" w14:textId="77777777" w:rsidR="00000000" w:rsidRDefault="00D6065B">
            <w:pPr>
              <w:jc w:val="right"/>
              <w:rPr>
                <w:rFonts w:eastAsia="Times New Roman"/>
                <w:sz w:val="16"/>
                <w:szCs w:val="16"/>
              </w:rPr>
            </w:pPr>
            <w:r>
              <w:rPr>
                <w:rFonts w:eastAsia="Times New Roman"/>
                <w:sz w:val="16"/>
                <w:szCs w:val="16"/>
              </w:rPr>
              <w:t>615,295</w:t>
            </w:r>
          </w:p>
        </w:tc>
        <w:tc>
          <w:tcPr>
            <w:tcW w:w="0" w:type="auto"/>
            <w:shd w:val="clear" w:color="auto" w:fill="FFFFFF"/>
            <w:tcMar>
              <w:top w:w="0" w:type="dxa"/>
              <w:left w:w="0" w:type="dxa"/>
              <w:bottom w:w="50" w:type="dxa"/>
              <w:right w:w="0" w:type="dxa"/>
            </w:tcMar>
            <w:vAlign w:val="bottom"/>
            <w:hideMark/>
          </w:tcPr>
          <w:p w14:paraId="37BA0DC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7AF95C2"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6112718"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7B1581AE" w14:textId="77777777" w:rsidR="00000000" w:rsidRDefault="00D6065B">
            <w:pPr>
              <w:jc w:val="right"/>
              <w:rPr>
                <w:rFonts w:eastAsia="Times New Roman"/>
                <w:sz w:val="16"/>
                <w:szCs w:val="16"/>
              </w:rPr>
            </w:pPr>
            <w:r>
              <w:rPr>
                <w:rFonts w:eastAsia="Times New Roman"/>
                <w:sz w:val="16"/>
                <w:szCs w:val="16"/>
              </w:rPr>
              <w:t>385,302</w:t>
            </w:r>
          </w:p>
        </w:tc>
        <w:tc>
          <w:tcPr>
            <w:tcW w:w="0" w:type="auto"/>
            <w:shd w:val="clear" w:color="auto" w:fill="FFFFFF"/>
            <w:tcMar>
              <w:top w:w="0" w:type="dxa"/>
              <w:left w:w="0" w:type="dxa"/>
              <w:bottom w:w="50" w:type="dxa"/>
              <w:right w:w="0" w:type="dxa"/>
            </w:tcMar>
            <w:vAlign w:val="bottom"/>
            <w:hideMark/>
          </w:tcPr>
          <w:p w14:paraId="031CF8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097EF5FA"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6AF3BB5"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B926EF3" w14:textId="77777777" w:rsidR="00000000" w:rsidRDefault="00D6065B">
            <w:pPr>
              <w:jc w:val="right"/>
              <w:rPr>
                <w:rFonts w:eastAsia="Times New Roman"/>
                <w:sz w:val="16"/>
                <w:szCs w:val="16"/>
              </w:rPr>
            </w:pPr>
            <w:r>
              <w:rPr>
                <w:rFonts w:eastAsia="Times New Roman"/>
                <w:sz w:val="16"/>
                <w:szCs w:val="16"/>
              </w:rPr>
              <w:t>385</w:t>
            </w:r>
          </w:p>
        </w:tc>
        <w:tc>
          <w:tcPr>
            <w:tcW w:w="0" w:type="auto"/>
            <w:shd w:val="clear" w:color="auto" w:fill="FFFFFF"/>
            <w:tcMar>
              <w:top w:w="0" w:type="dxa"/>
              <w:left w:w="0" w:type="dxa"/>
              <w:bottom w:w="50" w:type="dxa"/>
              <w:right w:w="0" w:type="dxa"/>
            </w:tcMar>
            <w:vAlign w:val="bottom"/>
            <w:hideMark/>
          </w:tcPr>
          <w:p w14:paraId="6BB759E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4002BCF"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59D9604"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990EDFF" w14:textId="77777777" w:rsidR="00000000" w:rsidRDefault="00D6065B">
            <w:pPr>
              <w:jc w:val="right"/>
              <w:rPr>
                <w:rFonts w:eastAsia="Times New Roman"/>
                <w:sz w:val="16"/>
                <w:szCs w:val="16"/>
              </w:rPr>
            </w:pPr>
            <w:r>
              <w:rPr>
                <w:rFonts w:eastAsia="Times New Roman"/>
                <w:sz w:val="16"/>
                <w:szCs w:val="16"/>
              </w:rPr>
              <w:t>500,507</w:t>
            </w:r>
          </w:p>
        </w:tc>
        <w:tc>
          <w:tcPr>
            <w:tcW w:w="0" w:type="auto"/>
            <w:shd w:val="clear" w:color="auto" w:fill="FFFFFF"/>
            <w:tcMar>
              <w:top w:w="0" w:type="dxa"/>
              <w:left w:w="0" w:type="dxa"/>
              <w:bottom w:w="50" w:type="dxa"/>
              <w:right w:w="0" w:type="dxa"/>
            </w:tcMar>
            <w:vAlign w:val="bottom"/>
            <w:hideMark/>
          </w:tcPr>
          <w:p w14:paraId="580721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24A12C93"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637C12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3F975B2" w14:textId="77777777" w:rsidR="00000000" w:rsidRDefault="00D6065B">
            <w:pPr>
              <w:jc w:val="right"/>
              <w:rPr>
                <w:rFonts w:eastAsia="Times New Roman"/>
                <w:sz w:val="16"/>
                <w:szCs w:val="16"/>
              </w:rPr>
            </w:pPr>
            <w:r>
              <w:rPr>
                <w:rFonts w:eastAsia="Times New Roman"/>
                <w:sz w:val="16"/>
                <w:szCs w:val="16"/>
              </w:rPr>
              <w:t>232,848,376</w:t>
            </w:r>
          </w:p>
        </w:tc>
        <w:tc>
          <w:tcPr>
            <w:tcW w:w="0" w:type="auto"/>
            <w:shd w:val="clear" w:color="auto" w:fill="FFFFFF"/>
            <w:tcMar>
              <w:top w:w="0" w:type="dxa"/>
              <w:left w:w="0" w:type="dxa"/>
              <w:bottom w:w="50" w:type="dxa"/>
              <w:right w:w="0" w:type="dxa"/>
            </w:tcMar>
            <w:vAlign w:val="bottom"/>
            <w:hideMark/>
          </w:tcPr>
          <w:p w14:paraId="0424EB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76D81C7"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F1864F1"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5E54D7D" w14:textId="77777777" w:rsidR="00000000" w:rsidRDefault="00D6065B">
            <w:pPr>
              <w:jc w:val="right"/>
              <w:rPr>
                <w:rFonts w:eastAsia="Times New Roman"/>
                <w:sz w:val="16"/>
                <w:szCs w:val="16"/>
              </w:rPr>
            </w:pPr>
            <w:r>
              <w:rPr>
                <w:rFonts w:eastAsia="Times New Roman"/>
                <w:sz w:val="16"/>
                <w:szCs w:val="16"/>
              </w:rPr>
              <w:t>232,848</w:t>
            </w:r>
          </w:p>
        </w:tc>
        <w:tc>
          <w:tcPr>
            <w:tcW w:w="0" w:type="auto"/>
            <w:shd w:val="clear" w:color="auto" w:fill="FFFFFF"/>
            <w:tcMar>
              <w:top w:w="0" w:type="dxa"/>
              <w:left w:w="0" w:type="dxa"/>
              <w:bottom w:w="50" w:type="dxa"/>
              <w:right w:w="0" w:type="dxa"/>
            </w:tcMar>
            <w:vAlign w:val="bottom"/>
            <w:hideMark/>
          </w:tcPr>
          <w:p w14:paraId="08DA896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42D5275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6529A3C"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29F3A5AC" w14:textId="77777777" w:rsidR="00000000" w:rsidRDefault="00D6065B">
            <w:pPr>
              <w:jc w:val="right"/>
              <w:rPr>
                <w:rFonts w:eastAsia="Times New Roman"/>
                <w:sz w:val="16"/>
                <w:szCs w:val="16"/>
              </w:rPr>
            </w:pPr>
            <w:r>
              <w:rPr>
                <w:rFonts w:eastAsia="Times New Roman"/>
                <w:sz w:val="16"/>
                <w:szCs w:val="16"/>
              </w:rPr>
              <w:t>63,112,558</w:t>
            </w:r>
          </w:p>
        </w:tc>
        <w:tc>
          <w:tcPr>
            <w:tcW w:w="0" w:type="auto"/>
            <w:shd w:val="clear" w:color="auto" w:fill="FFFFFF"/>
            <w:tcMar>
              <w:top w:w="0" w:type="dxa"/>
              <w:left w:w="0" w:type="dxa"/>
              <w:bottom w:w="50" w:type="dxa"/>
              <w:right w:w="0" w:type="dxa"/>
            </w:tcMar>
            <w:vAlign w:val="bottom"/>
            <w:hideMark/>
          </w:tcPr>
          <w:p w14:paraId="032781F8" w14:textId="77777777" w:rsidR="00000000" w:rsidRDefault="00D6065B">
            <w:pPr>
              <w:jc w:val="right"/>
              <w:rPr>
                <w:rFonts w:eastAsia="Times New Roman"/>
                <w:sz w:val="16"/>
                <w:szCs w:val="16"/>
              </w:rPr>
            </w:pPr>
          </w:p>
        </w:tc>
        <w:tc>
          <w:tcPr>
            <w:tcW w:w="0" w:type="auto"/>
            <w:shd w:val="clear" w:color="auto" w:fill="FFFFFF"/>
            <w:tcMar>
              <w:top w:w="0" w:type="dxa"/>
              <w:left w:w="0" w:type="dxa"/>
              <w:bottom w:w="50" w:type="dxa"/>
              <w:right w:w="0" w:type="dxa"/>
            </w:tcMar>
            <w:vAlign w:val="bottom"/>
            <w:hideMark/>
          </w:tcPr>
          <w:p w14:paraId="1DB1A957"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3BA2275"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6C8C7A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6FA05A1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5ADDB7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9C8F7F0"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1DDC8356" w14:textId="77777777" w:rsidR="00000000" w:rsidRDefault="00D6065B">
            <w:pPr>
              <w:jc w:val="right"/>
              <w:rPr>
                <w:rFonts w:eastAsia="Times New Roman"/>
                <w:sz w:val="16"/>
                <w:szCs w:val="16"/>
              </w:rPr>
            </w:pPr>
            <w:r>
              <w:rPr>
                <w:rFonts w:eastAsia="Times New Roman"/>
                <w:sz w:val="16"/>
                <w:szCs w:val="16"/>
              </w:rPr>
              <w:t>(74,120,427</w:t>
            </w:r>
          </w:p>
        </w:tc>
        <w:tc>
          <w:tcPr>
            <w:tcW w:w="0" w:type="auto"/>
            <w:shd w:val="clear" w:color="auto" w:fill="FFFFFF"/>
            <w:tcMar>
              <w:top w:w="0" w:type="dxa"/>
              <w:left w:w="0" w:type="dxa"/>
              <w:bottom w:w="50" w:type="dxa"/>
              <w:right w:w="0" w:type="dxa"/>
            </w:tcMar>
            <w:vAlign w:val="bottom"/>
            <w:hideMark/>
          </w:tcPr>
          <w:p w14:paraId="2FA749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3FB0AE0E"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78121836"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937DA9B" w14:textId="77777777" w:rsidR="00000000" w:rsidRDefault="00D6065B">
            <w:pPr>
              <w:jc w:val="right"/>
              <w:rPr>
                <w:rFonts w:eastAsia="Times New Roman"/>
                <w:sz w:val="16"/>
                <w:szCs w:val="16"/>
              </w:rPr>
            </w:pPr>
            <w:r>
              <w:rPr>
                <w:rFonts w:eastAsia="Times New Roman"/>
                <w:sz w:val="16"/>
                <w:szCs w:val="16"/>
              </w:rPr>
              <w:t>(784,642</w:t>
            </w:r>
          </w:p>
        </w:tc>
        <w:tc>
          <w:tcPr>
            <w:tcW w:w="0" w:type="auto"/>
            <w:shd w:val="clear" w:color="auto" w:fill="FFFFFF"/>
            <w:tcMar>
              <w:top w:w="0" w:type="dxa"/>
              <w:left w:w="0" w:type="dxa"/>
              <w:bottom w:w="50" w:type="dxa"/>
              <w:right w:w="0" w:type="dxa"/>
            </w:tcMar>
            <w:vAlign w:val="bottom"/>
            <w:hideMark/>
          </w:tcPr>
          <w:p w14:paraId="1ECA6A6A" w14:textId="77777777" w:rsidR="00000000" w:rsidRDefault="00D6065B">
            <w:pPr>
              <w:rPr>
                <w:rFonts w:eastAsia="Times New Roman"/>
                <w:sz w:val="16"/>
                <w:szCs w:val="16"/>
              </w:rPr>
            </w:pPr>
            <w:r>
              <w:rPr>
                <w:rFonts w:eastAsia="Times New Roman"/>
                <w:sz w:val="16"/>
                <w:szCs w:val="16"/>
              </w:rPr>
              <w:t>)</w:t>
            </w:r>
          </w:p>
        </w:tc>
      </w:tr>
      <w:tr w:rsidR="00D6065B" w14:paraId="4A5481D2" w14:textId="77777777">
        <w:tc>
          <w:tcPr>
            <w:tcW w:w="0" w:type="auto"/>
            <w:shd w:val="clear" w:color="auto" w:fill="CCEEFF"/>
            <w:vAlign w:val="bottom"/>
            <w:hideMark/>
          </w:tcPr>
          <w:p w14:paraId="69E9E1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87EC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880C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4D4CE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38C0C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D0974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49687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39BB5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BD4696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DC3D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2C80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3907D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6EF18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946B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FDC4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F5EEB6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7787B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3204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D9B5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06C7C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32BAC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952B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AA2B5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14CAB2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54FB4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D1C28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1FC1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46A8A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5C092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BAE9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A166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ED0CF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B16F4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AE1E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E62B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18908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26C62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1281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FC39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27294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36787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CBB2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291051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07BF53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E7B97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76870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265C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BD2EF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2C05B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937FE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9E44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A902A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DD797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EAA3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8C5CC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CFD93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5CC0E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5B25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B719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6B028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E4BBB12" w14:textId="77777777" w:rsidR="00000000" w:rsidRDefault="00D6065B">
            <w:pPr>
              <w:rPr>
                <w:rFonts w:eastAsia="Times New Roman"/>
                <w:sz w:val="16"/>
                <w:szCs w:val="16"/>
              </w:rPr>
            </w:pPr>
            <w:r>
              <w:rPr>
                <w:rFonts w:eastAsia="Times New Roman"/>
                <w:sz w:val="16"/>
                <w:szCs w:val="16"/>
              </w:rPr>
              <w:t> </w:t>
            </w:r>
          </w:p>
        </w:tc>
      </w:tr>
      <w:tr w:rsidR="00D6065B" w14:paraId="760CD39A" w14:textId="77777777">
        <w:tc>
          <w:tcPr>
            <w:tcW w:w="0" w:type="auto"/>
            <w:shd w:val="clear" w:color="auto" w:fill="FFFFFF"/>
            <w:vAlign w:val="bottom"/>
            <w:hideMark/>
          </w:tcPr>
          <w:p w14:paraId="27053ECA" w14:textId="77777777" w:rsidR="00000000" w:rsidRDefault="00D6065B">
            <w:pPr>
              <w:rPr>
                <w:rFonts w:eastAsia="Times New Roman"/>
                <w:sz w:val="16"/>
                <w:szCs w:val="16"/>
              </w:rPr>
            </w:pPr>
            <w:r>
              <w:rPr>
                <w:rFonts w:eastAsia="Times New Roman"/>
                <w:sz w:val="16"/>
                <w:szCs w:val="16"/>
              </w:rPr>
              <w:t>Balance - December 31, 2020</w:t>
            </w:r>
          </w:p>
        </w:tc>
        <w:tc>
          <w:tcPr>
            <w:tcW w:w="0" w:type="auto"/>
            <w:shd w:val="clear" w:color="auto" w:fill="FFFFFF"/>
            <w:vAlign w:val="bottom"/>
            <w:hideMark/>
          </w:tcPr>
          <w:p w14:paraId="0F469BA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CD5D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9969A0" w14:textId="77777777" w:rsidR="00000000" w:rsidRDefault="00D6065B">
            <w:pPr>
              <w:jc w:val="right"/>
              <w:rPr>
                <w:rFonts w:eastAsia="Times New Roman"/>
                <w:sz w:val="16"/>
                <w:szCs w:val="16"/>
              </w:rPr>
            </w:pPr>
            <w:r>
              <w:rPr>
                <w:rFonts w:eastAsia="Times New Roman"/>
                <w:sz w:val="16"/>
                <w:szCs w:val="16"/>
              </w:rPr>
              <w:t>2,171,007</w:t>
            </w:r>
          </w:p>
        </w:tc>
        <w:tc>
          <w:tcPr>
            <w:tcW w:w="0" w:type="auto"/>
            <w:shd w:val="clear" w:color="auto" w:fill="FFFFFF"/>
            <w:vAlign w:val="bottom"/>
            <w:hideMark/>
          </w:tcPr>
          <w:p w14:paraId="0775E3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AF72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B552BF"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4834670B" w14:textId="77777777" w:rsidR="00000000" w:rsidRDefault="00D6065B">
            <w:pPr>
              <w:jc w:val="right"/>
              <w:rPr>
                <w:rFonts w:eastAsia="Times New Roman"/>
                <w:sz w:val="16"/>
                <w:szCs w:val="16"/>
              </w:rPr>
            </w:pPr>
            <w:r>
              <w:rPr>
                <w:rFonts w:eastAsia="Times New Roman"/>
                <w:sz w:val="16"/>
                <w:szCs w:val="16"/>
              </w:rPr>
              <w:t>2,171</w:t>
            </w:r>
          </w:p>
        </w:tc>
        <w:tc>
          <w:tcPr>
            <w:tcW w:w="0" w:type="auto"/>
            <w:shd w:val="clear" w:color="auto" w:fill="FFFFFF"/>
            <w:vAlign w:val="bottom"/>
            <w:hideMark/>
          </w:tcPr>
          <w:p w14:paraId="1D61DC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41BF0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4A068C"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71E9F9A1" w14:textId="77777777" w:rsidR="00000000" w:rsidRDefault="00D6065B">
            <w:pPr>
              <w:jc w:val="right"/>
              <w:rPr>
                <w:rFonts w:eastAsia="Times New Roman"/>
                <w:sz w:val="16"/>
                <w:szCs w:val="16"/>
              </w:rPr>
            </w:pPr>
            <w:r>
              <w:rPr>
                <w:rFonts w:eastAsia="Times New Roman"/>
                <w:sz w:val="16"/>
                <w:szCs w:val="16"/>
              </w:rPr>
              <w:t>8,857,358</w:t>
            </w:r>
          </w:p>
        </w:tc>
        <w:tc>
          <w:tcPr>
            <w:tcW w:w="0" w:type="auto"/>
            <w:shd w:val="clear" w:color="auto" w:fill="FFFFFF"/>
            <w:vAlign w:val="bottom"/>
            <w:hideMark/>
          </w:tcPr>
          <w:p w14:paraId="381A8E5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D3C5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5518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972615" w14:textId="77777777" w:rsidR="00000000" w:rsidRDefault="00D6065B">
            <w:pPr>
              <w:jc w:val="right"/>
              <w:rPr>
                <w:rFonts w:eastAsia="Times New Roman"/>
                <w:sz w:val="16"/>
                <w:szCs w:val="16"/>
              </w:rPr>
            </w:pPr>
            <w:r>
              <w:rPr>
                <w:rFonts w:eastAsia="Times New Roman"/>
                <w:sz w:val="16"/>
                <w:szCs w:val="16"/>
              </w:rPr>
              <w:t>436,653</w:t>
            </w:r>
          </w:p>
        </w:tc>
        <w:tc>
          <w:tcPr>
            <w:tcW w:w="0" w:type="auto"/>
            <w:shd w:val="clear" w:color="auto" w:fill="FFFFFF"/>
            <w:vAlign w:val="bottom"/>
            <w:hideMark/>
          </w:tcPr>
          <w:p w14:paraId="409C99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B2A0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BB9431"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C30F1D2" w14:textId="77777777" w:rsidR="00000000" w:rsidRDefault="00D6065B">
            <w:pPr>
              <w:jc w:val="right"/>
              <w:rPr>
                <w:rFonts w:eastAsia="Times New Roman"/>
                <w:sz w:val="16"/>
                <w:szCs w:val="16"/>
              </w:rPr>
            </w:pPr>
            <w:r>
              <w:rPr>
                <w:rFonts w:eastAsia="Times New Roman"/>
                <w:sz w:val="16"/>
                <w:szCs w:val="16"/>
              </w:rPr>
              <w:t>436</w:t>
            </w:r>
          </w:p>
        </w:tc>
        <w:tc>
          <w:tcPr>
            <w:tcW w:w="0" w:type="auto"/>
            <w:shd w:val="clear" w:color="auto" w:fill="FFFFFF"/>
            <w:vAlign w:val="bottom"/>
            <w:hideMark/>
          </w:tcPr>
          <w:p w14:paraId="1CB9CC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F466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022D77"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6B96EDC4" w14:textId="77777777" w:rsidR="00000000" w:rsidRDefault="00D6065B">
            <w:pPr>
              <w:jc w:val="right"/>
              <w:rPr>
                <w:rFonts w:eastAsia="Times New Roman"/>
                <w:sz w:val="16"/>
                <w:szCs w:val="16"/>
              </w:rPr>
            </w:pPr>
            <w:r>
              <w:rPr>
                <w:rFonts w:eastAsia="Times New Roman"/>
                <w:sz w:val="16"/>
                <w:szCs w:val="16"/>
              </w:rPr>
              <w:t>385,235</w:t>
            </w:r>
          </w:p>
        </w:tc>
        <w:tc>
          <w:tcPr>
            <w:tcW w:w="0" w:type="auto"/>
            <w:shd w:val="clear" w:color="auto" w:fill="FFFFFF"/>
            <w:vAlign w:val="bottom"/>
            <w:hideMark/>
          </w:tcPr>
          <w:p w14:paraId="182C79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41FD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A55C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E042EA" w14:textId="77777777" w:rsidR="00000000" w:rsidRDefault="00D6065B">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14:paraId="2F73F9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35A6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523030"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240F639A" w14:textId="77777777" w:rsidR="00000000" w:rsidRDefault="00D6065B">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14:paraId="7D6CCD5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0E0D2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1C1BFE"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516A8BEE" w14:textId="77777777" w:rsidR="00000000" w:rsidRDefault="00D6065B">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14:paraId="7F870D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11EF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2F7E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09F9B2" w14:textId="77777777" w:rsidR="00000000" w:rsidRDefault="00D6065B">
            <w:pPr>
              <w:jc w:val="right"/>
              <w:rPr>
                <w:rFonts w:eastAsia="Times New Roman"/>
                <w:sz w:val="16"/>
                <w:szCs w:val="16"/>
              </w:rPr>
            </w:pPr>
            <w:r>
              <w:rPr>
                <w:rFonts w:eastAsia="Times New Roman"/>
                <w:sz w:val="16"/>
                <w:szCs w:val="16"/>
              </w:rPr>
              <w:t>292,278,591</w:t>
            </w:r>
          </w:p>
        </w:tc>
        <w:tc>
          <w:tcPr>
            <w:tcW w:w="0" w:type="auto"/>
            <w:shd w:val="clear" w:color="auto" w:fill="FFFFFF"/>
            <w:vAlign w:val="bottom"/>
            <w:hideMark/>
          </w:tcPr>
          <w:p w14:paraId="18BCE2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5A7F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EB9606"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3E72A9E" w14:textId="77777777" w:rsidR="00000000" w:rsidRDefault="00D6065B">
            <w:pPr>
              <w:jc w:val="right"/>
              <w:rPr>
                <w:rFonts w:eastAsia="Times New Roman"/>
                <w:sz w:val="16"/>
                <w:szCs w:val="16"/>
              </w:rPr>
            </w:pPr>
            <w:r>
              <w:rPr>
                <w:rFonts w:eastAsia="Times New Roman"/>
                <w:sz w:val="16"/>
                <w:szCs w:val="16"/>
              </w:rPr>
              <w:t>292,279</w:t>
            </w:r>
          </w:p>
        </w:tc>
        <w:tc>
          <w:tcPr>
            <w:tcW w:w="0" w:type="auto"/>
            <w:shd w:val="clear" w:color="auto" w:fill="FFFFFF"/>
            <w:vAlign w:val="bottom"/>
            <w:hideMark/>
          </w:tcPr>
          <w:p w14:paraId="265A98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ABCE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0F352E"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70780F48" w14:textId="77777777" w:rsidR="00000000" w:rsidRDefault="00D6065B">
            <w:pPr>
              <w:jc w:val="right"/>
              <w:rPr>
                <w:rFonts w:eastAsia="Times New Roman"/>
                <w:sz w:val="16"/>
                <w:szCs w:val="16"/>
              </w:rPr>
            </w:pPr>
            <w:r>
              <w:rPr>
                <w:rFonts w:eastAsia="Times New Roman"/>
                <w:sz w:val="16"/>
                <w:szCs w:val="16"/>
              </w:rPr>
              <w:t>64,551,764</w:t>
            </w:r>
          </w:p>
        </w:tc>
        <w:tc>
          <w:tcPr>
            <w:tcW w:w="0" w:type="auto"/>
            <w:shd w:val="clear" w:color="auto" w:fill="FFFFFF"/>
            <w:vAlign w:val="bottom"/>
            <w:hideMark/>
          </w:tcPr>
          <w:p w14:paraId="48EF3A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AD28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FC2BF0"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A2E574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ED7F8E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742D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0080E7"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505DD584" w14:textId="77777777" w:rsidR="00000000" w:rsidRDefault="00D6065B">
            <w:pPr>
              <w:jc w:val="right"/>
              <w:rPr>
                <w:rFonts w:eastAsia="Times New Roman"/>
                <w:sz w:val="16"/>
                <w:szCs w:val="16"/>
              </w:rPr>
            </w:pPr>
            <w:r>
              <w:rPr>
                <w:rFonts w:eastAsia="Times New Roman"/>
                <w:sz w:val="16"/>
                <w:szCs w:val="16"/>
              </w:rPr>
              <w:t>(74,558,101</w:t>
            </w:r>
          </w:p>
        </w:tc>
        <w:tc>
          <w:tcPr>
            <w:tcW w:w="0" w:type="auto"/>
            <w:shd w:val="clear" w:color="auto" w:fill="FFFFFF"/>
            <w:vAlign w:val="bottom"/>
            <w:hideMark/>
          </w:tcPr>
          <w:p w14:paraId="3AD4FA40"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79146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3D75BA"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3FDA2A73" w14:textId="77777777" w:rsidR="00000000" w:rsidRDefault="00D6065B">
            <w:pPr>
              <w:jc w:val="right"/>
              <w:rPr>
                <w:rFonts w:eastAsia="Times New Roman"/>
                <w:sz w:val="16"/>
                <w:szCs w:val="16"/>
              </w:rPr>
            </w:pPr>
            <w:r>
              <w:rPr>
                <w:rFonts w:eastAsia="Times New Roman"/>
                <w:sz w:val="16"/>
                <w:szCs w:val="16"/>
              </w:rPr>
              <w:t>32,034</w:t>
            </w:r>
          </w:p>
        </w:tc>
        <w:tc>
          <w:tcPr>
            <w:tcW w:w="0" w:type="auto"/>
            <w:shd w:val="clear" w:color="auto" w:fill="FFFFFF"/>
            <w:vAlign w:val="bottom"/>
            <w:hideMark/>
          </w:tcPr>
          <w:p w14:paraId="2F9B5B5D" w14:textId="77777777" w:rsidR="00000000" w:rsidRDefault="00D6065B">
            <w:pPr>
              <w:rPr>
                <w:rFonts w:eastAsia="Times New Roman"/>
                <w:sz w:val="16"/>
                <w:szCs w:val="16"/>
              </w:rPr>
            </w:pPr>
            <w:r>
              <w:rPr>
                <w:rFonts w:eastAsia="Times New Roman"/>
                <w:sz w:val="16"/>
                <w:szCs w:val="16"/>
              </w:rPr>
              <w:t> </w:t>
            </w:r>
          </w:p>
        </w:tc>
      </w:tr>
      <w:tr w:rsidR="00D6065B" w14:paraId="62DC4053" w14:textId="77777777">
        <w:tc>
          <w:tcPr>
            <w:tcW w:w="0" w:type="auto"/>
            <w:shd w:val="clear" w:color="auto" w:fill="CCEEFF"/>
            <w:vAlign w:val="bottom"/>
            <w:hideMark/>
          </w:tcPr>
          <w:p w14:paraId="651EAC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4CB0B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94590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27957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39ECE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68BC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2353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4A9CE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272039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0172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9767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5B176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99DA4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CA489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508D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5D829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56791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41FF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EA04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AD439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10633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E7DC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10C4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D5DC76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1B68D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58DF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813C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F5706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5E54D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CA93D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9672F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C4B7E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1D115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3D57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62D0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E1C6D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2956A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221A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62F80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D146C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69644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C319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BB7C7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A3FEC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571449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617F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66C8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31F0A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8EA3FD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A0CB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C9EE7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311E5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266A7E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444C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28F6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8F7BD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38EE1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721D3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D70D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22A8B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8AFFF27" w14:textId="77777777" w:rsidR="00000000" w:rsidRDefault="00D6065B">
            <w:pPr>
              <w:rPr>
                <w:rFonts w:eastAsia="Times New Roman"/>
                <w:sz w:val="16"/>
                <w:szCs w:val="16"/>
              </w:rPr>
            </w:pPr>
            <w:r>
              <w:rPr>
                <w:rFonts w:eastAsia="Times New Roman"/>
                <w:sz w:val="16"/>
                <w:szCs w:val="16"/>
              </w:rPr>
              <w:t> </w:t>
            </w:r>
          </w:p>
        </w:tc>
      </w:tr>
      <w:tr w:rsidR="00D6065B" w14:paraId="6472BBE4" w14:textId="77777777">
        <w:tc>
          <w:tcPr>
            <w:tcW w:w="0" w:type="auto"/>
            <w:shd w:val="clear" w:color="auto" w:fill="FFFFFF"/>
            <w:vAlign w:val="bottom"/>
            <w:hideMark/>
          </w:tcPr>
          <w:p w14:paraId="369CA318" w14:textId="77777777" w:rsidR="00000000" w:rsidRDefault="00D6065B">
            <w:pPr>
              <w:rPr>
                <w:rFonts w:eastAsia="Times New Roman"/>
                <w:sz w:val="16"/>
                <w:szCs w:val="16"/>
              </w:rPr>
            </w:pPr>
            <w:r>
              <w:rPr>
                <w:rFonts w:eastAsia="Times New Roman"/>
                <w:sz w:val="16"/>
                <w:szCs w:val="16"/>
              </w:rPr>
              <w:t>Stock issued for:</w:t>
            </w:r>
          </w:p>
        </w:tc>
        <w:tc>
          <w:tcPr>
            <w:tcW w:w="0" w:type="auto"/>
            <w:shd w:val="clear" w:color="auto" w:fill="FFFFFF"/>
            <w:vAlign w:val="bottom"/>
            <w:hideMark/>
          </w:tcPr>
          <w:p w14:paraId="32299B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43FC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41517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CDFFD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813D6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1192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1CF88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77649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EAB4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17D84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D0847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D779C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C76C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8D85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4AAEC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11FAF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933B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6B57C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147C9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FFC5E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D4B0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927E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0EE19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DF202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54DB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70FD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C426C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F0FE9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84355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000E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34276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7D892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8884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59BB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8D33D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F09DC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5CF2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DD01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9D5A5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4A0B5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55F7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FED37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04718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483F8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F33E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BEF5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D2AF9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CA67D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362F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CE89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800AC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429D6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188E6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1CD6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4D4EA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ECF15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7A23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BF32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116CD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68842AC" w14:textId="77777777" w:rsidR="00000000" w:rsidRDefault="00D6065B">
            <w:pPr>
              <w:rPr>
                <w:rFonts w:eastAsia="Times New Roman"/>
                <w:sz w:val="16"/>
                <w:szCs w:val="16"/>
              </w:rPr>
            </w:pPr>
            <w:r>
              <w:rPr>
                <w:rFonts w:eastAsia="Times New Roman"/>
                <w:sz w:val="16"/>
                <w:szCs w:val="16"/>
              </w:rPr>
              <w:t> </w:t>
            </w:r>
          </w:p>
        </w:tc>
      </w:tr>
      <w:tr w:rsidR="00D6065B" w14:paraId="157C4CB3" w14:textId="77777777">
        <w:tc>
          <w:tcPr>
            <w:tcW w:w="0" w:type="auto"/>
            <w:shd w:val="clear" w:color="auto" w:fill="CCEEFF"/>
            <w:tcMar>
              <w:top w:w="0" w:type="dxa"/>
              <w:left w:w="200" w:type="dxa"/>
              <w:bottom w:w="0" w:type="dxa"/>
              <w:right w:w="0" w:type="dxa"/>
            </w:tcMar>
            <w:vAlign w:val="bottom"/>
            <w:hideMark/>
          </w:tcPr>
          <w:p w14:paraId="209EF9F7" w14:textId="77777777" w:rsidR="00000000" w:rsidRDefault="00D6065B">
            <w:pPr>
              <w:rPr>
                <w:rFonts w:eastAsia="Times New Roman"/>
                <w:sz w:val="16"/>
                <w:szCs w:val="16"/>
              </w:rPr>
            </w:pPr>
            <w:r>
              <w:rPr>
                <w:rFonts w:eastAsia="Times New Roman"/>
                <w:sz w:val="16"/>
                <w:szCs w:val="16"/>
              </w:rPr>
              <w:t> Cash</w:t>
            </w:r>
          </w:p>
        </w:tc>
        <w:tc>
          <w:tcPr>
            <w:tcW w:w="0" w:type="auto"/>
            <w:shd w:val="clear" w:color="auto" w:fill="CCEEFF"/>
            <w:vAlign w:val="bottom"/>
            <w:hideMark/>
          </w:tcPr>
          <w:p w14:paraId="0DE82D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36DB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A0E6F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5C9B5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3D12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F9D0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D0ACF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988B1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20EF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84A1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32047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EE29E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E3A6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7138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7FA8B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C77EF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35D4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2C93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19734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C6989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DEDB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86EB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FCBCE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7E91B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C66A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EC74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4C29C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0EAF1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498A1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43CD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2141F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AED0F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37C63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014C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CED3C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B9E6E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0E7B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9493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F6B14F" w14:textId="77777777" w:rsidR="00000000" w:rsidRDefault="00D6065B">
            <w:pPr>
              <w:jc w:val="right"/>
              <w:rPr>
                <w:rFonts w:eastAsia="Times New Roman"/>
                <w:sz w:val="16"/>
                <w:szCs w:val="16"/>
              </w:rPr>
            </w:pPr>
            <w:r>
              <w:rPr>
                <w:rFonts w:eastAsia="Times New Roman"/>
                <w:sz w:val="16"/>
                <w:szCs w:val="16"/>
              </w:rPr>
              <w:t>22,500,000</w:t>
            </w:r>
          </w:p>
        </w:tc>
        <w:tc>
          <w:tcPr>
            <w:tcW w:w="0" w:type="auto"/>
            <w:shd w:val="clear" w:color="auto" w:fill="CCEEFF"/>
            <w:vAlign w:val="bottom"/>
            <w:hideMark/>
          </w:tcPr>
          <w:p w14:paraId="56FCE0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2ADB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3D87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7C8F69" w14:textId="77777777" w:rsidR="00000000" w:rsidRDefault="00D6065B">
            <w:pPr>
              <w:jc w:val="right"/>
              <w:rPr>
                <w:rFonts w:eastAsia="Times New Roman"/>
                <w:sz w:val="16"/>
                <w:szCs w:val="16"/>
              </w:rPr>
            </w:pPr>
            <w:r>
              <w:rPr>
                <w:rFonts w:eastAsia="Times New Roman"/>
                <w:sz w:val="16"/>
                <w:szCs w:val="16"/>
              </w:rPr>
              <w:t>22,500</w:t>
            </w:r>
          </w:p>
        </w:tc>
        <w:tc>
          <w:tcPr>
            <w:tcW w:w="0" w:type="auto"/>
            <w:shd w:val="clear" w:color="auto" w:fill="CCEEFF"/>
            <w:vAlign w:val="bottom"/>
            <w:hideMark/>
          </w:tcPr>
          <w:p w14:paraId="21965AF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2D0C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4A2DD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CE6C05" w14:textId="77777777" w:rsidR="00000000" w:rsidRDefault="00D6065B">
            <w:pPr>
              <w:jc w:val="right"/>
              <w:rPr>
                <w:rFonts w:eastAsia="Times New Roman"/>
                <w:sz w:val="16"/>
                <w:szCs w:val="16"/>
              </w:rPr>
            </w:pPr>
            <w:r>
              <w:rPr>
                <w:rFonts w:eastAsia="Times New Roman"/>
                <w:sz w:val="16"/>
                <w:szCs w:val="16"/>
              </w:rPr>
              <w:t>1,777,500</w:t>
            </w:r>
          </w:p>
        </w:tc>
        <w:tc>
          <w:tcPr>
            <w:tcW w:w="0" w:type="auto"/>
            <w:shd w:val="clear" w:color="auto" w:fill="CCEEFF"/>
            <w:vAlign w:val="bottom"/>
            <w:hideMark/>
          </w:tcPr>
          <w:p w14:paraId="7512FC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5B1D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871D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94CF8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FE9C5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47FB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98B3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31C20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AEC3E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318C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D958B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2CCA41" w14:textId="77777777" w:rsidR="00000000" w:rsidRDefault="00D6065B">
            <w:pPr>
              <w:jc w:val="right"/>
              <w:rPr>
                <w:rFonts w:eastAsia="Times New Roman"/>
                <w:sz w:val="16"/>
                <w:szCs w:val="16"/>
              </w:rPr>
            </w:pPr>
            <w:r>
              <w:rPr>
                <w:rFonts w:eastAsia="Times New Roman"/>
                <w:sz w:val="16"/>
                <w:szCs w:val="16"/>
              </w:rPr>
              <w:t>1,800,000</w:t>
            </w:r>
          </w:p>
        </w:tc>
        <w:tc>
          <w:tcPr>
            <w:tcW w:w="0" w:type="auto"/>
            <w:shd w:val="clear" w:color="auto" w:fill="CCEEFF"/>
            <w:vAlign w:val="bottom"/>
            <w:hideMark/>
          </w:tcPr>
          <w:p w14:paraId="5D5809C9" w14:textId="77777777" w:rsidR="00000000" w:rsidRDefault="00D6065B">
            <w:pPr>
              <w:rPr>
                <w:rFonts w:eastAsia="Times New Roman"/>
                <w:sz w:val="16"/>
                <w:szCs w:val="16"/>
              </w:rPr>
            </w:pPr>
            <w:r>
              <w:rPr>
                <w:rFonts w:eastAsia="Times New Roman"/>
                <w:sz w:val="16"/>
                <w:szCs w:val="16"/>
              </w:rPr>
              <w:t> </w:t>
            </w:r>
          </w:p>
        </w:tc>
      </w:tr>
      <w:tr w:rsidR="00D6065B" w14:paraId="37BAFEEF" w14:textId="77777777">
        <w:tc>
          <w:tcPr>
            <w:tcW w:w="0" w:type="auto"/>
            <w:shd w:val="clear" w:color="auto" w:fill="FFFFFF"/>
            <w:tcMar>
              <w:top w:w="0" w:type="dxa"/>
              <w:left w:w="200" w:type="dxa"/>
              <w:bottom w:w="0" w:type="dxa"/>
              <w:right w:w="0" w:type="dxa"/>
            </w:tcMar>
            <w:vAlign w:val="bottom"/>
            <w:hideMark/>
          </w:tcPr>
          <w:p w14:paraId="5C9718FC" w14:textId="77777777" w:rsidR="00000000" w:rsidRDefault="00D6065B">
            <w:pPr>
              <w:rPr>
                <w:rFonts w:eastAsia="Times New Roman"/>
                <w:sz w:val="16"/>
                <w:szCs w:val="16"/>
              </w:rPr>
            </w:pPr>
            <w:r>
              <w:rPr>
                <w:rFonts w:eastAsia="Times New Roman"/>
                <w:sz w:val="16"/>
                <w:szCs w:val="16"/>
              </w:rPr>
              <w:t> Note conversions/settlements</w:t>
            </w:r>
          </w:p>
        </w:tc>
        <w:tc>
          <w:tcPr>
            <w:tcW w:w="0" w:type="auto"/>
            <w:shd w:val="clear" w:color="auto" w:fill="FFFFFF"/>
            <w:vAlign w:val="bottom"/>
            <w:hideMark/>
          </w:tcPr>
          <w:p w14:paraId="2BA670F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4859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8CE65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56E892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90715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57E3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B507C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5F74F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A755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7FBC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813BD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0E1F8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F9E7F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454CA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9B16B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2C30EB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198B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19FB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CFA03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2428E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6D8E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0CBC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B4967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DFDF6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F3E0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0925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F5BED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CA856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1E09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7226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302C9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92BBA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A4870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DD537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D7C4F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4ACDFB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0E9B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810B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AB8143" w14:textId="77777777" w:rsidR="00000000" w:rsidRDefault="00D6065B">
            <w:pPr>
              <w:jc w:val="right"/>
              <w:rPr>
                <w:rFonts w:eastAsia="Times New Roman"/>
                <w:sz w:val="16"/>
                <w:szCs w:val="16"/>
              </w:rPr>
            </w:pPr>
            <w:r>
              <w:rPr>
                <w:rFonts w:eastAsia="Times New Roman"/>
                <w:sz w:val="16"/>
                <w:szCs w:val="16"/>
              </w:rPr>
              <w:t>1,259,250</w:t>
            </w:r>
          </w:p>
        </w:tc>
        <w:tc>
          <w:tcPr>
            <w:tcW w:w="0" w:type="auto"/>
            <w:shd w:val="clear" w:color="auto" w:fill="FFFFFF"/>
            <w:vAlign w:val="bottom"/>
            <w:hideMark/>
          </w:tcPr>
          <w:p w14:paraId="518AC5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B46C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BE48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ECEBD7" w14:textId="77777777" w:rsidR="00000000" w:rsidRDefault="00D6065B">
            <w:pPr>
              <w:jc w:val="right"/>
              <w:rPr>
                <w:rFonts w:eastAsia="Times New Roman"/>
                <w:sz w:val="16"/>
                <w:szCs w:val="16"/>
              </w:rPr>
            </w:pPr>
            <w:r>
              <w:rPr>
                <w:rFonts w:eastAsia="Times New Roman"/>
                <w:sz w:val="16"/>
                <w:szCs w:val="16"/>
              </w:rPr>
              <w:t>1,259</w:t>
            </w:r>
          </w:p>
        </w:tc>
        <w:tc>
          <w:tcPr>
            <w:tcW w:w="0" w:type="auto"/>
            <w:shd w:val="clear" w:color="auto" w:fill="FFFFFF"/>
            <w:vAlign w:val="bottom"/>
            <w:hideMark/>
          </w:tcPr>
          <w:p w14:paraId="65206F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51E8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5D8D9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0EAB42" w14:textId="77777777" w:rsidR="00000000" w:rsidRDefault="00D6065B">
            <w:pPr>
              <w:jc w:val="right"/>
              <w:rPr>
                <w:rFonts w:eastAsia="Times New Roman"/>
                <w:sz w:val="16"/>
                <w:szCs w:val="16"/>
              </w:rPr>
            </w:pPr>
            <w:r>
              <w:rPr>
                <w:rFonts w:eastAsia="Times New Roman"/>
                <w:sz w:val="16"/>
                <w:szCs w:val="16"/>
              </w:rPr>
              <w:t>225,406</w:t>
            </w:r>
          </w:p>
        </w:tc>
        <w:tc>
          <w:tcPr>
            <w:tcW w:w="0" w:type="auto"/>
            <w:shd w:val="clear" w:color="auto" w:fill="FFFFFF"/>
            <w:vAlign w:val="bottom"/>
            <w:hideMark/>
          </w:tcPr>
          <w:p w14:paraId="5ECCDA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3D5B4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875EC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EC3C2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7CD8B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7432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D3A2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1ECB6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56DC5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38B1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F062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FC0FB0" w14:textId="77777777" w:rsidR="00000000" w:rsidRDefault="00D6065B">
            <w:pPr>
              <w:jc w:val="right"/>
              <w:rPr>
                <w:rFonts w:eastAsia="Times New Roman"/>
                <w:sz w:val="16"/>
                <w:szCs w:val="16"/>
              </w:rPr>
            </w:pPr>
            <w:r>
              <w:rPr>
                <w:rFonts w:eastAsia="Times New Roman"/>
                <w:sz w:val="16"/>
                <w:szCs w:val="16"/>
              </w:rPr>
              <w:t>226,665</w:t>
            </w:r>
          </w:p>
        </w:tc>
        <w:tc>
          <w:tcPr>
            <w:tcW w:w="0" w:type="auto"/>
            <w:shd w:val="clear" w:color="auto" w:fill="FFFFFF"/>
            <w:vAlign w:val="bottom"/>
            <w:hideMark/>
          </w:tcPr>
          <w:p w14:paraId="6CF2BFF5" w14:textId="77777777" w:rsidR="00000000" w:rsidRDefault="00D6065B">
            <w:pPr>
              <w:rPr>
                <w:rFonts w:eastAsia="Times New Roman"/>
                <w:sz w:val="16"/>
                <w:szCs w:val="16"/>
              </w:rPr>
            </w:pPr>
            <w:r>
              <w:rPr>
                <w:rFonts w:eastAsia="Times New Roman"/>
                <w:sz w:val="16"/>
                <w:szCs w:val="16"/>
              </w:rPr>
              <w:t> </w:t>
            </w:r>
          </w:p>
        </w:tc>
      </w:tr>
      <w:tr w:rsidR="00D6065B" w14:paraId="0B4F0035" w14:textId="77777777">
        <w:tc>
          <w:tcPr>
            <w:tcW w:w="0" w:type="auto"/>
            <w:shd w:val="clear" w:color="auto" w:fill="CCEEFF"/>
            <w:tcMar>
              <w:top w:w="0" w:type="dxa"/>
              <w:left w:w="200" w:type="dxa"/>
              <w:bottom w:w="0" w:type="dxa"/>
              <w:right w:w="0" w:type="dxa"/>
            </w:tcMar>
            <w:vAlign w:val="bottom"/>
            <w:hideMark/>
          </w:tcPr>
          <w:p w14:paraId="1BD2E414" w14:textId="77777777" w:rsidR="00000000" w:rsidRDefault="00D6065B">
            <w:pPr>
              <w:rPr>
                <w:rFonts w:eastAsia="Times New Roman"/>
                <w:sz w:val="16"/>
                <w:szCs w:val="16"/>
              </w:rPr>
            </w:pPr>
            <w:r>
              <w:rPr>
                <w:rFonts w:eastAsia="Times New Roman"/>
                <w:sz w:val="16"/>
                <w:szCs w:val="16"/>
              </w:rPr>
              <w:lastRenderedPageBreak/>
              <w:t>Accounts payable</w:t>
            </w:r>
          </w:p>
        </w:tc>
        <w:tc>
          <w:tcPr>
            <w:tcW w:w="0" w:type="auto"/>
            <w:shd w:val="clear" w:color="auto" w:fill="CCEEFF"/>
            <w:vAlign w:val="bottom"/>
            <w:hideMark/>
          </w:tcPr>
          <w:p w14:paraId="048491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C186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5A1CD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711D97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D1B21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1AA8EE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38E64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CE6C1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92AE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4911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3EC7C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683DF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1D24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0330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6CE0C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9F757A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E99D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4EBB0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6A2FA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4B3A6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04DF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EE7A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EBB15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BFF66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1EF8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40E0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02112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55A02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126A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99829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329A9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E6169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0F804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B947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FF01B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EF2F7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FC481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66BE8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A7F38B" w14:textId="77777777" w:rsidR="00000000" w:rsidRDefault="00D6065B">
            <w:pPr>
              <w:jc w:val="right"/>
              <w:rPr>
                <w:rFonts w:eastAsia="Times New Roman"/>
                <w:sz w:val="16"/>
                <w:szCs w:val="16"/>
              </w:rPr>
            </w:pPr>
            <w:r>
              <w:rPr>
                <w:rFonts w:eastAsia="Times New Roman"/>
                <w:sz w:val="16"/>
                <w:szCs w:val="16"/>
              </w:rPr>
              <w:t>384,445</w:t>
            </w:r>
          </w:p>
        </w:tc>
        <w:tc>
          <w:tcPr>
            <w:tcW w:w="0" w:type="auto"/>
            <w:shd w:val="clear" w:color="auto" w:fill="CCEEFF"/>
            <w:vAlign w:val="bottom"/>
            <w:hideMark/>
          </w:tcPr>
          <w:p w14:paraId="343705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E719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C8AB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6222E3" w14:textId="77777777" w:rsidR="00000000" w:rsidRDefault="00D6065B">
            <w:pPr>
              <w:jc w:val="right"/>
              <w:rPr>
                <w:rFonts w:eastAsia="Times New Roman"/>
                <w:sz w:val="16"/>
                <w:szCs w:val="16"/>
              </w:rPr>
            </w:pPr>
            <w:r>
              <w:rPr>
                <w:rFonts w:eastAsia="Times New Roman"/>
                <w:sz w:val="16"/>
                <w:szCs w:val="16"/>
              </w:rPr>
              <w:t>384</w:t>
            </w:r>
          </w:p>
        </w:tc>
        <w:tc>
          <w:tcPr>
            <w:tcW w:w="0" w:type="auto"/>
            <w:shd w:val="clear" w:color="auto" w:fill="CCEEFF"/>
            <w:vAlign w:val="bottom"/>
            <w:hideMark/>
          </w:tcPr>
          <w:p w14:paraId="75E1491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BDBD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09FFC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A6324A" w14:textId="77777777" w:rsidR="00000000" w:rsidRDefault="00D6065B">
            <w:pPr>
              <w:jc w:val="right"/>
              <w:rPr>
                <w:rFonts w:eastAsia="Times New Roman"/>
                <w:sz w:val="16"/>
                <w:szCs w:val="16"/>
              </w:rPr>
            </w:pPr>
            <w:r>
              <w:rPr>
                <w:rFonts w:eastAsia="Times New Roman"/>
                <w:sz w:val="16"/>
                <w:szCs w:val="16"/>
              </w:rPr>
              <w:t>49,616</w:t>
            </w:r>
          </w:p>
        </w:tc>
        <w:tc>
          <w:tcPr>
            <w:tcW w:w="0" w:type="auto"/>
            <w:shd w:val="clear" w:color="auto" w:fill="CCEEFF"/>
            <w:vAlign w:val="bottom"/>
            <w:hideMark/>
          </w:tcPr>
          <w:p w14:paraId="24E3EED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4D88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80B9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4DB26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4C1908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D167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6D19C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83A0B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4B985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3494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302E0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63E253" w14:textId="77777777" w:rsidR="00000000" w:rsidRDefault="00D6065B">
            <w:pPr>
              <w:jc w:val="right"/>
              <w:rPr>
                <w:rFonts w:eastAsia="Times New Roman"/>
                <w:sz w:val="16"/>
                <w:szCs w:val="16"/>
              </w:rPr>
            </w:pPr>
            <w:r>
              <w:rPr>
                <w:rFonts w:eastAsia="Times New Roman"/>
                <w:sz w:val="16"/>
                <w:szCs w:val="16"/>
              </w:rPr>
              <w:t>50,000</w:t>
            </w:r>
          </w:p>
        </w:tc>
        <w:tc>
          <w:tcPr>
            <w:tcW w:w="0" w:type="auto"/>
            <w:shd w:val="clear" w:color="auto" w:fill="CCEEFF"/>
            <w:vAlign w:val="bottom"/>
            <w:hideMark/>
          </w:tcPr>
          <w:p w14:paraId="61EE3AB4" w14:textId="77777777" w:rsidR="00000000" w:rsidRDefault="00D6065B">
            <w:pPr>
              <w:rPr>
                <w:rFonts w:eastAsia="Times New Roman"/>
                <w:sz w:val="16"/>
                <w:szCs w:val="16"/>
              </w:rPr>
            </w:pPr>
            <w:r>
              <w:rPr>
                <w:rFonts w:eastAsia="Times New Roman"/>
                <w:sz w:val="16"/>
                <w:szCs w:val="16"/>
              </w:rPr>
              <w:t> </w:t>
            </w:r>
          </w:p>
        </w:tc>
      </w:tr>
      <w:tr w:rsidR="00D6065B" w14:paraId="79E38BF8" w14:textId="77777777">
        <w:tc>
          <w:tcPr>
            <w:tcW w:w="0" w:type="auto"/>
            <w:shd w:val="clear" w:color="auto" w:fill="FFFFFF"/>
            <w:tcMar>
              <w:top w:w="0" w:type="dxa"/>
              <w:left w:w="200" w:type="dxa"/>
              <w:bottom w:w="0" w:type="dxa"/>
              <w:right w:w="0" w:type="dxa"/>
            </w:tcMar>
            <w:vAlign w:val="bottom"/>
            <w:hideMark/>
          </w:tcPr>
          <w:p w14:paraId="70C7AB8C" w14:textId="77777777" w:rsidR="00000000" w:rsidRDefault="00D6065B">
            <w:pPr>
              <w:rPr>
                <w:rFonts w:eastAsia="Times New Roman"/>
                <w:sz w:val="16"/>
                <w:szCs w:val="16"/>
              </w:rPr>
            </w:pPr>
            <w:r>
              <w:rPr>
                <w:rFonts w:eastAsia="Times New Roman"/>
                <w:sz w:val="16"/>
                <w:szCs w:val="16"/>
              </w:rPr>
              <w:t>Warrant exercises</w:t>
            </w:r>
          </w:p>
        </w:tc>
        <w:tc>
          <w:tcPr>
            <w:tcW w:w="0" w:type="auto"/>
            <w:shd w:val="clear" w:color="auto" w:fill="FFFFFF"/>
            <w:vAlign w:val="bottom"/>
            <w:hideMark/>
          </w:tcPr>
          <w:p w14:paraId="370CFF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BF96D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09ED9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CEC00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E8E2D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5233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9F20A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CB495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E3283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8BC5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2EB19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E60C3D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45762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D2A3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DF6C8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4553A1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64D4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4850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45FDC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82547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2C716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06FA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B8329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479A5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BE71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1C58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6C141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94B96D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E7745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667E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0BFEA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B3405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C14D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D3F4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61DDF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68C3F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5E30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6BE7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934A1C" w14:textId="77777777" w:rsidR="00000000" w:rsidRDefault="00D6065B">
            <w:pPr>
              <w:jc w:val="right"/>
              <w:rPr>
                <w:rFonts w:eastAsia="Times New Roman"/>
                <w:sz w:val="16"/>
                <w:szCs w:val="16"/>
              </w:rPr>
            </w:pPr>
            <w:r>
              <w:rPr>
                <w:rFonts w:eastAsia="Times New Roman"/>
                <w:sz w:val="16"/>
                <w:szCs w:val="16"/>
              </w:rPr>
              <w:t>3,870,428</w:t>
            </w:r>
          </w:p>
        </w:tc>
        <w:tc>
          <w:tcPr>
            <w:tcW w:w="0" w:type="auto"/>
            <w:shd w:val="clear" w:color="auto" w:fill="FFFFFF"/>
            <w:vAlign w:val="bottom"/>
            <w:hideMark/>
          </w:tcPr>
          <w:p w14:paraId="648ECF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AA9B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230B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7FC412" w14:textId="77777777" w:rsidR="00000000" w:rsidRDefault="00D6065B">
            <w:pPr>
              <w:jc w:val="right"/>
              <w:rPr>
                <w:rFonts w:eastAsia="Times New Roman"/>
                <w:sz w:val="16"/>
                <w:szCs w:val="16"/>
              </w:rPr>
            </w:pPr>
            <w:r>
              <w:rPr>
                <w:rFonts w:eastAsia="Times New Roman"/>
                <w:sz w:val="16"/>
                <w:szCs w:val="16"/>
              </w:rPr>
              <w:t>3,870</w:t>
            </w:r>
          </w:p>
        </w:tc>
        <w:tc>
          <w:tcPr>
            <w:tcW w:w="0" w:type="auto"/>
            <w:shd w:val="clear" w:color="auto" w:fill="FFFFFF"/>
            <w:vAlign w:val="bottom"/>
            <w:hideMark/>
          </w:tcPr>
          <w:p w14:paraId="0491ACD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9FDC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E140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770094" w14:textId="77777777" w:rsidR="00000000" w:rsidRDefault="00D6065B">
            <w:pPr>
              <w:jc w:val="right"/>
              <w:rPr>
                <w:rFonts w:eastAsia="Times New Roman"/>
                <w:sz w:val="16"/>
                <w:szCs w:val="16"/>
              </w:rPr>
            </w:pPr>
            <w:r>
              <w:rPr>
                <w:rFonts w:eastAsia="Times New Roman"/>
                <w:sz w:val="16"/>
                <w:szCs w:val="16"/>
              </w:rPr>
              <w:t>(3,870</w:t>
            </w:r>
          </w:p>
        </w:tc>
        <w:tc>
          <w:tcPr>
            <w:tcW w:w="0" w:type="auto"/>
            <w:shd w:val="clear" w:color="auto" w:fill="FFFFFF"/>
            <w:vAlign w:val="bottom"/>
            <w:hideMark/>
          </w:tcPr>
          <w:p w14:paraId="125DD196"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343E14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9AB9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C7976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20950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5663F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45870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599C9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DD820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6A30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D6DC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E8780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1508AA4" w14:textId="77777777" w:rsidR="00000000" w:rsidRDefault="00D6065B">
            <w:pPr>
              <w:rPr>
                <w:rFonts w:eastAsia="Times New Roman"/>
                <w:sz w:val="16"/>
                <w:szCs w:val="16"/>
              </w:rPr>
            </w:pPr>
            <w:r>
              <w:rPr>
                <w:rFonts w:eastAsia="Times New Roman"/>
                <w:sz w:val="16"/>
                <w:szCs w:val="16"/>
              </w:rPr>
              <w:t> </w:t>
            </w:r>
          </w:p>
        </w:tc>
      </w:tr>
      <w:tr w:rsidR="00D6065B" w14:paraId="4CDCFFFA" w14:textId="77777777">
        <w:tc>
          <w:tcPr>
            <w:tcW w:w="0" w:type="auto"/>
            <w:shd w:val="clear" w:color="auto" w:fill="CCEEFF"/>
            <w:vAlign w:val="bottom"/>
            <w:hideMark/>
          </w:tcPr>
          <w:p w14:paraId="297D937E" w14:textId="77777777" w:rsidR="00000000" w:rsidRDefault="00D6065B">
            <w:pPr>
              <w:rPr>
                <w:rFonts w:eastAsia="Times New Roman"/>
                <w:sz w:val="16"/>
                <w:szCs w:val="16"/>
              </w:rPr>
            </w:pPr>
            <w:r>
              <w:rPr>
                <w:rFonts w:eastAsia="Times New Roman"/>
                <w:sz w:val="16"/>
                <w:szCs w:val="16"/>
              </w:rPr>
              <w:t>Warrants purchased for cash</w:t>
            </w:r>
          </w:p>
        </w:tc>
        <w:tc>
          <w:tcPr>
            <w:tcW w:w="0" w:type="auto"/>
            <w:shd w:val="clear" w:color="auto" w:fill="CCEEFF"/>
            <w:vAlign w:val="bottom"/>
            <w:hideMark/>
          </w:tcPr>
          <w:p w14:paraId="51901FE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2537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C9BF1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5B449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6F72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8BE3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AED3E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90390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BBC06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D05D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9AE36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2128A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53B2A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F8D34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CF4B4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886B0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1B542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7860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0953D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6E27B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9C7B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3194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105B9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E95DC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376E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90C09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38670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9D51D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E087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BE44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48A07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E4201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38C6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29F3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64A39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1E539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D1C1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F4BF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7082E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559E18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2DF8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2A4DA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4DA10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2284D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F2D846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3CB7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5325C2" w14:textId="77777777" w:rsidR="00000000" w:rsidRDefault="00D6065B">
            <w:pPr>
              <w:jc w:val="right"/>
              <w:rPr>
                <w:rFonts w:eastAsia="Times New Roman"/>
                <w:sz w:val="16"/>
                <w:szCs w:val="16"/>
              </w:rPr>
            </w:pPr>
            <w:r>
              <w:rPr>
                <w:rFonts w:eastAsia="Times New Roman"/>
                <w:sz w:val="16"/>
                <w:szCs w:val="16"/>
              </w:rPr>
              <w:t>11,238</w:t>
            </w:r>
          </w:p>
        </w:tc>
        <w:tc>
          <w:tcPr>
            <w:tcW w:w="0" w:type="auto"/>
            <w:shd w:val="clear" w:color="auto" w:fill="CCEEFF"/>
            <w:vAlign w:val="bottom"/>
            <w:hideMark/>
          </w:tcPr>
          <w:p w14:paraId="04DC35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ED238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797F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211194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5044F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1717C3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B7E2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6E185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0A8C2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4B12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017F8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854378" w14:textId="77777777" w:rsidR="00000000" w:rsidRDefault="00D6065B">
            <w:pPr>
              <w:jc w:val="right"/>
              <w:rPr>
                <w:rFonts w:eastAsia="Times New Roman"/>
                <w:sz w:val="16"/>
                <w:szCs w:val="16"/>
              </w:rPr>
            </w:pPr>
            <w:r>
              <w:rPr>
                <w:rFonts w:eastAsia="Times New Roman"/>
                <w:sz w:val="16"/>
                <w:szCs w:val="16"/>
              </w:rPr>
              <w:t>11,238</w:t>
            </w:r>
          </w:p>
        </w:tc>
        <w:tc>
          <w:tcPr>
            <w:tcW w:w="0" w:type="auto"/>
            <w:shd w:val="clear" w:color="auto" w:fill="CCEEFF"/>
            <w:vAlign w:val="bottom"/>
            <w:hideMark/>
          </w:tcPr>
          <w:p w14:paraId="137A10A3" w14:textId="77777777" w:rsidR="00000000" w:rsidRDefault="00D6065B">
            <w:pPr>
              <w:rPr>
                <w:rFonts w:eastAsia="Times New Roman"/>
                <w:sz w:val="16"/>
                <w:szCs w:val="16"/>
              </w:rPr>
            </w:pPr>
            <w:r>
              <w:rPr>
                <w:rFonts w:eastAsia="Times New Roman"/>
                <w:sz w:val="16"/>
                <w:szCs w:val="16"/>
              </w:rPr>
              <w:t> </w:t>
            </w:r>
          </w:p>
        </w:tc>
      </w:tr>
      <w:tr w:rsidR="00D6065B" w14:paraId="5C27B480" w14:textId="77777777">
        <w:tc>
          <w:tcPr>
            <w:tcW w:w="0" w:type="auto"/>
            <w:shd w:val="clear" w:color="auto" w:fill="FFFFFF"/>
            <w:tcMar>
              <w:top w:w="0" w:type="dxa"/>
              <w:left w:w="0" w:type="dxa"/>
              <w:bottom w:w="30" w:type="dxa"/>
              <w:right w:w="0" w:type="dxa"/>
            </w:tcMar>
            <w:vAlign w:val="bottom"/>
            <w:hideMark/>
          </w:tcPr>
          <w:p w14:paraId="5554F917" w14:textId="77777777" w:rsidR="00000000" w:rsidRDefault="00D6065B">
            <w:pPr>
              <w:rPr>
                <w:rFonts w:eastAsia="Times New Roman"/>
                <w:sz w:val="16"/>
                <w:szCs w:val="16"/>
              </w:rPr>
            </w:pPr>
            <w:r>
              <w:rPr>
                <w:rFonts w:eastAsia="Times New Roman"/>
                <w:sz w:val="16"/>
                <w:szCs w:val="16"/>
              </w:rPr>
              <w:t>Net loss for the year</w:t>
            </w:r>
          </w:p>
        </w:tc>
        <w:tc>
          <w:tcPr>
            <w:tcW w:w="0" w:type="auto"/>
            <w:shd w:val="clear" w:color="auto" w:fill="FFFFFF"/>
            <w:tcMar>
              <w:top w:w="0" w:type="dxa"/>
              <w:left w:w="0" w:type="dxa"/>
              <w:bottom w:w="30" w:type="dxa"/>
              <w:right w:w="0" w:type="dxa"/>
            </w:tcMar>
            <w:vAlign w:val="bottom"/>
            <w:hideMark/>
          </w:tcPr>
          <w:p w14:paraId="37E4D2A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0722EB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77687A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93F10D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3752B7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1126D8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AFF6A1E"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396D79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CD9A73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4F1412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65D29F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F20D1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5909B97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51C928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42EE4E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610DFF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06CE35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C5A6DE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437F77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21D45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811848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316BFB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AC55C4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07285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474D0A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07589D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835914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A128BD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48C4C9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56221C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0B5C34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8105B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669E6A0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655EB2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92C016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83DAC8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11052B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412B3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122B70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BD3E1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A7DFB0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E14497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B52E86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6AA2AD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0939F37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F3CE32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DE35CB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06686A2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6EBDA20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BFCC48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B0D141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FC879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8DB47A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F5947CF"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F249E20" w14:textId="77777777" w:rsidR="00000000" w:rsidRDefault="00D6065B">
            <w:pPr>
              <w:jc w:val="right"/>
              <w:rPr>
                <w:rFonts w:eastAsia="Times New Roman"/>
                <w:sz w:val="16"/>
                <w:szCs w:val="16"/>
              </w:rPr>
            </w:pPr>
            <w:r>
              <w:rPr>
                <w:rFonts w:eastAsia="Times New Roman"/>
                <w:sz w:val="16"/>
                <w:szCs w:val="16"/>
              </w:rPr>
              <w:t>(288,189</w:t>
            </w:r>
          </w:p>
        </w:tc>
        <w:tc>
          <w:tcPr>
            <w:tcW w:w="0" w:type="auto"/>
            <w:shd w:val="clear" w:color="auto" w:fill="FFFFFF"/>
            <w:tcMar>
              <w:top w:w="0" w:type="dxa"/>
              <w:left w:w="0" w:type="dxa"/>
              <w:bottom w:w="30" w:type="dxa"/>
              <w:right w:w="0" w:type="dxa"/>
            </w:tcMar>
            <w:vAlign w:val="bottom"/>
            <w:hideMark/>
          </w:tcPr>
          <w:p w14:paraId="2AD307DE"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CE1AC1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8948D8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6076343" w14:textId="77777777" w:rsidR="00000000" w:rsidRDefault="00D6065B">
            <w:pPr>
              <w:jc w:val="right"/>
              <w:rPr>
                <w:rFonts w:eastAsia="Times New Roman"/>
                <w:sz w:val="16"/>
                <w:szCs w:val="16"/>
              </w:rPr>
            </w:pPr>
            <w:r>
              <w:rPr>
                <w:rFonts w:eastAsia="Times New Roman"/>
                <w:sz w:val="16"/>
                <w:szCs w:val="16"/>
              </w:rPr>
              <w:t>(288,189</w:t>
            </w:r>
          </w:p>
        </w:tc>
        <w:tc>
          <w:tcPr>
            <w:tcW w:w="0" w:type="auto"/>
            <w:shd w:val="clear" w:color="auto" w:fill="FFFFFF"/>
            <w:tcMar>
              <w:top w:w="0" w:type="dxa"/>
              <w:left w:w="0" w:type="dxa"/>
              <w:bottom w:w="30" w:type="dxa"/>
              <w:right w:w="0" w:type="dxa"/>
            </w:tcMar>
            <w:vAlign w:val="bottom"/>
            <w:hideMark/>
          </w:tcPr>
          <w:p w14:paraId="14780A16" w14:textId="77777777" w:rsidR="00000000" w:rsidRDefault="00D6065B">
            <w:pPr>
              <w:rPr>
                <w:rFonts w:eastAsia="Times New Roman"/>
                <w:sz w:val="16"/>
                <w:szCs w:val="16"/>
              </w:rPr>
            </w:pPr>
            <w:r>
              <w:rPr>
                <w:rFonts w:eastAsia="Times New Roman"/>
                <w:sz w:val="16"/>
                <w:szCs w:val="16"/>
              </w:rPr>
              <w:t>)</w:t>
            </w:r>
          </w:p>
        </w:tc>
      </w:tr>
      <w:tr w:rsidR="00D6065B" w14:paraId="37E7FA33" w14:textId="77777777">
        <w:tc>
          <w:tcPr>
            <w:tcW w:w="0" w:type="auto"/>
            <w:shd w:val="clear" w:color="auto" w:fill="CCEEFF"/>
            <w:vAlign w:val="bottom"/>
            <w:hideMark/>
          </w:tcPr>
          <w:p w14:paraId="7A44696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D8CFC5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B8B68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3EF94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3ED5D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1E44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32DE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7ED47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6A90D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6B69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BF85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8293E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37173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6E292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2E91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A1A84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4C1DB4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05F5B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AFE78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534BB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48D75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F44D1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3D5D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28317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DFF59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2711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DD39D8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4ECFF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C8CBF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92AF0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518E2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C6B27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4B8C8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F1F2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F7DE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2FB1D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7C56D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0A7C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4F30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E0FDCF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19E09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D450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110C0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07063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78643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C9DFB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97649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F9CB4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2F8D41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EC3F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3FB71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60248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66739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1D40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A4F8C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C34A4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705BB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FF5C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8F98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E492D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AE1EA58" w14:textId="77777777" w:rsidR="00000000" w:rsidRDefault="00D6065B">
            <w:pPr>
              <w:rPr>
                <w:rFonts w:eastAsia="Times New Roman"/>
                <w:sz w:val="16"/>
                <w:szCs w:val="16"/>
              </w:rPr>
            </w:pPr>
            <w:r>
              <w:rPr>
                <w:rFonts w:eastAsia="Times New Roman"/>
                <w:sz w:val="16"/>
                <w:szCs w:val="16"/>
              </w:rPr>
              <w:t> </w:t>
            </w:r>
          </w:p>
        </w:tc>
      </w:tr>
      <w:tr w:rsidR="00D6065B" w14:paraId="17368C58" w14:textId="77777777">
        <w:tc>
          <w:tcPr>
            <w:tcW w:w="0" w:type="auto"/>
            <w:shd w:val="clear" w:color="auto" w:fill="FFFFFF"/>
            <w:vAlign w:val="bottom"/>
            <w:hideMark/>
          </w:tcPr>
          <w:p w14:paraId="5976544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8B71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7E8E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4087F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7AD7C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92FB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BA49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A0E71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ACF4D0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CAEB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B18F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E30F7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BD3F8C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FADF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585FD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6249A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6B121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64D9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F19D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26481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AA793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DD57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65DB9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A6414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E23A3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3F7E8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E4F2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3912D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09393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898D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FC1B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C91B5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F2B69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7535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8E817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0A86C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AE16F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7ED72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114E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F9D80E"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3E256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21DA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D4619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B0936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D14B7E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E0FE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97FF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388A3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61ADE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D5FC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48C4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98657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279C41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64D79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AE79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666AA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716190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CA05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4C18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4C411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46A25BD" w14:textId="77777777" w:rsidR="00000000" w:rsidRDefault="00D6065B">
            <w:pPr>
              <w:rPr>
                <w:rFonts w:eastAsia="Times New Roman"/>
                <w:sz w:val="16"/>
                <w:szCs w:val="16"/>
              </w:rPr>
            </w:pPr>
            <w:r>
              <w:rPr>
                <w:rFonts w:eastAsia="Times New Roman"/>
                <w:sz w:val="16"/>
                <w:szCs w:val="16"/>
              </w:rPr>
              <w:t> </w:t>
            </w:r>
          </w:p>
        </w:tc>
      </w:tr>
      <w:tr w:rsidR="00D6065B" w14:paraId="524F34C2" w14:textId="77777777">
        <w:trPr>
          <w:hidden/>
        </w:trPr>
        <w:tc>
          <w:tcPr>
            <w:tcW w:w="0" w:type="auto"/>
            <w:shd w:val="clear" w:color="auto" w:fill="FFFFFF"/>
            <w:vAlign w:val="bottom"/>
            <w:hideMark/>
          </w:tcPr>
          <w:p w14:paraId="22B2C6CA" w14:textId="77777777" w:rsidR="00000000" w:rsidRDefault="00D6065B">
            <w:pPr>
              <w:rPr>
                <w:rFonts w:eastAsia="Times New Roman"/>
                <w:vanish/>
                <w:sz w:val="16"/>
                <w:szCs w:val="16"/>
              </w:rPr>
            </w:pPr>
            <w:r>
              <w:rPr>
                <w:rFonts w:eastAsia="Times New Roman"/>
                <w:vanish/>
                <w:sz w:val="16"/>
                <w:szCs w:val="16"/>
              </w:rPr>
              <w:t>Balance, March 31, 2021</w:t>
            </w:r>
          </w:p>
        </w:tc>
        <w:tc>
          <w:tcPr>
            <w:tcW w:w="0" w:type="auto"/>
            <w:shd w:val="clear" w:color="auto" w:fill="FFFFFF"/>
            <w:vAlign w:val="bottom"/>
            <w:hideMark/>
          </w:tcPr>
          <w:p w14:paraId="3F80FD6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8690A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F68BCB3" w14:textId="77777777" w:rsidR="00000000" w:rsidRDefault="00D6065B">
            <w:pPr>
              <w:jc w:val="right"/>
              <w:rPr>
                <w:rFonts w:eastAsia="Times New Roman"/>
                <w:vanish/>
                <w:sz w:val="16"/>
                <w:szCs w:val="16"/>
              </w:rPr>
            </w:pPr>
            <w:r>
              <w:rPr>
                <w:rFonts w:eastAsia="Times New Roman"/>
                <w:vanish/>
                <w:sz w:val="16"/>
                <w:szCs w:val="16"/>
              </w:rPr>
              <w:t>2,171,007</w:t>
            </w:r>
          </w:p>
        </w:tc>
        <w:tc>
          <w:tcPr>
            <w:tcW w:w="0" w:type="auto"/>
            <w:shd w:val="clear" w:color="auto" w:fill="FFFFFF"/>
            <w:vAlign w:val="bottom"/>
            <w:hideMark/>
          </w:tcPr>
          <w:p w14:paraId="401BEAE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A10866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6FFE98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2AE423A" w14:textId="77777777" w:rsidR="00000000" w:rsidRDefault="00D6065B">
            <w:pPr>
              <w:jc w:val="right"/>
              <w:rPr>
                <w:rFonts w:eastAsia="Times New Roman"/>
                <w:vanish/>
                <w:sz w:val="16"/>
                <w:szCs w:val="16"/>
              </w:rPr>
            </w:pPr>
            <w:r>
              <w:rPr>
                <w:rFonts w:eastAsia="Times New Roman"/>
                <w:vanish/>
                <w:sz w:val="16"/>
                <w:szCs w:val="16"/>
              </w:rPr>
              <w:t>2,171</w:t>
            </w:r>
          </w:p>
        </w:tc>
        <w:tc>
          <w:tcPr>
            <w:tcW w:w="0" w:type="auto"/>
            <w:shd w:val="clear" w:color="auto" w:fill="FFFFFF"/>
            <w:vAlign w:val="bottom"/>
            <w:hideMark/>
          </w:tcPr>
          <w:p w14:paraId="422F534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C9BC5E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F05193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1A475EC" w14:textId="77777777" w:rsidR="00000000" w:rsidRDefault="00D6065B">
            <w:pPr>
              <w:jc w:val="right"/>
              <w:rPr>
                <w:rFonts w:eastAsia="Times New Roman"/>
                <w:vanish/>
                <w:sz w:val="16"/>
                <w:szCs w:val="16"/>
              </w:rPr>
            </w:pPr>
            <w:r>
              <w:rPr>
                <w:rFonts w:eastAsia="Times New Roman"/>
                <w:vanish/>
                <w:sz w:val="16"/>
                <w:szCs w:val="16"/>
              </w:rPr>
              <w:t>8,857,358</w:t>
            </w:r>
          </w:p>
        </w:tc>
        <w:tc>
          <w:tcPr>
            <w:tcW w:w="0" w:type="auto"/>
            <w:shd w:val="clear" w:color="auto" w:fill="FFFFFF"/>
            <w:vAlign w:val="bottom"/>
            <w:hideMark/>
          </w:tcPr>
          <w:p w14:paraId="0D4CA1C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FE7D86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C65408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36970D5" w14:textId="77777777" w:rsidR="00000000" w:rsidRDefault="00D6065B">
            <w:pPr>
              <w:jc w:val="right"/>
              <w:rPr>
                <w:rFonts w:eastAsia="Times New Roman"/>
                <w:vanish/>
                <w:sz w:val="16"/>
                <w:szCs w:val="16"/>
              </w:rPr>
            </w:pPr>
            <w:r>
              <w:rPr>
                <w:rFonts w:eastAsia="Times New Roman"/>
                <w:vanish/>
                <w:sz w:val="16"/>
                <w:szCs w:val="16"/>
              </w:rPr>
              <w:t>436,653</w:t>
            </w:r>
          </w:p>
        </w:tc>
        <w:tc>
          <w:tcPr>
            <w:tcW w:w="0" w:type="auto"/>
            <w:shd w:val="clear" w:color="auto" w:fill="FFFFFF"/>
            <w:vAlign w:val="bottom"/>
            <w:hideMark/>
          </w:tcPr>
          <w:p w14:paraId="1F1A638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695589"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E034FA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1355D7" w14:textId="77777777" w:rsidR="00000000" w:rsidRDefault="00D6065B">
            <w:pPr>
              <w:jc w:val="right"/>
              <w:rPr>
                <w:rFonts w:eastAsia="Times New Roman"/>
                <w:vanish/>
                <w:sz w:val="16"/>
                <w:szCs w:val="16"/>
              </w:rPr>
            </w:pPr>
            <w:r>
              <w:rPr>
                <w:rFonts w:eastAsia="Times New Roman"/>
                <w:vanish/>
                <w:sz w:val="16"/>
                <w:szCs w:val="16"/>
              </w:rPr>
              <w:t>436</w:t>
            </w:r>
          </w:p>
        </w:tc>
        <w:tc>
          <w:tcPr>
            <w:tcW w:w="0" w:type="auto"/>
            <w:shd w:val="clear" w:color="auto" w:fill="FFFFFF"/>
            <w:vAlign w:val="bottom"/>
            <w:hideMark/>
          </w:tcPr>
          <w:p w14:paraId="10D0FE5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CB9EBE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39CD64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2D4A925" w14:textId="77777777" w:rsidR="00000000" w:rsidRDefault="00D6065B">
            <w:pPr>
              <w:jc w:val="right"/>
              <w:rPr>
                <w:rFonts w:eastAsia="Times New Roman"/>
                <w:vanish/>
                <w:sz w:val="16"/>
                <w:szCs w:val="16"/>
              </w:rPr>
            </w:pPr>
            <w:r>
              <w:rPr>
                <w:rFonts w:eastAsia="Times New Roman"/>
                <w:vanish/>
                <w:sz w:val="16"/>
                <w:szCs w:val="16"/>
              </w:rPr>
              <w:t>385,235</w:t>
            </w:r>
          </w:p>
        </w:tc>
        <w:tc>
          <w:tcPr>
            <w:tcW w:w="0" w:type="auto"/>
            <w:shd w:val="clear" w:color="auto" w:fill="FFFFFF"/>
            <w:vAlign w:val="bottom"/>
            <w:hideMark/>
          </w:tcPr>
          <w:p w14:paraId="6369E45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6A50E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9AE593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0A1DF9B" w14:textId="77777777" w:rsidR="00000000" w:rsidRDefault="00D6065B">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14:paraId="0D0C3FD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9F9B86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6C24221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13C513A" w14:textId="77777777" w:rsidR="00000000" w:rsidRDefault="00D6065B">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14:paraId="4204F09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28DC3F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3A4AE88"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FC86747" w14:textId="77777777" w:rsidR="00000000" w:rsidRDefault="00D6065B">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14:paraId="462F00C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143CF6F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01DADEB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49FA1F2" w14:textId="77777777" w:rsidR="00000000" w:rsidRDefault="00D6065B">
            <w:pPr>
              <w:jc w:val="right"/>
              <w:rPr>
                <w:rFonts w:eastAsia="Times New Roman"/>
                <w:vanish/>
                <w:sz w:val="16"/>
                <w:szCs w:val="16"/>
              </w:rPr>
            </w:pPr>
            <w:r>
              <w:rPr>
                <w:rFonts w:eastAsia="Times New Roman"/>
                <w:vanish/>
                <w:sz w:val="16"/>
                <w:szCs w:val="16"/>
              </w:rPr>
              <w:t>320,292,714</w:t>
            </w:r>
          </w:p>
        </w:tc>
        <w:tc>
          <w:tcPr>
            <w:tcW w:w="0" w:type="auto"/>
            <w:shd w:val="clear" w:color="auto" w:fill="FFFFFF"/>
            <w:vAlign w:val="bottom"/>
            <w:hideMark/>
          </w:tcPr>
          <w:p w14:paraId="3B149DF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0FD613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387CD0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D07E85" w14:textId="77777777" w:rsidR="00000000" w:rsidRDefault="00D6065B">
            <w:pPr>
              <w:jc w:val="right"/>
              <w:rPr>
                <w:rFonts w:eastAsia="Times New Roman"/>
                <w:vanish/>
                <w:sz w:val="16"/>
                <w:szCs w:val="16"/>
              </w:rPr>
            </w:pPr>
            <w:r>
              <w:rPr>
                <w:rFonts w:eastAsia="Times New Roman"/>
                <w:vanish/>
                <w:sz w:val="16"/>
                <w:szCs w:val="16"/>
              </w:rPr>
              <w:t>320,292</w:t>
            </w:r>
          </w:p>
        </w:tc>
        <w:tc>
          <w:tcPr>
            <w:tcW w:w="0" w:type="auto"/>
            <w:shd w:val="clear" w:color="auto" w:fill="FFFFFF"/>
            <w:vAlign w:val="bottom"/>
            <w:hideMark/>
          </w:tcPr>
          <w:p w14:paraId="0892A86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D52790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F957E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7BAD533D" w14:textId="77777777" w:rsidR="00000000" w:rsidRDefault="00D6065B">
            <w:pPr>
              <w:jc w:val="right"/>
              <w:rPr>
                <w:rFonts w:eastAsia="Times New Roman"/>
                <w:vanish/>
                <w:sz w:val="16"/>
                <w:szCs w:val="16"/>
              </w:rPr>
            </w:pPr>
            <w:r>
              <w:rPr>
                <w:rFonts w:eastAsia="Times New Roman"/>
                <w:vanish/>
                <w:sz w:val="16"/>
                <w:szCs w:val="16"/>
              </w:rPr>
              <w:t>66,611,654</w:t>
            </w:r>
          </w:p>
        </w:tc>
        <w:tc>
          <w:tcPr>
            <w:tcW w:w="0" w:type="auto"/>
            <w:shd w:val="clear" w:color="auto" w:fill="FFFFFF"/>
            <w:vAlign w:val="bottom"/>
            <w:hideMark/>
          </w:tcPr>
          <w:p w14:paraId="435F38B5"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70F40C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F3622DC"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3AE42DB6" w14:textId="77777777" w:rsidR="00000000" w:rsidRDefault="00D6065B">
            <w:pPr>
              <w:jc w:val="right"/>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14:paraId="5EBA662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2FEDA123"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A4B93A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06D5D7E" w14:textId="77777777" w:rsidR="00000000" w:rsidRDefault="00D6065B">
            <w:pPr>
              <w:jc w:val="right"/>
              <w:rPr>
                <w:rFonts w:eastAsia="Times New Roman"/>
                <w:vanish/>
                <w:sz w:val="16"/>
                <w:szCs w:val="16"/>
              </w:rPr>
            </w:pPr>
            <w:r>
              <w:rPr>
                <w:rFonts w:eastAsia="Times New Roman"/>
                <w:vanish/>
                <w:sz w:val="16"/>
                <w:szCs w:val="16"/>
              </w:rPr>
              <w:t>(74,846,290</w:t>
            </w:r>
          </w:p>
        </w:tc>
        <w:tc>
          <w:tcPr>
            <w:tcW w:w="0" w:type="auto"/>
            <w:shd w:val="clear" w:color="auto" w:fill="FFFFFF"/>
            <w:vAlign w:val="bottom"/>
            <w:hideMark/>
          </w:tcPr>
          <w:p w14:paraId="0EA8781A" w14:textId="77777777" w:rsidR="00000000" w:rsidRDefault="00D6065B">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14:paraId="7014424D"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5440816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14:paraId="49B128F4" w14:textId="77777777" w:rsidR="00000000" w:rsidRDefault="00D6065B">
            <w:pPr>
              <w:jc w:val="right"/>
              <w:rPr>
                <w:rFonts w:eastAsia="Times New Roman"/>
                <w:vanish/>
                <w:sz w:val="16"/>
                <w:szCs w:val="16"/>
              </w:rPr>
            </w:pPr>
            <w:r>
              <w:rPr>
                <w:rFonts w:eastAsia="Times New Roman"/>
                <w:vanish/>
                <w:sz w:val="16"/>
                <w:szCs w:val="16"/>
              </w:rPr>
              <w:t>1,831,748</w:t>
            </w:r>
          </w:p>
        </w:tc>
        <w:tc>
          <w:tcPr>
            <w:tcW w:w="0" w:type="auto"/>
            <w:shd w:val="clear" w:color="auto" w:fill="FFFFFF"/>
            <w:vAlign w:val="bottom"/>
            <w:hideMark/>
          </w:tcPr>
          <w:p w14:paraId="2C7CFEFF" w14:textId="77777777" w:rsidR="00000000" w:rsidRDefault="00D6065B">
            <w:pPr>
              <w:rPr>
                <w:rFonts w:eastAsia="Times New Roman"/>
                <w:vanish/>
                <w:sz w:val="16"/>
                <w:szCs w:val="16"/>
              </w:rPr>
            </w:pPr>
            <w:r>
              <w:rPr>
                <w:rFonts w:eastAsia="Times New Roman"/>
                <w:vanish/>
                <w:sz w:val="16"/>
                <w:szCs w:val="16"/>
              </w:rPr>
              <w:t> </w:t>
            </w:r>
          </w:p>
        </w:tc>
      </w:tr>
      <w:tr w:rsidR="00D6065B" w14:paraId="504E8BE6" w14:textId="77777777">
        <w:tc>
          <w:tcPr>
            <w:tcW w:w="0" w:type="auto"/>
            <w:shd w:val="clear" w:color="auto" w:fill="FFFFFF"/>
            <w:vAlign w:val="bottom"/>
            <w:hideMark/>
          </w:tcPr>
          <w:p w14:paraId="43A7D230" w14:textId="77777777" w:rsidR="00000000" w:rsidRDefault="00D6065B">
            <w:pPr>
              <w:rPr>
                <w:rFonts w:eastAsia="Times New Roman"/>
                <w:sz w:val="16"/>
                <w:szCs w:val="16"/>
              </w:rPr>
            </w:pPr>
            <w:r>
              <w:rPr>
                <w:rFonts w:eastAsia="Times New Roman"/>
                <w:sz w:val="16"/>
                <w:szCs w:val="16"/>
              </w:rPr>
              <w:t xml:space="preserve">Balance </w:t>
            </w:r>
            <w:r>
              <w:rPr>
                <w:rFonts w:eastAsia="Times New Roman"/>
                <w:sz w:val="16"/>
                <w:szCs w:val="16"/>
              </w:rPr>
              <w:t>- March 31, 2021</w:t>
            </w:r>
          </w:p>
        </w:tc>
        <w:tc>
          <w:tcPr>
            <w:tcW w:w="0" w:type="auto"/>
            <w:shd w:val="clear" w:color="auto" w:fill="FFFFFF"/>
            <w:vAlign w:val="bottom"/>
            <w:hideMark/>
          </w:tcPr>
          <w:p w14:paraId="183761D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B240B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6A6A41" w14:textId="77777777" w:rsidR="00000000" w:rsidRDefault="00D6065B">
            <w:pPr>
              <w:jc w:val="right"/>
              <w:rPr>
                <w:rFonts w:eastAsia="Times New Roman"/>
                <w:sz w:val="16"/>
                <w:szCs w:val="16"/>
              </w:rPr>
            </w:pPr>
            <w:r>
              <w:rPr>
                <w:rFonts w:eastAsia="Times New Roman"/>
                <w:sz w:val="16"/>
                <w:szCs w:val="16"/>
              </w:rPr>
              <w:t>2,171,007</w:t>
            </w:r>
          </w:p>
        </w:tc>
        <w:tc>
          <w:tcPr>
            <w:tcW w:w="0" w:type="auto"/>
            <w:shd w:val="clear" w:color="auto" w:fill="FFFFFF"/>
            <w:vAlign w:val="bottom"/>
            <w:hideMark/>
          </w:tcPr>
          <w:p w14:paraId="517B000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BDD4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93F40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052648" w14:textId="77777777" w:rsidR="00000000" w:rsidRDefault="00D6065B">
            <w:pPr>
              <w:jc w:val="right"/>
              <w:rPr>
                <w:rFonts w:eastAsia="Times New Roman"/>
                <w:sz w:val="16"/>
                <w:szCs w:val="16"/>
              </w:rPr>
            </w:pPr>
            <w:r>
              <w:rPr>
                <w:rFonts w:eastAsia="Times New Roman"/>
                <w:sz w:val="16"/>
                <w:szCs w:val="16"/>
              </w:rPr>
              <w:t>2,171</w:t>
            </w:r>
          </w:p>
        </w:tc>
        <w:tc>
          <w:tcPr>
            <w:tcW w:w="0" w:type="auto"/>
            <w:shd w:val="clear" w:color="auto" w:fill="FFFFFF"/>
            <w:vAlign w:val="bottom"/>
            <w:hideMark/>
          </w:tcPr>
          <w:p w14:paraId="2E9A50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00CF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2F5A8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B01200" w14:textId="77777777" w:rsidR="00000000" w:rsidRDefault="00D6065B">
            <w:pPr>
              <w:jc w:val="right"/>
              <w:rPr>
                <w:rFonts w:eastAsia="Times New Roman"/>
                <w:sz w:val="16"/>
                <w:szCs w:val="16"/>
              </w:rPr>
            </w:pPr>
            <w:r>
              <w:rPr>
                <w:rFonts w:eastAsia="Times New Roman"/>
                <w:sz w:val="16"/>
                <w:szCs w:val="16"/>
              </w:rPr>
              <w:t>8,857,358</w:t>
            </w:r>
          </w:p>
        </w:tc>
        <w:tc>
          <w:tcPr>
            <w:tcW w:w="0" w:type="auto"/>
            <w:shd w:val="clear" w:color="auto" w:fill="FFFFFF"/>
            <w:vAlign w:val="bottom"/>
            <w:hideMark/>
          </w:tcPr>
          <w:p w14:paraId="43AF95F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190A4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AB64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3CBE74" w14:textId="77777777" w:rsidR="00000000" w:rsidRDefault="00D6065B">
            <w:pPr>
              <w:jc w:val="right"/>
              <w:rPr>
                <w:rFonts w:eastAsia="Times New Roman"/>
                <w:sz w:val="16"/>
                <w:szCs w:val="16"/>
              </w:rPr>
            </w:pPr>
            <w:r>
              <w:rPr>
                <w:rFonts w:eastAsia="Times New Roman"/>
                <w:sz w:val="16"/>
                <w:szCs w:val="16"/>
              </w:rPr>
              <w:t>436,653</w:t>
            </w:r>
          </w:p>
        </w:tc>
        <w:tc>
          <w:tcPr>
            <w:tcW w:w="0" w:type="auto"/>
            <w:shd w:val="clear" w:color="auto" w:fill="FFFFFF"/>
            <w:vAlign w:val="bottom"/>
            <w:hideMark/>
          </w:tcPr>
          <w:p w14:paraId="546324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6C1F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FF9F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999CC1" w14:textId="77777777" w:rsidR="00000000" w:rsidRDefault="00D6065B">
            <w:pPr>
              <w:jc w:val="right"/>
              <w:rPr>
                <w:rFonts w:eastAsia="Times New Roman"/>
                <w:sz w:val="16"/>
                <w:szCs w:val="16"/>
              </w:rPr>
            </w:pPr>
            <w:r>
              <w:rPr>
                <w:rFonts w:eastAsia="Times New Roman"/>
                <w:sz w:val="16"/>
                <w:szCs w:val="16"/>
              </w:rPr>
              <w:t>436</w:t>
            </w:r>
          </w:p>
        </w:tc>
        <w:tc>
          <w:tcPr>
            <w:tcW w:w="0" w:type="auto"/>
            <w:shd w:val="clear" w:color="auto" w:fill="FFFFFF"/>
            <w:vAlign w:val="bottom"/>
            <w:hideMark/>
          </w:tcPr>
          <w:p w14:paraId="651F3D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78EA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C88C8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C4366B" w14:textId="77777777" w:rsidR="00000000" w:rsidRDefault="00D6065B">
            <w:pPr>
              <w:jc w:val="right"/>
              <w:rPr>
                <w:rFonts w:eastAsia="Times New Roman"/>
                <w:sz w:val="16"/>
                <w:szCs w:val="16"/>
              </w:rPr>
            </w:pPr>
            <w:r>
              <w:rPr>
                <w:rFonts w:eastAsia="Times New Roman"/>
                <w:sz w:val="16"/>
                <w:szCs w:val="16"/>
              </w:rPr>
              <w:t>385,235</w:t>
            </w:r>
          </w:p>
        </w:tc>
        <w:tc>
          <w:tcPr>
            <w:tcW w:w="0" w:type="auto"/>
            <w:shd w:val="clear" w:color="auto" w:fill="FFFFFF"/>
            <w:vAlign w:val="bottom"/>
            <w:hideMark/>
          </w:tcPr>
          <w:p w14:paraId="2D6867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6162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1A3C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839BA3" w14:textId="77777777" w:rsidR="00000000" w:rsidRDefault="00D6065B">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14:paraId="20F677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4FBD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2B86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D6F6F2" w14:textId="77777777" w:rsidR="00000000" w:rsidRDefault="00D6065B">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14:paraId="41CC5C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FA43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F2107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6D8900" w14:textId="77777777" w:rsidR="00000000" w:rsidRDefault="00D6065B">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14:paraId="282DCF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8E3B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82ACC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2C5666" w14:textId="77777777" w:rsidR="00000000" w:rsidRDefault="00D6065B">
            <w:pPr>
              <w:jc w:val="right"/>
              <w:rPr>
                <w:rFonts w:eastAsia="Times New Roman"/>
                <w:sz w:val="16"/>
                <w:szCs w:val="16"/>
              </w:rPr>
            </w:pPr>
            <w:r>
              <w:rPr>
                <w:rFonts w:eastAsia="Times New Roman"/>
                <w:sz w:val="16"/>
                <w:szCs w:val="16"/>
              </w:rPr>
              <w:t>320,292,714</w:t>
            </w:r>
          </w:p>
        </w:tc>
        <w:tc>
          <w:tcPr>
            <w:tcW w:w="0" w:type="auto"/>
            <w:shd w:val="clear" w:color="auto" w:fill="FFFFFF"/>
            <w:vAlign w:val="bottom"/>
            <w:hideMark/>
          </w:tcPr>
          <w:p w14:paraId="32FB33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0450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8F834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AC0E6A" w14:textId="77777777" w:rsidR="00000000" w:rsidRDefault="00D6065B">
            <w:pPr>
              <w:jc w:val="right"/>
              <w:rPr>
                <w:rFonts w:eastAsia="Times New Roman"/>
                <w:sz w:val="16"/>
                <w:szCs w:val="16"/>
              </w:rPr>
            </w:pPr>
            <w:r>
              <w:rPr>
                <w:rFonts w:eastAsia="Times New Roman"/>
                <w:sz w:val="16"/>
                <w:szCs w:val="16"/>
              </w:rPr>
              <w:t>320,292</w:t>
            </w:r>
          </w:p>
        </w:tc>
        <w:tc>
          <w:tcPr>
            <w:tcW w:w="0" w:type="auto"/>
            <w:shd w:val="clear" w:color="auto" w:fill="FFFFFF"/>
            <w:vAlign w:val="bottom"/>
            <w:hideMark/>
          </w:tcPr>
          <w:p w14:paraId="61B1C7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3605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7031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388167" w14:textId="77777777" w:rsidR="00000000" w:rsidRDefault="00D6065B">
            <w:pPr>
              <w:jc w:val="right"/>
              <w:rPr>
                <w:rFonts w:eastAsia="Times New Roman"/>
                <w:sz w:val="16"/>
                <w:szCs w:val="16"/>
              </w:rPr>
            </w:pPr>
            <w:r>
              <w:rPr>
                <w:rFonts w:eastAsia="Times New Roman"/>
                <w:sz w:val="16"/>
                <w:szCs w:val="16"/>
              </w:rPr>
              <w:t>66,611,654</w:t>
            </w:r>
          </w:p>
        </w:tc>
        <w:tc>
          <w:tcPr>
            <w:tcW w:w="0" w:type="auto"/>
            <w:shd w:val="clear" w:color="auto" w:fill="FFFFFF"/>
            <w:vAlign w:val="bottom"/>
            <w:hideMark/>
          </w:tcPr>
          <w:p w14:paraId="68C9359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1AC9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A31C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80C47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02FD8F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6C6B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7544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CC3F0F" w14:textId="77777777" w:rsidR="00000000" w:rsidRDefault="00D6065B">
            <w:pPr>
              <w:jc w:val="right"/>
              <w:rPr>
                <w:rFonts w:eastAsia="Times New Roman"/>
                <w:sz w:val="16"/>
                <w:szCs w:val="16"/>
              </w:rPr>
            </w:pPr>
            <w:r>
              <w:rPr>
                <w:rFonts w:eastAsia="Times New Roman"/>
                <w:sz w:val="16"/>
                <w:szCs w:val="16"/>
              </w:rPr>
              <w:t>(74,846,290</w:t>
            </w:r>
          </w:p>
        </w:tc>
        <w:tc>
          <w:tcPr>
            <w:tcW w:w="0" w:type="auto"/>
            <w:shd w:val="clear" w:color="auto" w:fill="FFFFFF"/>
            <w:vAlign w:val="bottom"/>
            <w:hideMark/>
          </w:tcPr>
          <w:p w14:paraId="5D9C00C8"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44D6EC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47166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33C536" w14:textId="77777777" w:rsidR="00000000" w:rsidRDefault="00D6065B">
            <w:pPr>
              <w:jc w:val="right"/>
              <w:rPr>
                <w:rFonts w:eastAsia="Times New Roman"/>
                <w:sz w:val="16"/>
                <w:szCs w:val="16"/>
              </w:rPr>
            </w:pPr>
            <w:r>
              <w:rPr>
                <w:rFonts w:eastAsia="Times New Roman"/>
                <w:sz w:val="16"/>
                <w:szCs w:val="16"/>
              </w:rPr>
              <w:t>1,831,748</w:t>
            </w:r>
          </w:p>
        </w:tc>
        <w:tc>
          <w:tcPr>
            <w:tcW w:w="0" w:type="auto"/>
            <w:shd w:val="clear" w:color="auto" w:fill="FFFFFF"/>
            <w:vAlign w:val="bottom"/>
            <w:hideMark/>
          </w:tcPr>
          <w:p w14:paraId="7B218740" w14:textId="77777777" w:rsidR="00000000" w:rsidRDefault="00D6065B">
            <w:pPr>
              <w:rPr>
                <w:rFonts w:eastAsia="Times New Roman"/>
                <w:sz w:val="16"/>
                <w:szCs w:val="16"/>
              </w:rPr>
            </w:pPr>
            <w:r>
              <w:rPr>
                <w:rFonts w:eastAsia="Times New Roman"/>
                <w:sz w:val="16"/>
                <w:szCs w:val="16"/>
              </w:rPr>
              <w:t> </w:t>
            </w:r>
          </w:p>
        </w:tc>
      </w:tr>
      <w:tr w:rsidR="00D6065B" w14:paraId="503E05DB" w14:textId="77777777">
        <w:tc>
          <w:tcPr>
            <w:tcW w:w="0" w:type="auto"/>
            <w:shd w:val="clear" w:color="auto" w:fill="CCEEFF"/>
            <w:vAlign w:val="bottom"/>
            <w:hideMark/>
          </w:tcPr>
          <w:p w14:paraId="7059D4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48FC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0F8E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E4C17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DDF62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DC25D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8509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DCE7C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BB4B85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102B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6A8E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DB891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5270F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9A9F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D9AE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1121E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24EC9A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39AD5A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0219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992092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274DC2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2EA1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FA7E3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C7F13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C7CEB6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5E7E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16405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B01DD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E762D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CDC9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C56C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DB002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3A1C6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3EE5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F678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589DC6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4D895F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FDC99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2BB4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AAC6E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79CA4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7181E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91638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A3AEAD"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670CFB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DE0B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60B4A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FFB16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D44A4F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7A541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F858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A71EE0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FC6784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01634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49B3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79A9C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073C9D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12B83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32B70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A5651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223BE08" w14:textId="77777777" w:rsidR="00000000" w:rsidRDefault="00D6065B">
            <w:pPr>
              <w:rPr>
                <w:rFonts w:eastAsia="Times New Roman"/>
                <w:sz w:val="16"/>
                <w:szCs w:val="16"/>
              </w:rPr>
            </w:pPr>
            <w:r>
              <w:rPr>
                <w:rFonts w:eastAsia="Times New Roman"/>
                <w:sz w:val="16"/>
                <w:szCs w:val="16"/>
              </w:rPr>
              <w:t> </w:t>
            </w:r>
          </w:p>
        </w:tc>
      </w:tr>
      <w:tr w:rsidR="00D6065B" w14:paraId="48D5210F" w14:textId="77777777">
        <w:tc>
          <w:tcPr>
            <w:tcW w:w="0" w:type="auto"/>
            <w:shd w:val="clear" w:color="auto" w:fill="FFFFFF"/>
            <w:vAlign w:val="bottom"/>
            <w:hideMark/>
          </w:tcPr>
          <w:p w14:paraId="7673914D" w14:textId="77777777" w:rsidR="00000000" w:rsidRDefault="00D6065B">
            <w:pPr>
              <w:rPr>
                <w:rFonts w:eastAsia="Times New Roman"/>
                <w:sz w:val="16"/>
                <w:szCs w:val="16"/>
              </w:rPr>
            </w:pPr>
            <w:r>
              <w:rPr>
                <w:rFonts w:eastAsia="Times New Roman"/>
                <w:sz w:val="16"/>
                <w:szCs w:val="16"/>
              </w:rPr>
              <w:t>Stock issued for:</w:t>
            </w:r>
          </w:p>
        </w:tc>
        <w:tc>
          <w:tcPr>
            <w:tcW w:w="0" w:type="auto"/>
            <w:shd w:val="clear" w:color="auto" w:fill="FFFFFF"/>
            <w:vAlign w:val="bottom"/>
            <w:hideMark/>
          </w:tcPr>
          <w:p w14:paraId="4A9A22A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2FEE8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DEA20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2FB09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B442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6950A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489439"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F6B425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DC280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F909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E7EBD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04EF7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81D6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1E81A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61108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FC3E6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72A0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955F8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7F4C7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CA513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DA83D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FFCB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35BB7C"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86665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5A71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C349A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EC4E5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9859FC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4F05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8C73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3CDB1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4AE58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8DA63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2E67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585736"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316879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5C5E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A552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6804B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A895E3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F0EC6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AA05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A6E601"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5D2792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7E76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A45C6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7A99A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264EC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D05A6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2A3FE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E3144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D8DD5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55327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7E477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877AB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37B8EF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280F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D937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26E9E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8E7347B" w14:textId="77777777" w:rsidR="00000000" w:rsidRDefault="00D6065B">
            <w:pPr>
              <w:rPr>
                <w:rFonts w:eastAsia="Times New Roman"/>
                <w:sz w:val="16"/>
                <w:szCs w:val="16"/>
              </w:rPr>
            </w:pPr>
            <w:r>
              <w:rPr>
                <w:rFonts w:eastAsia="Times New Roman"/>
                <w:sz w:val="16"/>
                <w:szCs w:val="16"/>
              </w:rPr>
              <w:t> </w:t>
            </w:r>
          </w:p>
        </w:tc>
      </w:tr>
      <w:tr w:rsidR="00D6065B" w14:paraId="341D996A" w14:textId="77777777">
        <w:tc>
          <w:tcPr>
            <w:tcW w:w="0" w:type="auto"/>
            <w:shd w:val="clear" w:color="auto" w:fill="CCEEFF"/>
            <w:tcMar>
              <w:top w:w="0" w:type="dxa"/>
              <w:left w:w="200" w:type="dxa"/>
              <w:bottom w:w="0" w:type="dxa"/>
              <w:right w:w="0" w:type="dxa"/>
            </w:tcMar>
            <w:vAlign w:val="bottom"/>
            <w:hideMark/>
          </w:tcPr>
          <w:p w14:paraId="33621624" w14:textId="77777777" w:rsidR="00000000" w:rsidRDefault="00D6065B">
            <w:pPr>
              <w:rPr>
                <w:rFonts w:eastAsia="Times New Roman"/>
                <w:sz w:val="16"/>
                <w:szCs w:val="16"/>
              </w:rPr>
            </w:pPr>
            <w:r>
              <w:rPr>
                <w:rFonts w:eastAsia="Times New Roman"/>
                <w:sz w:val="16"/>
                <w:szCs w:val="16"/>
              </w:rPr>
              <w:t> RSUs</w:t>
            </w:r>
          </w:p>
        </w:tc>
        <w:tc>
          <w:tcPr>
            <w:tcW w:w="0" w:type="auto"/>
            <w:shd w:val="clear" w:color="auto" w:fill="CCEEFF"/>
            <w:vAlign w:val="bottom"/>
            <w:hideMark/>
          </w:tcPr>
          <w:p w14:paraId="54F826D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F5DB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8E6DAA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B5E985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0869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CBD5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BD7DA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6896D8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3B4D9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B1CCE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3C67D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7679C7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CEA25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D9C10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301CD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BCF30C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8E55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6D0D2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9D5DB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F210E3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22A70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26E9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E7E52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74F47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67E8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53E15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F9C98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DB5665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22C0D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4DA1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44DBD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4B27A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1577E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A4ACB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83726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DC8A5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83B45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A953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2FCF6EE" w14:textId="77777777" w:rsidR="00000000" w:rsidRDefault="00D6065B">
            <w:pPr>
              <w:jc w:val="right"/>
              <w:rPr>
                <w:rFonts w:eastAsia="Times New Roman"/>
                <w:sz w:val="16"/>
                <w:szCs w:val="16"/>
              </w:rPr>
            </w:pPr>
            <w:r>
              <w:rPr>
                <w:rFonts w:eastAsia="Times New Roman"/>
                <w:sz w:val="16"/>
                <w:szCs w:val="16"/>
              </w:rPr>
              <w:t>12,000,000</w:t>
            </w:r>
          </w:p>
        </w:tc>
        <w:tc>
          <w:tcPr>
            <w:tcW w:w="0" w:type="auto"/>
            <w:shd w:val="clear" w:color="auto" w:fill="CCEEFF"/>
            <w:vAlign w:val="bottom"/>
            <w:hideMark/>
          </w:tcPr>
          <w:p w14:paraId="6D9A00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81D612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252D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F550548" w14:textId="77777777" w:rsidR="00000000" w:rsidRDefault="00D6065B">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14:paraId="2BB87C0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7B603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276D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A79988" w14:textId="77777777" w:rsidR="00000000" w:rsidRDefault="00D6065B">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14:paraId="02B9D0C6"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vAlign w:val="bottom"/>
            <w:hideMark/>
          </w:tcPr>
          <w:p w14:paraId="2D8AF1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6576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82CD4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E09070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5ED41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FFBFD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41B45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0AF68E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5872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2150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0B369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E3AE2D9" w14:textId="77777777" w:rsidR="00000000" w:rsidRDefault="00D6065B">
            <w:pPr>
              <w:rPr>
                <w:rFonts w:eastAsia="Times New Roman"/>
                <w:sz w:val="16"/>
                <w:szCs w:val="16"/>
              </w:rPr>
            </w:pPr>
            <w:r>
              <w:rPr>
                <w:rFonts w:eastAsia="Times New Roman"/>
                <w:sz w:val="16"/>
                <w:szCs w:val="16"/>
              </w:rPr>
              <w:t> </w:t>
            </w:r>
          </w:p>
        </w:tc>
      </w:tr>
      <w:tr w:rsidR="00D6065B" w14:paraId="30ABFFCA" w14:textId="77777777">
        <w:tc>
          <w:tcPr>
            <w:tcW w:w="0" w:type="auto"/>
            <w:shd w:val="clear" w:color="auto" w:fill="FFFFFF"/>
            <w:tcMar>
              <w:top w:w="0" w:type="dxa"/>
              <w:left w:w="200" w:type="dxa"/>
              <w:bottom w:w="0" w:type="dxa"/>
              <w:right w:w="0" w:type="dxa"/>
            </w:tcMar>
            <w:vAlign w:val="bottom"/>
            <w:hideMark/>
          </w:tcPr>
          <w:p w14:paraId="6E9357A3" w14:textId="77777777" w:rsidR="00000000" w:rsidRDefault="00D6065B">
            <w:pPr>
              <w:rPr>
                <w:rFonts w:eastAsia="Times New Roman"/>
                <w:sz w:val="16"/>
                <w:szCs w:val="16"/>
              </w:rPr>
            </w:pPr>
            <w:r>
              <w:rPr>
                <w:rFonts w:eastAsia="Times New Roman"/>
                <w:sz w:val="16"/>
                <w:szCs w:val="16"/>
              </w:rPr>
              <w:t> Stock option exercises</w:t>
            </w:r>
          </w:p>
        </w:tc>
        <w:tc>
          <w:tcPr>
            <w:tcW w:w="0" w:type="auto"/>
            <w:shd w:val="clear" w:color="auto" w:fill="FFFFFF"/>
            <w:vAlign w:val="bottom"/>
            <w:hideMark/>
          </w:tcPr>
          <w:p w14:paraId="25960A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0FDF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066B1C" w14:textId="77777777" w:rsidR="00000000" w:rsidRDefault="00D6065B">
            <w:pPr>
              <w:jc w:val="right"/>
              <w:rPr>
                <w:rFonts w:eastAsia="Times New Roman"/>
                <w:sz w:val="16"/>
                <w:szCs w:val="16"/>
              </w:rPr>
            </w:pPr>
            <w:r>
              <w:rPr>
                <w:rFonts w:eastAsia="Times New Roman"/>
                <w:sz w:val="16"/>
                <w:szCs w:val="16"/>
              </w:rPr>
              <w:t>(100,000</w:t>
            </w:r>
          </w:p>
        </w:tc>
        <w:tc>
          <w:tcPr>
            <w:tcW w:w="0" w:type="auto"/>
            <w:shd w:val="clear" w:color="auto" w:fill="FFFFFF"/>
            <w:vAlign w:val="bottom"/>
            <w:hideMark/>
          </w:tcPr>
          <w:p w14:paraId="65480622"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172034F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99C05A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919410" w14:textId="77777777" w:rsidR="00000000" w:rsidRDefault="00D6065B">
            <w:pPr>
              <w:jc w:val="right"/>
              <w:rPr>
                <w:rFonts w:eastAsia="Times New Roman"/>
                <w:sz w:val="16"/>
                <w:szCs w:val="16"/>
              </w:rPr>
            </w:pPr>
            <w:r>
              <w:rPr>
                <w:rFonts w:eastAsia="Times New Roman"/>
                <w:sz w:val="16"/>
                <w:szCs w:val="16"/>
              </w:rPr>
              <w:t>(100</w:t>
            </w:r>
          </w:p>
        </w:tc>
        <w:tc>
          <w:tcPr>
            <w:tcW w:w="0" w:type="auto"/>
            <w:shd w:val="clear" w:color="auto" w:fill="FFFFFF"/>
            <w:vAlign w:val="bottom"/>
            <w:hideMark/>
          </w:tcPr>
          <w:p w14:paraId="48E9ECB9"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512B56E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B22E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BEB406" w14:textId="77777777" w:rsidR="00000000" w:rsidRDefault="00D6065B">
            <w:pPr>
              <w:jc w:val="right"/>
              <w:rPr>
                <w:rFonts w:eastAsia="Times New Roman"/>
                <w:sz w:val="16"/>
                <w:szCs w:val="16"/>
              </w:rPr>
            </w:pPr>
            <w:r>
              <w:rPr>
                <w:rFonts w:eastAsia="Times New Roman"/>
                <w:sz w:val="16"/>
                <w:szCs w:val="16"/>
              </w:rPr>
              <w:t>(14,900</w:t>
            </w:r>
          </w:p>
        </w:tc>
        <w:tc>
          <w:tcPr>
            <w:tcW w:w="0" w:type="auto"/>
            <w:shd w:val="clear" w:color="auto" w:fill="FFFFFF"/>
            <w:vAlign w:val="bottom"/>
            <w:hideMark/>
          </w:tcPr>
          <w:p w14:paraId="3B0D5566" w14:textId="77777777" w:rsidR="00000000" w:rsidRDefault="00D6065B">
            <w:pPr>
              <w:rPr>
                <w:rFonts w:eastAsia="Times New Roman"/>
                <w:sz w:val="16"/>
                <w:szCs w:val="16"/>
              </w:rPr>
            </w:pPr>
            <w:r>
              <w:rPr>
                <w:rFonts w:eastAsia="Times New Roman"/>
                <w:sz w:val="16"/>
                <w:szCs w:val="16"/>
              </w:rPr>
              <w:t>)</w:t>
            </w:r>
          </w:p>
        </w:tc>
        <w:tc>
          <w:tcPr>
            <w:tcW w:w="0" w:type="auto"/>
            <w:shd w:val="clear" w:color="auto" w:fill="FFFFFF"/>
            <w:vAlign w:val="bottom"/>
            <w:hideMark/>
          </w:tcPr>
          <w:p w14:paraId="0991F0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C0DB7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7B1211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14FC25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DFE3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2FC8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25517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5B28A3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6C0C0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1587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0ADD5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9D93B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D4229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4099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548E5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9E5692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10118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0E0ED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5C829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80B641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0C139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5828A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1D3DC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BD6E4D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15C9C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EA773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EC3AFD" w14:textId="77777777" w:rsidR="00000000" w:rsidRDefault="00D6065B">
            <w:pPr>
              <w:jc w:val="right"/>
              <w:rPr>
                <w:rFonts w:eastAsia="Times New Roman"/>
                <w:sz w:val="16"/>
                <w:szCs w:val="16"/>
              </w:rPr>
            </w:pPr>
            <w:r>
              <w:rPr>
                <w:rFonts w:eastAsia="Times New Roman"/>
                <w:sz w:val="16"/>
                <w:szCs w:val="16"/>
              </w:rPr>
              <w:t>2,125,000</w:t>
            </w:r>
          </w:p>
        </w:tc>
        <w:tc>
          <w:tcPr>
            <w:tcW w:w="0" w:type="auto"/>
            <w:shd w:val="clear" w:color="auto" w:fill="FFFFFF"/>
            <w:vAlign w:val="bottom"/>
            <w:hideMark/>
          </w:tcPr>
          <w:p w14:paraId="0E9FFD1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BD148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C949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0AE2CD" w14:textId="77777777" w:rsidR="00000000" w:rsidRDefault="00D6065B">
            <w:pPr>
              <w:jc w:val="right"/>
              <w:rPr>
                <w:rFonts w:eastAsia="Times New Roman"/>
                <w:sz w:val="16"/>
                <w:szCs w:val="16"/>
              </w:rPr>
            </w:pPr>
            <w:r>
              <w:rPr>
                <w:rFonts w:eastAsia="Times New Roman"/>
                <w:sz w:val="16"/>
                <w:szCs w:val="16"/>
              </w:rPr>
              <w:t>2,125</w:t>
            </w:r>
          </w:p>
        </w:tc>
        <w:tc>
          <w:tcPr>
            <w:tcW w:w="0" w:type="auto"/>
            <w:shd w:val="clear" w:color="auto" w:fill="FFFFFF"/>
            <w:vAlign w:val="bottom"/>
            <w:hideMark/>
          </w:tcPr>
          <w:p w14:paraId="0FABBD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850D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68F91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2896C8" w14:textId="77777777" w:rsidR="00000000" w:rsidRDefault="00D6065B">
            <w:pPr>
              <w:jc w:val="right"/>
              <w:rPr>
                <w:rFonts w:eastAsia="Times New Roman"/>
                <w:sz w:val="16"/>
                <w:szCs w:val="16"/>
              </w:rPr>
            </w:pPr>
            <w:r>
              <w:rPr>
                <w:rFonts w:eastAsia="Times New Roman"/>
                <w:sz w:val="16"/>
                <w:szCs w:val="16"/>
              </w:rPr>
              <w:t>12,875</w:t>
            </w:r>
          </w:p>
        </w:tc>
        <w:tc>
          <w:tcPr>
            <w:tcW w:w="0" w:type="auto"/>
            <w:shd w:val="clear" w:color="auto" w:fill="FFFFFF"/>
            <w:vAlign w:val="bottom"/>
            <w:hideMark/>
          </w:tcPr>
          <w:p w14:paraId="032D761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18E8F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AE089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8BCCC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13B0D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1738C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F1FCB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79078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C2249A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6FE7A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15D72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EC51A1"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7047291" w14:textId="77777777" w:rsidR="00000000" w:rsidRDefault="00D6065B">
            <w:pPr>
              <w:rPr>
                <w:rFonts w:eastAsia="Times New Roman"/>
                <w:sz w:val="16"/>
                <w:szCs w:val="16"/>
              </w:rPr>
            </w:pPr>
            <w:r>
              <w:rPr>
                <w:rFonts w:eastAsia="Times New Roman"/>
                <w:sz w:val="16"/>
                <w:szCs w:val="16"/>
              </w:rPr>
              <w:t> </w:t>
            </w:r>
          </w:p>
        </w:tc>
      </w:tr>
      <w:tr w:rsidR="00D6065B" w14:paraId="0378F7BE" w14:textId="77777777">
        <w:tc>
          <w:tcPr>
            <w:tcW w:w="0" w:type="auto"/>
            <w:shd w:val="clear" w:color="auto" w:fill="CCEEFF"/>
            <w:tcMar>
              <w:top w:w="0" w:type="dxa"/>
              <w:left w:w="200" w:type="dxa"/>
              <w:bottom w:w="0" w:type="dxa"/>
              <w:right w:w="0" w:type="dxa"/>
            </w:tcMar>
            <w:vAlign w:val="bottom"/>
            <w:hideMark/>
          </w:tcPr>
          <w:p w14:paraId="5180BD6D" w14:textId="77777777" w:rsidR="00000000" w:rsidRDefault="00D6065B">
            <w:pPr>
              <w:rPr>
                <w:rFonts w:eastAsia="Times New Roman"/>
                <w:sz w:val="16"/>
                <w:szCs w:val="16"/>
              </w:rPr>
            </w:pPr>
            <w:r>
              <w:rPr>
                <w:rFonts w:eastAsia="Times New Roman"/>
                <w:sz w:val="16"/>
                <w:szCs w:val="16"/>
              </w:rPr>
              <w:t> Accounts payable</w:t>
            </w:r>
          </w:p>
        </w:tc>
        <w:tc>
          <w:tcPr>
            <w:tcW w:w="0" w:type="auto"/>
            <w:shd w:val="clear" w:color="auto" w:fill="CCEEFF"/>
            <w:vAlign w:val="bottom"/>
            <w:hideMark/>
          </w:tcPr>
          <w:p w14:paraId="52EFDE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3DA7A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5481B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C01F69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5EE5D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A425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D4AE1E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CC8DF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2FBB7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3711B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AFFC7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07435C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4096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CDDF4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FAFFE8"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D3836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9785E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F912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442D0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F800D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867AE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2688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3F20B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15D7B2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E1E9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C041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9EE35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F8427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E9112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440A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60B5B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212919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C36D4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43543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01C62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D1A89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253E9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5DED46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87AAC5" w14:textId="77777777" w:rsidR="00000000" w:rsidRDefault="00D6065B">
            <w:pPr>
              <w:jc w:val="right"/>
              <w:rPr>
                <w:rFonts w:eastAsia="Times New Roman"/>
                <w:sz w:val="16"/>
                <w:szCs w:val="16"/>
              </w:rPr>
            </w:pPr>
            <w:r>
              <w:rPr>
                <w:rFonts w:eastAsia="Times New Roman"/>
                <w:sz w:val="16"/>
                <w:szCs w:val="16"/>
              </w:rPr>
              <w:t>519,480</w:t>
            </w:r>
          </w:p>
        </w:tc>
        <w:tc>
          <w:tcPr>
            <w:tcW w:w="0" w:type="auto"/>
            <w:shd w:val="clear" w:color="auto" w:fill="CCEEFF"/>
            <w:vAlign w:val="bottom"/>
            <w:hideMark/>
          </w:tcPr>
          <w:p w14:paraId="3FAF0D4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9C27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9A4AF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39DC16" w14:textId="77777777" w:rsidR="00000000" w:rsidRDefault="00D6065B">
            <w:pPr>
              <w:jc w:val="right"/>
              <w:rPr>
                <w:rFonts w:eastAsia="Times New Roman"/>
                <w:sz w:val="16"/>
                <w:szCs w:val="16"/>
              </w:rPr>
            </w:pPr>
            <w:r>
              <w:rPr>
                <w:rFonts w:eastAsia="Times New Roman"/>
                <w:sz w:val="16"/>
                <w:szCs w:val="16"/>
              </w:rPr>
              <w:t>520</w:t>
            </w:r>
          </w:p>
        </w:tc>
        <w:tc>
          <w:tcPr>
            <w:tcW w:w="0" w:type="auto"/>
            <w:shd w:val="clear" w:color="auto" w:fill="CCEEFF"/>
            <w:vAlign w:val="bottom"/>
            <w:hideMark/>
          </w:tcPr>
          <w:p w14:paraId="3EBD1E5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41F47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4BE1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244EA0" w14:textId="77777777" w:rsidR="00000000" w:rsidRDefault="00D6065B">
            <w:pPr>
              <w:jc w:val="right"/>
              <w:rPr>
                <w:rFonts w:eastAsia="Times New Roman"/>
                <w:sz w:val="16"/>
                <w:szCs w:val="16"/>
              </w:rPr>
            </w:pPr>
            <w:r>
              <w:rPr>
                <w:rFonts w:eastAsia="Times New Roman"/>
                <w:sz w:val="16"/>
                <w:szCs w:val="16"/>
              </w:rPr>
              <w:t>39,480</w:t>
            </w:r>
          </w:p>
        </w:tc>
        <w:tc>
          <w:tcPr>
            <w:tcW w:w="0" w:type="auto"/>
            <w:shd w:val="clear" w:color="auto" w:fill="CCEEFF"/>
            <w:vAlign w:val="bottom"/>
            <w:hideMark/>
          </w:tcPr>
          <w:p w14:paraId="5AE90F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F9889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F92FD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AD2D0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CA59B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4FE51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13DA3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A7B21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C691B0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3E34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6E40D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BA72FC" w14:textId="77777777" w:rsidR="00000000" w:rsidRDefault="00D6065B">
            <w:pPr>
              <w:jc w:val="right"/>
              <w:rPr>
                <w:rFonts w:eastAsia="Times New Roman"/>
                <w:sz w:val="16"/>
                <w:szCs w:val="16"/>
              </w:rPr>
            </w:pPr>
            <w:r>
              <w:rPr>
                <w:rFonts w:eastAsia="Times New Roman"/>
                <w:sz w:val="16"/>
                <w:szCs w:val="16"/>
              </w:rPr>
              <w:t>40,000</w:t>
            </w:r>
          </w:p>
        </w:tc>
        <w:tc>
          <w:tcPr>
            <w:tcW w:w="0" w:type="auto"/>
            <w:shd w:val="clear" w:color="auto" w:fill="CCEEFF"/>
            <w:vAlign w:val="bottom"/>
            <w:hideMark/>
          </w:tcPr>
          <w:p w14:paraId="23DA298E" w14:textId="77777777" w:rsidR="00000000" w:rsidRDefault="00D6065B">
            <w:pPr>
              <w:rPr>
                <w:rFonts w:eastAsia="Times New Roman"/>
                <w:sz w:val="16"/>
                <w:szCs w:val="16"/>
              </w:rPr>
            </w:pPr>
            <w:r>
              <w:rPr>
                <w:rFonts w:eastAsia="Times New Roman"/>
                <w:sz w:val="16"/>
                <w:szCs w:val="16"/>
              </w:rPr>
              <w:t> </w:t>
            </w:r>
          </w:p>
        </w:tc>
      </w:tr>
      <w:tr w:rsidR="00D6065B" w14:paraId="270165CD" w14:textId="77777777">
        <w:tc>
          <w:tcPr>
            <w:tcW w:w="0" w:type="auto"/>
            <w:shd w:val="clear" w:color="auto" w:fill="FFFFFF"/>
            <w:vAlign w:val="bottom"/>
            <w:hideMark/>
          </w:tcPr>
          <w:p w14:paraId="52C4EE9E" w14:textId="77777777" w:rsidR="00000000" w:rsidRDefault="00D6065B">
            <w:pPr>
              <w:rPr>
                <w:rFonts w:eastAsia="Times New Roman"/>
                <w:sz w:val="16"/>
                <w:szCs w:val="16"/>
              </w:rPr>
            </w:pPr>
            <w:r>
              <w:rPr>
                <w:rFonts w:eastAsia="Times New Roman"/>
                <w:sz w:val="16"/>
                <w:szCs w:val="16"/>
              </w:rPr>
              <w:t xml:space="preserve">RSU’s </w:t>
            </w:r>
            <w:r>
              <w:rPr>
                <w:rFonts w:eastAsia="Times New Roman"/>
                <w:sz w:val="16"/>
                <w:szCs w:val="16"/>
              </w:rPr>
              <w:t>granted to consultants that have vested</w:t>
            </w:r>
          </w:p>
        </w:tc>
        <w:tc>
          <w:tcPr>
            <w:tcW w:w="0" w:type="auto"/>
            <w:shd w:val="clear" w:color="auto" w:fill="FFFFFF"/>
            <w:vAlign w:val="bottom"/>
            <w:hideMark/>
          </w:tcPr>
          <w:p w14:paraId="6802FEE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F91B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B3845D"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11E9BA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9B1A9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58F26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58D69B"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52DA2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2C83F5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32DCE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522E4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CC69D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9828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5C927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6BCC7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7E9037B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DB647C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EBED6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FFD2C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646CD6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42B47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1247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74BB0C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DCAF19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A2A8A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2E2D5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8D844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21830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1B75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69676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BB1A4C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90B3A8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D093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BFFB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2A8D3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3D77FF8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9286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336406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50F3B4"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53A1FC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6E4DC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ABA61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0E7F90"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2540A9A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B94C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C0517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02CF74" w14:textId="77777777" w:rsidR="00000000" w:rsidRDefault="00D6065B">
            <w:pPr>
              <w:jc w:val="right"/>
              <w:rPr>
                <w:rFonts w:eastAsia="Times New Roman"/>
                <w:sz w:val="16"/>
                <w:szCs w:val="16"/>
              </w:rPr>
            </w:pPr>
            <w:r>
              <w:rPr>
                <w:rFonts w:eastAsia="Times New Roman"/>
                <w:sz w:val="16"/>
                <w:szCs w:val="16"/>
              </w:rPr>
              <w:t>1,614,000</w:t>
            </w:r>
          </w:p>
        </w:tc>
        <w:tc>
          <w:tcPr>
            <w:tcW w:w="0" w:type="auto"/>
            <w:shd w:val="clear" w:color="auto" w:fill="FFFFFF"/>
            <w:vAlign w:val="bottom"/>
            <w:hideMark/>
          </w:tcPr>
          <w:p w14:paraId="62DD3A9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1E1F4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A1DD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B680C4" w14:textId="77777777" w:rsidR="00000000" w:rsidRDefault="00D6065B">
            <w:pPr>
              <w:jc w:val="right"/>
              <w:rPr>
                <w:rFonts w:eastAsia="Times New Roman"/>
                <w:sz w:val="16"/>
                <w:szCs w:val="16"/>
              </w:rPr>
            </w:pPr>
            <w:r>
              <w:rPr>
                <w:rFonts w:eastAsia="Times New Roman"/>
                <w:sz w:val="16"/>
                <w:szCs w:val="16"/>
              </w:rPr>
              <w:t>      </w:t>
            </w:r>
            <w:r>
              <w:rPr>
                <w:rFonts w:eastAsia="Times New Roman"/>
                <w:sz w:val="16"/>
                <w:szCs w:val="16"/>
              </w:rPr>
              <w:t> </w:t>
            </w:r>
            <w:r>
              <w:rPr>
                <w:rFonts w:eastAsia="Times New Roman"/>
                <w:sz w:val="16"/>
                <w:szCs w:val="16"/>
              </w:rPr>
              <w:t> </w:t>
            </w:r>
            <w:r>
              <w:rPr>
                <w:rFonts w:eastAsia="Times New Roman"/>
                <w:sz w:val="16"/>
                <w:szCs w:val="16"/>
              </w:rPr>
              <w:t>-</w:t>
            </w:r>
          </w:p>
        </w:tc>
        <w:tc>
          <w:tcPr>
            <w:tcW w:w="0" w:type="auto"/>
            <w:shd w:val="clear" w:color="auto" w:fill="FFFFFF"/>
            <w:vAlign w:val="bottom"/>
            <w:hideMark/>
          </w:tcPr>
          <w:p w14:paraId="3A76D7B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3D57C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5D22C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0C93E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14:paraId="6592A35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9110B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3AA9E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94B499" w14:textId="77777777" w:rsidR="00000000" w:rsidRDefault="00D6065B">
            <w:pPr>
              <w:jc w:val="right"/>
              <w:rPr>
                <w:rFonts w:eastAsia="Times New Roman"/>
                <w:sz w:val="16"/>
                <w:szCs w:val="16"/>
              </w:rPr>
            </w:pPr>
            <w:r>
              <w:rPr>
                <w:rFonts w:eastAsia="Times New Roman"/>
                <w:sz w:val="16"/>
                <w:szCs w:val="16"/>
              </w:rPr>
              <w:t>1,614,000</w:t>
            </w:r>
          </w:p>
        </w:tc>
        <w:tc>
          <w:tcPr>
            <w:tcW w:w="0" w:type="auto"/>
            <w:shd w:val="clear" w:color="auto" w:fill="FFFFFF"/>
            <w:vAlign w:val="bottom"/>
            <w:hideMark/>
          </w:tcPr>
          <w:p w14:paraId="05E11579" w14:textId="77777777" w:rsidR="00000000" w:rsidRDefault="00D6065B">
            <w:pPr>
              <w:rPr>
                <w:rFonts w:eastAsia="Times New Roman"/>
                <w:sz w:val="16"/>
                <w:szCs w:val="16"/>
              </w:rPr>
            </w:pPr>
            <w:r>
              <w:rPr>
                <w:rFonts w:eastAsia="Times New Roman"/>
                <w:sz w:val="16"/>
                <w:szCs w:val="16"/>
              </w:rPr>
              <w:t> </w:t>
            </w:r>
          </w:p>
        </w:tc>
      </w:tr>
      <w:tr w:rsidR="00D6065B" w14:paraId="0CC6EA42" w14:textId="77777777">
        <w:tc>
          <w:tcPr>
            <w:tcW w:w="0" w:type="auto"/>
            <w:shd w:val="clear" w:color="auto" w:fill="CCEEFF"/>
            <w:tcMar>
              <w:top w:w="0" w:type="dxa"/>
              <w:left w:w="0" w:type="dxa"/>
              <w:bottom w:w="30" w:type="dxa"/>
              <w:right w:w="0" w:type="dxa"/>
            </w:tcMar>
            <w:vAlign w:val="bottom"/>
            <w:hideMark/>
          </w:tcPr>
          <w:p w14:paraId="7BAB2EB4" w14:textId="77777777" w:rsidR="00000000" w:rsidRDefault="00D6065B">
            <w:pPr>
              <w:rPr>
                <w:rFonts w:eastAsia="Times New Roman"/>
                <w:sz w:val="16"/>
                <w:szCs w:val="16"/>
              </w:rPr>
            </w:pPr>
            <w:r>
              <w:rPr>
                <w:rFonts w:eastAsia="Times New Roman"/>
                <w:sz w:val="16"/>
                <w:szCs w:val="16"/>
              </w:rPr>
              <w:t>Net loss for the year</w:t>
            </w:r>
          </w:p>
        </w:tc>
        <w:tc>
          <w:tcPr>
            <w:tcW w:w="0" w:type="auto"/>
            <w:shd w:val="clear" w:color="auto" w:fill="CCEEFF"/>
            <w:tcMar>
              <w:top w:w="0" w:type="dxa"/>
              <w:left w:w="0" w:type="dxa"/>
              <w:bottom w:w="30" w:type="dxa"/>
              <w:right w:w="0" w:type="dxa"/>
            </w:tcMar>
            <w:vAlign w:val="bottom"/>
            <w:hideMark/>
          </w:tcPr>
          <w:p w14:paraId="712BA94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30AB6D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D14C459"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0BD624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C70E0E3"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170582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DF2BB63"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40BC27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230590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3D4167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A6DD00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1D29AB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786808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DFE76C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6200DD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6C068A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7E7C475A"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0CA42B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A6EBD4C"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356103B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5D9945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71CEBA1"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B885C6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94D97E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0C8A958"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D15728E"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AD88667"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5FA90EE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73AEC7DB"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335FF04"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9850A02"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FDDA22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4A196B2"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61EE1D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9C9B66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A67CF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4B9B0C3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6315F2C"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F1CDABF"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100C1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5059BB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33494E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3412355"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4F53D4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2F3DD9D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2DAD449"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00EE3C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6458C2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51FABB6"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B0B2747"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5EEB78A"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20426F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4569E20"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9FD22C5"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F2B9DAF" w14:textId="77777777" w:rsidR="00000000" w:rsidRDefault="00D6065B">
            <w:pPr>
              <w:jc w:val="right"/>
              <w:rPr>
                <w:rFonts w:eastAsia="Times New Roman"/>
                <w:sz w:val="16"/>
                <w:szCs w:val="16"/>
              </w:rPr>
            </w:pPr>
            <w:r>
              <w:rPr>
                <w:rFonts w:eastAsia="Times New Roman"/>
                <w:sz w:val="16"/>
                <w:szCs w:val="16"/>
              </w:rPr>
              <w:t>(1,860,187</w:t>
            </w:r>
          </w:p>
        </w:tc>
        <w:tc>
          <w:tcPr>
            <w:tcW w:w="0" w:type="auto"/>
            <w:shd w:val="clear" w:color="auto" w:fill="CCEEFF"/>
            <w:tcMar>
              <w:top w:w="0" w:type="dxa"/>
              <w:left w:w="0" w:type="dxa"/>
              <w:bottom w:w="30" w:type="dxa"/>
              <w:right w:w="0" w:type="dxa"/>
            </w:tcMar>
            <w:vAlign w:val="bottom"/>
            <w:hideMark/>
          </w:tcPr>
          <w:p w14:paraId="674D0C4D"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1DDDBF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74D2F9D" w14:textId="77777777" w:rsidR="00000000" w:rsidRDefault="00D6065B">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7283E14" w14:textId="77777777" w:rsidR="00000000" w:rsidRDefault="00D6065B">
            <w:pPr>
              <w:jc w:val="right"/>
              <w:rPr>
                <w:rFonts w:eastAsia="Times New Roman"/>
                <w:sz w:val="16"/>
                <w:szCs w:val="16"/>
              </w:rPr>
            </w:pPr>
            <w:r>
              <w:rPr>
                <w:rFonts w:eastAsia="Times New Roman"/>
                <w:sz w:val="16"/>
                <w:szCs w:val="16"/>
              </w:rPr>
              <w:t>(1,860,187</w:t>
            </w:r>
          </w:p>
        </w:tc>
        <w:tc>
          <w:tcPr>
            <w:tcW w:w="0" w:type="auto"/>
            <w:shd w:val="clear" w:color="auto" w:fill="CCEEFF"/>
            <w:tcMar>
              <w:top w:w="0" w:type="dxa"/>
              <w:left w:w="0" w:type="dxa"/>
              <w:bottom w:w="30" w:type="dxa"/>
              <w:right w:w="0" w:type="dxa"/>
            </w:tcMar>
            <w:vAlign w:val="bottom"/>
            <w:hideMark/>
          </w:tcPr>
          <w:p w14:paraId="1DE246E8" w14:textId="77777777" w:rsidR="00000000" w:rsidRDefault="00D6065B">
            <w:pPr>
              <w:rPr>
                <w:rFonts w:eastAsia="Times New Roman"/>
                <w:sz w:val="16"/>
                <w:szCs w:val="16"/>
              </w:rPr>
            </w:pPr>
            <w:r>
              <w:rPr>
                <w:rFonts w:eastAsia="Times New Roman"/>
                <w:sz w:val="16"/>
                <w:szCs w:val="16"/>
              </w:rPr>
              <w:t>)</w:t>
            </w:r>
          </w:p>
        </w:tc>
      </w:tr>
      <w:tr w:rsidR="00D6065B" w14:paraId="30DD1EE3" w14:textId="77777777">
        <w:tc>
          <w:tcPr>
            <w:tcW w:w="0" w:type="auto"/>
            <w:shd w:val="clear" w:color="auto" w:fill="FFFFFF"/>
            <w:vAlign w:val="bottom"/>
            <w:hideMark/>
          </w:tcPr>
          <w:p w14:paraId="46158D6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3DDFDA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5814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196A3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60CCFF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94219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DA2B7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C1A315"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49A415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C9388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89E33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DF7958"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A3F0B2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F9C678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3CB05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469F4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5582E5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F5D1F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85945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99186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24B4F1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0E24F28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78029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088937"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784D0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3DEB4D"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78B7C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12FEA3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63A444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4597B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F15F4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E0A45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20CB7D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F60CC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54D4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F7AA15B"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E8CFE8B"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620DF63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AB35A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3739AA"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4AC065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7C6B2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26D9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6A8882"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903A58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F26F7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EAAAA8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45DD544"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ECB56B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CA691F"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2F9E6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DCD4F3"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18E2279A"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15F0B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BFCDE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4A1C2F"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228230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D55361"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ECB024" w14:textId="77777777" w:rsidR="00000000" w:rsidRDefault="00D6065B">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2E3150" w14:textId="77777777" w:rsidR="00000000" w:rsidRDefault="00D6065B">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6826BAE7" w14:textId="77777777" w:rsidR="00000000" w:rsidRDefault="00D6065B">
            <w:pPr>
              <w:rPr>
                <w:rFonts w:eastAsia="Times New Roman"/>
                <w:sz w:val="16"/>
                <w:szCs w:val="16"/>
              </w:rPr>
            </w:pPr>
            <w:r>
              <w:rPr>
                <w:rFonts w:eastAsia="Times New Roman"/>
                <w:sz w:val="16"/>
                <w:szCs w:val="16"/>
              </w:rPr>
              <w:t> </w:t>
            </w:r>
          </w:p>
        </w:tc>
      </w:tr>
      <w:tr w:rsidR="00D6065B" w14:paraId="60010887" w14:textId="77777777">
        <w:tc>
          <w:tcPr>
            <w:tcW w:w="0" w:type="auto"/>
            <w:shd w:val="clear" w:color="auto" w:fill="CCEEFF"/>
            <w:tcMar>
              <w:top w:w="0" w:type="dxa"/>
              <w:left w:w="0" w:type="dxa"/>
              <w:bottom w:w="50" w:type="dxa"/>
              <w:right w:w="0" w:type="dxa"/>
            </w:tcMar>
            <w:vAlign w:val="bottom"/>
            <w:hideMark/>
          </w:tcPr>
          <w:p w14:paraId="2DF6C4AE" w14:textId="77777777" w:rsidR="00000000" w:rsidRDefault="00D6065B">
            <w:pPr>
              <w:rPr>
                <w:rFonts w:eastAsia="Times New Roman"/>
                <w:sz w:val="16"/>
                <w:szCs w:val="16"/>
              </w:rPr>
            </w:pPr>
            <w:r>
              <w:rPr>
                <w:rFonts w:eastAsia="Times New Roman"/>
                <w:sz w:val="16"/>
                <w:szCs w:val="16"/>
              </w:rPr>
              <w:t>Balance - June 30, 2021</w:t>
            </w:r>
          </w:p>
        </w:tc>
        <w:tc>
          <w:tcPr>
            <w:tcW w:w="0" w:type="auto"/>
            <w:shd w:val="clear" w:color="auto" w:fill="CCEEFF"/>
            <w:tcMar>
              <w:top w:w="0" w:type="dxa"/>
              <w:left w:w="0" w:type="dxa"/>
              <w:bottom w:w="50" w:type="dxa"/>
              <w:right w:w="0" w:type="dxa"/>
            </w:tcMar>
            <w:vAlign w:val="bottom"/>
            <w:hideMark/>
          </w:tcPr>
          <w:p w14:paraId="6EE4155C"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3F145592"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A23924A" w14:textId="77777777" w:rsidR="00000000" w:rsidRDefault="00D6065B">
            <w:pPr>
              <w:jc w:val="right"/>
              <w:rPr>
                <w:rFonts w:eastAsia="Times New Roman"/>
                <w:sz w:val="16"/>
                <w:szCs w:val="16"/>
              </w:rPr>
            </w:pPr>
            <w:r>
              <w:rPr>
                <w:rFonts w:eastAsia="Times New Roman"/>
                <w:sz w:val="16"/>
                <w:szCs w:val="16"/>
              </w:rPr>
              <w:t>2,071,007</w:t>
            </w:r>
          </w:p>
        </w:tc>
        <w:tc>
          <w:tcPr>
            <w:tcW w:w="0" w:type="auto"/>
            <w:shd w:val="clear" w:color="auto" w:fill="CCEEFF"/>
            <w:tcMar>
              <w:top w:w="0" w:type="dxa"/>
              <w:left w:w="0" w:type="dxa"/>
              <w:bottom w:w="50" w:type="dxa"/>
              <w:right w:w="0" w:type="dxa"/>
            </w:tcMar>
            <w:vAlign w:val="bottom"/>
            <w:hideMark/>
          </w:tcPr>
          <w:p w14:paraId="11AFE8F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4891B88"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3AF1F50B"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6F526928" w14:textId="77777777" w:rsidR="00000000" w:rsidRDefault="00D6065B">
            <w:pPr>
              <w:jc w:val="right"/>
              <w:rPr>
                <w:rFonts w:eastAsia="Times New Roman"/>
                <w:sz w:val="16"/>
                <w:szCs w:val="16"/>
              </w:rPr>
            </w:pPr>
            <w:r>
              <w:rPr>
                <w:rFonts w:eastAsia="Times New Roman"/>
                <w:sz w:val="16"/>
                <w:szCs w:val="16"/>
              </w:rPr>
              <w:t>2,071</w:t>
            </w:r>
          </w:p>
        </w:tc>
        <w:tc>
          <w:tcPr>
            <w:tcW w:w="0" w:type="auto"/>
            <w:shd w:val="clear" w:color="auto" w:fill="CCEEFF"/>
            <w:tcMar>
              <w:top w:w="0" w:type="dxa"/>
              <w:left w:w="0" w:type="dxa"/>
              <w:bottom w:w="50" w:type="dxa"/>
              <w:right w:w="0" w:type="dxa"/>
            </w:tcMar>
            <w:vAlign w:val="bottom"/>
            <w:hideMark/>
          </w:tcPr>
          <w:p w14:paraId="47990C4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578FD99"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DA5AF73"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78489296" w14:textId="77777777" w:rsidR="00000000" w:rsidRDefault="00D6065B">
            <w:pPr>
              <w:jc w:val="right"/>
              <w:rPr>
                <w:rFonts w:eastAsia="Times New Roman"/>
                <w:sz w:val="16"/>
                <w:szCs w:val="16"/>
              </w:rPr>
            </w:pPr>
            <w:r>
              <w:rPr>
                <w:rFonts w:eastAsia="Times New Roman"/>
                <w:sz w:val="16"/>
                <w:szCs w:val="16"/>
              </w:rPr>
              <w:t>8,842,458</w:t>
            </w:r>
          </w:p>
        </w:tc>
        <w:tc>
          <w:tcPr>
            <w:tcW w:w="0" w:type="auto"/>
            <w:shd w:val="clear" w:color="auto" w:fill="CCEEFF"/>
            <w:tcMar>
              <w:top w:w="0" w:type="dxa"/>
              <w:left w:w="0" w:type="dxa"/>
              <w:bottom w:w="50" w:type="dxa"/>
              <w:right w:w="0" w:type="dxa"/>
            </w:tcMar>
            <w:vAlign w:val="bottom"/>
            <w:hideMark/>
          </w:tcPr>
          <w:p w14:paraId="132C6D18"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A61FB13"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BE9DB1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25863335" w14:textId="77777777" w:rsidR="00000000" w:rsidRDefault="00D6065B">
            <w:pPr>
              <w:jc w:val="right"/>
              <w:rPr>
                <w:rFonts w:eastAsia="Times New Roman"/>
                <w:sz w:val="16"/>
                <w:szCs w:val="16"/>
              </w:rPr>
            </w:pPr>
            <w:r>
              <w:rPr>
                <w:rFonts w:eastAsia="Times New Roman"/>
                <w:sz w:val="16"/>
                <w:szCs w:val="16"/>
              </w:rPr>
              <w:t>436,653</w:t>
            </w:r>
          </w:p>
        </w:tc>
        <w:tc>
          <w:tcPr>
            <w:tcW w:w="0" w:type="auto"/>
            <w:shd w:val="clear" w:color="auto" w:fill="CCEEFF"/>
            <w:tcMar>
              <w:top w:w="0" w:type="dxa"/>
              <w:left w:w="0" w:type="dxa"/>
              <w:bottom w:w="50" w:type="dxa"/>
              <w:right w:w="0" w:type="dxa"/>
            </w:tcMar>
            <w:vAlign w:val="bottom"/>
            <w:hideMark/>
          </w:tcPr>
          <w:p w14:paraId="286740C9"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C2D3244"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CEE2CFA"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2840373B" w14:textId="77777777" w:rsidR="00000000" w:rsidRDefault="00D6065B">
            <w:pPr>
              <w:jc w:val="right"/>
              <w:rPr>
                <w:rFonts w:eastAsia="Times New Roman"/>
                <w:sz w:val="16"/>
                <w:szCs w:val="16"/>
              </w:rPr>
            </w:pPr>
            <w:r>
              <w:rPr>
                <w:rFonts w:eastAsia="Times New Roman"/>
                <w:sz w:val="16"/>
                <w:szCs w:val="16"/>
              </w:rPr>
              <w:t>436</w:t>
            </w:r>
          </w:p>
        </w:tc>
        <w:tc>
          <w:tcPr>
            <w:tcW w:w="0" w:type="auto"/>
            <w:shd w:val="clear" w:color="auto" w:fill="CCEEFF"/>
            <w:tcMar>
              <w:top w:w="0" w:type="dxa"/>
              <w:left w:w="0" w:type="dxa"/>
              <w:bottom w:w="50" w:type="dxa"/>
              <w:right w:w="0" w:type="dxa"/>
            </w:tcMar>
            <w:vAlign w:val="bottom"/>
            <w:hideMark/>
          </w:tcPr>
          <w:p w14:paraId="4293A60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355635D6"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475C28E9"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359A4824" w14:textId="77777777" w:rsidR="00000000" w:rsidRDefault="00D6065B">
            <w:pPr>
              <w:jc w:val="right"/>
              <w:rPr>
                <w:rFonts w:eastAsia="Times New Roman"/>
                <w:sz w:val="16"/>
                <w:szCs w:val="16"/>
              </w:rPr>
            </w:pPr>
            <w:r>
              <w:rPr>
                <w:rFonts w:eastAsia="Times New Roman"/>
                <w:sz w:val="16"/>
                <w:szCs w:val="16"/>
              </w:rPr>
              <w:t>385,235</w:t>
            </w:r>
          </w:p>
        </w:tc>
        <w:tc>
          <w:tcPr>
            <w:tcW w:w="0" w:type="auto"/>
            <w:shd w:val="clear" w:color="auto" w:fill="CCEEFF"/>
            <w:tcMar>
              <w:top w:w="0" w:type="dxa"/>
              <w:left w:w="0" w:type="dxa"/>
              <w:bottom w:w="50" w:type="dxa"/>
              <w:right w:w="0" w:type="dxa"/>
            </w:tcMar>
            <w:vAlign w:val="bottom"/>
            <w:hideMark/>
          </w:tcPr>
          <w:p w14:paraId="7ACE4A37"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7022893"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8DB6E57"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524B866" w14:textId="77777777" w:rsidR="00000000" w:rsidRDefault="00D6065B">
            <w:pPr>
              <w:jc w:val="right"/>
              <w:rPr>
                <w:rFonts w:eastAsia="Times New Roman"/>
                <w:sz w:val="16"/>
                <w:szCs w:val="16"/>
              </w:rPr>
            </w:pPr>
            <w:r>
              <w:rPr>
                <w:rFonts w:eastAsia="Times New Roman"/>
                <w:sz w:val="16"/>
                <w:szCs w:val="16"/>
              </w:rPr>
              <w:t>385,302</w:t>
            </w:r>
          </w:p>
        </w:tc>
        <w:tc>
          <w:tcPr>
            <w:tcW w:w="0" w:type="auto"/>
            <w:shd w:val="clear" w:color="auto" w:fill="CCEEFF"/>
            <w:tcMar>
              <w:top w:w="0" w:type="dxa"/>
              <w:left w:w="0" w:type="dxa"/>
              <w:bottom w:w="50" w:type="dxa"/>
              <w:right w:w="0" w:type="dxa"/>
            </w:tcMar>
            <w:vAlign w:val="bottom"/>
            <w:hideMark/>
          </w:tcPr>
          <w:p w14:paraId="4CC3151E"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730E0799"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C466167"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3313B11E" w14:textId="77777777" w:rsidR="00000000" w:rsidRDefault="00D6065B">
            <w:pPr>
              <w:jc w:val="right"/>
              <w:rPr>
                <w:rFonts w:eastAsia="Times New Roman"/>
                <w:sz w:val="16"/>
                <w:szCs w:val="16"/>
              </w:rPr>
            </w:pPr>
            <w:r>
              <w:rPr>
                <w:rFonts w:eastAsia="Times New Roman"/>
                <w:sz w:val="16"/>
                <w:szCs w:val="16"/>
              </w:rPr>
              <w:t>385</w:t>
            </w:r>
          </w:p>
        </w:tc>
        <w:tc>
          <w:tcPr>
            <w:tcW w:w="0" w:type="auto"/>
            <w:shd w:val="clear" w:color="auto" w:fill="CCEEFF"/>
            <w:tcMar>
              <w:top w:w="0" w:type="dxa"/>
              <w:left w:w="0" w:type="dxa"/>
              <w:bottom w:w="50" w:type="dxa"/>
              <w:right w:w="0" w:type="dxa"/>
            </w:tcMar>
            <w:vAlign w:val="bottom"/>
            <w:hideMark/>
          </w:tcPr>
          <w:p w14:paraId="157E99C0"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34DD2A06"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23A208C4"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A36FFDA" w14:textId="77777777" w:rsidR="00000000" w:rsidRDefault="00D6065B">
            <w:pPr>
              <w:jc w:val="right"/>
              <w:rPr>
                <w:rFonts w:eastAsia="Times New Roman"/>
                <w:sz w:val="16"/>
                <w:szCs w:val="16"/>
              </w:rPr>
            </w:pPr>
            <w:r>
              <w:rPr>
                <w:rFonts w:eastAsia="Times New Roman"/>
                <w:sz w:val="16"/>
                <w:szCs w:val="16"/>
              </w:rPr>
              <w:t>500,507</w:t>
            </w:r>
          </w:p>
        </w:tc>
        <w:tc>
          <w:tcPr>
            <w:tcW w:w="0" w:type="auto"/>
            <w:shd w:val="clear" w:color="auto" w:fill="CCEEFF"/>
            <w:tcMar>
              <w:top w:w="0" w:type="dxa"/>
              <w:left w:w="0" w:type="dxa"/>
              <w:bottom w:w="50" w:type="dxa"/>
              <w:right w:w="0" w:type="dxa"/>
            </w:tcMar>
            <w:vAlign w:val="bottom"/>
            <w:hideMark/>
          </w:tcPr>
          <w:p w14:paraId="4B020DF5"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8DE5FF3"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613AEFD"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C2D0536" w14:textId="77777777" w:rsidR="00000000" w:rsidRDefault="00D6065B">
            <w:pPr>
              <w:jc w:val="right"/>
              <w:rPr>
                <w:rFonts w:eastAsia="Times New Roman"/>
                <w:sz w:val="16"/>
                <w:szCs w:val="16"/>
              </w:rPr>
            </w:pPr>
            <w:r>
              <w:rPr>
                <w:rFonts w:eastAsia="Times New Roman"/>
                <w:sz w:val="16"/>
                <w:szCs w:val="16"/>
              </w:rPr>
              <w:t>334,937,194</w:t>
            </w:r>
          </w:p>
        </w:tc>
        <w:tc>
          <w:tcPr>
            <w:tcW w:w="0" w:type="auto"/>
            <w:shd w:val="clear" w:color="auto" w:fill="CCEEFF"/>
            <w:tcMar>
              <w:top w:w="0" w:type="dxa"/>
              <w:left w:w="0" w:type="dxa"/>
              <w:bottom w:w="50" w:type="dxa"/>
              <w:right w:w="0" w:type="dxa"/>
            </w:tcMar>
            <w:vAlign w:val="bottom"/>
            <w:hideMark/>
          </w:tcPr>
          <w:p w14:paraId="162DD8A3"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77DCADF8"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80AEB3E"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05EF95F3" w14:textId="77777777" w:rsidR="00000000" w:rsidRDefault="00D6065B">
            <w:pPr>
              <w:jc w:val="right"/>
              <w:rPr>
                <w:rFonts w:eastAsia="Times New Roman"/>
                <w:sz w:val="16"/>
                <w:szCs w:val="16"/>
              </w:rPr>
            </w:pPr>
            <w:r>
              <w:rPr>
                <w:rFonts w:eastAsia="Times New Roman"/>
                <w:sz w:val="16"/>
                <w:szCs w:val="16"/>
              </w:rPr>
              <w:t>334,937</w:t>
            </w:r>
          </w:p>
        </w:tc>
        <w:tc>
          <w:tcPr>
            <w:tcW w:w="0" w:type="auto"/>
            <w:shd w:val="clear" w:color="auto" w:fill="CCEEFF"/>
            <w:tcMar>
              <w:top w:w="0" w:type="dxa"/>
              <w:left w:w="0" w:type="dxa"/>
              <w:bottom w:w="50" w:type="dxa"/>
              <w:right w:w="0" w:type="dxa"/>
            </w:tcMar>
            <w:vAlign w:val="bottom"/>
            <w:hideMark/>
          </w:tcPr>
          <w:p w14:paraId="53583862"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7A77EEC6"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61026B3"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4A99C23" w14:textId="77777777" w:rsidR="00000000" w:rsidRDefault="00D6065B">
            <w:pPr>
              <w:jc w:val="right"/>
              <w:rPr>
                <w:rFonts w:eastAsia="Times New Roman"/>
                <w:sz w:val="16"/>
                <w:szCs w:val="16"/>
              </w:rPr>
            </w:pPr>
            <w:r>
              <w:rPr>
                <w:rFonts w:eastAsia="Times New Roman"/>
                <w:sz w:val="16"/>
                <w:szCs w:val="16"/>
              </w:rPr>
              <w:t>68,266,009</w:t>
            </w:r>
          </w:p>
        </w:tc>
        <w:tc>
          <w:tcPr>
            <w:tcW w:w="0" w:type="auto"/>
            <w:shd w:val="clear" w:color="auto" w:fill="CCEEFF"/>
            <w:tcMar>
              <w:top w:w="0" w:type="dxa"/>
              <w:left w:w="0" w:type="dxa"/>
              <w:bottom w:w="50" w:type="dxa"/>
              <w:right w:w="0" w:type="dxa"/>
            </w:tcMar>
            <w:vAlign w:val="bottom"/>
            <w:hideMark/>
          </w:tcPr>
          <w:p w14:paraId="49D7AEE6"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725D92A1"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ACF2BF8"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8D677C6" w14:textId="77777777" w:rsidR="00000000" w:rsidRDefault="00D6065B">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66BDC6FC" w14:textId="77777777" w:rsidR="00000000" w:rsidRDefault="00D6065B">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987AC82"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4F1AD7B"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698E847" w14:textId="77777777" w:rsidR="00000000" w:rsidRDefault="00D6065B">
            <w:pPr>
              <w:jc w:val="right"/>
              <w:rPr>
                <w:rFonts w:eastAsia="Times New Roman"/>
                <w:sz w:val="16"/>
                <w:szCs w:val="16"/>
              </w:rPr>
            </w:pPr>
            <w:r>
              <w:rPr>
                <w:rFonts w:eastAsia="Times New Roman"/>
                <w:sz w:val="16"/>
                <w:szCs w:val="16"/>
              </w:rPr>
              <w:t>(76,706,477</w:t>
            </w:r>
          </w:p>
        </w:tc>
        <w:tc>
          <w:tcPr>
            <w:tcW w:w="0" w:type="auto"/>
            <w:shd w:val="clear" w:color="auto" w:fill="CCEEFF"/>
            <w:tcMar>
              <w:top w:w="0" w:type="dxa"/>
              <w:left w:w="0" w:type="dxa"/>
              <w:bottom w:w="50" w:type="dxa"/>
              <w:right w:w="0" w:type="dxa"/>
            </w:tcMar>
            <w:vAlign w:val="bottom"/>
            <w:hideMark/>
          </w:tcPr>
          <w:p w14:paraId="7313C627" w14:textId="77777777" w:rsidR="00000000" w:rsidRDefault="00D6065B">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58A5C89E" w14:textId="77777777" w:rsidR="00000000" w:rsidRDefault="00D6065B">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B0E3860" w14:textId="77777777" w:rsidR="00000000" w:rsidRDefault="00D6065B">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B95B90F" w14:textId="77777777" w:rsidR="00000000" w:rsidRDefault="00D6065B">
            <w:pPr>
              <w:jc w:val="right"/>
              <w:rPr>
                <w:rFonts w:eastAsia="Times New Roman"/>
                <w:sz w:val="16"/>
                <w:szCs w:val="16"/>
              </w:rPr>
            </w:pPr>
            <w:r>
              <w:rPr>
                <w:rFonts w:eastAsia="Times New Roman"/>
                <w:sz w:val="16"/>
                <w:szCs w:val="16"/>
              </w:rPr>
              <w:t>1,625,561</w:t>
            </w:r>
          </w:p>
        </w:tc>
        <w:tc>
          <w:tcPr>
            <w:tcW w:w="0" w:type="auto"/>
            <w:shd w:val="clear" w:color="auto" w:fill="CCEEFF"/>
            <w:tcMar>
              <w:top w:w="0" w:type="dxa"/>
              <w:left w:w="0" w:type="dxa"/>
              <w:bottom w:w="50" w:type="dxa"/>
              <w:right w:w="0" w:type="dxa"/>
            </w:tcMar>
            <w:vAlign w:val="bottom"/>
            <w:hideMark/>
          </w:tcPr>
          <w:p w14:paraId="59E9236E" w14:textId="77777777" w:rsidR="00000000" w:rsidRDefault="00D6065B">
            <w:pPr>
              <w:rPr>
                <w:rFonts w:eastAsia="Times New Roman"/>
                <w:sz w:val="16"/>
                <w:szCs w:val="16"/>
              </w:rPr>
            </w:pPr>
            <w:r>
              <w:rPr>
                <w:rFonts w:eastAsia="Times New Roman"/>
                <w:sz w:val="16"/>
                <w:szCs w:val="16"/>
              </w:rPr>
              <w:t> </w:t>
            </w:r>
          </w:p>
        </w:tc>
      </w:tr>
      <w:tr w:rsidR="00D6065B" w14:paraId="08FE2ADA" w14:textId="77777777">
        <w:trPr>
          <w:hidden/>
        </w:trPr>
        <w:tc>
          <w:tcPr>
            <w:tcW w:w="0" w:type="auto"/>
            <w:shd w:val="clear" w:color="auto" w:fill="CCEEFF"/>
            <w:tcMar>
              <w:top w:w="0" w:type="dxa"/>
              <w:left w:w="0" w:type="dxa"/>
              <w:bottom w:w="50" w:type="dxa"/>
              <w:right w:w="0" w:type="dxa"/>
            </w:tcMar>
            <w:vAlign w:val="bottom"/>
            <w:hideMark/>
          </w:tcPr>
          <w:p w14:paraId="22B10D85" w14:textId="77777777" w:rsidR="00000000" w:rsidRDefault="00D6065B">
            <w:pPr>
              <w:rPr>
                <w:rFonts w:eastAsia="Times New Roman"/>
                <w:vanish/>
                <w:sz w:val="16"/>
                <w:szCs w:val="16"/>
              </w:rPr>
            </w:pPr>
            <w:r>
              <w:rPr>
                <w:rFonts w:eastAsia="Times New Roman"/>
                <w:vanish/>
                <w:sz w:val="16"/>
                <w:szCs w:val="16"/>
              </w:rPr>
              <w:t>Balance, June 30, 2021</w:t>
            </w:r>
          </w:p>
        </w:tc>
        <w:tc>
          <w:tcPr>
            <w:tcW w:w="0" w:type="auto"/>
            <w:shd w:val="clear" w:color="auto" w:fill="CCEEFF"/>
            <w:tcMar>
              <w:top w:w="0" w:type="dxa"/>
              <w:left w:w="0" w:type="dxa"/>
              <w:bottom w:w="50" w:type="dxa"/>
              <w:right w:w="0" w:type="dxa"/>
            </w:tcMar>
            <w:vAlign w:val="bottom"/>
            <w:hideMark/>
          </w:tcPr>
          <w:p w14:paraId="7D605F0F"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752BC80B"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2BA6491B" w14:textId="77777777" w:rsidR="00000000" w:rsidRDefault="00D6065B">
            <w:pPr>
              <w:jc w:val="right"/>
              <w:rPr>
                <w:rFonts w:eastAsia="Times New Roman"/>
                <w:vanish/>
                <w:sz w:val="16"/>
                <w:szCs w:val="16"/>
              </w:rPr>
            </w:pPr>
            <w:r>
              <w:rPr>
                <w:rFonts w:eastAsia="Times New Roman"/>
                <w:vanish/>
                <w:sz w:val="16"/>
                <w:szCs w:val="16"/>
              </w:rPr>
              <w:t>2,071,007</w:t>
            </w:r>
          </w:p>
        </w:tc>
        <w:tc>
          <w:tcPr>
            <w:tcW w:w="0" w:type="auto"/>
            <w:shd w:val="clear" w:color="auto" w:fill="CCEEFF"/>
            <w:tcMar>
              <w:top w:w="0" w:type="dxa"/>
              <w:left w:w="0" w:type="dxa"/>
              <w:bottom w:w="50" w:type="dxa"/>
              <w:right w:w="0" w:type="dxa"/>
            </w:tcMar>
            <w:vAlign w:val="bottom"/>
            <w:hideMark/>
          </w:tcPr>
          <w:p w14:paraId="254F551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6F7F5938"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038EB6B4"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1503C686" w14:textId="77777777" w:rsidR="00000000" w:rsidRDefault="00D6065B">
            <w:pPr>
              <w:jc w:val="right"/>
              <w:rPr>
                <w:rFonts w:eastAsia="Times New Roman"/>
                <w:vanish/>
                <w:sz w:val="16"/>
                <w:szCs w:val="16"/>
              </w:rPr>
            </w:pPr>
            <w:r>
              <w:rPr>
                <w:rFonts w:eastAsia="Times New Roman"/>
                <w:vanish/>
                <w:sz w:val="16"/>
                <w:szCs w:val="16"/>
              </w:rPr>
              <w:t>2,071</w:t>
            </w:r>
          </w:p>
        </w:tc>
        <w:tc>
          <w:tcPr>
            <w:tcW w:w="0" w:type="auto"/>
            <w:shd w:val="clear" w:color="auto" w:fill="CCEEFF"/>
            <w:tcMar>
              <w:top w:w="0" w:type="dxa"/>
              <w:left w:w="0" w:type="dxa"/>
              <w:bottom w:w="50" w:type="dxa"/>
              <w:right w:w="0" w:type="dxa"/>
            </w:tcMar>
            <w:vAlign w:val="bottom"/>
            <w:hideMark/>
          </w:tcPr>
          <w:p w14:paraId="4CE3BFD2"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5842BD85"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136D762E"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695B7489" w14:textId="77777777" w:rsidR="00000000" w:rsidRDefault="00D6065B">
            <w:pPr>
              <w:jc w:val="right"/>
              <w:rPr>
                <w:rFonts w:eastAsia="Times New Roman"/>
                <w:vanish/>
                <w:sz w:val="16"/>
                <w:szCs w:val="16"/>
              </w:rPr>
            </w:pPr>
            <w:r>
              <w:rPr>
                <w:rFonts w:eastAsia="Times New Roman"/>
                <w:vanish/>
                <w:sz w:val="16"/>
                <w:szCs w:val="16"/>
              </w:rPr>
              <w:t>8,842,458</w:t>
            </w:r>
          </w:p>
        </w:tc>
        <w:tc>
          <w:tcPr>
            <w:tcW w:w="0" w:type="auto"/>
            <w:shd w:val="clear" w:color="auto" w:fill="CCEEFF"/>
            <w:tcMar>
              <w:top w:w="0" w:type="dxa"/>
              <w:left w:w="0" w:type="dxa"/>
              <w:bottom w:w="50" w:type="dxa"/>
              <w:right w:w="0" w:type="dxa"/>
            </w:tcMar>
            <w:vAlign w:val="bottom"/>
            <w:hideMark/>
          </w:tcPr>
          <w:p w14:paraId="7492A3F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38A8AEF8"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3A4D2627"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3CBD79A3" w14:textId="77777777" w:rsidR="00000000" w:rsidRDefault="00D6065B">
            <w:pPr>
              <w:jc w:val="right"/>
              <w:rPr>
                <w:rFonts w:eastAsia="Times New Roman"/>
                <w:vanish/>
                <w:sz w:val="16"/>
                <w:szCs w:val="16"/>
              </w:rPr>
            </w:pPr>
            <w:r>
              <w:rPr>
                <w:rFonts w:eastAsia="Times New Roman"/>
                <w:vanish/>
                <w:sz w:val="16"/>
                <w:szCs w:val="16"/>
              </w:rPr>
              <w:t>436,653</w:t>
            </w:r>
          </w:p>
        </w:tc>
        <w:tc>
          <w:tcPr>
            <w:tcW w:w="0" w:type="auto"/>
            <w:shd w:val="clear" w:color="auto" w:fill="CCEEFF"/>
            <w:tcMar>
              <w:top w:w="0" w:type="dxa"/>
              <w:left w:w="0" w:type="dxa"/>
              <w:bottom w:w="50" w:type="dxa"/>
              <w:right w:w="0" w:type="dxa"/>
            </w:tcMar>
            <w:vAlign w:val="bottom"/>
            <w:hideMark/>
          </w:tcPr>
          <w:p w14:paraId="4BF04964"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5C3C5FBD"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1331AA68"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73631BF7" w14:textId="77777777" w:rsidR="00000000" w:rsidRDefault="00D6065B">
            <w:pPr>
              <w:jc w:val="right"/>
              <w:rPr>
                <w:rFonts w:eastAsia="Times New Roman"/>
                <w:vanish/>
                <w:sz w:val="16"/>
                <w:szCs w:val="16"/>
              </w:rPr>
            </w:pPr>
            <w:r>
              <w:rPr>
                <w:rFonts w:eastAsia="Times New Roman"/>
                <w:vanish/>
                <w:sz w:val="16"/>
                <w:szCs w:val="16"/>
              </w:rPr>
              <w:t>436</w:t>
            </w:r>
          </w:p>
        </w:tc>
        <w:tc>
          <w:tcPr>
            <w:tcW w:w="0" w:type="auto"/>
            <w:shd w:val="clear" w:color="auto" w:fill="CCEEFF"/>
            <w:tcMar>
              <w:top w:w="0" w:type="dxa"/>
              <w:left w:w="0" w:type="dxa"/>
              <w:bottom w:w="50" w:type="dxa"/>
              <w:right w:w="0" w:type="dxa"/>
            </w:tcMar>
            <w:vAlign w:val="bottom"/>
            <w:hideMark/>
          </w:tcPr>
          <w:p w14:paraId="3C34B7CF"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4D7C5B63"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36CAC0FA"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1B5A12C3" w14:textId="77777777" w:rsidR="00000000" w:rsidRDefault="00D6065B">
            <w:pPr>
              <w:jc w:val="right"/>
              <w:rPr>
                <w:rFonts w:eastAsia="Times New Roman"/>
                <w:vanish/>
                <w:sz w:val="16"/>
                <w:szCs w:val="16"/>
              </w:rPr>
            </w:pPr>
            <w:r>
              <w:rPr>
                <w:rFonts w:eastAsia="Times New Roman"/>
                <w:vanish/>
                <w:sz w:val="16"/>
                <w:szCs w:val="16"/>
              </w:rPr>
              <w:t>385,235</w:t>
            </w:r>
          </w:p>
        </w:tc>
        <w:tc>
          <w:tcPr>
            <w:tcW w:w="0" w:type="auto"/>
            <w:shd w:val="clear" w:color="auto" w:fill="CCEEFF"/>
            <w:tcMar>
              <w:top w:w="0" w:type="dxa"/>
              <w:left w:w="0" w:type="dxa"/>
              <w:bottom w:w="50" w:type="dxa"/>
              <w:right w:w="0" w:type="dxa"/>
            </w:tcMar>
            <w:vAlign w:val="bottom"/>
            <w:hideMark/>
          </w:tcPr>
          <w:p w14:paraId="698E7171"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18A2FB82"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3F975C94"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2CC77601" w14:textId="77777777" w:rsidR="00000000" w:rsidRDefault="00D6065B">
            <w:pPr>
              <w:jc w:val="right"/>
              <w:rPr>
                <w:rFonts w:eastAsia="Times New Roman"/>
                <w:vanish/>
                <w:sz w:val="16"/>
                <w:szCs w:val="16"/>
              </w:rPr>
            </w:pPr>
            <w:r>
              <w:rPr>
                <w:rFonts w:eastAsia="Times New Roman"/>
                <w:vanish/>
                <w:sz w:val="16"/>
                <w:szCs w:val="16"/>
              </w:rPr>
              <w:t>385,302</w:t>
            </w:r>
          </w:p>
        </w:tc>
        <w:tc>
          <w:tcPr>
            <w:tcW w:w="0" w:type="auto"/>
            <w:shd w:val="clear" w:color="auto" w:fill="CCEEFF"/>
            <w:tcMar>
              <w:top w:w="0" w:type="dxa"/>
              <w:left w:w="0" w:type="dxa"/>
              <w:bottom w:w="50" w:type="dxa"/>
              <w:right w:w="0" w:type="dxa"/>
            </w:tcMar>
            <w:vAlign w:val="bottom"/>
            <w:hideMark/>
          </w:tcPr>
          <w:p w14:paraId="7B06CED7"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4F39FD13"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7EAE9C30"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0BAAD8EC" w14:textId="77777777" w:rsidR="00000000" w:rsidRDefault="00D6065B">
            <w:pPr>
              <w:jc w:val="right"/>
              <w:rPr>
                <w:rFonts w:eastAsia="Times New Roman"/>
                <w:vanish/>
                <w:sz w:val="16"/>
                <w:szCs w:val="16"/>
              </w:rPr>
            </w:pPr>
            <w:r>
              <w:rPr>
                <w:rFonts w:eastAsia="Times New Roman"/>
                <w:vanish/>
                <w:sz w:val="16"/>
                <w:szCs w:val="16"/>
              </w:rPr>
              <w:t>385</w:t>
            </w:r>
          </w:p>
        </w:tc>
        <w:tc>
          <w:tcPr>
            <w:tcW w:w="0" w:type="auto"/>
            <w:shd w:val="clear" w:color="auto" w:fill="CCEEFF"/>
            <w:tcMar>
              <w:top w:w="0" w:type="dxa"/>
              <w:left w:w="0" w:type="dxa"/>
              <w:bottom w:w="50" w:type="dxa"/>
              <w:right w:w="0" w:type="dxa"/>
            </w:tcMar>
            <w:vAlign w:val="bottom"/>
            <w:hideMark/>
          </w:tcPr>
          <w:p w14:paraId="3450966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12A69788"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1C0FF308"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2AEB3D58" w14:textId="77777777" w:rsidR="00000000" w:rsidRDefault="00D6065B">
            <w:pPr>
              <w:jc w:val="right"/>
              <w:rPr>
                <w:rFonts w:eastAsia="Times New Roman"/>
                <w:vanish/>
                <w:sz w:val="16"/>
                <w:szCs w:val="16"/>
              </w:rPr>
            </w:pPr>
            <w:r>
              <w:rPr>
                <w:rFonts w:eastAsia="Times New Roman"/>
                <w:vanish/>
                <w:sz w:val="16"/>
                <w:szCs w:val="16"/>
              </w:rPr>
              <w:t>500,507</w:t>
            </w:r>
          </w:p>
        </w:tc>
        <w:tc>
          <w:tcPr>
            <w:tcW w:w="0" w:type="auto"/>
            <w:shd w:val="clear" w:color="auto" w:fill="CCEEFF"/>
            <w:tcMar>
              <w:top w:w="0" w:type="dxa"/>
              <w:left w:w="0" w:type="dxa"/>
              <w:bottom w:w="50" w:type="dxa"/>
              <w:right w:w="0" w:type="dxa"/>
            </w:tcMar>
            <w:vAlign w:val="bottom"/>
            <w:hideMark/>
          </w:tcPr>
          <w:p w14:paraId="1D9D1EB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2FB0A388"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267E69B5"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5AA9FB4D" w14:textId="77777777" w:rsidR="00000000" w:rsidRDefault="00D6065B">
            <w:pPr>
              <w:jc w:val="right"/>
              <w:rPr>
                <w:rFonts w:eastAsia="Times New Roman"/>
                <w:vanish/>
                <w:sz w:val="16"/>
                <w:szCs w:val="16"/>
              </w:rPr>
            </w:pPr>
            <w:r>
              <w:rPr>
                <w:rFonts w:eastAsia="Times New Roman"/>
                <w:vanish/>
                <w:sz w:val="16"/>
                <w:szCs w:val="16"/>
              </w:rPr>
              <w:t>334,937,194</w:t>
            </w:r>
          </w:p>
        </w:tc>
        <w:tc>
          <w:tcPr>
            <w:tcW w:w="0" w:type="auto"/>
            <w:shd w:val="clear" w:color="auto" w:fill="CCEEFF"/>
            <w:tcMar>
              <w:top w:w="0" w:type="dxa"/>
              <w:left w:w="0" w:type="dxa"/>
              <w:bottom w:w="50" w:type="dxa"/>
              <w:right w:w="0" w:type="dxa"/>
            </w:tcMar>
            <w:vAlign w:val="bottom"/>
            <w:hideMark/>
          </w:tcPr>
          <w:p w14:paraId="461A9BCE"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05D7F7B8"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49470511"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449A31FF" w14:textId="77777777" w:rsidR="00000000" w:rsidRDefault="00D6065B">
            <w:pPr>
              <w:jc w:val="right"/>
              <w:rPr>
                <w:rFonts w:eastAsia="Times New Roman"/>
                <w:vanish/>
                <w:sz w:val="16"/>
                <w:szCs w:val="16"/>
              </w:rPr>
            </w:pPr>
            <w:r>
              <w:rPr>
                <w:rFonts w:eastAsia="Times New Roman"/>
                <w:vanish/>
                <w:sz w:val="16"/>
                <w:szCs w:val="16"/>
              </w:rPr>
              <w:t>334,937</w:t>
            </w:r>
          </w:p>
        </w:tc>
        <w:tc>
          <w:tcPr>
            <w:tcW w:w="0" w:type="auto"/>
            <w:shd w:val="clear" w:color="auto" w:fill="CCEEFF"/>
            <w:tcMar>
              <w:top w:w="0" w:type="dxa"/>
              <w:left w:w="0" w:type="dxa"/>
              <w:bottom w:w="50" w:type="dxa"/>
              <w:right w:w="0" w:type="dxa"/>
            </w:tcMar>
            <w:vAlign w:val="bottom"/>
            <w:hideMark/>
          </w:tcPr>
          <w:p w14:paraId="6A7CCECA"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5115FC57"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537E7118"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34C5773E" w14:textId="77777777" w:rsidR="00000000" w:rsidRDefault="00D6065B">
            <w:pPr>
              <w:jc w:val="right"/>
              <w:rPr>
                <w:rFonts w:eastAsia="Times New Roman"/>
                <w:vanish/>
                <w:sz w:val="16"/>
                <w:szCs w:val="16"/>
              </w:rPr>
            </w:pPr>
            <w:r>
              <w:rPr>
                <w:rFonts w:eastAsia="Times New Roman"/>
                <w:vanish/>
                <w:sz w:val="16"/>
                <w:szCs w:val="16"/>
              </w:rPr>
              <w:t>68,266,009</w:t>
            </w:r>
          </w:p>
        </w:tc>
        <w:tc>
          <w:tcPr>
            <w:tcW w:w="0" w:type="auto"/>
            <w:shd w:val="clear" w:color="auto" w:fill="CCEEFF"/>
            <w:tcMar>
              <w:top w:w="0" w:type="dxa"/>
              <w:left w:w="0" w:type="dxa"/>
              <w:bottom w:w="50" w:type="dxa"/>
              <w:right w:w="0" w:type="dxa"/>
            </w:tcMar>
            <w:vAlign w:val="bottom"/>
            <w:hideMark/>
          </w:tcPr>
          <w:p w14:paraId="167C50FB"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3A3B5D4A"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1276AAE4"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6D86997C" w14:textId="77777777" w:rsidR="00000000" w:rsidRDefault="00D6065B">
            <w:pPr>
              <w:jc w:val="right"/>
              <w:rPr>
                <w:rFonts w:eastAsia="Times New Roman"/>
                <w:vanish/>
                <w:sz w:val="16"/>
                <w:szCs w:val="16"/>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14:paraId="5FBB0DC6" w14:textId="77777777" w:rsidR="00000000" w:rsidRDefault="00D6065B">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14:paraId="260C5C24"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4337AA8B"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49966BB0" w14:textId="77777777" w:rsidR="00000000" w:rsidRDefault="00D6065B">
            <w:pPr>
              <w:jc w:val="right"/>
              <w:rPr>
                <w:rFonts w:eastAsia="Times New Roman"/>
                <w:vanish/>
                <w:sz w:val="16"/>
                <w:szCs w:val="16"/>
              </w:rPr>
            </w:pPr>
            <w:r>
              <w:rPr>
                <w:rFonts w:eastAsia="Times New Roman"/>
                <w:vanish/>
                <w:sz w:val="16"/>
                <w:szCs w:val="16"/>
              </w:rPr>
              <w:t>(76,706,477</w:t>
            </w:r>
          </w:p>
        </w:tc>
        <w:tc>
          <w:tcPr>
            <w:tcW w:w="0" w:type="auto"/>
            <w:shd w:val="clear" w:color="auto" w:fill="CCEEFF"/>
            <w:tcMar>
              <w:top w:w="0" w:type="dxa"/>
              <w:left w:w="0" w:type="dxa"/>
              <w:bottom w:w="50" w:type="dxa"/>
              <w:right w:w="0" w:type="dxa"/>
            </w:tcMar>
            <w:vAlign w:val="bottom"/>
            <w:hideMark/>
          </w:tcPr>
          <w:p w14:paraId="2AAE2CEF" w14:textId="77777777" w:rsidR="00000000" w:rsidRDefault="00D6065B">
            <w:pPr>
              <w:rPr>
                <w:rFonts w:eastAsia="Times New Roman"/>
                <w:vanish/>
                <w:sz w:val="16"/>
                <w:szCs w:val="16"/>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14:paraId="76FE992C" w14:textId="77777777" w:rsidR="00000000" w:rsidRDefault="00D6065B">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14:paraId="204730B6" w14:textId="77777777" w:rsidR="00000000" w:rsidRDefault="00D6065B">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14:paraId="6624762E" w14:textId="77777777" w:rsidR="00000000" w:rsidRDefault="00D6065B">
            <w:pPr>
              <w:jc w:val="right"/>
              <w:rPr>
                <w:rFonts w:eastAsia="Times New Roman"/>
                <w:vanish/>
                <w:sz w:val="16"/>
                <w:szCs w:val="16"/>
              </w:rPr>
            </w:pPr>
            <w:r>
              <w:rPr>
                <w:rFonts w:eastAsia="Times New Roman"/>
                <w:vanish/>
                <w:sz w:val="16"/>
                <w:szCs w:val="16"/>
              </w:rPr>
              <w:t>1,625,561</w:t>
            </w:r>
          </w:p>
        </w:tc>
        <w:tc>
          <w:tcPr>
            <w:tcW w:w="0" w:type="auto"/>
            <w:shd w:val="clear" w:color="auto" w:fill="CCEEFF"/>
            <w:tcMar>
              <w:top w:w="0" w:type="dxa"/>
              <w:left w:w="0" w:type="dxa"/>
              <w:bottom w:w="50" w:type="dxa"/>
              <w:right w:w="0" w:type="dxa"/>
            </w:tcMar>
            <w:vAlign w:val="bottom"/>
            <w:hideMark/>
          </w:tcPr>
          <w:p w14:paraId="1FD6A82B" w14:textId="77777777" w:rsidR="00000000" w:rsidRDefault="00D6065B">
            <w:pPr>
              <w:rPr>
                <w:rFonts w:eastAsia="Times New Roman"/>
                <w:vanish/>
                <w:sz w:val="16"/>
                <w:szCs w:val="16"/>
              </w:rPr>
            </w:pPr>
            <w:r>
              <w:rPr>
                <w:rFonts w:eastAsia="Times New Roman"/>
                <w:vanish/>
                <w:sz w:val="16"/>
                <w:szCs w:val="16"/>
              </w:rPr>
              <w:t> </w:t>
            </w:r>
          </w:p>
        </w:tc>
      </w:tr>
    </w:tbl>
    <w:p w14:paraId="19BEADA3" w14:textId="77777777" w:rsidR="00000000" w:rsidRDefault="00D6065B">
      <w:pPr>
        <w:pStyle w:val="a3"/>
        <w:spacing w:before="0" w:beforeAutospacing="0" w:after="0" w:afterAutospacing="0"/>
        <w:jc w:val="center"/>
        <w:rPr>
          <w:sz w:val="20"/>
          <w:szCs w:val="20"/>
        </w:rPr>
      </w:pPr>
      <w:r>
        <w:rPr>
          <w:sz w:val="20"/>
          <w:szCs w:val="20"/>
        </w:rPr>
        <w:t> </w:t>
      </w:r>
    </w:p>
    <w:p w14:paraId="431801C8" w14:textId="77777777" w:rsidR="00000000" w:rsidRDefault="00D6065B">
      <w:pPr>
        <w:pStyle w:val="a3"/>
        <w:spacing w:before="0" w:beforeAutospacing="0" w:after="0" w:afterAutospacing="0"/>
        <w:jc w:val="center"/>
        <w:rPr>
          <w:sz w:val="20"/>
          <w:szCs w:val="20"/>
        </w:rPr>
      </w:pPr>
      <w:r>
        <w:rPr>
          <w:sz w:val="20"/>
          <w:szCs w:val="20"/>
        </w:rPr>
        <w:t>The accompanying notes are an integral part of these financial statements.</w:t>
      </w:r>
    </w:p>
    <w:p w14:paraId="0B093F02"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CC39F4" w14:textId="77777777">
        <w:trPr>
          <w:divId w:val="1264529640"/>
        </w:trPr>
        <w:tc>
          <w:tcPr>
            <w:tcW w:w="5000" w:type="pct"/>
            <w:hideMark/>
          </w:tcPr>
          <w:p w14:paraId="7CC2F209" w14:textId="77777777" w:rsidR="00000000" w:rsidRDefault="00D6065B">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85E53C3" w14:textId="77777777">
        <w:tc>
          <w:tcPr>
            <w:tcW w:w="5000" w:type="pct"/>
            <w:hideMark/>
          </w:tcPr>
          <w:p w14:paraId="7ED83B0D" w14:textId="77777777" w:rsidR="00000000" w:rsidRDefault="00D6065B">
            <w:pPr>
              <w:jc w:val="center"/>
              <w:rPr>
                <w:rFonts w:eastAsia="Times New Roman"/>
                <w:sz w:val="20"/>
                <w:szCs w:val="20"/>
              </w:rPr>
            </w:pPr>
            <w:r>
              <w:rPr>
                <w:rFonts w:eastAsia="Times New Roman"/>
                <w:sz w:val="20"/>
                <w:szCs w:val="20"/>
              </w:rPr>
              <w:t> </w:t>
            </w:r>
          </w:p>
        </w:tc>
      </w:tr>
    </w:tbl>
    <w:p w14:paraId="65C04B5C"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4979"/>
        <w:gridCol w:w="161"/>
        <w:gridCol w:w="100"/>
        <w:gridCol w:w="1324"/>
        <w:gridCol w:w="78"/>
        <w:gridCol w:w="161"/>
        <w:gridCol w:w="100"/>
        <w:gridCol w:w="1324"/>
        <w:gridCol w:w="79"/>
      </w:tblGrid>
      <w:tr w:rsidR="00000000" w14:paraId="486B18A5" w14:textId="77777777">
        <w:trPr>
          <w:hidden/>
        </w:trPr>
        <w:tc>
          <w:tcPr>
            <w:tcW w:w="0" w:type="auto"/>
            <w:shd w:val="clear" w:color="auto" w:fill="FFFFFF"/>
            <w:tcMar>
              <w:top w:w="0" w:type="dxa"/>
              <w:left w:w="0" w:type="dxa"/>
              <w:bottom w:w="30" w:type="dxa"/>
              <w:right w:w="0" w:type="dxa"/>
            </w:tcMar>
            <w:vAlign w:val="bottom"/>
            <w:hideMark/>
          </w:tcPr>
          <w:p w14:paraId="1D17FB5D" w14:textId="77777777" w:rsidR="00000000" w:rsidRDefault="00D6065B">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3C12EAB0"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14:paraId="3CC23BDA"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14:paraId="027EF2D7" w14:textId="77777777" w:rsidR="00000000" w:rsidRDefault="00D6065B">
            <w:pPr>
              <w:jc w:val="center"/>
              <w:rPr>
                <w:rFonts w:eastAsia="Times New Roman"/>
                <w:b/>
                <w:bCs/>
                <w:vanish/>
                <w:sz w:val="20"/>
                <w:szCs w:val="20"/>
              </w:rPr>
            </w:pPr>
            <w:r>
              <w:rPr>
                <w:rFonts w:eastAsia="Times New Roman"/>
                <w:b/>
                <w:bCs/>
                <w:vanish/>
                <w:sz w:val="20"/>
                <w:szCs w:val="20"/>
              </w:rPr>
              <w:t>2021</w:t>
            </w:r>
          </w:p>
        </w:tc>
        <w:tc>
          <w:tcPr>
            <w:tcW w:w="0" w:type="auto"/>
            <w:shd w:val="clear" w:color="auto" w:fill="FFFFFF"/>
            <w:tcMar>
              <w:top w:w="0" w:type="dxa"/>
              <w:left w:w="0" w:type="dxa"/>
              <w:bottom w:w="30" w:type="dxa"/>
              <w:right w:w="0" w:type="dxa"/>
            </w:tcMar>
            <w:vAlign w:val="bottom"/>
            <w:hideMark/>
          </w:tcPr>
          <w:p w14:paraId="5B36D102"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14:paraId="60FD2EB1"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14:paraId="6BF51B88" w14:textId="77777777" w:rsidR="00000000" w:rsidRDefault="00D6065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14:paraId="352E2B71" w14:textId="77777777" w:rsidR="00000000" w:rsidRDefault="00D6065B">
            <w:pPr>
              <w:jc w:val="center"/>
              <w:rPr>
                <w:rFonts w:eastAsia="Times New Roman"/>
                <w:b/>
                <w:bCs/>
                <w:vanish/>
                <w:sz w:val="20"/>
                <w:szCs w:val="20"/>
              </w:rPr>
            </w:pPr>
            <w:r>
              <w:rPr>
                <w:rFonts w:eastAsia="Times New Roman"/>
                <w:b/>
                <w:bCs/>
                <w:vanish/>
                <w:sz w:val="20"/>
                <w:szCs w:val="20"/>
              </w:rPr>
              <w:t>2020</w:t>
            </w:r>
          </w:p>
        </w:tc>
        <w:tc>
          <w:tcPr>
            <w:tcW w:w="0" w:type="auto"/>
            <w:shd w:val="clear" w:color="auto" w:fill="FFFFFF"/>
            <w:tcMar>
              <w:top w:w="0" w:type="dxa"/>
              <w:left w:w="0" w:type="dxa"/>
              <w:bottom w:w="30" w:type="dxa"/>
              <w:right w:w="0" w:type="dxa"/>
            </w:tcMar>
            <w:vAlign w:val="bottom"/>
            <w:hideMark/>
          </w:tcPr>
          <w:p w14:paraId="47454B6B" w14:textId="77777777" w:rsidR="00000000" w:rsidRDefault="00D6065B">
            <w:pPr>
              <w:rPr>
                <w:rFonts w:eastAsia="Times New Roman"/>
                <w:b/>
                <w:bCs/>
                <w:vanish/>
                <w:sz w:val="20"/>
                <w:szCs w:val="20"/>
              </w:rPr>
            </w:pPr>
            <w:r>
              <w:rPr>
                <w:rFonts w:eastAsia="Times New Roman"/>
                <w:b/>
                <w:bCs/>
                <w:vanish/>
                <w:sz w:val="20"/>
                <w:szCs w:val="20"/>
              </w:rPr>
              <w:t> </w:t>
            </w:r>
          </w:p>
        </w:tc>
      </w:tr>
      <w:tr w:rsidR="00000000" w14:paraId="5F575600" w14:textId="77777777">
        <w:tc>
          <w:tcPr>
            <w:tcW w:w="0" w:type="auto"/>
            <w:gridSpan w:val="9"/>
            <w:vAlign w:val="bottom"/>
            <w:hideMark/>
          </w:tcPr>
          <w:p w14:paraId="4F9D4470" w14:textId="77777777" w:rsidR="00000000" w:rsidRDefault="00D6065B">
            <w:pPr>
              <w:jc w:val="center"/>
              <w:rPr>
                <w:rFonts w:eastAsia="Times New Roman"/>
                <w:b/>
                <w:bCs/>
                <w:sz w:val="20"/>
                <w:szCs w:val="20"/>
              </w:rPr>
            </w:pPr>
            <w:r>
              <w:rPr>
                <w:rFonts w:eastAsia="Times New Roman"/>
                <w:b/>
                <w:bCs/>
                <w:sz w:val="20"/>
                <w:szCs w:val="20"/>
              </w:rPr>
              <w:t> </w:t>
            </w:r>
          </w:p>
        </w:tc>
      </w:tr>
      <w:tr w:rsidR="00000000" w14:paraId="5A1542A2" w14:textId="77777777">
        <w:tc>
          <w:tcPr>
            <w:tcW w:w="0" w:type="auto"/>
            <w:gridSpan w:val="9"/>
            <w:vAlign w:val="bottom"/>
            <w:hideMark/>
          </w:tcPr>
          <w:p w14:paraId="348B2B9F" w14:textId="77777777" w:rsidR="00000000" w:rsidRDefault="00D6065B">
            <w:pPr>
              <w:jc w:val="center"/>
              <w:rPr>
                <w:rFonts w:eastAsia="Times New Roman"/>
                <w:b/>
                <w:bCs/>
                <w:sz w:val="20"/>
                <w:szCs w:val="20"/>
              </w:rPr>
            </w:pPr>
            <w:r>
              <w:rPr>
                <w:rFonts w:eastAsia="Times New Roman"/>
                <w:b/>
                <w:bCs/>
                <w:sz w:val="20"/>
                <w:szCs w:val="20"/>
              </w:rPr>
              <w:t>VIVOS INC</w:t>
            </w:r>
          </w:p>
        </w:tc>
      </w:tr>
      <w:tr w:rsidR="00000000" w14:paraId="286C6055" w14:textId="77777777">
        <w:tc>
          <w:tcPr>
            <w:tcW w:w="0" w:type="auto"/>
            <w:gridSpan w:val="9"/>
            <w:vAlign w:val="bottom"/>
            <w:hideMark/>
          </w:tcPr>
          <w:p w14:paraId="7CAA32D0" w14:textId="77777777" w:rsidR="00000000" w:rsidRDefault="00D6065B">
            <w:pPr>
              <w:jc w:val="center"/>
              <w:rPr>
                <w:rFonts w:eastAsia="Times New Roman"/>
                <w:b/>
                <w:bCs/>
                <w:sz w:val="20"/>
                <w:szCs w:val="20"/>
              </w:rPr>
            </w:pPr>
            <w:r>
              <w:rPr>
                <w:rFonts w:eastAsia="Times New Roman"/>
                <w:b/>
                <w:bCs/>
                <w:sz w:val="20"/>
                <w:szCs w:val="20"/>
              </w:rPr>
              <w:t>CONDENSED STATEMENTS OF CASH FLOWS (UNAUDITED)</w:t>
            </w:r>
          </w:p>
        </w:tc>
      </w:tr>
      <w:tr w:rsidR="00000000" w14:paraId="1C39EA5A" w14:textId="77777777">
        <w:tc>
          <w:tcPr>
            <w:tcW w:w="0" w:type="auto"/>
            <w:gridSpan w:val="9"/>
            <w:vAlign w:val="bottom"/>
            <w:hideMark/>
          </w:tcPr>
          <w:p w14:paraId="60B85FA3" w14:textId="77777777" w:rsidR="00000000" w:rsidRDefault="00D6065B">
            <w:pPr>
              <w:jc w:val="center"/>
              <w:rPr>
                <w:rFonts w:eastAsia="Times New Roman"/>
                <w:b/>
                <w:bCs/>
                <w:sz w:val="20"/>
                <w:szCs w:val="20"/>
              </w:rPr>
            </w:pPr>
            <w:r>
              <w:rPr>
                <w:rFonts w:eastAsia="Times New Roman"/>
                <w:b/>
                <w:bCs/>
                <w:sz w:val="20"/>
                <w:szCs w:val="20"/>
              </w:rPr>
              <w:t>FOR THE SIX MONTHS ENDED JUNE 30, 2021 AND 2020</w:t>
            </w:r>
          </w:p>
        </w:tc>
      </w:tr>
      <w:tr w:rsidR="00000000" w14:paraId="66238A17" w14:textId="77777777">
        <w:tc>
          <w:tcPr>
            <w:tcW w:w="0" w:type="auto"/>
            <w:vAlign w:val="bottom"/>
            <w:hideMark/>
          </w:tcPr>
          <w:p w14:paraId="74E03504"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85ECEBE"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482E2544" w14:textId="77777777" w:rsidR="00000000" w:rsidRDefault="00D6065B">
            <w:pPr>
              <w:jc w:val="center"/>
              <w:rPr>
                <w:rFonts w:eastAsia="Times New Roman"/>
                <w:b/>
                <w:bCs/>
                <w:sz w:val="20"/>
                <w:szCs w:val="20"/>
              </w:rPr>
            </w:pPr>
            <w:r>
              <w:rPr>
                <w:rFonts w:eastAsia="Times New Roman"/>
                <w:b/>
                <w:bCs/>
                <w:sz w:val="20"/>
                <w:szCs w:val="20"/>
              </w:rPr>
              <w:t> </w:t>
            </w:r>
          </w:p>
        </w:tc>
        <w:tc>
          <w:tcPr>
            <w:tcW w:w="0" w:type="auto"/>
            <w:vAlign w:val="bottom"/>
            <w:hideMark/>
          </w:tcPr>
          <w:p w14:paraId="2D587E2B" w14:textId="77777777" w:rsidR="00000000" w:rsidRDefault="00D6065B">
            <w:pPr>
              <w:rPr>
                <w:rFonts w:eastAsia="Times New Roman"/>
                <w:b/>
                <w:bCs/>
                <w:sz w:val="20"/>
                <w:szCs w:val="20"/>
              </w:rPr>
            </w:pPr>
            <w:r>
              <w:rPr>
                <w:rFonts w:eastAsia="Times New Roman"/>
                <w:b/>
                <w:bCs/>
                <w:sz w:val="20"/>
                <w:szCs w:val="20"/>
              </w:rPr>
              <w:t> </w:t>
            </w:r>
          </w:p>
        </w:tc>
        <w:tc>
          <w:tcPr>
            <w:tcW w:w="0" w:type="auto"/>
            <w:vAlign w:val="bottom"/>
            <w:hideMark/>
          </w:tcPr>
          <w:p w14:paraId="36ECF0A4" w14:textId="77777777" w:rsidR="00000000" w:rsidRDefault="00D6065B">
            <w:pPr>
              <w:rPr>
                <w:rFonts w:eastAsia="Times New Roman"/>
                <w:b/>
                <w:bCs/>
                <w:sz w:val="20"/>
                <w:szCs w:val="20"/>
              </w:rPr>
            </w:pPr>
            <w:r>
              <w:rPr>
                <w:rFonts w:eastAsia="Times New Roman"/>
                <w:b/>
                <w:bCs/>
                <w:sz w:val="20"/>
                <w:szCs w:val="20"/>
              </w:rPr>
              <w:t> </w:t>
            </w:r>
          </w:p>
        </w:tc>
        <w:tc>
          <w:tcPr>
            <w:tcW w:w="0" w:type="auto"/>
            <w:gridSpan w:val="2"/>
            <w:vAlign w:val="bottom"/>
            <w:hideMark/>
          </w:tcPr>
          <w:p w14:paraId="3AD8A62F" w14:textId="77777777" w:rsidR="00000000" w:rsidRDefault="00D6065B">
            <w:pPr>
              <w:jc w:val="center"/>
              <w:rPr>
                <w:rFonts w:eastAsia="Times New Roman"/>
                <w:b/>
                <w:bCs/>
                <w:sz w:val="20"/>
                <w:szCs w:val="20"/>
              </w:rPr>
            </w:pPr>
            <w:r>
              <w:rPr>
                <w:rFonts w:eastAsia="Times New Roman"/>
                <w:b/>
                <w:bCs/>
                <w:sz w:val="20"/>
                <w:szCs w:val="20"/>
              </w:rPr>
              <w:t> </w:t>
            </w:r>
          </w:p>
        </w:tc>
        <w:tc>
          <w:tcPr>
            <w:tcW w:w="0" w:type="auto"/>
            <w:vAlign w:val="bottom"/>
            <w:hideMark/>
          </w:tcPr>
          <w:p w14:paraId="246C346A" w14:textId="77777777" w:rsidR="00000000" w:rsidRDefault="00D6065B">
            <w:pPr>
              <w:rPr>
                <w:rFonts w:eastAsia="Times New Roman"/>
                <w:b/>
                <w:bCs/>
                <w:sz w:val="20"/>
                <w:szCs w:val="20"/>
              </w:rPr>
            </w:pPr>
            <w:r>
              <w:rPr>
                <w:rFonts w:eastAsia="Times New Roman"/>
                <w:b/>
                <w:bCs/>
                <w:sz w:val="20"/>
                <w:szCs w:val="20"/>
              </w:rPr>
              <w:t> </w:t>
            </w:r>
          </w:p>
        </w:tc>
      </w:tr>
      <w:tr w:rsidR="00000000" w14:paraId="6BBA4797" w14:textId="77777777">
        <w:tc>
          <w:tcPr>
            <w:tcW w:w="0" w:type="auto"/>
            <w:shd w:val="clear" w:color="auto" w:fill="FFFFFF"/>
            <w:tcMar>
              <w:top w:w="0" w:type="dxa"/>
              <w:left w:w="0" w:type="dxa"/>
              <w:bottom w:w="30" w:type="dxa"/>
              <w:right w:w="0" w:type="dxa"/>
            </w:tcMar>
            <w:vAlign w:val="bottom"/>
            <w:hideMark/>
          </w:tcPr>
          <w:p w14:paraId="7C758E6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E54E3A" w14:textId="77777777" w:rsidR="00000000" w:rsidRDefault="00D6065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2BF6D91E" w14:textId="77777777" w:rsidR="00000000" w:rsidRDefault="00D6065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37F429C4" w14:textId="77777777" w:rsidR="00000000" w:rsidRDefault="00D6065B">
            <w:pPr>
              <w:jc w:val="center"/>
              <w:rPr>
                <w:rFonts w:eastAsia="Times New Roman"/>
                <w:b/>
                <w:bCs/>
                <w:sz w:val="20"/>
                <w:szCs w:val="20"/>
              </w:rPr>
            </w:pPr>
            <w:r>
              <w:rPr>
                <w:rFonts w:eastAsia="Times New Roman"/>
                <w:b/>
                <w:bCs/>
                <w:sz w:val="20"/>
                <w:szCs w:val="20"/>
              </w:rPr>
              <w:t>2021</w:t>
            </w:r>
          </w:p>
        </w:tc>
        <w:tc>
          <w:tcPr>
            <w:tcW w:w="0" w:type="auto"/>
            <w:shd w:val="clear" w:color="auto" w:fill="FFFFFF"/>
            <w:tcMar>
              <w:top w:w="0" w:type="dxa"/>
              <w:left w:w="0" w:type="dxa"/>
              <w:bottom w:w="30" w:type="dxa"/>
              <w:right w:w="0" w:type="dxa"/>
            </w:tcMar>
            <w:vAlign w:val="bottom"/>
            <w:hideMark/>
          </w:tcPr>
          <w:p w14:paraId="2CF32430"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14:paraId="06C01311" w14:textId="77777777" w:rsidR="00000000" w:rsidRDefault="00D6065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1A82D8C" w14:textId="77777777" w:rsidR="00000000" w:rsidRDefault="00D6065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7BE81A70" w14:textId="77777777" w:rsidR="00000000" w:rsidRDefault="00D6065B">
            <w:pPr>
              <w:jc w:val="center"/>
              <w:rPr>
                <w:rFonts w:eastAsia="Times New Roman"/>
                <w:b/>
                <w:bCs/>
                <w:sz w:val="20"/>
                <w:szCs w:val="20"/>
              </w:rPr>
            </w:pPr>
            <w:r>
              <w:rPr>
                <w:rFonts w:eastAsia="Times New Roman"/>
                <w:b/>
                <w:bCs/>
                <w:sz w:val="20"/>
                <w:szCs w:val="20"/>
              </w:rPr>
              <w:t>2020</w:t>
            </w:r>
          </w:p>
        </w:tc>
        <w:tc>
          <w:tcPr>
            <w:tcW w:w="0" w:type="auto"/>
            <w:shd w:val="clear" w:color="auto" w:fill="FFFFFF"/>
            <w:tcMar>
              <w:top w:w="0" w:type="dxa"/>
              <w:left w:w="0" w:type="dxa"/>
              <w:bottom w:w="30" w:type="dxa"/>
              <w:right w:w="0" w:type="dxa"/>
            </w:tcMar>
            <w:vAlign w:val="bottom"/>
            <w:hideMark/>
          </w:tcPr>
          <w:p w14:paraId="124B3EF0" w14:textId="77777777" w:rsidR="00000000" w:rsidRDefault="00D6065B">
            <w:pPr>
              <w:rPr>
                <w:rFonts w:eastAsia="Times New Roman"/>
                <w:b/>
                <w:bCs/>
                <w:sz w:val="20"/>
                <w:szCs w:val="20"/>
              </w:rPr>
            </w:pPr>
            <w:r>
              <w:rPr>
                <w:rFonts w:eastAsia="Times New Roman"/>
                <w:b/>
                <w:bCs/>
                <w:sz w:val="20"/>
                <w:szCs w:val="20"/>
              </w:rPr>
              <w:t> </w:t>
            </w:r>
          </w:p>
        </w:tc>
      </w:tr>
      <w:tr w:rsidR="00000000" w14:paraId="56E94559" w14:textId="77777777">
        <w:tc>
          <w:tcPr>
            <w:tcW w:w="0" w:type="auto"/>
            <w:shd w:val="clear" w:color="auto" w:fill="CCEEFF"/>
            <w:vAlign w:val="bottom"/>
            <w:hideMark/>
          </w:tcPr>
          <w:p w14:paraId="645953DB" w14:textId="77777777" w:rsidR="00000000" w:rsidRDefault="00D6065B">
            <w:pPr>
              <w:rPr>
                <w:rFonts w:eastAsia="Times New Roman"/>
                <w:b/>
                <w:bCs/>
                <w:sz w:val="20"/>
                <w:szCs w:val="20"/>
              </w:rPr>
            </w:pPr>
            <w:r>
              <w:rPr>
                <w:rFonts w:eastAsia="Times New Roman"/>
                <w:b/>
                <w:bCs/>
                <w:sz w:val="20"/>
                <w:szCs w:val="20"/>
              </w:rPr>
              <w:t>CASH FLOW FROM OPERATING ACTIVITIES</w:t>
            </w:r>
          </w:p>
        </w:tc>
        <w:tc>
          <w:tcPr>
            <w:tcW w:w="0" w:type="auto"/>
            <w:shd w:val="clear" w:color="auto" w:fill="CCEEFF"/>
            <w:vAlign w:val="bottom"/>
            <w:hideMark/>
          </w:tcPr>
          <w:p w14:paraId="51F2D6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ADCF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BDE6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3FD3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E77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3DBDB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3CDA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164888" w14:textId="77777777" w:rsidR="00000000" w:rsidRDefault="00D6065B">
            <w:pPr>
              <w:rPr>
                <w:rFonts w:eastAsia="Times New Roman"/>
                <w:sz w:val="20"/>
                <w:szCs w:val="20"/>
              </w:rPr>
            </w:pPr>
            <w:r>
              <w:rPr>
                <w:rFonts w:eastAsia="Times New Roman"/>
                <w:sz w:val="20"/>
                <w:szCs w:val="20"/>
              </w:rPr>
              <w:t> </w:t>
            </w:r>
          </w:p>
        </w:tc>
      </w:tr>
      <w:tr w:rsidR="00000000" w14:paraId="68F21339" w14:textId="77777777">
        <w:tc>
          <w:tcPr>
            <w:tcW w:w="3000" w:type="pct"/>
            <w:shd w:val="clear" w:color="auto" w:fill="FFFFFF"/>
            <w:tcMar>
              <w:top w:w="0" w:type="dxa"/>
              <w:left w:w="200" w:type="dxa"/>
              <w:bottom w:w="30" w:type="dxa"/>
              <w:right w:w="0" w:type="dxa"/>
            </w:tcMar>
            <w:vAlign w:val="bottom"/>
            <w:hideMark/>
          </w:tcPr>
          <w:p w14:paraId="4E164D29" w14:textId="77777777" w:rsidR="00000000" w:rsidRDefault="00D6065B">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14:paraId="489AF1F7"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7B4162EC" w14:textId="77777777" w:rsidR="00000000" w:rsidRDefault="00D6065B">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14:paraId="167D01E8" w14:textId="77777777" w:rsidR="00000000" w:rsidRDefault="00D6065B">
            <w:pPr>
              <w:jc w:val="right"/>
              <w:rPr>
                <w:rFonts w:eastAsia="Times New Roman"/>
                <w:sz w:val="20"/>
                <w:szCs w:val="20"/>
              </w:rPr>
            </w:pPr>
            <w:r>
              <w:rPr>
                <w:rFonts w:eastAsia="Times New Roman"/>
                <w:sz w:val="20"/>
                <w:szCs w:val="20"/>
              </w:rPr>
              <w:t>(2,148,376</w:t>
            </w:r>
          </w:p>
        </w:tc>
        <w:tc>
          <w:tcPr>
            <w:tcW w:w="50" w:type="pct"/>
            <w:shd w:val="clear" w:color="auto" w:fill="FFFFFF"/>
            <w:tcMar>
              <w:top w:w="0" w:type="dxa"/>
              <w:left w:w="0" w:type="dxa"/>
              <w:bottom w:w="30" w:type="dxa"/>
              <w:right w:w="0" w:type="dxa"/>
            </w:tcMar>
            <w:vAlign w:val="bottom"/>
            <w:hideMark/>
          </w:tcPr>
          <w:p w14:paraId="54BED2A8" w14:textId="77777777" w:rsidR="00000000" w:rsidRDefault="00D6065B">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37A46BC5"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39C73E42" w14:textId="77777777" w:rsidR="00000000" w:rsidRDefault="00D6065B">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14:paraId="2BAC2DB7" w14:textId="77777777" w:rsidR="00000000" w:rsidRDefault="00D6065B">
            <w:pPr>
              <w:jc w:val="right"/>
              <w:rPr>
                <w:rFonts w:eastAsia="Times New Roman"/>
                <w:sz w:val="20"/>
                <w:szCs w:val="20"/>
              </w:rPr>
            </w:pPr>
            <w:r>
              <w:rPr>
                <w:rFonts w:eastAsia="Times New Roman"/>
                <w:sz w:val="20"/>
                <w:szCs w:val="20"/>
              </w:rPr>
              <w:t>(519,318</w:t>
            </w:r>
          </w:p>
        </w:tc>
        <w:tc>
          <w:tcPr>
            <w:tcW w:w="50" w:type="pct"/>
            <w:shd w:val="clear" w:color="auto" w:fill="FFFFFF"/>
            <w:tcMar>
              <w:top w:w="0" w:type="dxa"/>
              <w:left w:w="0" w:type="dxa"/>
              <w:bottom w:w="30" w:type="dxa"/>
              <w:right w:w="0" w:type="dxa"/>
            </w:tcMar>
            <w:vAlign w:val="bottom"/>
            <w:hideMark/>
          </w:tcPr>
          <w:p w14:paraId="076280C1" w14:textId="77777777" w:rsidR="00000000" w:rsidRDefault="00D6065B">
            <w:pPr>
              <w:rPr>
                <w:rFonts w:eastAsia="Times New Roman"/>
                <w:sz w:val="20"/>
                <w:szCs w:val="20"/>
              </w:rPr>
            </w:pPr>
            <w:r>
              <w:rPr>
                <w:rFonts w:eastAsia="Times New Roman"/>
                <w:sz w:val="20"/>
                <w:szCs w:val="20"/>
              </w:rPr>
              <w:t>)</w:t>
            </w:r>
          </w:p>
        </w:tc>
      </w:tr>
      <w:tr w:rsidR="00000000" w14:paraId="1725B102" w14:textId="77777777">
        <w:tc>
          <w:tcPr>
            <w:tcW w:w="0" w:type="auto"/>
            <w:shd w:val="clear" w:color="auto" w:fill="CCEEFF"/>
            <w:tcMar>
              <w:top w:w="0" w:type="dxa"/>
              <w:left w:w="200" w:type="dxa"/>
              <w:bottom w:w="0" w:type="dxa"/>
              <w:right w:w="0" w:type="dxa"/>
            </w:tcMar>
            <w:vAlign w:val="bottom"/>
            <w:hideMark/>
          </w:tcPr>
          <w:p w14:paraId="29D86ADE" w14:textId="77777777" w:rsidR="00000000" w:rsidRDefault="00D6065B">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14:paraId="6E8895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B20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B0A2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71D8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C5E6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3E39C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AA51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DB2BA1" w14:textId="77777777" w:rsidR="00000000" w:rsidRDefault="00D6065B">
            <w:pPr>
              <w:rPr>
                <w:rFonts w:eastAsia="Times New Roman"/>
                <w:sz w:val="20"/>
                <w:szCs w:val="20"/>
              </w:rPr>
            </w:pPr>
            <w:r>
              <w:rPr>
                <w:rFonts w:eastAsia="Times New Roman"/>
                <w:sz w:val="20"/>
                <w:szCs w:val="20"/>
              </w:rPr>
              <w:t> </w:t>
            </w:r>
          </w:p>
        </w:tc>
      </w:tr>
      <w:tr w:rsidR="00000000" w14:paraId="6C3297C4" w14:textId="77777777">
        <w:tc>
          <w:tcPr>
            <w:tcW w:w="0" w:type="auto"/>
            <w:shd w:val="clear" w:color="auto" w:fill="FFFFFF"/>
            <w:tcMar>
              <w:top w:w="0" w:type="dxa"/>
              <w:left w:w="400" w:type="dxa"/>
              <w:bottom w:w="0" w:type="dxa"/>
              <w:right w:w="0" w:type="dxa"/>
            </w:tcMar>
            <w:vAlign w:val="bottom"/>
            <w:hideMark/>
          </w:tcPr>
          <w:p w14:paraId="1C045466" w14:textId="77777777" w:rsidR="00000000" w:rsidRDefault="00D6065B">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14:paraId="6D26892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844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0D7129"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7BAE58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3FEE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79B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B8EDD" w14:textId="77777777" w:rsidR="00000000" w:rsidRDefault="00D6065B">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14:paraId="42D478FF" w14:textId="77777777" w:rsidR="00000000" w:rsidRDefault="00D6065B">
            <w:pPr>
              <w:rPr>
                <w:rFonts w:eastAsia="Times New Roman"/>
                <w:sz w:val="20"/>
                <w:szCs w:val="20"/>
              </w:rPr>
            </w:pPr>
            <w:r>
              <w:rPr>
                <w:rFonts w:eastAsia="Times New Roman"/>
                <w:sz w:val="20"/>
                <w:szCs w:val="20"/>
              </w:rPr>
              <w:t> </w:t>
            </w:r>
          </w:p>
        </w:tc>
      </w:tr>
      <w:tr w:rsidR="00000000" w14:paraId="3DBEA71E" w14:textId="77777777">
        <w:tc>
          <w:tcPr>
            <w:tcW w:w="0" w:type="auto"/>
            <w:shd w:val="clear" w:color="auto" w:fill="CCEEFF"/>
            <w:tcMar>
              <w:top w:w="0" w:type="dxa"/>
              <w:left w:w="400" w:type="dxa"/>
              <w:bottom w:w="0" w:type="dxa"/>
              <w:right w:w="0" w:type="dxa"/>
            </w:tcMar>
            <w:vAlign w:val="bottom"/>
            <w:hideMark/>
          </w:tcPr>
          <w:p w14:paraId="6BF51ED4" w14:textId="77777777" w:rsidR="00000000" w:rsidRDefault="00D6065B">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14:paraId="35ACA9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E0D8B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E69EC6"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965F7E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E4614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51D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67F60" w14:textId="77777777" w:rsidR="00000000" w:rsidRDefault="00D6065B">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14:paraId="6351372D" w14:textId="77777777" w:rsidR="00000000" w:rsidRDefault="00D6065B">
            <w:pPr>
              <w:rPr>
                <w:rFonts w:eastAsia="Times New Roman"/>
                <w:sz w:val="20"/>
                <w:szCs w:val="20"/>
              </w:rPr>
            </w:pPr>
            <w:r>
              <w:rPr>
                <w:rFonts w:eastAsia="Times New Roman"/>
                <w:sz w:val="20"/>
                <w:szCs w:val="20"/>
              </w:rPr>
              <w:t> </w:t>
            </w:r>
          </w:p>
        </w:tc>
      </w:tr>
      <w:tr w:rsidR="00000000" w14:paraId="4DCAB7CE" w14:textId="77777777">
        <w:tc>
          <w:tcPr>
            <w:tcW w:w="0" w:type="auto"/>
            <w:shd w:val="clear" w:color="auto" w:fill="FFFFFF"/>
            <w:tcMar>
              <w:top w:w="0" w:type="dxa"/>
              <w:left w:w="400" w:type="dxa"/>
              <w:bottom w:w="0" w:type="dxa"/>
              <w:right w:w="0" w:type="dxa"/>
            </w:tcMar>
            <w:vAlign w:val="bottom"/>
            <w:hideMark/>
          </w:tcPr>
          <w:p w14:paraId="561E07B5" w14:textId="77777777" w:rsidR="00000000" w:rsidRDefault="00D6065B">
            <w:pPr>
              <w:rPr>
                <w:rFonts w:eastAsia="Times New Roman"/>
                <w:sz w:val="20"/>
                <w:szCs w:val="20"/>
              </w:rPr>
            </w:pPr>
            <w:r>
              <w:rPr>
                <w:rFonts w:eastAsia="Times New Roman"/>
                <w:sz w:val="20"/>
                <w:szCs w:val="20"/>
              </w:rPr>
              <w:t>Stock options and warrants for services</w:t>
            </w:r>
          </w:p>
        </w:tc>
        <w:tc>
          <w:tcPr>
            <w:tcW w:w="0" w:type="auto"/>
            <w:shd w:val="clear" w:color="auto" w:fill="FFFFFF"/>
            <w:vAlign w:val="bottom"/>
            <w:hideMark/>
          </w:tcPr>
          <w:p w14:paraId="591A947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EF17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42910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FC2FDA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8F0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8E27C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8EC09" w14:textId="77777777" w:rsidR="00000000" w:rsidRDefault="00D6065B">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14:paraId="2BA40118" w14:textId="77777777" w:rsidR="00000000" w:rsidRDefault="00D6065B">
            <w:pPr>
              <w:rPr>
                <w:rFonts w:eastAsia="Times New Roman"/>
                <w:sz w:val="20"/>
                <w:szCs w:val="20"/>
              </w:rPr>
            </w:pPr>
            <w:r>
              <w:rPr>
                <w:rFonts w:eastAsia="Times New Roman"/>
                <w:sz w:val="20"/>
                <w:szCs w:val="20"/>
              </w:rPr>
              <w:t> </w:t>
            </w:r>
          </w:p>
        </w:tc>
      </w:tr>
      <w:tr w:rsidR="00000000" w14:paraId="323CE23F" w14:textId="77777777">
        <w:tc>
          <w:tcPr>
            <w:tcW w:w="0" w:type="auto"/>
            <w:shd w:val="clear" w:color="auto" w:fill="CCEEFF"/>
            <w:tcMar>
              <w:top w:w="0" w:type="dxa"/>
              <w:left w:w="400" w:type="dxa"/>
              <w:bottom w:w="0" w:type="dxa"/>
              <w:right w:w="0" w:type="dxa"/>
            </w:tcMar>
            <w:vAlign w:val="bottom"/>
            <w:hideMark/>
          </w:tcPr>
          <w:p w14:paraId="74FA3B9D" w14:textId="77777777" w:rsidR="00000000" w:rsidRDefault="00D6065B">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14:paraId="3ECDF7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8B11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F9B79" w14:textId="77777777" w:rsidR="00000000" w:rsidRDefault="00D6065B">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14:paraId="0E1C47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44BF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4084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F07ED"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DFF168" w14:textId="77777777" w:rsidR="00000000" w:rsidRDefault="00D6065B">
            <w:pPr>
              <w:rPr>
                <w:rFonts w:eastAsia="Times New Roman"/>
                <w:sz w:val="20"/>
                <w:szCs w:val="20"/>
              </w:rPr>
            </w:pPr>
            <w:r>
              <w:rPr>
                <w:rFonts w:eastAsia="Times New Roman"/>
                <w:sz w:val="20"/>
                <w:szCs w:val="20"/>
              </w:rPr>
              <w:t> </w:t>
            </w:r>
          </w:p>
        </w:tc>
      </w:tr>
      <w:tr w:rsidR="00000000" w14:paraId="1C3F72E4" w14:textId="77777777">
        <w:tc>
          <w:tcPr>
            <w:tcW w:w="0" w:type="auto"/>
            <w:shd w:val="clear" w:color="auto" w:fill="FFFFFF"/>
            <w:tcMar>
              <w:top w:w="0" w:type="dxa"/>
              <w:left w:w="400" w:type="dxa"/>
              <w:bottom w:w="0" w:type="dxa"/>
              <w:right w:w="0" w:type="dxa"/>
            </w:tcMar>
            <w:vAlign w:val="bottom"/>
            <w:hideMark/>
          </w:tcPr>
          <w:p w14:paraId="64C05EF4" w14:textId="77777777" w:rsidR="00000000" w:rsidRDefault="00D6065B">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14:paraId="4307AF3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91B5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A639E" w14:textId="77777777" w:rsidR="00000000" w:rsidRDefault="00D6065B">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14:paraId="2FCC99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1BAD6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8328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6D397"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6BFEEF8" w14:textId="77777777" w:rsidR="00000000" w:rsidRDefault="00D6065B">
            <w:pPr>
              <w:rPr>
                <w:rFonts w:eastAsia="Times New Roman"/>
                <w:sz w:val="20"/>
                <w:szCs w:val="20"/>
              </w:rPr>
            </w:pPr>
            <w:r>
              <w:rPr>
                <w:rFonts w:eastAsia="Times New Roman"/>
                <w:sz w:val="20"/>
                <w:szCs w:val="20"/>
              </w:rPr>
              <w:t> </w:t>
            </w:r>
          </w:p>
        </w:tc>
      </w:tr>
      <w:tr w:rsidR="00000000" w14:paraId="55DDBF31" w14:textId="77777777">
        <w:tc>
          <w:tcPr>
            <w:tcW w:w="0" w:type="auto"/>
            <w:shd w:val="clear" w:color="auto" w:fill="CCEEFF"/>
            <w:tcMar>
              <w:top w:w="0" w:type="dxa"/>
              <w:left w:w="400" w:type="dxa"/>
              <w:bottom w:w="0" w:type="dxa"/>
              <w:right w:w="0" w:type="dxa"/>
            </w:tcMar>
            <w:vAlign w:val="bottom"/>
            <w:hideMark/>
          </w:tcPr>
          <w:p w14:paraId="492763A7" w14:textId="77777777" w:rsidR="00000000" w:rsidRDefault="00D6065B">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14:paraId="0726DAC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A4E2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6EF22" w14:textId="77777777" w:rsidR="00000000" w:rsidRDefault="00D6065B">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14:paraId="1B90CA23"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1CA771F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ADA2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F0AF1"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F3890E" w14:textId="77777777" w:rsidR="00000000" w:rsidRDefault="00D6065B">
            <w:pPr>
              <w:rPr>
                <w:rFonts w:eastAsia="Times New Roman"/>
                <w:sz w:val="20"/>
                <w:szCs w:val="20"/>
              </w:rPr>
            </w:pPr>
            <w:r>
              <w:rPr>
                <w:rFonts w:eastAsia="Times New Roman"/>
                <w:sz w:val="20"/>
                <w:szCs w:val="20"/>
              </w:rPr>
              <w:t> </w:t>
            </w:r>
          </w:p>
        </w:tc>
      </w:tr>
      <w:tr w:rsidR="00000000" w14:paraId="04566BA5" w14:textId="77777777">
        <w:tc>
          <w:tcPr>
            <w:tcW w:w="0" w:type="auto"/>
            <w:shd w:val="clear" w:color="auto" w:fill="FFFFFF"/>
            <w:tcMar>
              <w:top w:w="0" w:type="dxa"/>
              <w:left w:w="400" w:type="dxa"/>
              <w:bottom w:w="0" w:type="dxa"/>
              <w:right w:w="0" w:type="dxa"/>
            </w:tcMar>
            <w:vAlign w:val="bottom"/>
            <w:hideMark/>
          </w:tcPr>
          <w:p w14:paraId="36FCA43A" w14:textId="77777777" w:rsidR="00000000" w:rsidRDefault="00D6065B">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14:paraId="15350E5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45E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96CF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D86A15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85D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2EC6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37ADD" w14:textId="77777777" w:rsidR="00000000" w:rsidRDefault="00D6065B">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14:paraId="74CD5583" w14:textId="77777777" w:rsidR="00000000" w:rsidRDefault="00D6065B">
            <w:pPr>
              <w:rPr>
                <w:rFonts w:eastAsia="Times New Roman"/>
                <w:sz w:val="20"/>
                <w:szCs w:val="20"/>
              </w:rPr>
            </w:pPr>
            <w:r>
              <w:rPr>
                <w:rFonts w:eastAsia="Times New Roman"/>
                <w:sz w:val="20"/>
                <w:szCs w:val="20"/>
              </w:rPr>
              <w:t> </w:t>
            </w:r>
          </w:p>
        </w:tc>
      </w:tr>
      <w:tr w:rsidR="00000000" w14:paraId="186D3A93" w14:textId="77777777">
        <w:tc>
          <w:tcPr>
            <w:tcW w:w="0" w:type="auto"/>
            <w:shd w:val="clear" w:color="auto" w:fill="CCEEFF"/>
            <w:tcMar>
              <w:top w:w="0" w:type="dxa"/>
              <w:left w:w="400" w:type="dxa"/>
              <w:bottom w:w="0" w:type="dxa"/>
              <w:right w:w="0" w:type="dxa"/>
            </w:tcMar>
            <w:vAlign w:val="bottom"/>
            <w:hideMark/>
          </w:tcPr>
          <w:p w14:paraId="026C3F89" w14:textId="77777777" w:rsidR="00000000" w:rsidRDefault="00D6065B">
            <w:pPr>
              <w:rPr>
                <w:rFonts w:eastAsia="Times New Roman"/>
                <w:sz w:val="20"/>
                <w:szCs w:val="20"/>
              </w:rPr>
            </w:pPr>
            <w:r>
              <w:rPr>
                <w:rFonts w:eastAsia="Times New Roman"/>
                <w:sz w:val="20"/>
                <w:szCs w:val="20"/>
              </w:rPr>
              <w:t>Exchange premium in conversion of notes</w:t>
            </w:r>
          </w:p>
        </w:tc>
        <w:tc>
          <w:tcPr>
            <w:tcW w:w="0" w:type="auto"/>
            <w:shd w:val="clear" w:color="auto" w:fill="CCEEFF"/>
            <w:vAlign w:val="bottom"/>
            <w:hideMark/>
          </w:tcPr>
          <w:p w14:paraId="0DCE0C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D66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985D1"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BF83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3509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782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18EB1" w14:textId="77777777" w:rsidR="00000000" w:rsidRDefault="00D6065B">
            <w:pPr>
              <w:jc w:val="right"/>
              <w:rPr>
                <w:rFonts w:eastAsia="Times New Roman"/>
                <w:sz w:val="20"/>
                <w:szCs w:val="20"/>
              </w:rPr>
            </w:pPr>
            <w:r>
              <w:rPr>
                <w:rFonts w:eastAsia="Times New Roman"/>
                <w:sz w:val="20"/>
                <w:szCs w:val="20"/>
              </w:rPr>
              <w:t>98,508</w:t>
            </w:r>
          </w:p>
        </w:tc>
        <w:tc>
          <w:tcPr>
            <w:tcW w:w="0" w:type="auto"/>
            <w:shd w:val="clear" w:color="auto" w:fill="CCEEFF"/>
            <w:vAlign w:val="bottom"/>
            <w:hideMark/>
          </w:tcPr>
          <w:p w14:paraId="4F0BF2C4" w14:textId="77777777" w:rsidR="00000000" w:rsidRDefault="00D6065B">
            <w:pPr>
              <w:rPr>
                <w:rFonts w:eastAsia="Times New Roman"/>
                <w:sz w:val="20"/>
                <w:szCs w:val="20"/>
              </w:rPr>
            </w:pPr>
            <w:r>
              <w:rPr>
                <w:rFonts w:eastAsia="Times New Roman"/>
                <w:sz w:val="20"/>
                <w:szCs w:val="20"/>
              </w:rPr>
              <w:t> </w:t>
            </w:r>
          </w:p>
        </w:tc>
      </w:tr>
      <w:tr w:rsidR="00000000" w14:paraId="3A2D4747" w14:textId="77777777">
        <w:tc>
          <w:tcPr>
            <w:tcW w:w="0" w:type="auto"/>
            <w:shd w:val="clear" w:color="auto" w:fill="FFFFFF"/>
            <w:vAlign w:val="bottom"/>
            <w:hideMark/>
          </w:tcPr>
          <w:p w14:paraId="316CC610" w14:textId="77777777" w:rsidR="00000000" w:rsidRDefault="00D6065B">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14:paraId="34F7112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AE27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F818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098A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F14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6E8C2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3F2D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88C654" w14:textId="77777777" w:rsidR="00000000" w:rsidRDefault="00D6065B">
            <w:pPr>
              <w:rPr>
                <w:rFonts w:eastAsia="Times New Roman"/>
                <w:sz w:val="20"/>
                <w:szCs w:val="20"/>
              </w:rPr>
            </w:pPr>
            <w:r>
              <w:rPr>
                <w:rFonts w:eastAsia="Times New Roman"/>
                <w:sz w:val="20"/>
                <w:szCs w:val="20"/>
              </w:rPr>
              <w:t> </w:t>
            </w:r>
          </w:p>
        </w:tc>
      </w:tr>
      <w:tr w:rsidR="00000000" w14:paraId="19287561" w14:textId="77777777">
        <w:tc>
          <w:tcPr>
            <w:tcW w:w="0" w:type="auto"/>
            <w:shd w:val="clear" w:color="auto" w:fill="CCEEFF"/>
            <w:tcMar>
              <w:top w:w="0" w:type="dxa"/>
              <w:left w:w="200" w:type="dxa"/>
              <w:bottom w:w="0" w:type="dxa"/>
              <w:right w:w="0" w:type="dxa"/>
            </w:tcMar>
            <w:vAlign w:val="bottom"/>
            <w:hideMark/>
          </w:tcPr>
          <w:p w14:paraId="7614428F" w14:textId="77777777" w:rsidR="00000000" w:rsidRDefault="00D6065B">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14:paraId="024A6B0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7ACF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4B636" w14:textId="77777777" w:rsidR="00000000" w:rsidRDefault="00D6065B">
            <w:pPr>
              <w:jc w:val="right"/>
              <w:rPr>
                <w:rFonts w:eastAsia="Times New Roman"/>
                <w:sz w:val="20"/>
                <w:szCs w:val="20"/>
              </w:rPr>
            </w:pPr>
            <w:r>
              <w:rPr>
                <w:rFonts w:eastAsia="Times New Roman"/>
                <w:sz w:val="20"/>
                <w:szCs w:val="20"/>
              </w:rPr>
              <w:t>(34,288</w:t>
            </w:r>
          </w:p>
        </w:tc>
        <w:tc>
          <w:tcPr>
            <w:tcW w:w="0" w:type="auto"/>
            <w:shd w:val="clear" w:color="auto" w:fill="CCEEFF"/>
            <w:vAlign w:val="bottom"/>
            <w:hideMark/>
          </w:tcPr>
          <w:p w14:paraId="1ABF250A"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1FCA7E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331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52B49" w14:textId="77777777" w:rsidR="00000000" w:rsidRDefault="00D6065B">
            <w:pPr>
              <w:jc w:val="right"/>
              <w:rPr>
                <w:rFonts w:eastAsia="Times New Roman"/>
                <w:sz w:val="20"/>
                <w:szCs w:val="20"/>
              </w:rPr>
            </w:pPr>
            <w:r>
              <w:rPr>
                <w:rFonts w:eastAsia="Times New Roman"/>
                <w:sz w:val="20"/>
                <w:szCs w:val="20"/>
              </w:rPr>
              <w:t>(27,212</w:t>
            </w:r>
          </w:p>
        </w:tc>
        <w:tc>
          <w:tcPr>
            <w:tcW w:w="0" w:type="auto"/>
            <w:shd w:val="clear" w:color="auto" w:fill="CCEEFF"/>
            <w:vAlign w:val="bottom"/>
            <w:hideMark/>
          </w:tcPr>
          <w:p w14:paraId="6B9A4A7C" w14:textId="77777777" w:rsidR="00000000" w:rsidRDefault="00D6065B">
            <w:pPr>
              <w:rPr>
                <w:rFonts w:eastAsia="Times New Roman"/>
                <w:sz w:val="20"/>
                <w:szCs w:val="20"/>
              </w:rPr>
            </w:pPr>
            <w:r>
              <w:rPr>
                <w:rFonts w:eastAsia="Times New Roman"/>
                <w:sz w:val="20"/>
                <w:szCs w:val="20"/>
              </w:rPr>
              <w:t>)</w:t>
            </w:r>
          </w:p>
        </w:tc>
      </w:tr>
      <w:tr w:rsidR="00000000" w14:paraId="1C94542F" w14:textId="77777777">
        <w:tc>
          <w:tcPr>
            <w:tcW w:w="0" w:type="auto"/>
            <w:shd w:val="clear" w:color="auto" w:fill="FFFFFF"/>
            <w:tcMar>
              <w:top w:w="0" w:type="dxa"/>
              <w:left w:w="200" w:type="dxa"/>
              <w:bottom w:w="0" w:type="dxa"/>
              <w:right w:w="0" w:type="dxa"/>
            </w:tcMar>
            <w:vAlign w:val="bottom"/>
            <w:hideMark/>
          </w:tcPr>
          <w:p w14:paraId="402BC74E" w14:textId="77777777" w:rsidR="00000000" w:rsidRDefault="00D6065B">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14:paraId="6A89D6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A8E9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C0221" w14:textId="77777777" w:rsidR="00000000" w:rsidRDefault="00D6065B">
            <w:pPr>
              <w:jc w:val="right"/>
              <w:rPr>
                <w:rFonts w:eastAsia="Times New Roman"/>
                <w:sz w:val="20"/>
                <w:szCs w:val="20"/>
              </w:rPr>
            </w:pPr>
            <w:r>
              <w:rPr>
                <w:rFonts w:eastAsia="Times New Roman"/>
                <w:sz w:val="20"/>
                <w:szCs w:val="20"/>
              </w:rPr>
              <w:t>24,933</w:t>
            </w:r>
          </w:p>
        </w:tc>
        <w:tc>
          <w:tcPr>
            <w:tcW w:w="0" w:type="auto"/>
            <w:shd w:val="clear" w:color="auto" w:fill="FFFFFF"/>
            <w:vAlign w:val="bottom"/>
            <w:hideMark/>
          </w:tcPr>
          <w:p w14:paraId="282A815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06F7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052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68AC94" w14:textId="77777777" w:rsidR="00000000" w:rsidRDefault="00D6065B">
            <w:pPr>
              <w:jc w:val="right"/>
              <w:rPr>
                <w:rFonts w:eastAsia="Times New Roman"/>
                <w:sz w:val="20"/>
                <w:szCs w:val="20"/>
              </w:rPr>
            </w:pPr>
            <w:r>
              <w:rPr>
                <w:rFonts w:eastAsia="Times New Roman"/>
                <w:sz w:val="20"/>
                <w:szCs w:val="20"/>
              </w:rPr>
              <w:t>(97,060</w:t>
            </w:r>
          </w:p>
        </w:tc>
        <w:tc>
          <w:tcPr>
            <w:tcW w:w="0" w:type="auto"/>
            <w:shd w:val="clear" w:color="auto" w:fill="FFFFFF"/>
            <w:vAlign w:val="bottom"/>
            <w:hideMark/>
          </w:tcPr>
          <w:p w14:paraId="7DB179A3" w14:textId="77777777" w:rsidR="00000000" w:rsidRDefault="00D6065B">
            <w:pPr>
              <w:rPr>
                <w:rFonts w:eastAsia="Times New Roman"/>
                <w:sz w:val="20"/>
                <w:szCs w:val="20"/>
              </w:rPr>
            </w:pPr>
            <w:r>
              <w:rPr>
                <w:rFonts w:eastAsia="Times New Roman"/>
                <w:sz w:val="20"/>
                <w:szCs w:val="20"/>
              </w:rPr>
              <w:t>)</w:t>
            </w:r>
          </w:p>
        </w:tc>
      </w:tr>
      <w:tr w:rsidR="00000000" w14:paraId="352991E1" w14:textId="77777777">
        <w:tc>
          <w:tcPr>
            <w:tcW w:w="0" w:type="auto"/>
            <w:shd w:val="clear" w:color="auto" w:fill="CCEEFF"/>
            <w:tcMar>
              <w:top w:w="0" w:type="dxa"/>
              <w:left w:w="200" w:type="dxa"/>
              <w:bottom w:w="0" w:type="dxa"/>
              <w:right w:w="0" w:type="dxa"/>
            </w:tcMar>
            <w:vAlign w:val="bottom"/>
            <w:hideMark/>
          </w:tcPr>
          <w:p w14:paraId="016E4D32" w14:textId="77777777" w:rsidR="00000000" w:rsidRDefault="00D6065B">
            <w:pPr>
              <w:rPr>
                <w:rFonts w:eastAsia="Times New Roman"/>
                <w:sz w:val="20"/>
                <w:szCs w:val="20"/>
              </w:rPr>
            </w:pPr>
            <w:r>
              <w:rPr>
                <w:rFonts w:eastAsia="Times New Roman"/>
                <w:sz w:val="20"/>
                <w:szCs w:val="20"/>
              </w:rPr>
              <w:t>Accounts payable and accrued expenses from related party</w:t>
            </w:r>
          </w:p>
        </w:tc>
        <w:tc>
          <w:tcPr>
            <w:tcW w:w="0" w:type="auto"/>
            <w:shd w:val="clear" w:color="auto" w:fill="CCEEFF"/>
            <w:vAlign w:val="bottom"/>
            <w:hideMark/>
          </w:tcPr>
          <w:p w14:paraId="7F941A8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AA30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E38C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34613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3372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8A74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5C77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2A16842" w14:textId="77777777" w:rsidR="00000000" w:rsidRDefault="00D6065B">
            <w:pPr>
              <w:rPr>
                <w:rFonts w:eastAsia="Times New Roman"/>
                <w:sz w:val="20"/>
                <w:szCs w:val="20"/>
              </w:rPr>
            </w:pPr>
            <w:r>
              <w:rPr>
                <w:rFonts w:eastAsia="Times New Roman"/>
                <w:sz w:val="20"/>
                <w:szCs w:val="20"/>
              </w:rPr>
              <w:t> </w:t>
            </w:r>
          </w:p>
        </w:tc>
      </w:tr>
      <w:tr w:rsidR="00000000" w14:paraId="249D89E2" w14:textId="77777777">
        <w:tc>
          <w:tcPr>
            <w:tcW w:w="0" w:type="auto"/>
            <w:shd w:val="clear" w:color="auto" w:fill="FFFFFF"/>
            <w:tcMar>
              <w:top w:w="0" w:type="dxa"/>
              <w:left w:w="200" w:type="dxa"/>
              <w:bottom w:w="0" w:type="dxa"/>
              <w:right w:w="0" w:type="dxa"/>
            </w:tcMar>
            <w:vAlign w:val="bottom"/>
            <w:hideMark/>
          </w:tcPr>
          <w:p w14:paraId="16CE3FC7" w14:textId="77777777" w:rsidR="00000000" w:rsidRDefault="00D6065B">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14:paraId="017183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9915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917BD" w14:textId="77777777" w:rsidR="00000000" w:rsidRDefault="00D6065B">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14:paraId="207072F9"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14F76E9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B1A5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0E098C"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7A90EB3D" w14:textId="77777777" w:rsidR="00000000" w:rsidRDefault="00D6065B">
            <w:pPr>
              <w:rPr>
                <w:rFonts w:eastAsia="Times New Roman"/>
                <w:sz w:val="20"/>
                <w:szCs w:val="20"/>
              </w:rPr>
            </w:pPr>
            <w:r>
              <w:rPr>
                <w:rFonts w:eastAsia="Times New Roman"/>
                <w:sz w:val="20"/>
                <w:szCs w:val="20"/>
              </w:rPr>
              <w:t> </w:t>
            </w:r>
          </w:p>
        </w:tc>
      </w:tr>
      <w:tr w:rsidR="00000000" w14:paraId="7185F3EE" w14:textId="77777777">
        <w:tc>
          <w:tcPr>
            <w:tcW w:w="0" w:type="auto"/>
            <w:shd w:val="clear" w:color="auto" w:fill="CCEEFF"/>
            <w:tcMar>
              <w:top w:w="0" w:type="dxa"/>
              <w:left w:w="200" w:type="dxa"/>
              <w:bottom w:w="30" w:type="dxa"/>
              <w:right w:w="0" w:type="dxa"/>
            </w:tcMar>
            <w:vAlign w:val="bottom"/>
            <w:hideMark/>
          </w:tcPr>
          <w:p w14:paraId="4ABF6D5B" w14:textId="77777777" w:rsidR="00000000" w:rsidRDefault="00D6065B">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14:paraId="2CD3162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0489D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28CA21" w14:textId="77777777" w:rsidR="00000000" w:rsidRDefault="00D6065B">
            <w:pPr>
              <w:jc w:val="right"/>
              <w:rPr>
                <w:rFonts w:eastAsia="Times New Roman"/>
                <w:sz w:val="20"/>
                <w:szCs w:val="20"/>
              </w:rPr>
            </w:pPr>
            <w:r>
              <w:rPr>
                <w:rFonts w:eastAsia="Times New Roman"/>
                <w:sz w:val="20"/>
                <w:szCs w:val="20"/>
              </w:rPr>
              <w:t>13,051</w:t>
            </w:r>
          </w:p>
        </w:tc>
        <w:tc>
          <w:tcPr>
            <w:tcW w:w="0" w:type="auto"/>
            <w:shd w:val="clear" w:color="auto" w:fill="CCEEFF"/>
            <w:tcMar>
              <w:top w:w="0" w:type="dxa"/>
              <w:left w:w="0" w:type="dxa"/>
              <w:bottom w:w="30" w:type="dxa"/>
              <w:right w:w="0" w:type="dxa"/>
            </w:tcMar>
            <w:vAlign w:val="bottom"/>
            <w:hideMark/>
          </w:tcPr>
          <w:p w14:paraId="7DDF49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A1B3FA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65CB9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409602" w14:textId="77777777" w:rsidR="00000000" w:rsidRDefault="00D6065B">
            <w:pPr>
              <w:jc w:val="right"/>
              <w:rPr>
                <w:rFonts w:eastAsia="Times New Roman"/>
                <w:sz w:val="20"/>
                <w:szCs w:val="20"/>
              </w:rPr>
            </w:pPr>
            <w:r>
              <w:rPr>
                <w:rFonts w:eastAsia="Times New Roman"/>
                <w:sz w:val="20"/>
                <w:szCs w:val="20"/>
              </w:rPr>
              <w:t>29,003</w:t>
            </w:r>
          </w:p>
        </w:tc>
        <w:tc>
          <w:tcPr>
            <w:tcW w:w="0" w:type="auto"/>
            <w:shd w:val="clear" w:color="auto" w:fill="CCEEFF"/>
            <w:tcMar>
              <w:top w:w="0" w:type="dxa"/>
              <w:left w:w="0" w:type="dxa"/>
              <w:bottom w:w="30" w:type="dxa"/>
              <w:right w:w="0" w:type="dxa"/>
            </w:tcMar>
            <w:vAlign w:val="bottom"/>
            <w:hideMark/>
          </w:tcPr>
          <w:p w14:paraId="46C79402" w14:textId="77777777" w:rsidR="00000000" w:rsidRDefault="00D6065B">
            <w:pPr>
              <w:rPr>
                <w:rFonts w:eastAsia="Times New Roman"/>
                <w:sz w:val="20"/>
                <w:szCs w:val="20"/>
              </w:rPr>
            </w:pPr>
            <w:r>
              <w:rPr>
                <w:rFonts w:eastAsia="Times New Roman"/>
                <w:sz w:val="20"/>
                <w:szCs w:val="20"/>
              </w:rPr>
              <w:t> </w:t>
            </w:r>
          </w:p>
        </w:tc>
      </w:tr>
      <w:tr w:rsidR="00000000" w14:paraId="7C25C1C7" w14:textId="77777777">
        <w:tc>
          <w:tcPr>
            <w:tcW w:w="0" w:type="auto"/>
            <w:shd w:val="clear" w:color="auto" w:fill="FFFFFF"/>
            <w:tcMar>
              <w:top w:w="0" w:type="dxa"/>
              <w:left w:w="200" w:type="dxa"/>
              <w:bottom w:w="30" w:type="dxa"/>
              <w:right w:w="0" w:type="dxa"/>
            </w:tcMar>
            <w:vAlign w:val="bottom"/>
            <w:hideMark/>
          </w:tcPr>
          <w:p w14:paraId="3AEBDE2F" w14:textId="77777777" w:rsidR="00000000" w:rsidRDefault="00D6065B">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14:paraId="05B77A2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D521A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78B918" w14:textId="77777777" w:rsidR="00000000" w:rsidRDefault="00D6065B">
            <w:pPr>
              <w:jc w:val="right"/>
              <w:rPr>
                <w:rFonts w:eastAsia="Times New Roman"/>
                <w:sz w:val="20"/>
                <w:szCs w:val="20"/>
              </w:rPr>
            </w:pPr>
            <w:r>
              <w:rPr>
                <w:rFonts w:eastAsia="Times New Roman"/>
                <w:sz w:val="20"/>
                <w:szCs w:val="20"/>
              </w:rPr>
              <w:t>1,598,103</w:t>
            </w:r>
          </w:p>
        </w:tc>
        <w:tc>
          <w:tcPr>
            <w:tcW w:w="0" w:type="auto"/>
            <w:shd w:val="clear" w:color="auto" w:fill="FFFFFF"/>
            <w:tcMar>
              <w:top w:w="0" w:type="dxa"/>
              <w:left w:w="0" w:type="dxa"/>
              <w:bottom w:w="30" w:type="dxa"/>
              <w:right w:w="0" w:type="dxa"/>
            </w:tcMar>
            <w:vAlign w:val="bottom"/>
            <w:hideMark/>
          </w:tcPr>
          <w:p w14:paraId="6B6194D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9974AF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23467C"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53E6B3" w14:textId="77777777" w:rsidR="00000000" w:rsidRDefault="00D6065B">
            <w:pPr>
              <w:jc w:val="right"/>
              <w:rPr>
                <w:rFonts w:eastAsia="Times New Roman"/>
                <w:sz w:val="20"/>
                <w:szCs w:val="20"/>
              </w:rPr>
            </w:pPr>
            <w:r>
              <w:rPr>
                <w:rFonts w:eastAsia="Times New Roman"/>
                <w:sz w:val="20"/>
                <w:szCs w:val="20"/>
              </w:rPr>
              <w:t>193,012</w:t>
            </w:r>
          </w:p>
        </w:tc>
        <w:tc>
          <w:tcPr>
            <w:tcW w:w="0" w:type="auto"/>
            <w:shd w:val="clear" w:color="auto" w:fill="FFFFFF"/>
            <w:tcMar>
              <w:top w:w="0" w:type="dxa"/>
              <w:left w:w="0" w:type="dxa"/>
              <w:bottom w:w="30" w:type="dxa"/>
              <w:right w:w="0" w:type="dxa"/>
            </w:tcMar>
            <w:vAlign w:val="bottom"/>
            <w:hideMark/>
          </w:tcPr>
          <w:p w14:paraId="3DC65132" w14:textId="77777777" w:rsidR="00000000" w:rsidRDefault="00D6065B">
            <w:pPr>
              <w:rPr>
                <w:rFonts w:eastAsia="Times New Roman"/>
                <w:sz w:val="20"/>
                <w:szCs w:val="20"/>
              </w:rPr>
            </w:pPr>
            <w:r>
              <w:rPr>
                <w:rFonts w:eastAsia="Times New Roman"/>
                <w:sz w:val="20"/>
                <w:szCs w:val="20"/>
              </w:rPr>
              <w:t> </w:t>
            </w:r>
          </w:p>
        </w:tc>
      </w:tr>
      <w:tr w:rsidR="00000000" w14:paraId="3102D190" w14:textId="77777777">
        <w:tc>
          <w:tcPr>
            <w:tcW w:w="0" w:type="auto"/>
            <w:shd w:val="clear" w:color="auto" w:fill="CCEEFF"/>
            <w:vAlign w:val="bottom"/>
            <w:hideMark/>
          </w:tcPr>
          <w:p w14:paraId="4F87EE9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92E7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743C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FC88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CD262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DA6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8DCB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7A90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7D3262" w14:textId="77777777" w:rsidR="00000000" w:rsidRDefault="00D6065B">
            <w:pPr>
              <w:rPr>
                <w:rFonts w:eastAsia="Times New Roman"/>
                <w:sz w:val="20"/>
                <w:szCs w:val="20"/>
              </w:rPr>
            </w:pPr>
            <w:r>
              <w:rPr>
                <w:rFonts w:eastAsia="Times New Roman"/>
                <w:sz w:val="20"/>
                <w:szCs w:val="20"/>
              </w:rPr>
              <w:t> </w:t>
            </w:r>
          </w:p>
        </w:tc>
      </w:tr>
      <w:tr w:rsidR="00000000" w14:paraId="79EF2204" w14:textId="77777777">
        <w:tc>
          <w:tcPr>
            <w:tcW w:w="0" w:type="auto"/>
            <w:shd w:val="clear" w:color="auto" w:fill="FFFFFF"/>
            <w:tcMar>
              <w:top w:w="0" w:type="dxa"/>
              <w:left w:w="200" w:type="dxa"/>
              <w:bottom w:w="30" w:type="dxa"/>
              <w:right w:w="0" w:type="dxa"/>
            </w:tcMar>
            <w:vAlign w:val="bottom"/>
            <w:hideMark/>
          </w:tcPr>
          <w:p w14:paraId="542E53CF" w14:textId="77777777" w:rsidR="00000000" w:rsidRDefault="00D6065B">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14:paraId="1052058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AA603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39C77D" w14:textId="77777777" w:rsidR="00000000" w:rsidRDefault="00D6065B">
            <w:pPr>
              <w:jc w:val="right"/>
              <w:rPr>
                <w:rFonts w:eastAsia="Times New Roman"/>
                <w:sz w:val="20"/>
                <w:szCs w:val="20"/>
              </w:rPr>
            </w:pPr>
            <w:r>
              <w:rPr>
                <w:rFonts w:eastAsia="Times New Roman"/>
                <w:sz w:val="20"/>
                <w:szCs w:val="20"/>
              </w:rPr>
              <w:t>(550,273</w:t>
            </w:r>
          </w:p>
        </w:tc>
        <w:tc>
          <w:tcPr>
            <w:tcW w:w="0" w:type="auto"/>
            <w:shd w:val="clear" w:color="auto" w:fill="FFFFFF"/>
            <w:tcMar>
              <w:top w:w="0" w:type="dxa"/>
              <w:left w:w="0" w:type="dxa"/>
              <w:bottom w:w="30" w:type="dxa"/>
              <w:right w:w="0" w:type="dxa"/>
            </w:tcMar>
            <w:vAlign w:val="bottom"/>
            <w:hideMark/>
          </w:tcPr>
          <w:p w14:paraId="17A6F861"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B935F4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BB0FE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5E7E38" w14:textId="77777777" w:rsidR="00000000" w:rsidRDefault="00D6065B">
            <w:pPr>
              <w:jc w:val="right"/>
              <w:rPr>
                <w:rFonts w:eastAsia="Times New Roman"/>
                <w:sz w:val="20"/>
                <w:szCs w:val="20"/>
              </w:rPr>
            </w:pPr>
            <w:r>
              <w:rPr>
                <w:rFonts w:eastAsia="Times New Roman"/>
                <w:sz w:val="20"/>
                <w:szCs w:val="20"/>
              </w:rPr>
              <w:t>(326,306</w:t>
            </w:r>
          </w:p>
        </w:tc>
        <w:tc>
          <w:tcPr>
            <w:tcW w:w="0" w:type="auto"/>
            <w:shd w:val="clear" w:color="auto" w:fill="FFFFFF"/>
            <w:tcMar>
              <w:top w:w="0" w:type="dxa"/>
              <w:left w:w="0" w:type="dxa"/>
              <w:bottom w:w="30" w:type="dxa"/>
              <w:right w:w="0" w:type="dxa"/>
            </w:tcMar>
            <w:vAlign w:val="bottom"/>
            <w:hideMark/>
          </w:tcPr>
          <w:p w14:paraId="121CE7A3" w14:textId="77777777" w:rsidR="00000000" w:rsidRDefault="00D6065B">
            <w:pPr>
              <w:rPr>
                <w:rFonts w:eastAsia="Times New Roman"/>
                <w:sz w:val="20"/>
                <w:szCs w:val="20"/>
              </w:rPr>
            </w:pPr>
            <w:r>
              <w:rPr>
                <w:rFonts w:eastAsia="Times New Roman"/>
                <w:sz w:val="20"/>
                <w:szCs w:val="20"/>
              </w:rPr>
              <w:t>)</w:t>
            </w:r>
          </w:p>
        </w:tc>
      </w:tr>
      <w:tr w:rsidR="00000000" w14:paraId="64F20577" w14:textId="77777777">
        <w:tc>
          <w:tcPr>
            <w:tcW w:w="0" w:type="auto"/>
            <w:shd w:val="clear" w:color="auto" w:fill="CCEEFF"/>
            <w:vAlign w:val="bottom"/>
            <w:hideMark/>
          </w:tcPr>
          <w:p w14:paraId="65F8F06E" w14:textId="77777777" w:rsidR="00000000" w:rsidRDefault="00D6065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A2CAB4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B31A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BC52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97A5F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7AA8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70D1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DD65E"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4591AB" w14:textId="77777777" w:rsidR="00000000" w:rsidRDefault="00D6065B">
            <w:pPr>
              <w:rPr>
                <w:rFonts w:eastAsia="Times New Roman"/>
                <w:sz w:val="20"/>
                <w:szCs w:val="20"/>
              </w:rPr>
            </w:pPr>
            <w:r>
              <w:rPr>
                <w:rFonts w:eastAsia="Times New Roman"/>
                <w:sz w:val="20"/>
                <w:szCs w:val="20"/>
              </w:rPr>
              <w:t> </w:t>
            </w:r>
          </w:p>
        </w:tc>
      </w:tr>
      <w:tr w:rsidR="00000000" w14:paraId="37E094EE" w14:textId="77777777">
        <w:tc>
          <w:tcPr>
            <w:tcW w:w="0" w:type="auto"/>
            <w:shd w:val="clear" w:color="auto" w:fill="FFFFFF"/>
            <w:vAlign w:val="bottom"/>
            <w:hideMark/>
          </w:tcPr>
          <w:p w14:paraId="33C896DA" w14:textId="77777777" w:rsidR="00000000" w:rsidRDefault="00D6065B">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14:paraId="314FE85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1EF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052D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567CA9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D3E8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255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EC6D2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23BB99" w14:textId="77777777" w:rsidR="00000000" w:rsidRDefault="00D6065B">
            <w:pPr>
              <w:rPr>
                <w:rFonts w:eastAsia="Times New Roman"/>
                <w:sz w:val="20"/>
                <w:szCs w:val="20"/>
              </w:rPr>
            </w:pPr>
            <w:r>
              <w:rPr>
                <w:rFonts w:eastAsia="Times New Roman"/>
                <w:sz w:val="20"/>
                <w:szCs w:val="20"/>
              </w:rPr>
              <w:t> </w:t>
            </w:r>
          </w:p>
        </w:tc>
      </w:tr>
      <w:tr w:rsidR="00000000" w14:paraId="266E3764" w14:textId="77777777">
        <w:tc>
          <w:tcPr>
            <w:tcW w:w="0" w:type="auto"/>
            <w:shd w:val="clear" w:color="auto" w:fill="CCEEFF"/>
            <w:tcMar>
              <w:top w:w="0" w:type="dxa"/>
              <w:left w:w="200" w:type="dxa"/>
              <w:bottom w:w="0" w:type="dxa"/>
              <w:right w:w="0" w:type="dxa"/>
            </w:tcMar>
            <w:vAlign w:val="bottom"/>
            <w:hideMark/>
          </w:tcPr>
          <w:p w14:paraId="3DBE38B7" w14:textId="77777777" w:rsidR="00000000" w:rsidRDefault="00D6065B">
            <w:pPr>
              <w:rPr>
                <w:rFonts w:eastAsia="Times New Roman"/>
                <w:sz w:val="20"/>
                <w:szCs w:val="20"/>
              </w:rPr>
            </w:pPr>
            <w:r>
              <w:rPr>
                <w:rFonts w:eastAsia="Times New Roman"/>
                <w:sz w:val="20"/>
                <w:szCs w:val="20"/>
              </w:rPr>
              <w:t>Redemption of preferred stock</w:t>
            </w:r>
          </w:p>
        </w:tc>
        <w:tc>
          <w:tcPr>
            <w:tcW w:w="0" w:type="auto"/>
            <w:shd w:val="clear" w:color="auto" w:fill="CCEEFF"/>
            <w:vAlign w:val="bottom"/>
            <w:hideMark/>
          </w:tcPr>
          <w:p w14:paraId="45929E8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9211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6A2EE"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D3553D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D13C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B87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F5EB8"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14:paraId="7A017EE6" w14:textId="77777777" w:rsidR="00000000" w:rsidRDefault="00D6065B">
            <w:pPr>
              <w:rPr>
                <w:rFonts w:eastAsia="Times New Roman"/>
                <w:sz w:val="20"/>
                <w:szCs w:val="20"/>
              </w:rPr>
            </w:pPr>
            <w:r>
              <w:rPr>
                <w:rFonts w:eastAsia="Times New Roman"/>
                <w:sz w:val="20"/>
                <w:szCs w:val="20"/>
              </w:rPr>
              <w:t>)</w:t>
            </w:r>
          </w:p>
        </w:tc>
      </w:tr>
      <w:tr w:rsidR="00000000" w14:paraId="4D52844C" w14:textId="77777777">
        <w:tc>
          <w:tcPr>
            <w:tcW w:w="0" w:type="auto"/>
            <w:shd w:val="clear" w:color="auto" w:fill="FFFFFF"/>
            <w:tcMar>
              <w:top w:w="0" w:type="dxa"/>
              <w:left w:w="200" w:type="dxa"/>
              <w:bottom w:w="0" w:type="dxa"/>
              <w:right w:w="0" w:type="dxa"/>
            </w:tcMar>
            <w:vAlign w:val="bottom"/>
            <w:hideMark/>
          </w:tcPr>
          <w:p w14:paraId="6D4FB84A" w14:textId="77777777" w:rsidR="00000000" w:rsidRDefault="00D6065B">
            <w:pPr>
              <w:rPr>
                <w:rFonts w:eastAsia="Times New Roman"/>
                <w:sz w:val="20"/>
                <w:szCs w:val="20"/>
              </w:rPr>
            </w:pPr>
            <w:r>
              <w:rPr>
                <w:rFonts w:eastAsia="Times New Roman"/>
                <w:sz w:val="20"/>
                <w:szCs w:val="20"/>
              </w:rPr>
              <w:t>Proceeds from sale of common stock and warrants</w:t>
            </w:r>
          </w:p>
        </w:tc>
        <w:tc>
          <w:tcPr>
            <w:tcW w:w="0" w:type="auto"/>
            <w:shd w:val="clear" w:color="auto" w:fill="FFFFFF"/>
            <w:vAlign w:val="bottom"/>
            <w:hideMark/>
          </w:tcPr>
          <w:p w14:paraId="265DDB3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033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A4A5DC" w14:textId="77777777" w:rsidR="00000000" w:rsidRDefault="00D6065B">
            <w:pPr>
              <w:jc w:val="right"/>
              <w:rPr>
                <w:rFonts w:eastAsia="Times New Roman"/>
                <w:sz w:val="20"/>
                <w:szCs w:val="20"/>
              </w:rPr>
            </w:pPr>
            <w:r>
              <w:rPr>
                <w:rFonts w:eastAsia="Times New Roman"/>
                <w:sz w:val="20"/>
                <w:szCs w:val="20"/>
              </w:rPr>
              <w:t>1,811,238</w:t>
            </w:r>
          </w:p>
        </w:tc>
        <w:tc>
          <w:tcPr>
            <w:tcW w:w="0" w:type="auto"/>
            <w:shd w:val="clear" w:color="auto" w:fill="FFFFFF"/>
            <w:vAlign w:val="bottom"/>
            <w:hideMark/>
          </w:tcPr>
          <w:p w14:paraId="027BE53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5C91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0948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FFF94" w14:textId="77777777" w:rsidR="00000000" w:rsidRDefault="00D6065B">
            <w:pPr>
              <w:jc w:val="right"/>
              <w:rPr>
                <w:rFonts w:eastAsia="Times New Roman"/>
                <w:sz w:val="20"/>
                <w:szCs w:val="20"/>
              </w:rPr>
            </w:pPr>
            <w:r>
              <w:rPr>
                <w:rFonts w:eastAsia="Times New Roman"/>
                <w:sz w:val="20"/>
                <w:szCs w:val="20"/>
              </w:rPr>
              <w:t>504,780</w:t>
            </w:r>
          </w:p>
        </w:tc>
        <w:tc>
          <w:tcPr>
            <w:tcW w:w="0" w:type="auto"/>
            <w:shd w:val="clear" w:color="auto" w:fill="FFFFFF"/>
            <w:vAlign w:val="bottom"/>
            <w:hideMark/>
          </w:tcPr>
          <w:p w14:paraId="645C8B22" w14:textId="77777777" w:rsidR="00000000" w:rsidRDefault="00D6065B">
            <w:pPr>
              <w:rPr>
                <w:rFonts w:eastAsia="Times New Roman"/>
                <w:sz w:val="20"/>
                <w:szCs w:val="20"/>
              </w:rPr>
            </w:pPr>
            <w:r>
              <w:rPr>
                <w:rFonts w:eastAsia="Times New Roman"/>
                <w:sz w:val="20"/>
                <w:szCs w:val="20"/>
              </w:rPr>
              <w:t> </w:t>
            </w:r>
          </w:p>
        </w:tc>
      </w:tr>
      <w:tr w:rsidR="00000000" w14:paraId="1D22E381" w14:textId="77777777">
        <w:tc>
          <w:tcPr>
            <w:tcW w:w="0" w:type="auto"/>
            <w:shd w:val="clear" w:color="auto" w:fill="CCEEFF"/>
            <w:tcMar>
              <w:top w:w="0" w:type="dxa"/>
              <w:left w:w="200" w:type="dxa"/>
              <w:bottom w:w="0" w:type="dxa"/>
              <w:right w:w="0" w:type="dxa"/>
            </w:tcMar>
            <w:vAlign w:val="bottom"/>
            <w:hideMark/>
          </w:tcPr>
          <w:p w14:paraId="71AA357E" w14:textId="77777777" w:rsidR="00000000" w:rsidRDefault="00D6065B">
            <w:pPr>
              <w:rPr>
                <w:rFonts w:eastAsia="Times New Roman"/>
                <w:sz w:val="20"/>
                <w:szCs w:val="20"/>
              </w:rPr>
            </w:pPr>
            <w:r>
              <w:rPr>
                <w:rFonts w:eastAsia="Times New Roman"/>
                <w:sz w:val="20"/>
                <w:szCs w:val="20"/>
              </w:rPr>
              <w:t>Proceeds from convertible debt</w:t>
            </w:r>
          </w:p>
        </w:tc>
        <w:tc>
          <w:tcPr>
            <w:tcW w:w="0" w:type="auto"/>
            <w:shd w:val="clear" w:color="auto" w:fill="CCEEFF"/>
            <w:vAlign w:val="bottom"/>
            <w:hideMark/>
          </w:tcPr>
          <w:p w14:paraId="29D313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E9D4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3F5C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BF960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F84D6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ED4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F732B0" w14:textId="77777777" w:rsidR="00000000" w:rsidRDefault="00D6065B">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14:paraId="45605ED5" w14:textId="77777777" w:rsidR="00000000" w:rsidRDefault="00D6065B">
            <w:pPr>
              <w:rPr>
                <w:rFonts w:eastAsia="Times New Roman"/>
                <w:sz w:val="20"/>
                <w:szCs w:val="20"/>
              </w:rPr>
            </w:pPr>
            <w:r>
              <w:rPr>
                <w:rFonts w:eastAsia="Times New Roman"/>
                <w:sz w:val="20"/>
                <w:szCs w:val="20"/>
              </w:rPr>
              <w:t> </w:t>
            </w:r>
          </w:p>
        </w:tc>
      </w:tr>
      <w:tr w:rsidR="00000000" w14:paraId="676BBDA7" w14:textId="77777777">
        <w:tc>
          <w:tcPr>
            <w:tcW w:w="0" w:type="auto"/>
            <w:shd w:val="clear" w:color="auto" w:fill="FFFFFF"/>
            <w:tcMar>
              <w:top w:w="0" w:type="dxa"/>
              <w:left w:w="200" w:type="dxa"/>
              <w:bottom w:w="30" w:type="dxa"/>
              <w:right w:w="0" w:type="dxa"/>
            </w:tcMar>
            <w:vAlign w:val="bottom"/>
            <w:hideMark/>
          </w:tcPr>
          <w:p w14:paraId="5E7E8256" w14:textId="77777777" w:rsidR="00000000" w:rsidRDefault="00D6065B">
            <w:pPr>
              <w:rPr>
                <w:rFonts w:eastAsia="Times New Roman"/>
                <w:sz w:val="20"/>
                <w:szCs w:val="20"/>
              </w:rPr>
            </w:pPr>
            <w:r>
              <w:rPr>
                <w:rFonts w:eastAsia="Times New Roman"/>
                <w:sz w:val="20"/>
                <w:szCs w:val="20"/>
              </w:rPr>
              <w:t>Proceeds from promissory notes - related party, net of repayments</w:t>
            </w:r>
          </w:p>
        </w:tc>
        <w:tc>
          <w:tcPr>
            <w:tcW w:w="0" w:type="auto"/>
            <w:shd w:val="clear" w:color="auto" w:fill="FFFFFF"/>
            <w:tcMar>
              <w:top w:w="0" w:type="dxa"/>
              <w:left w:w="0" w:type="dxa"/>
              <w:bottom w:w="30" w:type="dxa"/>
              <w:right w:w="0" w:type="dxa"/>
            </w:tcMar>
            <w:vAlign w:val="bottom"/>
            <w:hideMark/>
          </w:tcPr>
          <w:p w14:paraId="365AF91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134EC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C3386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257EC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21830C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152E1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953D3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059FDD6" w14:textId="77777777" w:rsidR="00000000" w:rsidRDefault="00D6065B">
            <w:pPr>
              <w:rPr>
                <w:rFonts w:eastAsia="Times New Roman"/>
                <w:sz w:val="20"/>
                <w:szCs w:val="20"/>
              </w:rPr>
            </w:pPr>
            <w:r>
              <w:rPr>
                <w:rFonts w:eastAsia="Times New Roman"/>
                <w:sz w:val="20"/>
                <w:szCs w:val="20"/>
              </w:rPr>
              <w:t> </w:t>
            </w:r>
          </w:p>
        </w:tc>
      </w:tr>
      <w:tr w:rsidR="00000000" w14:paraId="5F4B5ADA" w14:textId="77777777">
        <w:tc>
          <w:tcPr>
            <w:tcW w:w="0" w:type="auto"/>
            <w:shd w:val="clear" w:color="auto" w:fill="CCEEFF"/>
            <w:tcMar>
              <w:top w:w="0" w:type="dxa"/>
              <w:left w:w="400" w:type="dxa"/>
              <w:bottom w:w="30" w:type="dxa"/>
              <w:right w:w="0" w:type="dxa"/>
            </w:tcMar>
            <w:vAlign w:val="bottom"/>
            <w:hideMark/>
          </w:tcPr>
          <w:p w14:paraId="2B579160" w14:textId="77777777" w:rsidR="00000000" w:rsidRDefault="00D6065B">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14:paraId="5970E45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F3EC7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C3606E" w14:textId="77777777" w:rsidR="00000000" w:rsidRDefault="00D6065B">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14:paraId="145735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0AF2B8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25E62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FB8025" w14:textId="77777777" w:rsidR="00000000" w:rsidRDefault="00D6065B">
            <w:pPr>
              <w:jc w:val="right"/>
              <w:rPr>
                <w:rFonts w:eastAsia="Times New Roman"/>
                <w:sz w:val="20"/>
                <w:szCs w:val="20"/>
              </w:rPr>
            </w:pPr>
            <w:r>
              <w:rPr>
                <w:rFonts w:eastAsia="Times New Roman"/>
                <w:sz w:val="20"/>
                <w:szCs w:val="20"/>
              </w:rPr>
              <w:t>554,780</w:t>
            </w:r>
          </w:p>
        </w:tc>
        <w:tc>
          <w:tcPr>
            <w:tcW w:w="0" w:type="auto"/>
            <w:shd w:val="clear" w:color="auto" w:fill="CCEEFF"/>
            <w:tcMar>
              <w:top w:w="0" w:type="dxa"/>
              <w:left w:w="0" w:type="dxa"/>
              <w:bottom w:w="30" w:type="dxa"/>
              <w:right w:w="0" w:type="dxa"/>
            </w:tcMar>
            <w:vAlign w:val="bottom"/>
            <w:hideMark/>
          </w:tcPr>
          <w:p w14:paraId="166FEFB3" w14:textId="77777777" w:rsidR="00000000" w:rsidRDefault="00D6065B">
            <w:pPr>
              <w:rPr>
                <w:rFonts w:eastAsia="Times New Roman"/>
                <w:sz w:val="20"/>
                <w:szCs w:val="20"/>
              </w:rPr>
            </w:pPr>
            <w:r>
              <w:rPr>
                <w:rFonts w:eastAsia="Times New Roman"/>
                <w:sz w:val="20"/>
                <w:szCs w:val="20"/>
              </w:rPr>
              <w:t> </w:t>
            </w:r>
          </w:p>
        </w:tc>
      </w:tr>
      <w:tr w:rsidR="00000000" w14:paraId="15B4B5DC" w14:textId="77777777">
        <w:tc>
          <w:tcPr>
            <w:tcW w:w="0" w:type="auto"/>
            <w:shd w:val="clear" w:color="auto" w:fill="FFFFFF"/>
            <w:vAlign w:val="bottom"/>
            <w:hideMark/>
          </w:tcPr>
          <w:p w14:paraId="68E939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44823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366C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A6CA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B741C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218A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77C9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40EE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CD0139" w14:textId="77777777" w:rsidR="00000000" w:rsidRDefault="00D6065B">
            <w:pPr>
              <w:rPr>
                <w:rFonts w:eastAsia="Times New Roman"/>
                <w:sz w:val="20"/>
                <w:szCs w:val="20"/>
              </w:rPr>
            </w:pPr>
            <w:r>
              <w:rPr>
                <w:rFonts w:eastAsia="Times New Roman"/>
                <w:sz w:val="20"/>
                <w:szCs w:val="20"/>
              </w:rPr>
              <w:t> </w:t>
            </w:r>
          </w:p>
        </w:tc>
      </w:tr>
      <w:tr w:rsidR="00000000" w14:paraId="73545473" w14:textId="77777777">
        <w:tc>
          <w:tcPr>
            <w:tcW w:w="0" w:type="auto"/>
            <w:shd w:val="clear" w:color="auto" w:fill="CCEEFF"/>
            <w:vAlign w:val="bottom"/>
            <w:hideMark/>
          </w:tcPr>
          <w:p w14:paraId="50B17DB5" w14:textId="77777777" w:rsidR="00000000" w:rsidRDefault="00D6065B">
            <w:pPr>
              <w:rPr>
                <w:rFonts w:eastAsia="Times New Roman"/>
                <w:b/>
                <w:bCs/>
                <w:sz w:val="20"/>
                <w:szCs w:val="20"/>
              </w:rPr>
            </w:pPr>
            <w:r>
              <w:rPr>
                <w:rFonts w:eastAsia="Times New Roman"/>
                <w:b/>
                <w:bCs/>
                <w:sz w:val="20"/>
                <w:szCs w:val="20"/>
              </w:rPr>
              <w:t>NET INCREASE IN CASH</w:t>
            </w:r>
          </w:p>
        </w:tc>
        <w:tc>
          <w:tcPr>
            <w:tcW w:w="0" w:type="auto"/>
            <w:shd w:val="clear" w:color="auto" w:fill="CCEEFF"/>
            <w:vAlign w:val="bottom"/>
            <w:hideMark/>
          </w:tcPr>
          <w:p w14:paraId="443058D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CD83B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2686F" w14:textId="77777777" w:rsidR="00000000" w:rsidRDefault="00D6065B">
            <w:pPr>
              <w:jc w:val="right"/>
              <w:rPr>
                <w:rFonts w:eastAsia="Times New Roman"/>
                <w:sz w:val="20"/>
                <w:szCs w:val="20"/>
              </w:rPr>
            </w:pPr>
            <w:r>
              <w:rPr>
                <w:rFonts w:eastAsia="Times New Roman"/>
                <w:sz w:val="20"/>
                <w:szCs w:val="20"/>
              </w:rPr>
              <w:t>1,260,965</w:t>
            </w:r>
          </w:p>
        </w:tc>
        <w:tc>
          <w:tcPr>
            <w:tcW w:w="0" w:type="auto"/>
            <w:shd w:val="clear" w:color="auto" w:fill="CCEEFF"/>
            <w:vAlign w:val="bottom"/>
            <w:hideMark/>
          </w:tcPr>
          <w:p w14:paraId="2EAD2E3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296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0E1E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69502" w14:textId="77777777" w:rsidR="00000000" w:rsidRDefault="00D6065B">
            <w:pPr>
              <w:jc w:val="right"/>
              <w:rPr>
                <w:rFonts w:eastAsia="Times New Roman"/>
                <w:sz w:val="20"/>
                <w:szCs w:val="20"/>
              </w:rPr>
            </w:pPr>
            <w:r>
              <w:rPr>
                <w:rFonts w:eastAsia="Times New Roman"/>
                <w:sz w:val="20"/>
                <w:szCs w:val="20"/>
              </w:rPr>
              <w:t>228,474</w:t>
            </w:r>
          </w:p>
        </w:tc>
        <w:tc>
          <w:tcPr>
            <w:tcW w:w="0" w:type="auto"/>
            <w:shd w:val="clear" w:color="auto" w:fill="CCEEFF"/>
            <w:vAlign w:val="bottom"/>
            <w:hideMark/>
          </w:tcPr>
          <w:p w14:paraId="665F5BDF" w14:textId="77777777" w:rsidR="00000000" w:rsidRDefault="00D6065B">
            <w:pPr>
              <w:rPr>
                <w:rFonts w:eastAsia="Times New Roman"/>
                <w:sz w:val="20"/>
                <w:szCs w:val="20"/>
              </w:rPr>
            </w:pPr>
            <w:r>
              <w:rPr>
                <w:rFonts w:eastAsia="Times New Roman"/>
                <w:sz w:val="20"/>
                <w:szCs w:val="20"/>
              </w:rPr>
              <w:t> </w:t>
            </w:r>
          </w:p>
        </w:tc>
      </w:tr>
      <w:tr w:rsidR="00000000" w14:paraId="3F9630E5" w14:textId="77777777">
        <w:tc>
          <w:tcPr>
            <w:tcW w:w="0" w:type="auto"/>
            <w:shd w:val="clear" w:color="auto" w:fill="FFFFFF"/>
            <w:vAlign w:val="bottom"/>
            <w:hideMark/>
          </w:tcPr>
          <w:p w14:paraId="0538A2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CBA45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B703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BD086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F8657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A088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05417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AE1F3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F073C5" w14:textId="77777777" w:rsidR="00000000" w:rsidRDefault="00D6065B">
            <w:pPr>
              <w:rPr>
                <w:rFonts w:eastAsia="Times New Roman"/>
                <w:sz w:val="20"/>
                <w:szCs w:val="20"/>
              </w:rPr>
            </w:pPr>
            <w:r>
              <w:rPr>
                <w:rFonts w:eastAsia="Times New Roman"/>
                <w:sz w:val="20"/>
                <w:szCs w:val="20"/>
              </w:rPr>
              <w:t> </w:t>
            </w:r>
          </w:p>
        </w:tc>
      </w:tr>
      <w:tr w:rsidR="00000000" w14:paraId="58921D46" w14:textId="77777777">
        <w:tc>
          <w:tcPr>
            <w:tcW w:w="0" w:type="auto"/>
            <w:shd w:val="clear" w:color="auto" w:fill="CCEEFF"/>
            <w:tcMar>
              <w:top w:w="0" w:type="dxa"/>
              <w:left w:w="0" w:type="dxa"/>
              <w:bottom w:w="30" w:type="dxa"/>
              <w:right w:w="0" w:type="dxa"/>
            </w:tcMar>
            <w:vAlign w:val="bottom"/>
            <w:hideMark/>
          </w:tcPr>
          <w:p w14:paraId="7FDEA358" w14:textId="77777777" w:rsidR="00000000" w:rsidRDefault="00D6065B">
            <w:pPr>
              <w:rPr>
                <w:rFonts w:eastAsia="Times New Roman"/>
                <w:b/>
                <w:bCs/>
                <w:sz w:val="20"/>
                <w:szCs w:val="20"/>
              </w:rPr>
            </w:pPr>
            <w:r>
              <w:rPr>
                <w:rFonts w:eastAsia="Times New Roman"/>
                <w:b/>
                <w:bCs/>
                <w:sz w:val="20"/>
                <w:szCs w:val="20"/>
              </w:rPr>
              <w:t>CASH- BEGINNING OF PERIOD</w:t>
            </w:r>
          </w:p>
        </w:tc>
        <w:tc>
          <w:tcPr>
            <w:tcW w:w="0" w:type="auto"/>
            <w:shd w:val="clear" w:color="auto" w:fill="CCEEFF"/>
            <w:tcMar>
              <w:top w:w="0" w:type="dxa"/>
              <w:left w:w="0" w:type="dxa"/>
              <w:bottom w:w="30" w:type="dxa"/>
              <w:right w:w="0" w:type="dxa"/>
            </w:tcMar>
            <w:vAlign w:val="bottom"/>
            <w:hideMark/>
          </w:tcPr>
          <w:p w14:paraId="1B2D653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91181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562922" w14:textId="77777777" w:rsidR="00000000" w:rsidRDefault="00D6065B">
            <w:pPr>
              <w:jc w:val="right"/>
              <w:rPr>
                <w:rFonts w:eastAsia="Times New Roman"/>
                <w:sz w:val="20"/>
                <w:szCs w:val="20"/>
              </w:rPr>
            </w:pPr>
            <w:r>
              <w:rPr>
                <w:rFonts w:eastAsia="Times New Roman"/>
                <w:sz w:val="20"/>
                <w:szCs w:val="20"/>
              </w:rPr>
              <w:t>903,704</w:t>
            </w:r>
          </w:p>
        </w:tc>
        <w:tc>
          <w:tcPr>
            <w:tcW w:w="0" w:type="auto"/>
            <w:shd w:val="clear" w:color="auto" w:fill="CCEEFF"/>
            <w:tcMar>
              <w:top w:w="0" w:type="dxa"/>
              <w:left w:w="0" w:type="dxa"/>
              <w:bottom w:w="30" w:type="dxa"/>
              <w:right w:w="0" w:type="dxa"/>
            </w:tcMar>
            <w:vAlign w:val="bottom"/>
            <w:hideMark/>
          </w:tcPr>
          <w:p w14:paraId="0874E4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75EAE3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4ED48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3C9A6F" w14:textId="77777777" w:rsidR="00000000" w:rsidRDefault="00D6065B">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30" w:type="dxa"/>
              <w:right w:w="0" w:type="dxa"/>
            </w:tcMar>
            <w:vAlign w:val="bottom"/>
            <w:hideMark/>
          </w:tcPr>
          <w:p w14:paraId="14FD682C" w14:textId="77777777" w:rsidR="00000000" w:rsidRDefault="00D6065B">
            <w:pPr>
              <w:rPr>
                <w:rFonts w:eastAsia="Times New Roman"/>
                <w:sz w:val="20"/>
                <w:szCs w:val="20"/>
              </w:rPr>
            </w:pPr>
            <w:r>
              <w:rPr>
                <w:rFonts w:eastAsia="Times New Roman"/>
                <w:sz w:val="20"/>
                <w:szCs w:val="20"/>
              </w:rPr>
              <w:t> </w:t>
            </w:r>
          </w:p>
        </w:tc>
      </w:tr>
      <w:tr w:rsidR="00000000" w14:paraId="13D7D72E" w14:textId="77777777">
        <w:tc>
          <w:tcPr>
            <w:tcW w:w="0" w:type="auto"/>
            <w:shd w:val="clear" w:color="auto" w:fill="FFFFFF"/>
            <w:vAlign w:val="bottom"/>
            <w:hideMark/>
          </w:tcPr>
          <w:p w14:paraId="7879F69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F6223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AD77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8E17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6DBDE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C6CC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567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D150B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12A1DA" w14:textId="77777777" w:rsidR="00000000" w:rsidRDefault="00D6065B">
            <w:pPr>
              <w:rPr>
                <w:rFonts w:eastAsia="Times New Roman"/>
                <w:sz w:val="20"/>
                <w:szCs w:val="20"/>
              </w:rPr>
            </w:pPr>
            <w:r>
              <w:rPr>
                <w:rFonts w:eastAsia="Times New Roman"/>
                <w:sz w:val="20"/>
                <w:szCs w:val="20"/>
              </w:rPr>
              <w:t> </w:t>
            </w:r>
          </w:p>
        </w:tc>
      </w:tr>
      <w:tr w:rsidR="00000000" w14:paraId="17C7CC05" w14:textId="77777777">
        <w:tc>
          <w:tcPr>
            <w:tcW w:w="0" w:type="auto"/>
            <w:shd w:val="clear" w:color="auto" w:fill="CCEEFF"/>
            <w:tcMar>
              <w:top w:w="0" w:type="dxa"/>
              <w:left w:w="0" w:type="dxa"/>
              <w:bottom w:w="50" w:type="dxa"/>
              <w:right w:w="0" w:type="dxa"/>
            </w:tcMar>
            <w:vAlign w:val="bottom"/>
            <w:hideMark/>
          </w:tcPr>
          <w:p w14:paraId="5A66AEEA" w14:textId="77777777" w:rsidR="00000000" w:rsidRDefault="00D6065B">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14:paraId="3051317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E419CB"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ABE5FFC" w14:textId="77777777" w:rsidR="00000000" w:rsidRDefault="00D6065B">
            <w:pPr>
              <w:jc w:val="right"/>
              <w:rPr>
                <w:rFonts w:eastAsia="Times New Roman"/>
                <w:sz w:val="20"/>
                <w:szCs w:val="20"/>
              </w:rPr>
            </w:pPr>
            <w:r>
              <w:rPr>
                <w:rFonts w:eastAsia="Times New Roman"/>
                <w:sz w:val="20"/>
                <w:szCs w:val="20"/>
              </w:rPr>
              <w:t>2,164,669</w:t>
            </w:r>
          </w:p>
        </w:tc>
        <w:tc>
          <w:tcPr>
            <w:tcW w:w="0" w:type="auto"/>
            <w:shd w:val="clear" w:color="auto" w:fill="CCEEFF"/>
            <w:tcMar>
              <w:top w:w="0" w:type="dxa"/>
              <w:left w:w="0" w:type="dxa"/>
              <w:bottom w:w="50" w:type="dxa"/>
              <w:right w:w="0" w:type="dxa"/>
            </w:tcMar>
            <w:vAlign w:val="bottom"/>
            <w:hideMark/>
          </w:tcPr>
          <w:p w14:paraId="4474F4D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5E232C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C2BF21"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72B2FBB" w14:textId="77777777" w:rsidR="00000000" w:rsidRDefault="00D6065B">
            <w:pPr>
              <w:jc w:val="right"/>
              <w:rPr>
                <w:rFonts w:eastAsia="Times New Roman"/>
                <w:sz w:val="20"/>
                <w:szCs w:val="20"/>
              </w:rPr>
            </w:pPr>
            <w:r>
              <w:rPr>
                <w:rFonts w:eastAsia="Times New Roman"/>
                <w:sz w:val="20"/>
                <w:szCs w:val="20"/>
              </w:rPr>
              <w:t>248,855</w:t>
            </w:r>
          </w:p>
        </w:tc>
        <w:tc>
          <w:tcPr>
            <w:tcW w:w="0" w:type="auto"/>
            <w:shd w:val="clear" w:color="auto" w:fill="CCEEFF"/>
            <w:tcMar>
              <w:top w:w="0" w:type="dxa"/>
              <w:left w:w="0" w:type="dxa"/>
              <w:bottom w:w="50" w:type="dxa"/>
              <w:right w:w="0" w:type="dxa"/>
            </w:tcMar>
            <w:vAlign w:val="bottom"/>
            <w:hideMark/>
          </w:tcPr>
          <w:p w14:paraId="1ED2CB23" w14:textId="77777777" w:rsidR="00000000" w:rsidRDefault="00D6065B">
            <w:pPr>
              <w:rPr>
                <w:rFonts w:eastAsia="Times New Roman"/>
                <w:sz w:val="20"/>
                <w:szCs w:val="20"/>
              </w:rPr>
            </w:pPr>
            <w:r>
              <w:rPr>
                <w:rFonts w:eastAsia="Times New Roman"/>
                <w:sz w:val="20"/>
                <w:szCs w:val="20"/>
              </w:rPr>
              <w:t> </w:t>
            </w:r>
          </w:p>
        </w:tc>
      </w:tr>
      <w:tr w:rsidR="00000000" w14:paraId="152FC711" w14:textId="77777777">
        <w:tc>
          <w:tcPr>
            <w:tcW w:w="0" w:type="auto"/>
            <w:shd w:val="clear" w:color="auto" w:fill="FFFFFF"/>
            <w:vAlign w:val="bottom"/>
            <w:hideMark/>
          </w:tcPr>
          <w:p w14:paraId="66EA882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6EE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9D22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3DCCC"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AA8BE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C4DD5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6BA7E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4E80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15A38A" w14:textId="77777777" w:rsidR="00000000" w:rsidRDefault="00D6065B">
            <w:pPr>
              <w:rPr>
                <w:rFonts w:eastAsia="Times New Roman"/>
                <w:sz w:val="20"/>
                <w:szCs w:val="20"/>
              </w:rPr>
            </w:pPr>
            <w:r>
              <w:rPr>
                <w:rFonts w:eastAsia="Times New Roman"/>
                <w:sz w:val="20"/>
                <w:szCs w:val="20"/>
              </w:rPr>
              <w:t> </w:t>
            </w:r>
          </w:p>
        </w:tc>
      </w:tr>
      <w:tr w:rsidR="00000000" w14:paraId="6FDC531A" w14:textId="77777777">
        <w:tc>
          <w:tcPr>
            <w:tcW w:w="0" w:type="auto"/>
            <w:shd w:val="clear" w:color="auto" w:fill="CCEEFF"/>
            <w:vAlign w:val="bottom"/>
            <w:hideMark/>
          </w:tcPr>
          <w:p w14:paraId="64F49A3C" w14:textId="77777777" w:rsidR="00000000" w:rsidRDefault="00D6065B">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14:paraId="16CDDF7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1BE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C930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D1AEC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B52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FB62A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05961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5C9566" w14:textId="77777777" w:rsidR="00000000" w:rsidRDefault="00D6065B">
            <w:pPr>
              <w:rPr>
                <w:rFonts w:eastAsia="Times New Roman"/>
                <w:sz w:val="20"/>
                <w:szCs w:val="20"/>
              </w:rPr>
            </w:pPr>
            <w:r>
              <w:rPr>
                <w:rFonts w:eastAsia="Times New Roman"/>
                <w:sz w:val="20"/>
                <w:szCs w:val="20"/>
              </w:rPr>
              <w:t> </w:t>
            </w:r>
          </w:p>
        </w:tc>
      </w:tr>
      <w:tr w:rsidR="00000000" w14:paraId="164142AF" w14:textId="77777777">
        <w:tc>
          <w:tcPr>
            <w:tcW w:w="0" w:type="auto"/>
            <w:shd w:val="clear" w:color="auto" w:fill="FFFFFF"/>
            <w:tcMar>
              <w:top w:w="0" w:type="dxa"/>
              <w:left w:w="200" w:type="dxa"/>
              <w:bottom w:w="50" w:type="dxa"/>
              <w:right w:w="0" w:type="dxa"/>
            </w:tcMar>
            <w:vAlign w:val="bottom"/>
            <w:hideMark/>
          </w:tcPr>
          <w:p w14:paraId="726CFFC2" w14:textId="77777777" w:rsidR="00000000" w:rsidRDefault="00D6065B">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14:paraId="5A9CA44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657C3F6"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00591B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0B472D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A6C65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14242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1BC4550" w14:textId="77777777" w:rsidR="00000000" w:rsidRDefault="00D6065B">
            <w:pPr>
              <w:jc w:val="right"/>
              <w:rPr>
                <w:rFonts w:eastAsia="Times New Roman"/>
                <w:sz w:val="20"/>
                <w:szCs w:val="20"/>
              </w:rPr>
            </w:pPr>
            <w:r>
              <w:rPr>
                <w:rFonts w:eastAsia="Times New Roman"/>
                <w:sz w:val="20"/>
                <w:szCs w:val="20"/>
              </w:rPr>
              <w:t>7,500</w:t>
            </w:r>
          </w:p>
        </w:tc>
        <w:tc>
          <w:tcPr>
            <w:tcW w:w="0" w:type="auto"/>
            <w:shd w:val="clear" w:color="auto" w:fill="FFFFFF"/>
            <w:tcMar>
              <w:top w:w="0" w:type="dxa"/>
              <w:left w:w="0" w:type="dxa"/>
              <w:bottom w:w="50" w:type="dxa"/>
              <w:right w:w="0" w:type="dxa"/>
            </w:tcMar>
            <w:vAlign w:val="bottom"/>
            <w:hideMark/>
          </w:tcPr>
          <w:p w14:paraId="4EBBD0AC" w14:textId="77777777" w:rsidR="00000000" w:rsidRDefault="00D6065B">
            <w:pPr>
              <w:rPr>
                <w:rFonts w:eastAsia="Times New Roman"/>
                <w:sz w:val="20"/>
                <w:szCs w:val="20"/>
              </w:rPr>
            </w:pPr>
            <w:r>
              <w:rPr>
                <w:rFonts w:eastAsia="Times New Roman"/>
                <w:sz w:val="20"/>
                <w:szCs w:val="20"/>
              </w:rPr>
              <w:t> </w:t>
            </w:r>
          </w:p>
        </w:tc>
      </w:tr>
      <w:tr w:rsidR="00000000" w14:paraId="68AB1462" w14:textId="77777777">
        <w:tc>
          <w:tcPr>
            <w:tcW w:w="0" w:type="auto"/>
            <w:shd w:val="clear" w:color="auto" w:fill="CCEEFF"/>
            <w:vAlign w:val="bottom"/>
            <w:hideMark/>
          </w:tcPr>
          <w:p w14:paraId="60A7F2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11C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5C6E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C44D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7AADE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F163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33F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31D1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CFE5AD" w14:textId="77777777" w:rsidR="00000000" w:rsidRDefault="00D6065B">
            <w:pPr>
              <w:rPr>
                <w:rFonts w:eastAsia="Times New Roman"/>
                <w:sz w:val="20"/>
                <w:szCs w:val="20"/>
              </w:rPr>
            </w:pPr>
            <w:r>
              <w:rPr>
                <w:rFonts w:eastAsia="Times New Roman"/>
                <w:sz w:val="20"/>
                <w:szCs w:val="20"/>
              </w:rPr>
              <w:t> </w:t>
            </w:r>
          </w:p>
        </w:tc>
      </w:tr>
      <w:tr w:rsidR="00000000" w14:paraId="1545DB89" w14:textId="77777777">
        <w:tc>
          <w:tcPr>
            <w:tcW w:w="0" w:type="auto"/>
            <w:shd w:val="clear" w:color="auto" w:fill="FFFFFF"/>
            <w:tcMar>
              <w:top w:w="0" w:type="dxa"/>
              <w:left w:w="200" w:type="dxa"/>
              <w:bottom w:w="50" w:type="dxa"/>
              <w:right w:w="0" w:type="dxa"/>
            </w:tcMar>
            <w:vAlign w:val="bottom"/>
            <w:hideMark/>
          </w:tcPr>
          <w:p w14:paraId="0639DB15" w14:textId="77777777" w:rsidR="00000000" w:rsidRDefault="00D6065B">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14:paraId="7496622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8418FB2"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6328BC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C297B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E861D7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25D499"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59AE0C"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376F29A" w14:textId="77777777" w:rsidR="00000000" w:rsidRDefault="00D6065B">
            <w:pPr>
              <w:rPr>
                <w:rFonts w:eastAsia="Times New Roman"/>
                <w:sz w:val="20"/>
                <w:szCs w:val="20"/>
              </w:rPr>
            </w:pPr>
            <w:r>
              <w:rPr>
                <w:rFonts w:eastAsia="Times New Roman"/>
                <w:sz w:val="20"/>
                <w:szCs w:val="20"/>
              </w:rPr>
              <w:t> </w:t>
            </w:r>
          </w:p>
        </w:tc>
      </w:tr>
      <w:tr w:rsidR="00000000" w14:paraId="587BF995" w14:textId="77777777">
        <w:tc>
          <w:tcPr>
            <w:tcW w:w="0" w:type="auto"/>
            <w:shd w:val="clear" w:color="auto" w:fill="CCEEFF"/>
            <w:vAlign w:val="bottom"/>
            <w:hideMark/>
          </w:tcPr>
          <w:p w14:paraId="3403C53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20D3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224A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5693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13676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2F2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D1AE0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EF3B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A8F997" w14:textId="77777777" w:rsidR="00000000" w:rsidRDefault="00D6065B">
            <w:pPr>
              <w:rPr>
                <w:rFonts w:eastAsia="Times New Roman"/>
                <w:sz w:val="20"/>
                <w:szCs w:val="20"/>
              </w:rPr>
            </w:pPr>
            <w:r>
              <w:rPr>
                <w:rFonts w:eastAsia="Times New Roman"/>
                <w:sz w:val="20"/>
                <w:szCs w:val="20"/>
              </w:rPr>
              <w:t> </w:t>
            </w:r>
          </w:p>
        </w:tc>
      </w:tr>
      <w:tr w:rsidR="00000000" w14:paraId="5A8EB88F" w14:textId="77777777">
        <w:tc>
          <w:tcPr>
            <w:tcW w:w="0" w:type="auto"/>
            <w:shd w:val="clear" w:color="auto" w:fill="FFFFFF"/>
            <w:vAlign w:val="bottom"/>
            <w:hideMark/>
          </w:tcPr>
          <w:p w14:paraId="2722C044" w14:textId="77777777" w:rsidR="00000000" w:rsidRDefault="00D6065B">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14:paraId="7B36C33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EB54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22A9B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D6148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DE04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6E58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F80E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1054B7" w14:textId="77777777" w:rsidR="00000000" w:rsidRDefault="00D6065B">
            <w:pPr>
              <w:rPr>
                <w:rFonts w:eastAsia="Times New Roman"/>
                <w:sz w:val="20"/>
                <w:szCs w:val="20"/>
              </w:rPr>
            </w:pPr>
            <w:r>
              <w:rPr>
                <w:rFonts w:eastAsia="Times New Roman"/>
                <w:sz w:val="20"/>
                <w:szCs w:val="20"/>
              </w:rPr>
              <w:t> </w:t>
            </w:r>
          </w:p>
        </w:tc>
      </w:tr>
      <w:tr w:rsidR="00000000" w14:paraId="73EAE443" w14:textId="77777777">
        <w:tc>
          <w:tcPr>
            <w:tcW w:w="0" w:type="auto"/>
            <w:shd w:val="clear" w:color="auto" w:fill="CCEEFF"/>
            <w:vAlign w:val="bottom"/>
            <w:hideMark/>
          </w:tcPr>
          <w:p w14:paraId="304B3C1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DE9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6FF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7173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318A1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8B85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3145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0EC3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F27E79" w14:textId="77777777" w:rsidR="00000000" w:rsidRDefault="00D6065B">
            <w:pPr>
              <w:rPr>
                <w:rFonts w:eastAsia="Times New Roman"/>
                <w:sz w:val="20"/>
                <w:szCs w:val="20"/>
              </w:rPr>
            </w:pPr>
            <w:r>
              <w:rPr>
                <w:rFonts w:eastAsia="Times New Roman"/>
                <w:sz w:val="20"/>
                <w:szCs w:val="20"/>
              </w:rPr>
              <w:t> </w:t>
            </w:r>
          </w:p>
        </w:tc>
      </w:tr>
      <w:tr w:rsidR="00000000" w14:paraId="2C0AE064" w14:textId="77777777">
        <w:tc>
          <w:tcPr>
            <w:tcW w:w="0" w:type="auto"/>
            <w:shd w:val="clear" w:color="auto" w:fill="FFFFFF"/>
            <w:tcMar>
              <w:top w:w="0" w:type="dxa"/>
              <w:left w:w="0" w:type="dxa"/>
              <w:bottom w:w="50" w:type="dxa"/>
              <w:right w:w="0" w:type="dxa"/>
            </w:tcMar>
            <w:vAlign w:val="bottom"/>
            <w:hideMark/>
          </w:tcPr>
          <w:p w14:paraId="1543C55F" w14:textId="77777777" w:rsidR="00000000" w:rsidRDefault="00D6065B">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14:paraId="63F777B2"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7B7CB9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10B521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A588F6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282167E"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A5C2D5"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301DF4" w14:textId="77777777" w:rsidR="00000000" w:rsidRDefault="00D6065B">
            <w:pPr>
              <w:jc w:val="right"/>
              <w:rPr>
                <w:rFonts w:eastAsia="Times New Roman"/>
                <w:sz w:val="20"/>
                <w:szCs w:val="20"/>
              </w:rPr>
            </w:pPr>
            <w:r>
              <w:rPr>
                <w:rFonts w:eastAsia="Times New Roman"/>
                <w:sz w:val="20"/>
                <w:szCs w:val="20"/>
              </w:rPr>
              <w:t>174,386</w:t>
            </w:r>
          </w:p>
        </w:tc>
        <w:tc>
          <w:tcPr>
            <w:tcW w:w="0" w:type="auto"/>
            <w:shd w:val="clear" w:color="auto" w:fill="FFFFFF"/>
            <w:tcMar>
              <w:top w:w="0" w:type="dxa"/>
              <w:left w:w="0" w:type="dxa"/>
              <w:bottom w:w="50" w:type="dxa"/>
              <w:right w:w="0" w:type="dxa"/>
            </w:tcMar>
            <w:vAlign w:val="bottom"/>
            <w:hideMark/>
          </w:tcPr>
          <w:p w14:paraId="15F9D270" w14:textId="77777777" w:rsidR="00000000" w:rsidRDefault="00D6065B">
            <w:pPr>
              <w:rPr>
                <w:rFonts w:eastAsia="Times New Roman"/>
                <w:sz w:val="20"/>
                <w:szCs w:val="20"/>
              </w:rPr>
            </w:pPr>
            <w:r>
              <w:rPr>
                <w:rFonts w:eastAsia="Times New Roman"/>
                <w:sz w:val="20"/>
                <w:szCs w:val="20"/>
              </w:rPr>
              <w:t> </w:t>
            </w:r>
          </w:p>
        </w:tc>
      </w:tr>
      <w:tr w:rsidR="00000000" w14:paraId="24F8CD03" w14:textId="77777777">
        <w:tc>
          <w:tcPr>
            <w:tcW w:w="0" w:type="auto"/>
            <w:shd w:val="clear" w:color="auto" w:fill="CCEEFF"/>
            <w:tcMar>
              <w:top w:w="0" w:type="dxa"/>
              <w:left w:w="0" w:type="dxa"/>
              <w:bottom w:w="50" w:type="dxa"/>
              <w:right w:w="0" w:type="dxa"/>
            </w:tcMar>
            <w:vAlign w:val="bottom"/>
            <w:hideMark/>
          </w:tcPr>
          <w:p w14:paraId="384F1DAB" w14:textId="77777777" w:rsidR="00000000" w:rsidRDefault="00D6065B">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tcMar>
              <w:top w:w="0" w:type="dxa"/>
              <w:left w:w="0" w:type="dxa"/>
              <w:bottom w:w="50" w:type="dxa"/>
              <w:right w:w="0" w:type="dxa"/>
            </w:tcMar>
            <w:vAlign w:val="bottom"/>
            <w:hideMark/>
          </w:tcPr>
          <w:p w14:paraId="4E31EB95"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27916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501702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337BB3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C16184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6AE39D4"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4ED525C" w14:textId="77777777" w:rsidR="00000000" w:rsidRDefault="00D6065B">
            <w:pPr>
              <w:jc w:val="right"/>
              <w:rPr>
                <w:rFonts w:eastAsia="Times New Roman"/>
                <w:sz w:val="20"/>
                <w:szCs w:val="20"/>
              </w:rPr>
            </w:pPr>
            <w:r>
              <w:rPr>
                <w:rFonts w:eastAsia="Times New Roman"/>
                <w:sz w:val="20"/>
                <w:szCs w:val="20"/>
              </w:rPr>
              <w:t>28,482</w:t>
            </w:r>
          </w:p>
        </w:tc>
        <w:tc>
          <w:tcPr>
            <w:tcW w:w="0" w:type="auto"/>
            <w:shd w:val="clear" w:color="auto" w:fill="CCEEFF"/>
            <w:tcMar>
              <w:top w:w="0" w:type="dxa"/>
              <w:left w:w="0" w:type="dxa"/>
              <w:bottom w:w="50" w:type="dxa"/>
              <w:right w:w="0" w:type="dxa"/>
            </w:tcMar>
            <w:vAlign w:val="bottom"/>
            <w:hideMark/>
          </w:tcPr>
          <w:p w14:paraId="1F7D4CD2" w14:textId="77777777" w:rsidR="00000000" w:rsidRDefault="00D6065B">
            <w:pPr>
              <w:rPr>
                <w:rFonts w:eastAsia="Times New Roman"/>
                <w:sz w:val="20"/>
                <w:szCs w:val="20"/>
              </w:rPr>
            </w:pPr>
            <w:r>
              <w:rPr>
                <w:rFonts w:eastAsia="Times New Roman"/>
                <w:sz w:val="20"/>
                <w:szCs w:val="20"/>
              </w:rPr>
              <w:t> </w:t>
            </w:r>
          </w:p>
        </w:tc>
      </w:tr>
      <w:tr w:rsidR="00000000" w14:paraId="6E6A00D1" w14:textId="77777777">
        <w:tc>
          <w:tcPr>
            <w:tcW w:w="0" w:type="auto"/>
            <w:shd w:val="clear" w:color="auto" w:fill="FFFFFF"/>
            <w:tcMar>
              <w:top w:w="0" w:type="dxa"/>
              <w:left w:w="0" w:type="dxa"/>
              <w:bottom w:w="50" w:type="dxa"/>
              <w:right w:w="0" w:type="dxa"/>
            </w:tcMar>
            <w:vAlign w:val="bottom"/>
            <w:hideMark/>
          </w:tcPr>
          <w:p w14:paraId="77DDB2D2" w14:textId="77777777" w:rsidR="00000000" w:rsidRDefault="00D6065B">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FFFFFF"/>
            <w:tcMar>
              <w:top w:w="0" w:type="dxa"/>
              <w:left w:w="0" w:type="dxa"/>
              <w:bottom w:w="50" w:type="dxa"/>
              <w:right w:w="0" w:type="dxa"/>
            </w:tcMar>
            <w:vAlign w:val="bottom"/>
            <w:hideMark/>
          </w:tcPr>
          <w:p w14:paraId="0F220E1D"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8430B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4D0569" w14:textId="77777777" w:rsidR="00000000" w:rsidRDefault="00D6065B">
            <w:pPr>
              <w:jc w:val="right"/>
              <w:rPr>
                <w:rFonts w:eastAsia="Times New Roman"/>
                <w:sz w:val="20"/>
                <w:szCs w:val="20"/>
              </w:rPr>
            </w:pPr>
            <w:r>
              <w:rPr>
                <w:rFonts w:eastAsia="Times New Roman"/>
                <w:sz w:val="20"/>
                <w:szCs w:val="20"/>
              </w:rPr>
              <w:t>50,370</w:t>
            </w:r>
          </w:p>
        </w:tc>
        <w:tc>
          <w:tcPr>
            <w:tcW w:w="0" w:type="auto"/>
            <w:shd w:val="clear" w:color="auto" w:fill="FFFFFF"/>
            <w:tcMar>
              <w:top w:w="0" w:type="dxa"/>
              <w:left w:w="0" w:type="dxa"/>
              <w:bottom w:w="50" w:type="dxa"/>
              <w:right w:w="0" w:type="dxa"/>
            </w:tcMar>
            <w:vAlign w:val="bottom"/>
            <w:hideMark/>
          </w:tcPr>
          <w:p w14:paraId="0FD58AC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E3AA57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AEB0C56"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6454956" w14:textId="77777777" w:rsidR="00000000" w:rsidRDefault="00D6065B">
            <w:pPr>
              <w:jc w:val="right"/>
              <w:rPr>
                <w:rFonts w:eastAsia="Times New Roman"/>
                <w:sz w:val="20"/>
                <w:szCs w:val="20"/>
              </w:rPr>
            </w:pPr>
            <w:r>
              <w:rPr>
                <w:rFonts w:eastAsia="Times New Roman"/>
                <w:sz w:val="20"/>
                <w:szCs w:val="20"/>
              </w:rPr>
              <w:t>651,044</w:t>
            </w:r>
          </w:p>
        </w:tc>
        <w:tc>
          <w:tcPr>
            <w:tcW w:w="0" w:type="auto"/>
            <w:shd w:val="clear" w:color="auto" w:fill="FFFFFF"/>
            <w:tcMar>
              <w:top w:w="0" w:type="dxa"/>
              <w:left w:w="0" w:type="dxa"/>
              <w:bottom w:w="50" w:type="dxa"/>
              <w:right w:w="0" w:type="dxa"/>
            </w:tcMar>
            <w:vAlign w:val="bottom"/>
            <w:hideMark/>
          </w:tcPr>
          <w:p w14:paraId="4B1B3917" w14:textId="77777777" w:rsidR="00000000" w:rsidRDefault="00D6065B">
            <w:pPr>
              <w:rPr>
                <w:rFonts w:eastAsia="Times New Roman"/>
                <w:sz w:val="20"/>
                <w:szCs w:val="20"/>
              </w:rPr>
            </w:pPr>
            <w:r>
              <w:rPr>
                <w:rFonts w:eastAsia="Times New Roman"/>
                <w:sz w:val="20"/>
                <w:szCs w:val="20"/>
              </w:rPr>
              <w:t> </w:t>
            </w:r>
          </w:p>
        </w:tc>
      </w:tr>
      <w:tr w:rsidR="00000000" w14:paraId="03535A47" w14:textId="77777777">
        <w:tc>
          <w:tcPr>
            <w:tcW w:w="0" w:type="auto"/>
            <w:shd w:val="clear" w:color="auto" w:fill="CCEEFF"/>
            <w:tcMar>
              <w:top w:w="0" w:type="dxa"/>
              <w:left w:w="0" w:type="dxa"/>
              <w:bottom w:w="50" w:type="dxa"/>
              <w:right w:w="0" w:type="dxa"/>
            </w:tcMar>
            <w:vAlign w:val="bottom"/>
            <w:hideMark/>
          </w:tcPr>
          <w:p w14:paraId="73AE4D7B" w14:textId="77777777" w:rsidR="00000000" w:rsidRDefault="00D6065B">
            <w:pPr>
              <w:rPr>
                <w:rFonts w:eastAsia="Times New Roman"/>
                <w:sz w:val="20"/>
                <w:szCs w:val="20"/>
              </w:rPr>
            </w:pPr>
            <w:r>
              <w:rPr>
                <w:rFonts w:eastAsia="Times New Roman"/>
                <w:sz w:val="20"/>
                <w:szCs w:val="20"/>
              </w:rPr>
              <w:t>Common stock issued in cashless exercise of warrants</w:t>
            </w:r>
          </w:p>
        </w:tc>
        <w:tc>
          <w:tcPr>
            <w:tcW w:w="0" w:type="auto"/>
            <w:shd w:val="clear" w:color="auto" w:fill="CCEEFF"/>
            <w:tcMar>
              <w:top w:w="0" w:type="dxa"/>
              <w:left w:w="0" w:type="dxa"/>
              <w:bottom w:w="50" w:type="dxa"/>
              <w:right w:w="0" w:type="dxa"/>
            </w:tcMar>
            <w:vAlign w:val="bottom"/>
            <w:hideMark/>
          </w:tcPr>
          <w:p w14:paraId="00DF55C2"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E9A08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BF7B70" w14:textId="77777777" w:rsidR="00000000" w:rsidRDefault="00D6065B">
            <w:pPr>
              <w:jc w:val="right"/>
              <w:rPr>
                <w:rFonts w:eastAsia="Times New Roman"/>
                <w:sz w:val="20"/>
                <w:szCs w:val="20"/>
              </w:rPr>
            </w:pPr>
            <w:r>
              <w:rPr>
                <w:rFonts w:eastAsia="Times New Roman"/>
                <w:sz w:val="20"/>
                <w:szCs w:val="20"/>
              </w:rPr>
              <w:t>3,870</w:t>
            </w:r>
          </w:p>
        </w:tc>
        <w:tc>
          <w:tcPr>
            <w:tcW w:w="0" w:type="auto"/>
            <w:shd w:val="clear" w:color="auto" w:fill="CCEEFF"/>
            <w:tcMar>
              <w:top w:w="0" w:type="dxa"/>
              <w:left w:w="0" w:type="dxa"/>
              <w:bottom w:w="50" w:type="dxa"/>
              <w:right w:w="0" w:type="dxa"/>
            </w:tcMar>
            <w:vAlign w:val="bottom"/>
            <w:hideMark/>
          </w:tcPr>
          <w:p w14:paraId="77EF3F5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05E691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F1EC6C"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07C20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0AA60E0" w14:textId="77777777" w:rsidR="00000000" w:rsidRDefault="00D6065B">
            <w:pPr>
              <w:rPr>
                <w:rFonts w:eastAsia="Times New Roman"/>
                <w:sz w:val="20"/>
                <w:szCs w:val="20"/>
              </w:rPr>
            </w:pPr>
            <w:r>
              <w:rPr>
                <w:rFonts w:eastAsia="Times New Roman"/>
                <w:sz w:val="20"/>
                <w:szCs w:val="20"/>
              </w:rPr>
              <w:t> </w:t>
            </w:r>
          </w:p>
        </w:tc>
      </w:tr>
      <w:tr w:rsidR="00000000" w14:paraId="0EF79B07" w14:textId="77777777">
        <w:tc>
          <w:tcPr>
            <w:tcW w:w="0" w:type="auto"/>
            <w:shd w:val="clear" w:color="auto" w:fill="FFFFFF"/>
            <w:tcMar>
              <w:top w:w="0" w:type="dxa"/>
              <w:left w:w="0" w:type="dxa"/>
              <w:bottom w:w="50" w:type="dxa"/>
              <w:right w:w="0" w:type="dxa"/>
            </w:tcMar>
            <w:vAlign w:val="bottom"/>
            <w:hideMark/>
          </w:tcPr>
          <w:p w14:paraId="2FBB14A9" w14:textId="77777777" w:rsidR="00000000" w:rsidRDefault="00D6065B">
            <w:pPr>
              <w:rPr>
                <w:rFonts w:eastAsia="Times New Roman"/>
                <w:sz w:val="20"/>
                <w:szCs w:val="20"/>
              </w:rPr>
            </w:pPr>
            <w:r>
              <w:rPr>
                <w:rFonts w:eastAsia="Times New Roman"/>
                <w:sz w:val="20"/>
                <w:szCs w:val="20"/>
              </w:rPr>
              <w:t>RSUs vested into common stock</w:t>
            </w:r>
          </w:p>
        </w:tc>
        <w:tc>
          <w:tcPr>
            <w:tcW w:w="0" w:type="auto"/>
            <w:shd w:val="clear" w:color="auto" w:fill="FFFFFF"/>
            <w:tcMar>
              <w:top w:w="0" w:type="dxa"/>
              <w:left w:w="0" w:type="dxa"/>
              <w:bottom w:w="50" w:type="dxa"/>
              <w:right w:w="0" w:type="dxa"/>
            </w:tcMar>
            <w:vAlign w:val="bottom"/>
            <w:hideMark/>
          </w:tcPr>
          <w:p w14:paraId="37145A15"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2D0BB6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CB36911" w14:textId="77777777" w:rsidR="00000000" w:rsidRDefault="00D6065B">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50" w:type="dxa"/>
              <w:right w:w="0" w:type="dxa"/>
            </w:tcMar>
            <w:vAlign w:val="bottom"/>
            <w:hideMark/>
          </w:tcPr>
          <w:p w14:paraId="49D27F8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B741DEA"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0AC5DB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F9523A9"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785B181" w14:textId="77777777" w:rsidR="00000000" w:rsidRDefault="00D6065B">
            <w:pPr>
              <w:rPr>
                <w:rFonts w:eastAsia="Times New Roman"/>
                <w:sz w:val="20"/>
                <w:szCs w:val="20"/>
              </w:rPr>
            </w:pPr>
            <w:r>
              <w:rPr>
                <w:rFonts w:eastAsia="Times New Roman"/>
                <w:sz w:val="20"/>
                <w:szCs w:val="20"/>
              </w:rPr>
              <w:t> </w:t>
            </w:r>
          </w:p>
        </w:tc>
      </w:tr>
      <w:tr w:rsidR="00000000" w14:paraId="0E948870" w14:textId="77777777">
        <w:tc>
          <w:tcPr>
            <w:tcW w:w="0" w:type="auto"/>
            <w:shd w:val="clear" w:color="auto" w:fill="CCEEFF"/>
            <w:tcMar>
              <w:top w:w="0" w:type="dxa"/>
              <w:left w:w="0" w:type="dxa"/>
              <w:bottom w:w="50" w:type="dxa"/>
              <w:right w:w="0" w:type="dxa"/>
            </w:tcMar>
            <w:vAlign w:val="bottom"/>
            <w:hideMark/>
          </w:tcPr>
          <w:p w14:paraId="4C030401" w14:textId="77777777" w:rsidR="00000000" w:rsidRDefault="00D6065B">
            <w:pPr>
              <w:rPr>
                <w:rFonts w:eastAsia="Times New Roman"/>
                <w:sz w:val="20"/>
                <w:szCs w:val="20"/>
              </w:rPr>
            </w:pPr>
            <w:r>
              <w:rPr>
                <w:rFonts w:eastAsia="Times New Roman"/>
                <w:sz w:val="20"/>
                <w:szCs w:val="20"/>
              </w:rPr>
              <w:t>Accounts payable converted into shares of common stock</w:t>
            </w:r>
          </w:p>
        </w:tc>
        <w:tc>
          <w:tcPr>
            <w:tcW w:w="0" w:type="auto"/>
            <w:shd w:val="clear" w:color="auto" w:fill="CCEEFF"/>
            <w:tcMar>
              <w:top w:w="0" w:type="dxa"/>
              <w:left w:w="0" w:type="dxa"/>
              <w:bottom w:w="50" w:type="dxa"/>
              <w:right w:w="0" w:type="dxa"/>
            </w:tcMar>
            <w:vAlign w:val="bottom"/>
            <w:hideMark/>
          </w:tcPr>
          <w:p w14:paraId="2ABD7780"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9E3AD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4560E3" w14:textId="77777777" w:rsidR="00000000" w:rsidRDefault="00D6065B">
            <w:pPr>
              <w:jc w:val="right"/>
              <w:rPr>
                <w:rFonts w:eastAsia="Times New Roman"/>
                <w:sz w:val="20"/>
                <w:szCs w:val="20"/>
              </w:rPr>
            </w:pPr>
            <w:r>
              <w:rPr>
                <w:rFonts w:eastAsia="Times New Roman"/>
                <w:sz w:val="20"/>
                <w:szCs w:val="20"/>
              </w:rPr>
              <w:t>90,000</w:t>
            </w:r>
          </w:p>
        </w:tc>
        <w:tc>
          <w:tcPr>
            <w:tcW w:w="0" w:type="auto"/>
            <w:shd w:val="clear" w:color="auto" w:fill="CCEEFF"/>
            <w:tcMar>
              <w:top w:w="0" w:type="dxa"/>
              <w:left w:w="0" w:type="dxa"/>
              <w:bottom w:w="50" w:type="dxa"/>
              <w:right w:w="0" w:type="dxa"/>
            </w:tcMar>
            <w:vAlign w:val="bottom"/>
            <w:hideMark/>
          </w:tcPr>
          <w:p w14:paraId="76A2E98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2E61D63"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02391B"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D5587FE"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54EE42E" w14:textId="77777777" w:rsidR="00000000" w:rsidRDefault="00D6065B">
            <w:pPr>
              <w:rPr>
                <w:rFonts w:eastAsia="Times New Roman"/>
                <w:sz w:val="20"/>
                <w:szCs w:val="20"/>
              </w:rPr>
            </w:pPr>
            <w:r>
              <w:rPr>
                <w:rFonts w:eastAsia="Times New Roman"/>
                <w:sz w:val="20"/>
                <w:szCs w:val="20"/>
              </w:rPr>
              <w:t> </w:t>
            </w:r>
          </w:p>
        </w:tc>
      </w:tr>
      <w:tr w:rsidR="00000000" w14:paraId="05B91195" w14:textId="77777777">
        <w:tc>
          <w:tcPr>
            <w:tcW w:w="0" w:type="auto"/>
            <w:shd w:val="clear" w:color="auto" w:fill="FFFFFF"/>
            <w:tcMar>
              <w:top w:w="0" w:type="dxa"/>
              <w:left w:w="0" w:type="dxa"/>
              <w:bottom w:w="50" w:type="dxa"/>
              <w:right w:w="0" w:type="dxa"/>
            </w:tcMar>
            <w:vAlign w:val="bottom"/>
            <w:hideMark/>
          </w:tcPr>
          <w:p w14:paraId="7342EE5A" w14:textId="77777777" w:rsidR="00000000" w:rsidRDefault="00D6065B">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FFFFFF"/>
            <w:tcMar>
              <w:top w:w="0" w:type="dxa"/>
              <w:left w:w="0" w:type="dxa"/>
              <w:bottom w:w="50" w:type="dxa"/>
              <w:right w:w="0" w:type="dxa"/>
            </w:tcMar>
            <w:vAlign w:val="bottom"/>
            <w:hideMark/>
          </w:tcPr>
          <w:p w14:paraId="69BEDF5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8AF521"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FEADBBE" w14:textId="77777777" w:rsidR="00000000" w:rsidRDefault="00D6065B">
            <w:pPr>
              <w:jc w:val="right"/>
              <w:rPr>
                <w:rFonts w:eastAsia="Times New Roman"/>
                <w:sz w:val="20"/>
                <w:szCs w:val="20"/>
              </w:rPr>
            </w:pPr>
            <w:r>
              <w:rPr>
                <w:rFonts w:eastAsia="Times New Roman"/>
                <w:sz w:val="20"/>
                <w:szCs w:val="20"/>
              </w:rPr>
              <w:t>60,000</w:t>
            </w:r>
          </w:p>
        </w:tc>
        <w:tc>
          <w:tcPr>
            <w:tcW w:w="0" w:type="auto"/>
            <w:shd w:val="clear" w:color="auto" w:fill="FFFFFF"/>
            <w:tcMar>
              <w:top w:w="0" w:type="dxa"/>
              <w:left w:w="0" w:type="dxa"/>
              <w:bottom w:w="50" w:type="dxa"/>
              <w:right w:w="0" w:type="dxa"/>
            </w:tcMar>
            <w:vAlign w:val="bottom"/>
            <w:hideMark/>
          </w:tcPr>
          <w:p w14:paraId="0FFCB8F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D503391"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D73418"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2F63E48"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BC02786" w14:textId="77777777" w:rsidR="00000000" w:rsidRDefault="00D6065B">
            <w:pPr>
              <w:rPr>
                <w:rFonts w:eastAsia="Times New Roman"/>
                <w:sz w:val="20"/>
                <w:szCs w:val="20"/>
              </w:rPr>
            </w:pPr>
            <w:r>
              <w:rPr>
                <w:rFonts w:eastAsia="Times New Roman"/>
                <w:sz w:val="20"/>
                <w:szCs w:val="20"/>
              </w:rPr>
              <w:t> </w:t>
            </w:r>
          </w:p>
        </w:tc>
      </w:tr>
    </w:tbl>
    <w:p w14:paraId="27E422B3" w14:textId="77777777" w:rsidR="00000000" w:rsidRDefault="00D6065B">
      <w:pPr>
        <w:pStyle w:val="a3"/>
        <w:spacing w:before="0" w:beforeAutospacing="0" w:after="0" w:afterAutospacing="0"/>
        <w:jc w:val="center"/>
        <w:rPr>
          <w:sz w:val="20"/>
          <w:szCs w:val="20"/>
        </w:rPr>
      </w:pPr>
      <w:r>
        <w:rPr>
          <w:sz w:val="20"/>
          <w:szCs w:val="20"/>
        </w:rPr>
        <w:t> </w:t>
      </w:r>
    </w:p>
    <w:p w14:paraId="7613EEE3" w14:textId="77777777" w:rsidR="00000000" w:rsidRDefault="00D6065B">
      <w:pPr>
        <w:pStyle w:val="a3"/>
        <w:spacing w:before="0" w:beforeAutospacing="0" w:after="0" w:afterAutospacing="0"/>
        <w:jc w:val="center"/>
        <w:rPr>
          <w:sz w:val="20"/>
          <w:szCs w:val="20"/>
        </w:rPr>
      </w:pPr>
      <w:r>
        <w:rPr>
          <w:sz w:val="20"/>
          <w:szCs w:val="20"/>
        </w:rPr>
        <w:t>The accompanying notes are an integral part of these financial statements.</w:t>
      </w:r>
    </w:p>
    <w:p w14:paraId="75C06DB4"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B8A4CDE" w14:textId="77777777">
        <w:trPr>
          <w:divId w:val="1110586171"/>
        </w:trPr>
        <w:tc>
          <w:tcPr>
            <w:tcW w:w="5000" w:type="pct"/>
            <w:hideMark/>
          </w:tcPr>
          <w:p w14:paraId="723D7A50" w14:textId="77777777" w:rsidR="00000000" w:rsidRDefault="00D6065B">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60E3A0A2" w14:textId="77777777">
        <w:tc>
          <w:tcPr>
            <w:tcW w:w="5000" w:type="pct"/>
            <w:hideMark/>
          </w:tcPr>
          <w:p w14:paraId="43B3B997" w14:textId="77777777" w:rsidR="00000000" w:rsidRDefault="00D6065B">
            <w:pPr>
              <w:jc w:val="center"/>
              <w:rPr>
                <w:rFonts w:eastAsia="Times New Roman"/>
                <w:sz w:val="20"/>
                <w:szCs w:val="20"/>
              </w:rPr>
            </w:pPr>
            <w:r>
              <w:rPr>
                <w:rFonts w:eastAsia="Times New Roman"/>
                <w:sz w:val="20"/>
                <w:szCs w:val="20"/>
              </w:rPr>
              <w:t> </w:t>
            </w:r>
          </w:p>
        </w:tc>
      </w:tr>
    </w:tbl>
    <w:p w14:paraId="17964B55" w14:textId="77777777" w:rsidR="00000000" w:rsidRDefault="00D6065B">
      <w:pPr>
        <w:pStyle w:val="a3"/>
        <w:spacing w:before="0" w:beforeAutospacing="0" w:after="0" w:afterAutospacing="0"/>
        <w:jc w:val="center"/>
        <w:rPr>
          <w:sz w:val="20"/>
          <w:szCs w:val="20"/>
        </w:rPr>
      </w:pPr>
      <w:r>
        <w:rPr>
          <w:sz w:val="20"/>
          <w:szCs w:val="20"/>
        </w:rPr>
        <w:t> </w:t>
      </w:r>
    </w:p>
    <w:p w14:paraId="7BD4C59B" w14:textId="77777777" w:rsidR="00000000" w:rsidRDefault="00D6065B">
      <w:pPr>
        <w:pStyle w:val="a3"/>
        <w:spacing w:before="0" w:beforeAutospacing="0" w:after="0" w:afterAutospacing="0"/>
        <w:jc w:val="center"/>
        <w:rPr>
          <w:sz w:val="20"/>
          <w:szCs w:val="20"/>
        </w:rPr>
      </w:pPr>
      <w:r>
        <w:rPr>
          <w:b/>
          <w:bCs/>
          <w:sz w:val="20"/>
          <w:szCs w:val="20"/>
        </w:rPr>
        <w:t>Vivos Inc.</w:t>
      </w:r>
    </w:p>
    <w:p w14:paraId="2CADC152" w14:textId="77777777" w:rsidR="00000000" w:rsidRDefault="00D6065B">
      <w:pPr>
        <w:pStyle w:val="a3"/>
        <w:spacing w:before="0" w:beforeAutospacing="0" w:after="0" w:afterAutospacing="0"/>
        <w:jc w:val="center"/>
        <w:rPr>
          <w:sz w:val="20"/>
          <w:szCs w:val="20"/>
        </w:rPr>
      </w:pPr>
      <w:r>
        <w:rPr>
          <w:b/>
          <w:bCs/>
          <w:sz w:val="20"/>
          <w:szCs w:val="20"/>
        </w:rPr>
        <w:t xml:space="preserve">Notes </w:t>
      </w:r>
      <w:r>
        <w:rPr>
          <w:b/>
          <w:bCs/>
          <w:sz w:val="20"/>
          <w:szCs w:val="20"/>
        </w:rPr>
        <w:t>to Condensed Financial Statements</w:t>
      </w:r>
    </w:p>
    <w:p w14:paraId="20DE43ED" w14:textId="77777777" w:rsidR="00000000" w:rsidRDefault="00D6065B">
      <w:pPr>
        <w:pStyle w:val="a3"/>
        <w:spacing w:before="0" w:beforeAutospacing="0" w:after="0" w:afterAutospacing="0"/>
        <w:jc w:val="center"/>
        <w:rPr>
          <w:sz w:val="20"/>
          <w:szCs w:val="20"/>
        </w:rPr>
      </w:pPr>
      <w:r>
        <w:rPr>
          <w:b/>
          <w:bCs/>
          <w:sz w:val="20"/>
          <w:szCs w:val="20"/>
        </w:rPr>
        <w:t>(Unaudited)</w:t>
      </w:r>
    </w:p>
    <w:p w14:paraId="09E0AC79" w14:textId="77777777" w:rsidR="00000000" w:rsidRDefault="00D6065B">
      <w:pPr>
        <w:pStyle w:val="a3"/>
        <w:spacing w:before="0" w:beforeAutospacing="0" w:after="0" w:afterAutospacing="0"/>
        <w:jc w:val="center"/>
        <w:rPr>
          <w:sz w:val="20"/>
          <w:szCs w:val="20"/>
        </w:rPr>
      </w:pPr>
      <w:r>
        <w:rPr>
          <w:sz w:val="20"/>
          <w:szCs w:val="20"/>
        </w:rPr>
        <w:t> </w:t>
      </w:r>
    </w:p>
    <w:p w14:paraId="0B455B7A" w14:textId="77777777" w:rsidR="00000000" w:rsidRDefault="00D6065B">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14:paraId="7ED30FAA" w14:textId="77777777" w:rsidR="00000000" w:rsidRDefault="00D6065B">
      <w:pPr>
        <w:pStyle w:val="a3"/>
        <w:spacing w:before="0" w:beforeAutospacing="0" w:after="0" w:afterAutospacing="0"/>
        <w:ind w:firstLine="720"/>
        <w:jc w:val="both"/>
        <w:rPr>
          <w:sz w:val="20"/>
          <w:szCs w:val="20"/>
        </w:rPr>
      </w:pPr>
      <w:r>
        <w:rPr>
          <w:sz w:val="20"/>
          <w:szCs w:val="20"/>
        </w:rPr>
        <w:t> </w:t>
      </w:r>
    </w:p>
    <w:p w14:paraId="020CDD61" w14:textId="77777777" w:rsidR="00000000" w:rsidRDefault="00D6065B">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w:t>
      </w:r>
      <w:r>
        <w:rPr>
          <w:sz w:val="20"/>
          <w:szCs w:val="20"/>
        </w:rPr>
        <w:t>) have been prepared without audit, pursuant to the rules and regulations of the Securities and Exchange Commission. Certain information and disclosures required by accounting principles generally accepted in the United States have been condensed or omitte</w:t>
      </w:r>
      <w:r>
        <w:rPr>
          <w:sz w:val="20"/>
          <w:szCs w:val="20"/>
        </w:rPr>
        <w:t>d pursuant to such rules and regulations. These condensed financial statements reflect all adjustments that, in the opinion of management, are necessary to present fairly the results of operations of the Company for the period presented. The results of ope</w:t>
      </w:r>
      <w:r>
        <w:rPr>
          <w:sz w:val="20"/>
          <w:szCs w:val="20"/>
        </w:rPr>
        <w:t xml:space="preserve">rations for the six months ended June 30, 2021, are not necessarily indicative of the results that may be expected for any future period or the fiscal year ending December 31, 2021 and should be read in conjunction with the Company’s Annual Report on Form </w:t>
      </w:r>
      <w:r>
        <w:rPr>
          <w:sz w:val="20"/>
          <w:szCs w:val="20"/>
        </w:rPr>
        <w:t>10-K for the year ended December 31, 2020, filed with the Securities and Exchange Commission on March 24, 2021.</w:t>
      </w:r>
    </w:p>
    <w:p w14:paraId="42958604" w14:textId="77777777" w:rsidR="00000000" w:rsidRDefault="00D6065B">
      <w:pPr>
        <w:pStyle w:val="a3"/>
        <w:spacing w:before="0" w:beforeAutospacing="0" w:after="0" w:afterAutospacing="0"/>
        <w:jc w:val="both"/>
        <w:rPr>
          <w:sz w:val="20"/>
          <w:szCs w:val="20"/>
        </w:rPr>
      </w:pPr>
      <w:r>
        <w:rPr>
          <w:sz w:val="20"/>
          <w:szCs w:val="20"/>
        </w:rPr>
        <w:t> </w:t>
      </w:r>
    </w:p>
    <w:p w14:paraId="7D430EA2" w14:textId="77777777" w:rsidR="00000000" w:rsidRDefault="00D6065B">
      <w:pPr>
        <w:pStyle w:val="a3"/>
        <w:spacing w:before="0" w:beforeAutospacing="0" w:after="0" w:afterAutospacing="0"/>
        <w:jc w:val="both"/>
        <w:rPr>
          <w:sz w:val="20"/>
          <w:szCs w:val="20"/>
        </w:rPr>
      </w:pPr>
      <w:r>
        <w:rPr>
          <w:b/>
          <w:bCs/>
          <w:sz w:val="20"/>
          <w:szCs w:val="20"/>
        </w:rPr>
        <w:t>Business Overview</w:t>
      </w:r>
    </w:p>
    <w:p w14:paraId="10956320" w14:textId="77777777" w:rsidR="00000000" w:rsidRDefault="00D6065B">
      <w:pPr>
        <w:pStyle w:val="a3"/>
        <w:spacing w:before="0" w:beforeAutospacing="0" w:after="0" w:afterAutospacing="0"/>
        <w:jc w:val="both"/>
        <w:rPr>
          <w:sz w:val="20"/>
          <w:szCs w:val="20"/>
        </w:rPr>
      </w:pPr>
      <w:r>
        <w:rPr>
          <w:sz w:val="20"/>
          <w:szCs w:val="20"/>
        </w:rPr>
        <w:t> </w:t>
      </w:r>
    </w:p>
    <w:p w14:paraId="4E088948" w14:textId="77777777" w:rsidR="00000000" w:rsidRDefault="00D6065B">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w:t>
      </w:r>
      <w:r>
        <w:rPr>
          <w:sz w:val="20"/>
          <w:szCs w:val="20"/>
        </w:rPr>
        <w:t>). On September 6, 2006, the Company changed its name to Advanced Medical Isotope Corporation, and on December 28, 2017, the Company began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w:t>
      </w:r>
      <w:r>
        <w:rPr>
          <w:sz w:val="20"/>
          <w:szCs w:val="20"/>
        </w:rPr>
        <w:t>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14:paraId="38877403" w14:textId="77777777" w:rsidR="00000000" w:rsidRDefault="00D6065B">
      <w:pPr>
        <w:pStyle w:val="a3"/>
        <w:spacing w:before="0" w:beforeAutospacing="0" w:after="0" w:afterAutospacing="0"/>
        <w:jc w:val="both"/>
        <w:rPr>
          <w:sz w:val="20"/>
          <w:szCs w:val="20"/>
        </w:rPr>
      </w:pPr>
      <w:r>
        <w:rPr>
          <w:sz w:val="20"/>
          <w:szCs w:val="20"/>
        </w:rPr>
        <w:t> </w:t>
      </w:r>
    </w:p>
    <w:p w14:paraId="3F7A5D4C" w14:textId="77777777" w:rsidR="00000000" w:rsidRDefault="00D6065B">
      <w:pPr>
        <w:pStyle w:val="a3"/>
        <w:spacing w:before="0" w:beforeAutospacing="0" w:after="0" w:afterAutospacing="0"/>
        <w:jc w:val="both"/>
        <w:rPr>
          <w:sz w:val="20"/>
          <w:szCs w:val="20"/>
        </w:rPr>
      </w:pPr>
      <w:r>
        <w:rPr>
          <w:sz w:val="20"/>
          <w:szCs w:val="20"/>
        </w:rPr>
        <w:t>Our principal place of business is located at 719 Jadwin Avenue, Richland, WA 99352. Our telephone number is (509) 736-4000. Our corporate website address is http://www.radiog</w:t>
      </w:r>
      <w:r>
        <w:rPr>
          <w:sz w:val="20"/>
          <w:szCs w:val="20"/>
        </w:rPr>
        <w:t>el.com. Our common stock is currently quoted on the OTC Pink Marketplace under the symbol “RDGL.”</w:t>
      </w:r>
    </w:p>
    <w:p w14:paraId="545A0E04" w14:textId="77777777" w:rsidR="00000000" w:rsidRDefault="00D6065B">
      <w:pPr>
        <w:pStyle w:val="a3"/>
        <w:spacing w:before="0" w:beforeAutospacing="0" w:after="0" w:afterAutospacing="0"/>
        <w:jc w:val="both"/>
        <w:rPr>
          <w:sz w:val="20"/>
          <w:szCs w:val="20"/>
        </w:rPr>
      </w:pPr>
      <w:r>
        <w:rPr>
          <w:sz w:val="20"/>
          <w:szCs w:val="20"/>
        </w:rPr>
        <w:t> </w:t>
      </w:r>
    </w:p>
    <w:p w14:paraId="1DD88E64" w14:textId="77777777" w:rsidR="00000000" w:rsidRDefault="00D6065B">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w:t>
      </w:r>
      <w:r>
        <w:rPr>
          <w:sz w:val="20"/>
          <w:szCs w:val="20"/>
          <w:vertAlign w:val="superscript"/>
        </w:rPr>
        <w:t>™</w:t>
      </w:r>
      <w:r>
        <w:rPr>
          <w:sz w:val="20"/>
          <w:szCs w:val="20"/>
        </w:rPr>
        <w:t>, for the treat</w:t>
      </w:r>
      <w:r>
        <w:rPr>
          <w:sz w:val="20"/>
          <w:szCs w:val="20"/>
        </w:rPr>
        <w:t>ment of non-resectable tumors. A prominent team of radiochemists, scientists and engineers, collaborating with strategic partners, including national laboratories, universities and private corporations, lead the Company’s development efforts. The Company’s</w:t>
      </w:r>
      <w:r>
        <w:rPr>
          <w:sz w:val="20"/>
          <w:szCs w:val="20"/>
        </w:rPr>
        <w:t xml:space="preserve"> overall vision is to globally empower physicians, medical researchers and patients by providing them with new isotope technologies that offer safe and effective treatments for cancer.</w:t>
      </w:r>
    </w:p>
    <w:p w14:paraId="17DB4B20" w14:textId="77777777" w:rsidR="00000000" w:rsidRDefault="00D6065B">
      <w:pPr>
        <w:pStyle w:val="a3"/>
        <w:spacing w:before="0" w:beforeAutospacing="0" w:after="0" w:afterAutospacing="0"/>
        <w:jc w:val="both"/>
        <w:rPr>
          <w:sz w:val="20"/>
          <w:szCs w:val="20"/>
        </w:rPr>
      </w:pPr>
      <w:r>
        <w:rPr>
          <w:sz w:val="20"/>
          <w:szCs w:val="20"/>
        </w:rPr>
        <w:t> </w:t>
      </w:r>
    </w:p>
    <w:p w14:paraId="52DDD853" w14:textId="77777777" w:rsidR="00000000" w:rsidRDefault="00D6065B">
      <w:pPr>
        <w:pStyle w:val="a3"/>
        <w:spacing w:before="0" w:beforeAutospacing="0" w:after="0" w:afterAutospacing="0"/>
        <w:jc w:val="both"/>
        <w:rPr>
          <w:sz w:val="20"/>
          <w:szCs w:val="20"/>
        </w:rPr>
      </w:pPr>
      <w:r>
        <w:rPr>
          <w:sz w:val="20"/>
          <w:szCs w:val="20"/>
        </w:rPr>
        <w:t>In January 2018, the Center for Veterinary Medicine Product Classific</w:t>
      </w:r>
      <w:r>
        <w:rPr>
          <w:sz w:val="20"/>
          <w:szCs w:val="20"/>
        </w:rPr>
        <w:t>ation Group ruled that RadioGel</w:t>
      </w:r>
      <w:r>
        <w:rPr>
          <w:sz w:val="20"/>
          <w:szCs w:val="20"/>
          <w:vertAlign w:val="superscript"/>
        </w:rPr>
        <w:t xml:space="preserve"> ™</w:t>
      </w:r>
      <w:r>
        <w:rPr>
          <w:sz w:val="20"/>
          <w:szCs w:val="20"/>
        </w:rPr>
        <w:t>should be classified as a device for animal therapy of feline sarcomas and canine soft tissue sarcomas. Additionally, after a legal review, the Company believes that the device classification obtained from the Food and Drug</w:t>
      </w:r>
      <w:r>
        <w:rPr>
          <w:sz w:val="20"/>
          <w:szCs w:val="20"/>
        </w:rPr>
        <w:t xml:space="preserve"> Administration (“</w:t>
      </w:r>
      <w:r>
        <w:rPr>
          <w:i/>
          <w:iCs/>
          <w:sz w:val="20"/>
          <w:szCs w:val="20"/>
        </w:rPr>
        <w:t>FDA</w:t>
      </w:r>
      <w:r>
        <w:rPr>
          <w:sz w:val="20"/>
          <w:szCs w:val="20"/>
        </w:rPr>
        <w:t xml:space="preserve">”) Center for Veterinary Medicine is not limited to canine and feline sarcomas, but rather may be extended to a much broader population of veterinary cancers, including all or most solid tumors in animals. We expect the result of such </w:t>
      </w:r>
      <w:r>
        <w:rPr>
          <w:sz w:val="20"/>
          <w:szCs w:val="20"/>
        </w:rPr>
        <w:t>classification and label review will be that no additional regulatory approvals are necessary for the use of IsoPet</w:t>
      </w:r>
      <w:r>
        <w:rPr>
          <w:sz w:val="20"/>
          <w:szCs w:val="20"/>
          <w:vertAlign w:val="superscript"/>
        </w:rPr>
        <w:t>®</w:t>
      </w:r>
      <w:r>
        <w:rPr>
          <w:sz w:val="20"/>
          <w:szCs w:val="20"/>
        </w:rPr>
        <w:t>for the treatment of solid tumors in animals. The FDA does not have premarket authority over devices with a veterinary classification, and t</w:t>
      </w:r>
      <w:r>
        <w:rPr>
          <w:sz w:val="20"/>
          <w:szCs w:val="20"/>
        </w:rPr>
        <w:t>he manufacturers are responsible for assuring that the product is safe, effective, properly labeled, and otherwise in compliance with all applicable laws and regulations.</w:t>
      </w:r>
    </w:p>
    <w:p w14:paraId="23C0CFDB" w14:textId="77777777" w:rsidR="00000000" w:rsidRDefault="00D6065B">
      <w:pPr>
        <w:pStyle w:val="a3"/>
        <w:spacing w:before="0" w:beforeAutospacing="0" w:after="0" w:afterAutospacing="0"/>
        <w:jc w:val="both"/>
        <w:rPr>
          <w:sz w:val="20"/>
          <w:szCs w:val="20"/>
        </w:rPr>
      </w:pPr>
      <w:r>
        <w:rPr>
          <w:sz w:val="20"/>
          <w:szCs w:val="20"/>
        </w:rPr>
        <w:t> </w:t>
      </w:r>
    </w:p>
    <w:p w14:paraId="36F2C705" w14:textId="77777777" w:rsidR="00000000" w:rsidRDefault="00D6065B">
      <w:pPr>
        <w:pStyle w:val="a3"/>
        <w:spacing w:before="0" w:beforeAutospacing="0" w:after="0" w:afterAutospacing="0"/>
        <w:jc w:val="both"/>
        <w:rPr>
          <w:sz w:val="20"/>
          <w:szCs w:val="20"/>
        </w:rPr>
      </w:pPr>
      <w:r>
        <w:rPr>
          <w:sz w:val="20"/>
          <w:szCs w:val="20"/>
        </w:rPr>
        <w:t>Based on the FDA’s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xml:space="preserve">” for use </w:t>
      </w:r>
      <w:r>
        <w:rPr>
          <w:sz w:val="20"/>
          <w:szCs w:val="20"/>
        </w:rPr>
        <w:t>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throughout this document. The only distinction between IsoPet</w:t>
      </w:r>
      <w:r>
        <w:rPr>
          <w:sz w:val="20"/>
          <w:szCs w:val="20"/>
          <w:vertAlign w:val="superscript"/>
        </w:rPr>
        <w:t>®</w:t>
      </w:r>
      <w:r>
        <w:rPr>
          <w:sz w:val="20"/>
          <w:szCs w:val="20"/>
        </w:rPr>
        <w:t>and Rad</w:t>
      </w:r>
      <w:r>
        <w:rPr>
          <w:sz w:val="20"/>
          <w:szCs w:val="20"/>
        </w:rPr>
        <w:t>ioGel</w:t>
      </w:r>
      <w:r>
        <w:rPr>
          <w:sz w:val="20"/>
          <w:szCs w:val="20"/>
          <w:vertAlign w:val="superscript"/>
        </w:rPr>
        <w:t>™</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w:t>
      </w:r>
      <w:r>
        <w:rPr>
          <w:sz w:val="20"/>
          <w:szCs w:val="20"/>
        </w:rPr>
        <w:t>y, through the Company’s IsoPet</w:t>
      </w:r>
      <w:r>
        <w:rPr>
          <w:sz w:val="20"/>
          <w:szCs w:val="20"/>
          <w:vertAlign w:val="superscript"/>
        </w:rPr>
        <w:t xml:space="preserve">® </w:t>
      </w:r>
      <w:r>
        <w:rPr>
          <w:sz w:val="20"/>
          <w:szCs w:val="20"/>
        </w:rPr>
        <w:t>Solutions division.</w:t>
      </w:r>
    </w:p>
    <w:p w14:paraId="1AC9E914"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7BB8454" w14:textId="77777777">
        <w:trPr>
          <w:divId w:val="1977833515"/>
        </w:trPr>
        <w:tc>
          <w:tcPr>
            <w:tcW w:w="5000" w:type="pct"/>
            <w:hideMark/>
          </w:tcPr>
          <w:p w14:paraId="4EFF6B13" w14:textId="77777777" w:rsidR="00000000" w:rsidRDefault="00D6065B">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6A39369F" w14:textId="77777777">
        <w:tc>
          <w:tcPr>
            <w:tcW w:w="5000" w:type="pct"/>
            <w:hideMark/>
          </w:tcPr>
          <w:p w14:paraId="2FD06ED9" w14:textId="77777777" w:rsidR="00000000" w:rsidRDefault="00D6065B">
            <w:pPr>
              <w:jc w:val="center"/>
              <w:rPr>
                <w:rFonts w:eastAsia="Times New Roman"/>
                <w:sz w:val="20"/>
                <w:szCs w:val="20"/>
              </w:rPr>
            </w:pPr>
            <w:r>
              <w:rPr>
                <w:rFonts w:eastAsia="Times New Roman"/>
                <w:sz w:val="20"/>
                <w:szCs w:val="20"/>
              </w:rPr>
              <w:t> </w:t>
            </w:r>
          </w:p>
        </w:tc>
      </w:tr>
    </w:tbl>
    <w:p w14:paraId="2FF17004" w14:textId="77777777" w:rsidR="00000000" w:rsidRDefault="00D6065B">
      <w:pPr>
        <w:pStyle w:val="a3"/>
        <w:spacing w:before="0" w:beforeAutospacing="0" w:after="0" w:afterAutospacing="0"/>
        <w:rPr>
          <w:sz w:val="20"/>
          <w:szCs w:val="20"/>
        </w:rPr>
      </w:pPr>
      <w:r>
        <w:rPr>
          <w:sz w:val="20"/>
          <w:szCs w:val="20"/>
        </w:rPr>
        <w:t> </w:t>
      </w:r>
    </w:p>
    <w:p w14:paraId="5C6325C3" w14:textId="77777777" w:rsidR="00000000" w:rsidRDefault="00D6065B">
      <w:pPr>
        <w:pStyle w:val="a3"/>
        <w:spacing w:before="0" w:beforeAutospacing="0" w:after="0" w:afterAutospacing="0"/>
        <w:jc w:val="both"/>
        <w:rPr>
          <w:sz w:val="20"/>
          <w:szCs w:val="20"/>
        </w:rPr>
      </w:pPr>
      <w:r>
        <w:rPr>
          <w:b/>
          <w:bCs/>
          <w:sz w:val="20"/>
          <w:szCs w:val="20"/>
        </w:rPr>
        <w:t>IsoPet Solutions</w:t>
      </w:r>
    </w:p>
    <w:p w14:paraId="62ACA1A6" w14:textId="77777777" w:rsidR="00000000" w:rsidRDefault="00D6065B">
      <w:pPr>
        <w:pStyle w:val="a3"/>
        <w:spacing w:before="0" w:beforeAutospacing="0" w:after="0" w:afterAutospacing="0"/>
        <w:jc w:val="both"/>
        <w:rPr>
          <w:sz w:val="20"/>
          <w:szCs w:val="20"/>
        </w:rPr>
      </w:pPr>
      <w:r>
        <w:rPr>
          <w:sz w:val="20"/>
          <w:szCs w:val="20"/>
        </w:rPr>
        <w:t> </w:t>
      </w:r>
    </w:p>
    <w:p w14:paraId="13C24828" w14:textId="77777777" w:rsidR="00000000" w:rsidRDefault="00D6065B">
      <w:pPr>
        <w:pStyle w:val="a3"/>
        <w:spacing w:before="0" w:beforeAutospacing="0" w:after="0" w:afterAutospacing="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w:t>
      </w:r>
      <w:r>
        <w:rPr>
          <w:sz w:val="20"/>
          <w:szCs w:val="20"/>
        </w:rPr>
        <w:t xml:space="preserve"> sarcoids starting in November 2017.</w:t>
      </w:r>
    </w:p>
    <w:p w14:paraId="1F56DAC2" w14:textId="77777777" w:rsidR="00000000" w:rsidRDefault="00D6065B">
      <w:pPr>
        <w:pStyle w:val="a3"/>
        <w:spacing w:before="0" w:beforeAutospacing="0" w:after="0" w:afterAutospacing="0"/>
        <w:jc w:val="both"/>
        <w:rPr>
          <w:sz w:val="20"/>
          <w:szCs w:val="20"/>
        </w:rPr>
      </w:pPr>
      <w:r>
        <w:rPr>
          <w:sz w:val="20"/>
          <w:szCs w:val="20"/>
        </w:rPr>
        <w:t> </w:t>
      </w:r>
    </w:p>
    <w:p w14:paraId="62130F1A" w14:textId="77777777" w:rsidR="00000000" w:rsidRDefault="00D6065B">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w:t>
      </w:r>
      <w:r>
        <w:rPr>
          <w:sz w:val="20"/>
          <w:szCs w:val="20"/>
        </w:rPr>
        <w:t>abilize), or worsen (progress) during treatment. The criteria were published by an international collaboration including the European Organisation for Research and Treatment of Cancer (“EORTC”), National Cancer Institute of the United States, and the Natio</w:t>
      </w:r>
      <w:r>
        <w:rPr>
          <w:sz w:val="20"/>
          <w:szCs w:val="20"/>
        </w:rPr>
        <w:t>nal Cancer Institute of Canada Clinical Trials Group.</w:t>
      </w:r>
    </w:p>
    <w:p w14:paraId="1037555B"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 </w:t>
      </w:r>
    </w:p>
    <w:p w14:paraId="35D22FAB" w14:textId="77777777" w:rsidR="00000000" w:rsidRDefault="00D6065B">
      <w:pPr>
        <w:pStyle w:val="a3"/>
        <w:spacing w:before="0" w:beforeAutospacing="0" w:after="0" w:afterAutospacing="0"/>
        <w:jc w:val="both"/>
        <w:rPr>
          <w:sz w:val="20"/>
          <w:szCs w:val="20"/>
        </w:rPr>
      </w:pPr>
      <w:r>
        <w:rPr>
          <w:sz w:val="20"/>
          <w:szCs w:val="20"/>
        </w:rPr>
        <w:t>The testing at the University of Missouri met its objective to demonstrate the safety of IsoPet</w:t>
      </w:r>
      <w:r>
        <w:rPr>
          <w:sz w:val="20"/>
          <w:szCs w:val="20"/>
          <w:vertAlign w:val="superscript"/>
        </w:rPr>
        <w:t>®</w:t>
      </w:r>
      <w:r>
        <w:rPr>
          <w:sz w:val="20"/>
          <w:szCs w:val="20"/>
        </w:rPr>
        <w:t>. Using its advanced CT and PET equipment it was able to demonstrate that the dose calculations were acc</w:t>
      </w:r>
      <w:r>
        <w:rPr>
          <w:sz w:val="20"/>
          <w:szCs w:val="20"/>
        </w:rPr>
        <w:t>urate and that the injections perfused into the cell interstices and did not stay concentrated in a bolus. This results in a more homogeneous dose distribution. There was insignificant spread of Y-90 outside the points of injection demonstrating the effect</w:t>
      </w:r>
      <w:r>
        <w:rPr>
          <w:sz w:val="20"/>
          <w:szCs w:val="20"/>
        </w:rPr>
        <w:t>iveness of the particles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 same day therapy.</w:t>
      </w:r>
    </w:p>
    <w:p w14:paraId="5B7B8205" w14:textId="77777777" w:rsidR="00000000" w:rsidRDefault="00D6065B">
      <w:pPr>
        <w:pStyle w:val="a3"/>
        <w:spacing w:before="0" w:beforeAutospacing="0" w:after="0" w:afterAutospacing="0"/>
        <w:ind w:firstLine="700"/>
        <w:jc w:val="both"/>
        <w:rPr>
          <w:sz w:val="20"/>
          <w:szCs w:val="20"/>
        </w:rPr>
      </w:pPr>
      <w:r>
        <w:rPr>
          <w:sz w:val="20"/>
          <w:szCs w:val="20"/>
        </w:rPr>
        <w:t> </w:t>
      </w:r>
    </w:p>
    <w:p w14:paraId="2C37DDEC" w14:textId="77777777" w:rsidR="00000000" w:rsidRDefault="00D6065B">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w:t>
      </w:r>
      <w:r>
        <w:rPr>
          <w:sz w:val="20"/>
          <w:szCs w:val="20"/>
        </w:rPr>
        <w:t xml:space="preserve"> the prime objective, but it resulted in valuable insights. Of the cases one is still cancer-free but the others eventually recurred since there was not a strong focus on treating the margins. The University of Missouri has agreed to become a regional cent</w:t>
      </w:r>
      <w:r>
        <w:rPr>
          <w:sz w:val="20"/>
          <w:szCs w:val="20"/>
        </w:rPr>
        <w:t>er to administer IsoPet</w:t>
      </w:r>
      <w:r>
        <w:rPr>
          <w:sz w:val="20"/>
          <w:szCs w:val="20"/>
          <w:vertAlign w:val="superscript"/>
        </w:rPr>
        <w:t>®</w:t>
      </w:r>
      <w:r>
        <w:rPr>
          <w:sz w:val="20"/>
          <w:szCs w:val="20"/>
        </w:rPr>
        <w:t xml:space="preserve"> therapy and will incorporate the improvements suggested by the testing program.</w:t>
      </w:r>
    </w:p>
    <w:p w14:paraId="764973FC"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 </w:t>
      </w:r>
    </w:p>
    <w:p w14:paraId="7AF36ECC" w14:textId="77777777" w:rsidR="00000000" w:rsidRDefault="00D6065B">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w:t>
      </w:r>
      <w:r>
        <w:rPr>
          <w:sz w:val="20"/>
          <w:szCs w:val="20"/>
        </w:rPr>
        <w:t>d from licensing to private medical and veterinary clinics in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14:paraId="67EE89CF" w14:textId="77777777" w:rsidR="00000000" w:rsidRDefault="00D6065B">
      <w:pPr>
        <w:pStyle w:val="a3"/>
        <w:spacing w:before="0" w:beforeAutospacing="0" w:after="0" w:afterAutospacing="0"/>
        <w:jc w:val="both"/>
        <w:rPr>
          <w:sz w:val="20"/>
          <w:szCs w:val="20"/>
        </w:rPr>
      </w:pPr>
      <w:r>
        <w:rPr>
          <w:sz w:val="20"/>
          <w:szCs w:val="20"/>
        </w:rPr>
        <w:t> </w:t>
      </w:r>
    </w:p>
    <w:p w14:paraId="4529B439" w14:textId="77777777" w:rsidR="00000000" w:rsidRDefault="00D6065B">
      <w:pPr>
        <w:pStyle w:val="a3"/>
        <w:spacing w:before="0" w:beforeAutospacing="0" w:after="0" w:afterAutospacing="0"/>
        <w:jc w:val="both"/>
        <w:rPr>
          <w:sz w:val="20"/>
          <w:szCs w:val="20"/>
        </w:rPr>
      </w:pPr>
      <w:r>
        <w:rPr>
          <w:sz w:val="20"/>
          <w:szCs w:val="20"/>
        </w:rPr>
        <w:t>Commencing in July 2019, th</w:t>
      </w:r>
      <w:r>
        <w:rPr>
          <w:sz w:val="20"/>
          <w:szCs w:val="20"/>
        </w:rPr>
        <w:t>e Company recognized its first commercial sale of IsoPet</w:t>
      </w:r>
      <w:r>
        <w:rPr>
          <w:sz w:val="20"/>
          <w:szCs w:val="20"/>
          <w:vertAlign w:val="superscript"/>
        </w:rPr>
        <w:t>®</w:t>
      </w:r>
      <w:r>
        <w:rPr>
          <w:sz w:val="20"/>
          <w:szCs w:val="20"/>
        </w:rPr>
        <w:t xml:space="preserve">. A veterinarian from Alaska brought his cat with a re-occurrent spindle cell sarcoma tumor on his face. The cat had previously received external beam therapy, but now the tumor was growing rapidly. </w:t>
      </w:r>
      <w:r>
        <w:rPr>
          <w:sz w:val="20"/>
          <w:szCs w:val="20"/>
        </w:rPr>
        <w:t xml:space="preserve">He was given a high dose of 400Gy with heavy therapy at the margins. This sale met the revenue recognition requirements under ASC 606 as the performance obligation was satisfied. The Company completed sales for an additional four animals that received the </w:t>
      </w:r>
      <w:r>
        <w:rPr>
          <w:sz w:val="20"/>
          <w:szCs w:val="20"/>
        </w:rPr>
        <w:t>IsoPet</w:t>
      </w:r>
      <w:r>
        <w:rPr>
          <w:sz w:val="20"/>
          <w:szCs w:val="20"/>
          <w:vertAlign w:val="superscript"/>
        </w:rPr>
        <w:t>®</w:t>
      </w:r>
      <w:r>
        <w:rPr>
          <w:sz w:val="20"/>
          <w:szCs w:val="20"/>
        </w:rPr>
        <w:t xml:space="preserve"> during 2019.</w:t>
      </w:r>
    </w:p>
    <w:p w14:paraId="6BF3C95E" w14:textId="77777777" w:rsidR="00000000" w:rsidRDefault="00D6065B">
      <w:pPr>
        <w:pStyle w:val="a3"/>
        <w:spacing w:before="0" w:beforeAutospacing="0" w:after="0" w:afterAutospacing="0"/>
        <w:ind w:firstLine="720"/>
        <w:jc w:val="both"/>
        <w:rPr>
          <w:sz w:val="20"/>
          <w:szCs w:val="20"/>
        </w:rPr>
      </w:pPr>
      <w:r>
        <w:rPr>
          <w:sz w:val="20"/>
          <w:szCs w:val="20"/>
        </w:rPr>
        <w:t> </w:t>
      </w:r>
    </w:p>
    <w:p w14:paraId="0281131D" w14:textId="77777777" w:rsidR="00000000" w:rsidRDefault="00D6065B">
      <w:pPr>
        <w:pStyle w:val="a3"/>
        <w:spacing w:before="0" w:beforeAutospacing="0" w:after="0" w:afterAutospacing="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animal therapy to support the Company’s efforts in the development of our RadioGel</w:t>
      </w:r>
      <w:r>
        <w:rPr>
          <w:sz w:val="20"/>
          <w:szCs w:val="20"/>
          <w:vertAlign w:val="superscript"/>
        </w:rPr>
        <w:t>™</w:t>
      </w:r>
      <w:r>
        <w:rPr>
          <w:sz w:val="20"/>
          <w:szCs w:val="20"/>
        </w:rPr>
        <w:t xml:space="preserve"> </w:t>
      </w:r>
      <w:r>
        <w:rPr>
          <w:sz w:val="20"/>
          <w:szCs w:val="20"/>
        </w:rPr>
        <w:t xml:space="preserve">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an injectable particle-gel for brachytherapy radiation treatment of cancerous tumors in people and animals. RadioGel</w:t>
      </w:r>
      <w:r>
        <w:rPr>
          <w:sz w:val="20"/>
          <w:szCs w:val="20"/>
          <w:vertAlign w:val="superscript"/>
        </w:rPr>
        <w:t>™</w:t>
      </w:r>
      <w:r>
        <w:rPr>
          <w:sz w:val="20"/>
          <w:szCs w:val="20"/>
        </w:rPr>
        <w:t xml:space="preserve"> is com</w:t>
      </w:r>
      <w:r>
        <w:rPr>
          <w:sz w:val="20"/>
          <w:szCs w:val="20"/>
        </w:rPr>
        <w:t>prised of a hydrogel, or a substance that is liquid at room temperature and then gels when reaching body temperature after injection into a tumor. In the gel are small, less than two microns, yttrium-90 phosphate particles (“</w:t>
      </w:r>
      <w:r>
        <w:rPr>
          <w:i/>
          <w:iCs/>
          <w:sz w:val="20"/>
          <w:szCs w:val="20"/>
        </w:rPr>
        <w:t>Y-90</w:t>
      </w:r>
      <w:r>
        <w:rPr>
          <w:sz w:val="20"/>
          <w:szCs w:val="20"/>
        </w:rPr>
        <w:t>”). Once injected, these in</w:t>
      </w:r>
      <w:r>
        <w:rPr>
          <w:sz w:val="20"/>
          <w:szCs w:val="20"/>
        </w:rPr>
        <w:t xml:space="preserve">ert particles are locked in place inside the tumor by the gel, delivering a very high local radiation dose. The radiation is beta, consisting of high-speed electrons. These electrons only travel a short distance so the device can deliver high radiation to </w:t>
      </w:r>
      <w:r>
        <w:rPr>
          <w:sz w:val="20"/>
          <w:szCs w:val="20"/>
        </w:rPr>
        <w:t>the tumor with minimal dose to the surrounding tissue. Optimally, patients can go home immediately following treatment without the risk of radiation exposure to family members. Since Y-90 has a half-life of 2.7 days, the radioactivity drops to 5% of its or</w:t>
      </w:r>
      <w:r>
        <w:rPr>
          <w:sz w:val="20"/>
          <w:szCs w:val="20"/>
        </w:rPr>
        <w:t>iginal value after ten days.</w:t>
      </w:r>
    </w:p>
    <w:p w14:paraId="2CC6EBAB" w14:textId="77777777" w:rsidR="00000000" w:rsidRDefault="00D6065B">
      <w:pPr>
        <w:pStyle w:val="a3"/>
        <w:spacing w:before="0" w:beforeAutospacing="0" w:after="0" w:afterAutospacing="0"/>
        <w:jc w:val="both"/>
        <w:rPr>
          <w:sz w:val="20"/>
          <w:szCs w:val="20"/>
        </w:rPr>
      </w:pPr>
      <w:r>
        <w:rPr>
          <w:sz w:val="20"/>
          <w:szCs w:val="20"/>
        </w:rPr>
        <w:t> </w:t>
      </w:r>
    </w:p>
    <w:p w14:paraId="664BD870" w14:textId="77777777" w:rsidR="00000000" w:rsidRDefault="00D6065B">
      <w:pPr>
        <w:pStyle w:val="a3"/>
        <w:spacing w:before="0" w:beforeAutospacing="0" w:after="0" w:afterAutospacing="0"/>
        <w:jc w:val="both"/>
        <w:rPr>
          <w:sz w:val="20"/>
          <w:szCs w:val="20"/>
        </w:rPr>
      </w:pPr>
      <w:r>
        <w:rPr>
          <w:sz w:val="20"/>
          <w:szCs w:val="20"/>
        </w:rPr>
        <w:t>Recently, the Company modified its Indication for Use from skin cancel to cancerous tissue or solid tumors pathologically associated with locoregional papillary thyroid carcinoma and recurrent papillary thyroid carcinoma havi</w:t>
      </w:r>
      <w:r>
        <w:rPr>
          <w:sz w:val="20"/>
          <w:szCs w:val="20"/>
        </w:rPr>
        <w:t>ng discernable tumors associated with metastatic lymph nodes or extranodal disease in patients who are not surgical candidates or who have declined surgery, or patients who require post-surgical remnant ablation (for example, after prior incomplete radioio</w:t>
      </w:r>
      <w:r>
        <w:rPr>
          <w:sz w:val="20"/>
          <w:szCs w:val="20"/>
        </w:rPr>
        <w:t>dine therapy). Papillary thyroid carcinoma belongs to the general class of head and neck tumors for which tumors are accessible by intraoperative direct needle injection. The Company’s Medical Advisory Board felt that demonstrating efficacy in clinical tri</w:t>
      </w:r>
      <w:r>
        <w:rPr>
          <w:sz w:val="20"/>
          <w:szCs w:val="20"/>
        </w:rPr>
        <w:t>als was much easier with this new indication.</w:t>
      </w:r>
    </w:p>
    <w:p w14:paraId="06BB1EF3"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45736C" w14:textId="77777777">
        <w:trPr>
          <w:divId w:val="386295255"/>
        </w:trPr>
        <w:tc>
          <w:tcPr>
            <w:tcW w:w="5000" w:type="pct"/>
            <w:hideMark/>
          </w:tcPr>
          <w:p w14:paraId="539F1715" w14:textId="77777777" w:rsidR="00000000" w:rsidRDefault="00D6065B">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2A32EAAF" w14:textId="77777777">
        <w:tc>
          <w:tcPr>
            <w:tcW w:w="5000" w:type="pct"/>
            <w:hideMark/>
          </w:tcPr>
          <w:p w14:paraId="1869B434" w14:textId="77777777" w:rsidR="00000000" w:rsidRDefault="00D6065B">
            <w:pPr>
              <w:jc w:val="center"/>
              <w:rPr>
                <w:rFonts w:eastAsia="Times New Roman"/>
                <w:sz w:val="20"/>
                <w:szCs w:val="20"/>
              </w:rPr>
            </w:pPr>
            <w:r>
              <w:rPr>
                <w:rFonts w:eastAsia="Times New Roman"/>
                <w:sz w:val="20"/>
                <w:szCs w:val="20"/>
              </w:rPr>
              <w:t> </w:t>
            </w:r>
          </w:p>
        </w:tc>
      </w:tr>
    </w:tbl>
    <w:p w14:paraId="7E621376" w14:textId="77777777" w:rsidR="00000000" w:rsidRDefault="00D6065B">
      <w:pPr>
        <w:pStyle w:val="a3"/>
        <w:spacing w:before="0" w:beforeAutospacing="0" w:after="0" w:afterAutospacing="0"/>
        <w:rPr>
          <w:sz w:val="20"/>
          <w:szCs w:val="20"/>
        </w:rPr>
      </w:pPr>
      <w:r>
        <w:rPr>
          <w:sz w:val="20"/>
          <w:szCs w:val="20"/>
        </w:rPr>
        <w:t> </w:t>
      </w:r>
    </w:p>
    <w:p w14:paraId="1391988C" w14:textId="77777777" w:rsidR="00000000" w:rsidRDefault="00D6065B">
      <w:pPr>
        <w:pStyle w:val="a3"/>
        <w:spacing w:before="0" w:beforeAutospacing="0" w:after="0" w:afterAutospacing="0"/>
        <w:jc w:val="both"/>
        <w:rPr>
          <w:sz w:val="20"/>
          <w:szCs w:val="20"/>
        </w:rPr>
      </w:pPr>
      <w:r>
        <w:rPr>
          <w:sz w:val="20"/>
          <w:szCs w:val="20"/>
        </w:rPr>
        <w:t>The Company’s lead brachytherapy products, including RadioGel</w:t>
      </w:r>
      <w:r>
        <w:rPr>
          <w:sz w:val="20"/>
          <w:szCs w:val="20"/>
          <w:vertAlign w:val="superscript"/>
        </w:rPr>
        <w:t>™</w:t>
      </w:r>
      <w:r>
        <w:rPr>
          <w:sz w:val="20"/>
          <w:szCs w:val="20"/>
        </w:rPr>
        <w:t>, incorporate patented technology developed for Battelle Memorial Institute (“</w:t>
      </w:r>
      <w:r>
        <w:rPr>
          <w:i/>
          <w:iCs/>
          <w:sz w:val="20"/>
          <w:szCs w:val="20"/>
        </w:rPr>
        <w:t>Battelle</w:t>
      </w:r>
      <w:r>
        <w:rPr>
          <w:sz w:val="20"/>
          <w:szCs w:val="20"/>
        </w:rPr>
        <w:t>”</w:t>
      </w:r>
      <w:r>
        <w:rPr>
          <w:sz w:val="20"/>
          <w:szCs w:val="20"/>
        </w:rPr>
        <w:t>) at Pacific Northwest National Laboratory, a leading research institute for government and commercial customers. Battelle has granted the Company an exclusive license to patents covering the manufacturing, processing and applications of RadioGel</w:t>
      </w:r>
      <w:r>
        <w:rPr>
          <w:sz w:val="20"/>
          <w:szCs w:val="20"/>
          <w:vertAlign w:val="superscript"/>
        </w:rPr>
        <w:t>™</w:t>
      </w:r>
      <w:r>
        <w:rPr>
          <w:sz w:val="20"/>
          <w:szCs w:val="20"/>
        </w:rPr>
        <w:t xml:space="preserve"> (the “</w:t>
      </w:r>
      <w:r>
        <w:rPr>
          <w:i/>
          <w:iCs/>
          <w:sz w:val="20"/>
          <w:szCs w:val="20"/>
        </w:rPr>
        <w:t>Ba</w:t>
      </w:r>
      <w:r>
        <w:rPr>
          <w:i/>
          <w:iCs/>
          <w:sz w:val="20"/>
          <w:szCs w:val="20"/>
        </w:rPr>
        <w:t>ttelle License</w:t>
      </w:r>
      <w:r>
        <w:rPr>
          <w:sz w:val="20"/>
          <w:szCs w:val="20"/>
        </w:rPr>
        <w:t>"). This exclusive license is to terminate upon the expiration of the last patent included in this agreement (March 2022). Other intellectual property protection includes proprietary production processes and trademark protection in 17 countri</w:t>
      </w:r>
      <w:r>
        <w:rPr>
          <w:sz w:val="20"/>
          <w:szCs w:val="20"/>
        </w:rPr>
        <w:t>es. The Company plans to continue efforts to develop new refinements on the production process, and the product and application hardware, as a basis for future patents.</w:t>
      </w:r>
    </w:p>
    <w:p w14:paraId="5395DDF1" w14:textId="77777777" w:rsidR="00000000" w:rsidRDefault="00D6065B">
      <w:pPr>
        <w:pStyle w:val="a3"/>
        <w:spacing w:before="0" w:beforeAutospacing="0" w:after="0" w:afterAutospacing="0"/>
        <w:ind w:firstLine="720"/>
        <w:jc w:val="both"/>
        <w:rPr>
          <w:sz w:val="20"/>
          <w:szCs w:val="20"/>
        </w:rPr>
      </w:pPr>
      <w:r>
        <w:rPr>
          <w:sz w:val="20"/>
          <w:szCs w:val="20"/>
        </w:rPr>
        <w:t> </w:t>
      </w:r>
    </w:p>
    <w:p w14:paraId="37705166" w14:textId="77777777" w:rsidR="00000000" w:rsidRDefault="00D6065B">
      <w:pPr>
        <w:pStyle w:val="a3"/>
        <w:spacing w:before="0" w:beforeAutospacing="0" w:after="0" w:afterAutospacing="0"/>
        <w:jc w:val="both"/>
        <w:rPr>
          <w:sz w:val="20"/>
          <w:szCs w:val="20"/>
        </w:rPr>
      </w:pPr>
      <w:r>
        <w:rPr>
          <w:sz w:val="20"/>
          <w:szCs w:val="20"/>
        </w:rPr>
        <w:t>The Company received the Patent Cooperation Treaty (“PCT”) International Search Repor</w:t>
      </w:r>
      <w:r>
        <w:rPr>
          <w:sz w:val="20"/>
          <w:szCs w:val="20"/>
        </w:rPr>
        <w:t>t on our patent application (No.1811.191). Seven of our claims were immediately ruled as having novelty, inventive step and industrial applicability. This gives us the basis to extend for many years the patent protection for our proprietary Yttrium-90 phos</w:t>
      </w:r>
      <w:r>
        <w:rPr>
          <w:sz w:val="20"/>
          <w:szCs w:val="20"/>
        </w:rPr>
        <w:t>phate particles utilized in Isopet</w:t>
      </w:r>
      <w:r>
        <w:rPr>
          <w:sz w:val="20"/>
          <w:szCs w:val="20"/>
          <w:vertAlign w:val="superscript"/>
        </w:rPr>
        <w:t>®</w:t>
      </w:r>
      <w:r>
        <w:rPr>
          <w:sz w:val="20"/>
          <w:szCs w:val="20"/>
        </w:rPr>
        <w:t xml:space="preserve"> and Radiogel</w:t>
      </w:r>
      <w:r>
        <w:rPr>
          <w:sz w:val="20"/>
          <w:szCs w:val="20"/>
          <w:vertAlign w:val="superscript"/>
        </w:rPr>
        <w:t>™</w:t>
      </w:r>
      <w:r>
        <w:rPr>
          <w:sz w:val="20"/>
          <w:szCs w:val="20"/>
        </w:rPr>
        <w:t>. As part of the normal review process, we have also submitted the technical justification for seven additional claims. We are in the process of filing patent claims in Canada, UK (Great Britain, Scotland, W</w:t>
      </w:r>
      <w:r>
        <w:rPr>
          <w:sz w:val="20"/>
          <w:szCs w:val="20"/>
        </w:rPr>
        <w:t>ales and Ireland), Japan, Germany, Italy, France, Australia, Brazil, China, India, North Countries (Sweden, Norway, Finland, and Denmark).</w:t>
      </w:r>
    </w:p>
    <w:p w14:paraId="6AEF90A4" w14:textId="77777777" w:rsidR="00000000" w:rsidRDefault="00D6065B">
      <w:pPr>
        <w:pStyle w:val="a3"/>
        <w:spacing w:before="0" w:beforeAutospacing="0" w:after="0" w:afterAutospacing="0"/>
        <w:jc w:val="both"/>
        <w:rPr>
          <w:sz w:val="20"/>
          <w:szCs w:val="20"/>
        </w:rPr>
      </w:pPr>
      <w:r>
        <w:rPr>
          <w:sz w:val="20"/>
          <w:szCs w:val="20"/>
        </w:rPr>
        <w:t> </w:t>
      </w:r>
    </w:p>
    <w:p w14:paraId="038CD493" w14:textId="77777777" w:rsidR="00000000" w:rsidRDefault="00D6065B">
      <w:pPr>
        <w:pStyle w:val="a3"/>
        <w:spacing w:before="0" w:beforeAutospacing="0" w:after="0" w:afterAutospacing="0"/>
        <w:jc w:val="both"/>
        <w:rPr>
          <w:sz w:val="20"/>
          <w:szCs w:val="20"/>
        </w:rPr>
      </w:pPr>
      <w:r>
        <w:rPr>
          <w:b/>
          <w:bCs/>
          <w:sz w:val="20"/>
          <w:szCs w:val="20"/>
        </w:rPr>
        <w:t>Going Concern</w:t>
      </w:r>
    </w:p>
    <w:p w14:paraId="4CC3BB95" w14:textId="77777777" w:rsidR="00000000" w:rsidRDefault="00D6065B">
      <w:pPr>
        <w:pStyle w:val="a3"/>
        <w:spacing w:before="0" w:beforeAutospacing="0" w:after="0" w:afterAutospacing="0"/>
        <w:jc w:val="both"/>
        <w:rPr>
          <w:sz w:val="20"/>
          <w:szCs w:val="20"/>
        </w:rPr>
      </w:pPr>
      <w:r>
        <w:rPr>
          <w:sz w:val="20"/>
          <w:szCs w:val="20"/>
        </w:rPr>
        <w:t> </w:t>
      </w:r>
    </w:p>
    <w:p w14:paraId="0C00151B" w14:textId="77777777" w:rsidR="00000000" w:rsidRDefault="00D6065B">
      <w:pPr>
        <w:pStyle w:val="a3"/>
        <w:spacing w:before="0" w:beforeAutospacing="0" w:after="0" w:afterAutospacing="0"/>
        <w:jc w:val="both"/>
        <w:rPr>
          <w:sz w:val="20"/>
          <w:szCs w:val="20"/>
        </w:rPr>
      </w:pPr>
      <w:r>
        <w:rPr>
          <w:sz w:val="20"/>
          <w:szCs w:val="20"/>
        </w:rPr>
        <w:t>The accompanying financial statements have been prepared on a going concern basis, which contemplat</w:t>
      </w:r>
      <w:r>
        <w:rPr>
          <w:sz w:val="20"/>
          <w:szCs w:val="20"/>
        </w:rPr>
        <w:t>es the realization of assets and satisfaction of liabilities in the normal course of business. As shown in the accompanying financial statements, the Company has suffered recurring losses and used significant cash in support of its operating activities and</w:t>
      </w:r>
      <w:r>
        <w:rPr>
          <w:sz w:val="20"/>
          <w:szCs w:val="20"/>
        </w:rPr>
        <w:t xml:space="preserve"> the Company’s cash position is not sufficient to support the Company’s operations. Research and development of the Company’s brachytherapy product line has been funded with proceeds from the sale of equity and debt securities as well as a series of grants</w:t>
      </w:r>
      <w:r>
        <w:rPr>
          <w:sz w:val="20"/>
          <w:szCs w:val="20"/>
        </w:rPr>
        <w:t xml:space="preserve">. The Company requires funding of approximately </w:t>
      </w:r>
      <w:r>
        <w:rPr>
          <w:sz w:val="20"/>
          <w:szCs w:val="20"/>
        </w:rPr>
        <w:t>$</w:t>
      </w:r>
      <w:r>
        <w:rPr>
          <w:sz w:val="20"/>
          <w:szCs w:val="20"/>
        </w:rPr>
        <w:t>2</w:t>
      </w:r>
      <w:r>
        <w:rPr>
          <w:sz w:val="20"/>
          <w:szCs w:val="20"/>
        </w:rPr>
        <w:t xml:space="preserve"> million annually to maintain current operating activities.</w:t>
      </w:r>
    </w:p>
    <w:p w14:paraId="7A365557" w14:textId="77777777" w:rsidR="00000000" w:rsidRDefault="00D6065B">
      <w:pPr>
        <w:pStyle w:val="a3"/>
        <w:spacing w:before="0" w:beforeAutospacing="0" w:after="0" w:afterAutospacing="0"/>
        <w:jc w:val="both"/>
        <w:rPr>
          <w:sz w:val="20"/>
          <w:szCs w:val="20"/>
        </w:rPr>
      </w:pPr>
      <w:r>
        <w:rPr>
          <w:sz w:val="20"/>
          <w:szCs w:val="20"/>
        </w:rPr>
        <w:t> </w:t>
      </w:r>
    </w:p>
    <w:p w14:paraId="1174F513" w14:textId="77777777" w:rsidR="00000000" w:rsidRDefault="00D6065B">
      <w:pPr>
        <w:pStyle w:val="a3"/>
        <w:shd w:val="clear" w:color="auto" w:fill="FFFFFF"/>
        <w:spacing w:before="0" w:beforeAutospacing="0" w:after="0" w:afterAutospacing="0"/>
        <w:jc w:val="both"/>
        <w:rPr>
          <w:sz w:val="20"/>
          <w:szCs w:val="20"/>
        </w:rPr>
      </w:pPr>
      <w:r>
        <w:rPr>
          <w:sz w:val="20"/>
          <w:szCs w:val="20"/>
        </w:rPr>
        <w:t>The Company completed its reverse stock split which was approved by FINRA and went effective on June 28, 2019.</w:t>
      </w:r>
    </w:p>
    <w:p w14:paraId="4EEAA727" w14:textId="77777777" w:rsidR="00000000" w:rsidRDefault="00D6065B">
      <w:pPr>
        <w:pStyle w:val="a3"/>
        <w:spacing w:before="0" w:beforeAutospacing="0" w:after="0" w:afterAutospacing="0"/>
        <w:jc w:val="both"/>
        <w:rPr>
          <w:sz w:val="20"/>
          <w:szCs w:val="20"/>
        </w:rPr>
      </w:pPr>
      <w:r>
        <w:rPr>
          <w:sz w:val="20"/>
          <w:szCs w:val="20"/>
        </w:rPr>
        <w:t> </w:t>
      </w:r>
    </w:p>
    <w:p w14:paraId="1B1B676D" w14:textId="77777777" w:rsidR="00000000" w:rsidRDefault="00D6065B">
      <w:pPr>
        <w:pStyle w:val="a3"/>
        <w:shd w:val="clear" w:color="auto" w:fill="FFFFFF"/>
        <w:spacing w:before="0" w:beforeAutospacing="0" w:after="0" w:afterAutospacing="0"/>
        <w:jc w:val="both"/>
        <w:rPr>
          <w:sz w:val="20"/>
          <w:szCs w:val="20"/>
        </w:rPr>
      </w:pPr>
      <w:r>
        <w:rPr>
          <w:sz w:val="20"/>
          <w:szCs w:val="20"/>
        </w:rPr>
        <w:t>The Company’</w:t>
      </w:r>
      <w:r>
        <w:rPr>
          <w:sz w:val="20"/>
          <w:szCs w:val="20"/>
        </w:rPr>
        <w:t>s stock offering under Regulation A+ was qualified by the Securities and Exchange Commission (“SEC”) on June 3, 2020.</w:t>
      </w:r>
    </w:p>
    <w:p w14:paraId="055B756D" w14:textId="77777777" w:rsidR="00000000" w:rsidRDefault="00D6065B">
      <w:pPr>
        <w:pStyle w:val="a3"/>
        <w:shd w:val="clear" w:color="auto" w:fill="FFFFFF"/>
        <w:spacing w:before="0" w:beforeAutospacing="0" w:after="0" w:afterAutospacing="0"/>
        <w:jc w:val="both"/>
        <w:rPr>
          <w:sz w:val="20"/>
          <w:szCs w:val="20"/>
        </w:rPr>
      </w:pPr>
      <w:r>
        <w:rPr>
          <w:sz w:val="20"/>
          <w:szCs w:val="20"/>
        </w:rPr>
        <w:t> </w:t>
      </w:r>
    </w:p>
    <w:p w14:paraId="20B48C40" w14:textId="77777777" w:rsidR="00000000" w:rsidRDefault="00D6065B">
      <w:pPr>
        <w:pStyle w:val="a3"/>
        <w:spacing w:before="0" w:beforeAutospacing="0" w:after="0" w:afterAutospacing="0"/>
        <w:jc w:val="both"/>
        <w:rPr>
          <w:sz w:val="20"/>
          <w:szCs w:val="20"/>
        </w:rPr>
      </w:pPr>
      <w:r>
        <w:rPr>
          <w:sz w:val="20"/>
          <w:szCs w:val="20"/>
        </w:rPr>
        <w:t xml:space="preserve">The Company over the past twelve months has raised approximately </w:t>
      </w:r>
      <w:r>
        <w:rPr>
          <w:sz w:val="20"/>
          <w:szCs w:val="20"/>
        </w:rPr>
        <w:t>$</w:t>
      </w:r>
      <w:r>
        <w:rPr>
          <w:sz w:val="20"/>
          <w:szCs w:val="20"/>
        </w:rPr>
        <w:t>4,000,00</w:t>
      </w:r>
      <w:r>
        <w:rPr>
          <w:sz w:val="20"/>
          <w:szCs w:val="20"/>
        </w:rPr>
        <w:t>0</w:t>
      </w:r>
      <w:r>
        <w:rPr>
          <w:sz w:val="20"/>
          <w:szCs w:val="20"/>
        </w:rPr>
        <w:t xml:space="preserve"> from the sale of shares under Regulation A+, and intends to </w:t>
      </w:r>
      <w:r>
        <w:rPr>
          <w:sz w:val="20"/>
          <w:szCs w:val="20"/>
        </w:rPr>
        <w:t>use the proceeds generated as follows:</w:t>
      </w:r>
    </w:p>
    <w:p w14:paraId="497528D3" w14:textId="77777777" w:rsidR="00000000" w:rsidRDefault="00D6065B">
      <w:pPr>
        <w:pStyle w:val="a3"/>
        <w:spacing w:before="0" w:beforeAutospacing="0" w:after="0" w:afterAutospacing="0"/>
        <w:jc w:val="both"/>
        <w:rPr>
          <w:sz w:val="20"/>
          <w:szCs w:val="20"/>
        </w:rPr>
      </w:pPr>
      <w:r>
        <w:rPr>
          <w:sz w:val="20"/>
          <w:szCs w:val="20"/>
        </w:rPr>
        <w:t> </w:t>
      </w:r>
    </w:p>
    <w:p w14:paraId="2EABFB9F" w14:textId="77777777" w:rsidR="00000000" w:rsidRDefault="00D6065B">
      <w:pPr>
        <w:pStyle w:val="a3"/>
        <w:spacing w:before="0" w:beforeAutospacing="0" w:after="0" w:afterAutospacing="0"/>
        <w:jc w:val="both"/>
        <w:rPr>
          <w:sz w:val="20"/>
          <w:szCs w:val="20"/>
        </w:rPr>
      </w:pPr>
      <w:r>
        <w:rPr>
          <w:sz w:val="20"/>
          <w:szCs w:val="20"/>
        </w:rPr>
        <w:t>For the animal therapy market:</w:t>
      </w:r>
    </w:p>
    <w:p w14:paraId="16E0DBDB"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4A1F4BC" w14:textId="77777777">
        <w:tc>
          <w:tcPr>
            <w:tcW w:w="360" w:type="dxa"/>
            <w:hideMark/>
          </w:tcPr>
          <w:p w14:paraId="4B5F12E9" w14:textId="77777777" w:rsidR="00000000" w:rsidRDefault="00D6065B">
            <w:pPr>
              <w:jc w:val="both"/>
              <w:rPr>
                <w:rFonts w:eastAsia="Times New Roman"/>
                <w:sz w:val="20"/>
                <w:szCs w:val="20"/>
              </w:rPr>
            </w:pPr>
            <w:r>
              <w:rPr>
                <w:rFonts w:eastAsia="Times New Roman"/>
                <w:sz w:val="20"/>
                <w:szCs w:val="20"/>
              </w:rPr>
              <w:t> </w:t>
            </w:r>
          </w:p>
        </w:tc>
        <w:tc>
          <w:tcPr>
            <w:tcW w:w="360" w:type="dxa"/>
            <w:hideMark/>
          </w:tcPr>
          <w:p w14:paraId="196550E2"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5EDCB894" w14:textId="77777777" w:rsidR="00000000" w:rsidRDefault="00D6065B">
            <w:pPr>
              <w:jc w:val="both"/>
              <w:rPr>
                <w:rFonts w:eastAsia="Times New Roman"/>
                <w:sz w:val="20"/>
                <w:szCs w:val="20"/>
              </w:rPr>
            </w:pPr>
            <w:r>
              <w:rPr>
                <w:rFonts w:eastAsia="Times New Roman"/>
                <w:sz w:val="20"/>
                <w:szCs w:val="20"/>
              </w:rPr>
              <w:t>Fund the effort to communicate the benefits of IsoPet® to the veterinary community and the pet parents.</w:t>
            </w:r>
          </w:p>
        </w:tc>
      </w:tr>
      <w:tr w:rsidR="00000000" w14:paraId="6F80774C" w14:textId="77777777">
        <w:tc>
          <w:tcPr>
            <w:tcW w:w="0" w:type="auto"/>
            <w:hideMark/>
          </w:tcPr>
          <w:p w14:paraId="6436AA82"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203831BE"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26D90ACF" w14:textId="77777777" w:rsidR="00000000" w:rsidRDefault="00D6065B">
            <w:pPr>
              <w:jc w:val="both"/>
              <w:rPr>
                <w:rFonts w:eastAsia="Times New Roman"/>
                <w:sz w:val="20"/>
                <w:szCs w:val="20"/>
              </w:rPr>
            </w:pPr>
            <w:r>
              <w:rPr>
                <w:rFonts w:eastAsia="Times New Roman"/>
                <w:sz w:val="20"/>
                <w:szCs w:val="20"/>
              </w:rPr>
              <w:t>Conduct additional clinical studies to generate more data for the vet</w:t>
            </w:r>
            <w:r>
              <w:rPr>
                <w:rFonts w:eastAsia="Times New Roman"/>
                <w:sz w:val="20"/>
                <w:szCs w:val="20"/>
              </w:rPr>
              <w:t>erinary community</w:t>
            </w:r>
          </w:p>
        </w:tc>
      </w:tr>
      <w:tr w:rsidR="00000000" w14:paraId="14BB4FE5" w14:textId="77777777">
        <w:tc>
          <w:tcPr>
            <w:tcW w:w="0" w:type="auto"/>
            <w:hideMark/>
          </w:tcPr>
          <w:p w14:paraId="2E6D7F1E"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39B279F1"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0EFCD670" w14:textId="77777777" w:rsidR="00000000" w:rsidRDefault="00D6065B">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14:paraId="2E0C89F1" w14:textId="77777777">
        <w:tc>
          <w:tcPr>
            <w:tcW w:w="0" w:type="auto"/>
            <w:hideMark/>
          </w:tcPr>
          <w:p w14:paraId="70F4C96C"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79E02E24"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2857094D" w14:textId="77777777" w:rsidR="00000000" w:rsidRDefault="00D6065B">
            <w:pPr>
              <w:jc w:val="both"/>
              <w:rPr>
                <w:rFonts w:eastAsia="Times New Roman"/>
                <w:sz w:val="20"/>
                <w:szCs w:val="20"/>
              </w:rPr>
            </w:pPr>
            <w:r>
              <w:rPr>
                <w:rFonts w:eastAsia="Times New Roman"/>
                <w:sz w:val="20"/>
                <w:szCs w:val="20"/>
              </w:rPr>
              <w:t xml:space="preserve">Assist </w:t>
            </w:r>
            <w:r>
              <w:rPr>
                <w:rFonts w:eastAsia="Times New Roman"/>
                <w:sz w:val="20"/>
                <w:szCs w:val="20"/>
              </w:rPr>
              <w:t>a new regional clinic with their license and certification training.</w:t>
            </w:r>
          </w:p>
        </w:tc>
      </w:tr>
    </w:tbl>
    <w:p w14:paraId="3214BA85" w14:textId="77777777" w:rsidR="00000000" w:rsidRDefault="00D6065B">
      <w:pPr>
        <w:pStyle w:val="a3"/>
        <w:spacing w:before="0" w:beforeAutospacing="0" w:after="0" w:afterAutospacing="0"/>
        <w:jc w:val="center"/>
        <w:rPr>
          <w:sz w:val="20"/>
          <w:szCs w:val="20"/>
        </w:rPr>
      </w:pPr>
      <w:r>
        <w:rPr>
          <w:sz w:val="20"/>
          <w:szCs w:val="20"/>
        </w:rPr>
        <w:t> </w:t>
      </w:r>
    </w:p>
    <w:p w14:paraId="60443D3B" w14:textId="77777777" w:rsidR="00000000" w:rsidRDefault="00D6065B">
      <w:pPr>
        <w:pStyle w:val="a3"/>
        <w:spacing w:before="0" w:beforeAutospacing="0" w:after="0" w:afterAutospacing="0"/>
        <w:ind w:firstLine="720"/>
        <w:jc w:val="both"/>
        <w:rPr>
          <w:sz w:val="20"/>
          <w:szCs w:val="20"/>
        </w:rPr>
      </w:pPr>
      <w:r>
        <w:rPr>
          <w:sz w:val="20"/>
          <w:szCs w:val="20"/>
        </w:rPr>
        <w:t>For the human market:</w:t>
      </w:r>
    </w:p>
    <w:p w14:paraId="34EDF420" w14:textId="77777777" w:rsidR="00000000" w:rsidRDefault="00D6065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3D7EA26" w14:textId="77777777">
        <w:tc>
          <w:tcPr>
            <w:tcW w:w="360" w:type="dxa"/>
            <w:hideMark/>
          </w:tcPr>
          <w:p w14:paraId="27BB347C" w14:textId="77777777" w:rsidR="00000000" w:rsidRDefault="00D6065B">
            <w:pPr>
              <w:rPr>
                <w:rFonts w:eastAsia="Times New Roman"/>
                <w:sz w:val="20"/>
                <w:szCs w:val="20"/>
              </w:rPr>
            </w:pPr>
            <w:r>
              <w:rPr>
                <w:rFonts w:eastAsia="Times New Roman"/>
                <w:sz w:val="20"/>
                <w:szCs w:val="20"/>
              </w:rPr>
              <w:t> </w:t>
            </w:r>
          </w:p>
        </w:tc>
        <w:tc>
          <w:tcPr>
            <w:tcW w:w="360" w:type="dxa"/>
            <w:hideMark/>
          </w:tcPr>
          <w:p w14:paraId="53D9501D" w14:textId="77777777" w:rsidR="00000000" w:rsidRDefault="00D6065B">
            <w:pPr>
              <w:rPr>
                <w:rFonts w:eastAsia="Times New Roman"/>
                <w:sz w:val="20"/>
                <w:szCs w:val="20"/>
              </w:rPr>
            </w:pPr>
            <w:r>
              <w:rPr>
                <w:rFonts w:eastAsia="Times New Roman"/>
                <w:sz w:val="20"/>
                <w:szCs w:val="20"/>
              </w:rPr>
              <w:t>●</w:t>
            </w:r>
          </w:p>
        </w:tc>
        <w:tc>
          <w:tcPr>
            <w:tcW w:w="0" w:type="auto"/>
            <w:hideMark/>
          </w:tcPr>
          <w:p w14:paraId="52E344EC" w14:textId="77777777" w:rsidR="00000000" w:rsidRDefault="00D6065B">
            <w:pPr>
              <w:jc w:val="both"/>
              <w:rPr>
                <w:rFonts w:eastAsia="Times New Roman"/>
                <w:sz w:val="20"/>
                <w:szCs w:val="20"/>
              </w:rPr>
            </w:pPr>
            <w:r>
              <w:rPr>
                <w:rFonts w:eastAsia="Times New Roman"/>
                <w:sz w:val="20"/>
                <w:szCs w:val="20"/>
              </w:rPr>
              <w:t>Enhance the pedigree of the Quality Management System.</w:t>
            </w:r>
          </w:p>
        </w:tc>
      </w:tr>
      <w:tr w:rsidR="00000000" w14:paraId="079A3498" w14:textId="77777777">
        <w:tc>
          <w:tcPr>
            <w:tcW w:w="0" w:type="auto"/>
            <w:hideMark/>
          </w:tcPr>
          <w:p w14:paraId="3D3E9A88" w14:textId="77777777" w:rsidR="00000000" w:rsidRDefault="00D6065B">
            <w:pPr>
              <w:rPr>
                <w:rFonts w:eastAsia="Times New Roman"/>
                <w:sz w:val="20"/>
                <w:szCs w:val="20"/>
              </w:rPr>
            </w:pPr>
            <w:r>
              <w:rPr>
                <w:rFonts w:eastAsia="Times New Roman"/>
                <w:sz w:val="20"/>
                <w:szCs w:val="20"/>
              </w:rPr>
              <w:t> </w:t>
            </w:r>
          </w:p>
        </w:tc>
        <w:tc>
          <w:tcPr>
            <w:tcW w:w="0" w:type="auto"/>
            <w:hideMark/>
          </w:tcPr>
          <w:p w14:paraId="25BB2E72" w14:textId="77777777" w:rsidR="00000000" w:rsidRDefault="00D6065B">
            <w:pPr>
              <w:rPr>
                <w:rFonts w:eastAsia="Times New Roman"/>
                <w:sz w:val="20"/>
                <w:szCs w:val="20"/>
              </w:rPr>
            </w:pPr>
            <w:r>
              <w:rPr>
                <w:rFonts w:eastAsia="Times New Roman"/>
                <w:sz w:val="20"/>
                <w:szCs w:val="20"/>
              </w:rPr>
              <w:t>●</w:t>
            </w:r>
          </w:p>
        </w:tc>
        <w:tc>
          <w:tcPr>
            <w:tcW w:w="0" w:type="auto"/>
            <w:hideMark/>
          </w:tcPr>
          <w:p w14:paraId="18F1997E" w14:textId="77777777" w:rsidR="00000000" w:rsidRDefault="00D6065B">
            <w:pPr>
              <w:jc w:val="both"/>
              <w:rPr>
                <w:rFonts w:eastAsia="Times New Roman"/>
                <w:sz w:val="20"/>
                <w:szCs w:val="20"/>
              </w:rPr>
            </w:pPr>
            <w:r>
              <w:rPr>
                <w:rFonts w:eastAsia="Times New Roman"/>
                <w:sz w:val="20"/>
                <w:szCs w:val="20"/>
              </w:rPr>
              <w:t>Complete the previously defined pre-clinical testing and additional testing on an animal model c</w:t>
            </w:r>
            <w:r>
              <w:rPr>
                <w:rFonts w:eastAsia="Times New Roman"/>
                <w:sz w:val="20"/>
                <w:szCs w:val="20"/>
              </w:rPr>
              <w:t>losely aligned with our revised indication for use. Report the results to the FDA in a pre-submission meeting.</w:t>
            </w:r>
          </w:p>
        </w:tc>
      </w:tr>
      <w:tr w:rsidR="00000000" w14:paraId="56E4A5DE" w14:textId="77777777">
        <w:tc>
          <w:tcPr>
            <w:tcW w:w="0" w:type="auto"/>
            <w:hideMark/>
          </w:tcPr>
          <w:p w14:paraId="41E05913" w14:textId="77777777" w:rsidR="00000000" w:rsidRDefault="00D6065B">
            <w:pPr>
              <w:rPr>
                <w:rFonts w:eastAsia="Times New Roman"/>
                <w:sz w:val="20"/>
                <w:szCs w:val="20"/>
              </w:rPr>
            </w:pPr>
            <w:r>
              <w:rPr>
                <w:rFonts w:eastAsia="Times New Roman"/>
                <w:sz w:val="20"/>
                <w:szCs w:val="20"/>
              </w:rPr>
              <w:t> </w:t>
            </w:r>
          </w:p>
        </w:tc>
        <w:tc>
          <w:tcPr>
            <w:tcW w:w="0" w:type="auto"/>
            <w:hideMark/>
          </w:tcPr>
          <w:p w14:paraId="56C60E09" w14:textId="77777777" w:rsidR="00000000" w:rsidRDefault="00D6065B">
            <w:pPr>
              <w:rPr>
                <w:rFonts w:eastAsia="Times New Roman"/>
                <w:sz w:val="20"/>
                <w:szCs w:val="20"/>
              </w:rPr>
            </w:pPr>
            <w:r>
              <w:rPr>
                <w:rFonts w:eastAsia="Times New Roman"/>
                <w:sz w:val="20"/>
                <w:szCs w:val="20"/>
              </w:rPr>
              <w:t>●</w:t>
            </w:r>
          </w:p>
        </w:tc>
        <w:tc>
          <w:tcPr>
            <w:tcW w:w="0" w:type="auto"/>
            <w:hideMark/>
          </w:tcPr>
          <w:p w14:paraId="07154AD6" w14:textId="77777777" w:rsidR="00000000" w:rsidRDefault="00D6065B">
            <w:pPr>
              <w:jc w:val="both"/>
              <w:rPr>
                <w:rFonts w:eastAsia="Times New Roman"/>
                <w:sz w:val="20"/>
                <w:szCs w:val="20"/>
              </w:rPr>
            </w:pPr>
            <w:r>
              <w:rPr>
                <w:rFonts w:eastAsia="Times New Roman"/>
                <w:sz w:val="20"/>
                <w:szCs w:val="20"/>
              </w:rPr>
              <w:t xml:space="preserve">Use </w:t>
            </w:r>
            <w:r>
              <w:rPr>
                <w:rFonts w:eastAsia="Times New Roman"/>
                <w:sz w:val="20"/>
                <w:szCs w:val="20"/>
              </w:rPr>
              <w:t>the feedback from that meeting to write the IDE (Investigational Device Exemption), which is required to initiate clinical trials.</w:t>
            </w:r>
          </w:p>
        </w:tc>
      </w:tr>
    </w:tbl>
    <w:p w14:paraId="1CBC2359" w14:textId="77777777" w:rsidR="00000000" w:rsidRDefault="00D6065B">
      <w:pPr>
        <w:pStyle w:val="a3"/>
        <w:spacing w:before="0" w:beforeAutospacing="0" w:after="0" w:afterAutospacing="0"/>
        <w:jc w:val="both"/>
        <w:rPr>
          <w:sz w:val="20"/>
          <w:szCs w:val="20"/>
        </w:rPr>
      </w:pPr>
      <w:r>
        <w:rPr>
          <w:sz w:val="20"/>
          <w:szCs w:val="20"/>
        </w:rPr>
        <w:t> </w:t>
      </w:r>
    </w:p>
    <w:p w14:paraId="78A4BDCF" w14:textId="77777777" w:rsidR="00000000" w:rsidRDefault="00D6065B">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sale of equity</w:t>
      </w:r>
      <w:r>
        <w:rPr>
          <w:sz w:val="20"/>
          <w:szCs w:val="20"/>
        </w:rPr>
        <w:t xml:space="preserve"> and debt securities.</w:t>
      </w:r>
      <w:r>
        <w:rPr>
          <w:sz w:val="20"/>
          <w:szCs w:val="20"/>
        </w:rPr>
        <w:t xml:space="preserve"> </w:t>
      </w:r>
      <w:r>
        <w:rPr>
          <w:sz w:val="20"/>
          <w:szCs w:val="20"/>
        </w:rPr>
        <w:t xml:space="preserve">The Company may require additional funding of approximately </w:t>
      </w:r>
      <w:r>
        <w:rPr>
          <w:sz w:val="20"/>
          <w:szCs w:val="20"/>
        </w:rPr>
        <w:t>$</w:t>
      </w:r>
      <w:r>
        <w:rPr>
          <w:sz w:val="20"/>
          <w:szCs w:val="20"/>
        </w:rPr>
        <w:t>2</w:t>
      </w:r>
      <w:r>
        <w:rPr>
          <w:sz w:val="20"/>
          <w:szCs w:val="20"/>
        </w:rPr>
        <w:t xml:space="preserve"> million annually to maintain current operating activities. Over the next 12 to 24 months, the Company believes it will cost approximately $9 millio</w:t>
      </w:r>
      <w:r>
        <w:rPr>
          <w:sz w:val="20"/>
          <w:szCs w:val="20"/>
        </w:rPr>
        <w:t>n</w:t>
      </w:r>
      <w:r>
        <w:rPr>
          <w:sz w:val="20"/>
          <w:szCs w:val="20"/>
        </w:rPr>
        <w:t xml:space="preserve"> to: (1) fund the FDA a</w:t>
      </w:r>
      <w:r>
        <w:rPr>
          <w:sz w:val="20"/>
          <w:szCs w:val="20"/>
        </w:rPr>
        <w:t>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 xml:space="preserve">across the county, (4) create an independent production center within the current production site to </w:t>
      </w:r>
      <w:r>
        <w:rPr>
          <w:sz w:val="20"/>
          <w:szCs w:val="20"/>
        </w:rPr>
        <w:t>create a template for future international manufacturing, and (5) initiate regulatory approval processes outside of the United States.</w:t>
      </w:r>
    </w:p>
    <w:p w14:paraId="63129C0B"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2BCEF47" w14:textId="77777777">
        <w:trPr>
          <w:divId w:val="596714293"/>
        </w:trPr>
        <w:tc>
          <w:tcPr>
            <w:tcW w:w="5000" w:type="pct"/>
            <w:hideMark/>
          </w:tcPr>
          <w:p w14:paraId="5BF936EC" w14:textId="77777777" w:rsidR="00000000" w:rsidRDefault="00D6065B">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5DCAA4CA" w14:textId="77777777">
        <w:tc>
          <w:tcPr>
            <w:tcW w:w="5000" w:type="pct"/>
            <w:hideMark/>
          </w:tcPr>
          <w:p w14:paraId="25342DB8" w14:textId="77777777" w:rsidR="00000000" w:rsidRDefault="00D6065B">
            <w:pPr>
              <w:jc w:val="center"/>
              <w:rPr>
                <w:rFonts w:eastAsia="Times New Roman"/>
                <w:sz w:val="20"/>
                <w:szCs w:val="20"/>
              </w:rPr>
            </w:pPr>
            <w:r>
              <w:rPr>
                <w:rFonts w:eastAsia="Times New Roman"/>
                <w:sz w:val="20"/>
                <w:szCs w:val="20"/>
              </w:rPr>
              <w:t> </w:t>
            </w:r>
          </w:p>
        </w:tc>
      </w:tr>
    </w:tbl>
    <w:p w14:paraId="4220CC06" w14:textId="77777777" w:rsidR="00000000" w:rsidRDefault="00D6065B">
      <w:pPr>
        <w:pStyle w:val="a3"/>
        <w:spacing w:before="0" w:beforeAutospacing="0" w:after="0" w:afterAutospacing="0"/>
        <w:rPr>
          <w:sz w:val="20"/>
          <w:szCs w:val="20"/>
        </w:rPr>
      </w:pPr>
      <w:r>
        <w:rPr>
          <w:sz w:val="20"/>
          <w:szCs w:val="20"/>
        </w:rPr>
        <w:t> </w:t>
      </w:r>
    </w:p>
    <w:p w14:paraId="7F3FD892" w14:textId="77777777" w:rsidR="00000000" w:rsidRDefault="00D6065B">
      <w:pPr>
        <w:pStyle w:val="a3"/>
        <w:spacing w:before="0" w:beforeAutospacing="0" w:after="0" w:afterAutospacing="0"/>
        <w:jc w:val="both"/>
        <w:rPr>
          <w:sz w:val="20"/>
          <w:szCs w:val="20"/>
        </w:rPr>
      </w:pPr>
      <w:r>
        <w:rPr>
          <w:sz w:val="20"/>
          <w:szCs w:val="20"/>
        </w:rPr>
        <w:t>The continued deployment of the brachytherapy products and a worldwide regulatory approval effort will require</w:t>
      </w:r>
      <w:r>
        <w:rPr>
          <w:sz w:val="20"/>
          <w:szCs w:val="20"/>
        </w:rPr>
        <w:t xml:space="preserve"> additional resources and personnel. The principal variables in the timing and amount of spending for the brachytherapy products in the next 12 to 24 months will be the FDA’s classification of the Company’s brachytherapy products as Class II or Class III d</w:t>
      </w:r>
      <w:r>
        <w:rPr>
          <w:sz w:val="20"/>
          <w:szCs w:val="20"/>
        </w:rPr>
        <w:t>evices (or otherwise) and any requirements for additional studies which may possibly include clinical studies. Thereafter, the principal variables in the amount of the Company’s spending and its financing requirements would be the timing of any approvals a</w:t>
      </w:r>
      <w:r>
        <w:rPr>
          <w:sz w:val="20"/>
          <w:szCs w:val="20"/>
        </w:rPr>
        <w:t>nd the nature of the Company’s arrangements with third parties for manufacturing, sales, distribution and licensing of those products and the products’ success in the U.S. and elsewhere. The Company intends to fund its activities through strategic transact</w:t>
      </w:r>
      <w:r>
        <w:rPr>
          <w:sz w:val="20"/>
          <w:szCs w:val="20"/>
        </w:rPr>
        <w:t>ions such as licensing and partnership agreements or additional capital raises.</w:t>
      </w:r>
    </w:p>
    <w:p w14:paraId="4F644370" w14:textId="77777777" w:rsidR="00000000" w:rsidRDefault="00D6065B">
      <w:pPr>
        <w:pStyle w:val="a3"/>
        <w:spacing w:before="0" w:beforeAutospacing="0" w:after="0" w:afterAutospacing="0"/>
        <w:jc w:val="both"/>
        <w:rPr>
          <w:sz w:val="20"/>
          <w:szCs w:val="20"/>
        </w:rPr>
      </w:pPr>
      <w:r>
        <w:rPr>
          <w:sz w:val="20"/>
          <w:szCs w:val="20"/>
        </w:rPr>
        <w:t> </w:t>
      </w:r>
    </w:p>
    <w:p w14:paraId="547BF6D4" w14:textId="77777777" w:rsidR="00000000" w:rsidRDefault="00D6065B">
      <w:pPr>
        <w:pStyle w:val="a3"/>
        <w:spacing w:before="0" w:beforeAutospacing="0" w:after="0" w:afterAutospacing="0"/>
        <w:jc w:val="both"/>
        <w:rPr>
          <w:sz w:val="20"/>
          <w:szCs w:val="20"/>
        </w:rPr>
      </w:pPr>
      <w:r>
        <w:rPr>
          <w:sz w:val="20"/>
          <w:szCs w:val="20"/>
        </w:rPr>
        <w:t>Following receipt of required regulatory approvals and financing, in the U.S., the Company intends to outsource material aspects of manufacturing, distribution, sales and mar</w:t>
      </w:r>
      <w:r>
        <w:rPr>
          <w:sz w:val="20"/>
          <w:szCs w:val="20"/>
        </w:rPr>
        <w:t>keting. Outside of the U.S., the Company intends to pursue licensing arrangements and/or partnerships to facilitate its global commercialization strategy.</w:t>
      </w:r>
    </w:p>
    <w:p w14:paraId="32B9065F" w14:textId="77777777" w:rsidR="00000000" w:rsidRDefault="00D6065B">
      <w:pPr>
        <w:pStyle w:val="a3"/>
        <w:spacing w:before="0" w:beforeAutospacing="0" w:after="0" w:afterAutospacing="0"/>
        <w:jc w:val="both"/>
        <w:rPr>
          <w:sz w:val="20"/>
          <w:szCs w:val="20"/>
        </w:rPr>
      </w:pPr>
      <w:r>
        <w:rPr>
          <w:sz w:val="20"/>
          <w:szCs w:val="20"/>
        </w:rPr>
        <w:t> </w:t>
      </w:r>
    </w:p>
    <w:p w14:paraId="7F363ECD" w14:textId="77777777" w:rsidR="00000000" w:rsidRDefault="00D6065B">
      <w:pPr>
        <w:pStyle w:val="a3"/>
        <w:spacing w:before="0" w:beforeAutospacing="0" w:after="0" w:afterAutospacing="0"/>
        <w:jc w:val="both"/>
        <w:rPr>
          <w:sz w:val="20"/>
          <w:szCs w:val="20"/>
        </w:rPr>
      </w:pPr>
      <w:r>
        <w:rPr>
          <w:sz w:val="20"/>
          <w:szCs w:val="20"/>
        </w:rPr>
        <w:t xml:space="preserve">In </w:t>
      </w:r>
      <w:r>
        <w:rPr>
          <w:sz w:val="20"/>
          <w:szCs w:val="20"/>
        </w:rPr>
        <w:t>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commercialize its brachytherapy products, the Company intends to consider resu</w:t>
      </w:r>
      <w:r>
        <w:rPr>
          <w:sz w:val="20"/>
          <w:szCs w:val="20"/>
        </w:rPr>
        <w:t>ming research efforts with respect to other products and technologies intended to help improve the diagnosis and treatment of cancer and other illnesses.</w:t>
      </w:r>
    </w:p>
    <w:p w14:paraId="5F144BF0" w14:textId="77777777" w:rsidR="00000000" w:rsidRDefault="00D6065B">
      <w:pPr>
        <w:pStyle w:val="a3"/>
        <w:spacing w:before="0" w:beforeAutospacing="0" w:after="0" w:afterAutospacing="0"/>
        <w:jc w:val="both"/>
        <w:rPr>
          <w:sz w:val="20"/>
          <w:szCs w:val="20"/>
        </w:rPr>
      </w:pPr>
      <w:r>
        <w:rPr>
          <w:sz w:val="20"/>
          <w:szCs w:val="20"/>
        </w:rPr>
        <w:t> </w:t>
      </w:r>
    </w:p>
    <w:p w14:paraId="28B20DA1" w14:textId="77777777" w:rsidR="00000000" w:rsidRDefault="00D6065B">
      <w:pPr>
        <w:pStyle w:val="a3"/>
        <w:spacing w:before="0" w:beforeAutospacing="0" w:after="0" w:afterAutospacing="0"/>
        <w:jc w:val="both"/>
        <w:rPr>
          <w:sz w:val="20"/>
          <w:szCs w:val="20"/>
        </w:rPr>
      </w:pPr>
      <w:r>
        <w:rPr>
          <w:sz w:val="20"/>
          <w:szCs w:val="20"/>
        </w:rPr>
        <w:t>Based on the Company’s financial history since inception, the Company’s independent registered publi</w:t>
      </w:r>
      <w:r>
        <w:rPr>
          <w:sz w:val="20"/>
          <w:szCs w:val="20"/>
        </w:rPr>
        <w:t>c accounting firm has expressed substantial doubt as to the Company’s ability to continue as a going concern. The Company has limited revenue, nominal cash, and has accumulated deficits since inception. If the Company cannot obtain sufficient additional ca</w:t>
      </w:r>
      <w:r>
        <w:rPr>
          <w:sz w:val="20"/>
          <w:szCs w:val="20"/>
        </w:rPr>
        <w:t>pital, the Company will be required to delay the implementation of its business strategy and may not be able to continue operations.</w:t>
      </w:r>
    </w:p>
    <w:p w14:paraId="51C1B25A" w14:textId="77777777" w:rsidR="00000000" w:rsidRDefault="00D6065B">
      <w:pPr>
        <w:pStyle w:val="a3"/>
        <w:spacing w:before="0" w:beforeAutospacing="0" w:after="0" w:afterAutospacing="0"/>
        <w:jc w:val="both"/>
        <w:rPr>
          <w:sz w:val="20"/>
          <w:szCs w:val="20"/>
        </w:rPr>
      </w:pPr>
      <w:r>
        <w:rPr>
          <w:sz w:val="20"/>
          <w:szCs w:val="20"/>
        </w:rPr>
        <w:t> </w:t>
      </w:r>
    </w:p>
    <w:p w14:paraId="0EE410DF" w14:textId="77777777" w:rsidR="00000000" w:rsidRDefault="00D6065B">
      <w:pPr>
        <w:pStyle w:val="a3"/>
        <w:spacing w:before="0" w:beforeAutospacing="0" w:after="0" w:afterAutospacing="0"/>
        <w:jc w:val="both"/>
        <w:rPr>
          <w:sz w:val="20"/>
          <w:szCs w:val="20"/>
        </w:rPr>
      </w:pPr>
      <w:r>
        <w:rPr>
          <w:sz w:val="20"/>
          <w:szCs w:val="20"/>
        </w:rPr>
        <w:t>The Company has been impacted from the effects of COVID-19. The Company’s headquarters are in Northeast Washington howeve</w:t>
      </w:r>
      <w:r>
        <w:rPr>
          <w:sz w:val="20"/>
          <w:szCs w:val="20"/>
        </w:rPr>
        <w:t>r there focus of the animal therapy market has been the Northwestern sector of the United States, the initial epicenter of the COVID-19 outbreak in the United States. The Company is hopeful that by the end of the third quarter of 2021, they will be allowed</w:t>
      </w:r>
      <w:r>
        <w:rPr>
          <w:sz w:val="20"/>
          <w:szCs w:val="20"/>
        </w:rPr>
        <w:t xml:space="preserve"> to continue their marketing to the animal therapy market and attempt to increase the exposure to their product and generate revenue accordingly.</w:t>
      </w:r>
    </w:p>
    <w:p w14:paraId="5E67FD3F" w14:textId="77777777" w:rsidR="00000000" w:rsidRDefault="00D6065B">
      <w:pPr>
        <w:pStyle w:val="a3"/>
        <w:spacing w:before="0" w:beforeAutospacing="0" w:after="0" w:afterAutospacing="0"/>
        <w:jc w:val="both"/>
        <w:rPr>
          <w:sz w:val="20"/>
          <w:szCs w:val="20"/>
        </w:rPr>
      </w:pPr>
      <w:r>
        <w:rPr>
          <w:sz w:val="20"/>
          <w:szCs w:val="20"/>
        </w:rPr>
        <w:t> </w:t>
      </w:r>
    </w:p>
    <w:p w14:paraId="566B499B" w14:textId="77777777" w:rsidR="00000000" w:rsidRDefault="00D6065B">
      <w:pPr>
        <w:pStyle w:val="a3"/>
        <w:spacing w:before="0" w:beforeAutospacing="0" w:after="0" w:afterAutospacing="0"/>
        <w:jc w:val="both"/>
        <w:rPr>
          <w:sz w:val="20"/>
          <w:szCs w:val="20"/>
        </w:rPr>
      </w:pPr>
      <w:r>
        <w:rPr>
          <w:sz w:val="20"/>
          <w:szCs w:val="20"/>
        </w:rPr>
        <w:t xml:space="preserve">As of June 30, 2021, the Company has </w:t>
      </w:r>
      <w:r>
        <w:rPr>
          <w:sz w:val="20"/>
          <w:szCs w:val="20"/>
        </w:rPr>
        <w:t>$</w:t>
      </w:r>
      <w:r>
        <w:rPr>
          <w:sz w:val="20"/>
          <w:szCs w:val="20"/>
        </w:rPr>
        <w:t>2,164,66</w:t>
      </w:r>
      <w:r>
        <w:rPr>
          <w:sz w:val="20"/>
          <w:szCs w:val="20"/>
        </w:rPr>
        <w:t>9</w:t>
      </w:r>
      <w:r>
        <w:rPr>
          <w:sz w:val="20"/>
          <w:szCs w:val="20"/>
        </w:rPr>
        <w:t xml:space="preserve"> cash on hand. There are currently commitments to vendors for</w:t>
      </w:r>
      <w:r>
        <w:rPr>
          <w:sz w:val="20"/>
          <w:szCs w:val="20"/>
        </w:rPr>
        <w:t xml:space="preserve"> products and services purchased. To continue the development of the Company’s products, the current level of cash may not be enough to cover the fixed and variable obligations of the Company.</w:t>
      </w:r>
    </w:p>
    <w:p w14:paraId="6CF3927A" w14:textId="77777777" w:rsidR="00000000" w:rsidRDefault="00D6065B">
      <w:pPr>
        <w:pStyle w:val="a3"/>
        <w:spacing w:before="0" w:beforeAutospacing="0" w:after="0" w:afterAutospacing="0"/>
        <w:jc w:val="both"/>
        <w:rPr>
          <w:sz w:val="20"/>
          <w:szCs w:val="20"/>
        </w:rPr>
      </w:pPr>
      <w:r>
        <w:rPr>
          <w:sz w:val="20"/>
          <w:szCs w:val="20"/>
        </w:rPr>
        <w:t> </w:t>
      </w:r>
    </w:p>
    <w:p w14:paraId="574743FC" w14:textId="77777777" w:rsidR="00000000" w:rsidRDefault="00D6065B">
      <w:pPr>
        <w:pStyle w:val="a3"/>
        <w:spacing w:before="0" w:beforeAutospacing="0" w:after="0" w:afterAutospacing="0"/>
        <w:jc w:val="both"/>
        <w:rPr>
          <w:sz w:val="20"/>
          <w:szCs w:val="20"/>
        </w:rPr>
      </w:pPr>
      <w:r>
        <w:rPr>
          <w:sz w:val="20"/>
          <w:szCs w:val="20"/>
        </w:rPr>
        <w:t xml:space="preserve">There is no guarantee that the Company will be able to raise </w:t>
      </w:r>
      <w:r>
        <w:rPr>
          <w:sz w:val="20"/>
          <w:szCs w:val="20"/>
        </w:rPr>
        <w:t>additional funds or to do so at an advantageous price.</w:t>
      </w:r>
    </w:p>
    <w:p w14:paraId="64080984" w14:textId="77777777" w:rsidR="00000000" w:rsidRDefault="00D6065B">
      <w:pPr>
        <w:pStyle w:val="a3"/>
        <w:spacing w:before="0" w:beforeAutospacing="0" w:after="0" w:afterAutospacing="0"/>
        <w:jc w:val="both"/>
        <w:rPr>
          <w:sz w:val="20"/>
          <w:szCs w:val="20"/>
        </w:rPr>
      </w:pPr>
      <w:r>
        <w:rPr>
          <w:sz w:val="20"/>
          <w:szCs w:val="20"/>
        </w:rPr>
        <w:t> </w:t>
      </w:r>
    </w:p>
    <w:p w14:paraId="2361E72B" w14:textId="77777777" w:rsidR="00000000" w:rsidRDefault="00D6065B">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should the Company be unable to continue as a going co</w:t>
      </w:r>
      <w:r>
        <w:rPr>
          <w:sz w:val="20"/>
          <w:szCs w:val="20"/>
        </w:rPr>
        <w:t>ncern. The Company’s continuation as a going concern is dependent upon its ability to generate sufficient cash flow to meet its obligations on a timely basis and ultimately to attain profitability. The Company plans to seek additional funding to maintain i</w:t>
      </w:r>
      <w:r>
        <w:rPr>
          <w:sz w:val="20"/>
          <w:szCs w:val="20"/>
        </w:rPr>
        <w:t xml:space="preserve">ts operations through debt and equity financing and to improve operating performance through a focus on strategic products and increased efficiencies in business processes and improvements to the cost structure. There is no assurance that the Company will </w:t>
      </w:r>
      <w:r>
        <w:rPr>
          <w:sz w:val="20"/>
          <w:szCs w:val="20"/>
        </w:rPr>
        <w:t>be successful in its efforts to raise additional working capital or achieve profitable operations. The financial statements do not include any adjustments that might result from the outcome of this uncertainty.</w:t>
      </w:r>
    </w:p>
    <w:p w14:paraId="7DEE2AC5"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133E6BA" w14:textId="77777777">
        <w:trPr>
          <w:divId w:val="1880050302"/>
        </w:trPr>
        <w:tc>
          <w:tcPr>
            <w:tcW w:w="5000" w:type="pct"/>
            <w:hideMark/>
          </w:tcPr>
          <w:p w14:paraId="34EBB2B7" w14:textId="77777777" w:rsidR="00000000" w:rsidRDefault="00D6065B">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401D541" w14:textId="77777777">
        <w:tc>
          <w:tcPr>
            <w:tcW w:w="5000" w:type="pct"/>
            <w:hideMark/>
          </w:tcPr>
          <w:p w14:paraId="4F275C04" w14:textId="77777777" w:rsidR="00000000" w:rsidRDefault="00D6065B">
            <w:pPr>
              <w:jc w:val="center"/>
              <w:rPr>
                <w:rFonts w:eastAsia="Times New Roman"/>
                <w:sz w:val="20"/>
                <w:szCs w:val="20"/>
              </w:rPr>
            </w:pPr>
            <w:r>
              <w:rPr>
                <w:rFonts w:eastAsia="Times New Roman"/>
                <w:sz w:val="20"/>
                <w:szCs w:val="20"/>
              </w:rPr>
              <w:t> </w:t>
            </w:r>
          </w:p>
        </w:tc>
      </w:tr>
    </w:tbl>
    <w:p w14:paraId="455EE33F" w14:textId="77777777" w:rsidR="00000000" w:rsidRDefault="00D6065B">
      <w:pPr>
        <w:pStyle w:val="a3"/>
        <w:spacing w:before="0" w:beforeAutospacing="0" w:after="0" w:afterAutospacing="0"/>
        <w:rPr>
          <w:sz w:val="20"/>
          <w:szCs w:val="20"/>
        </w:rPr>
      </w:pPr>
      <w:r>
        <w:rPr>
          <w:sz w:val="20"/>
          <w:szCs w:val="20"/>
        </w:rPr>
        <w:t> </w:t>
      </w:r>
    </w:p>
    <w:p w14:paraId="6440D069" w14:textId="77777777" w:rsidR="00000000" w:rsidRDefault="00D6065B">
      <w:pPr>
        <w:pStyle w:val="a3"/>
        <w:spacing w:before="0" w:beforeAutospacing="0" w:after="0" w:afterAutospacing="0"/>
        <w:jc w:val="both"/>
        <w:rPr>
          <w:sz w:val="20"/>
          <w:szCs w:val="20"/>
        </w:rPr>
      </w:pPr>
      <w:r>
        <w:rPr>
          <w:b/>
          <w:bCs/>
          <w:sz w:val="20"/>
          <w:szCs w:val="20"/>
        </w:rPr>
        <w:t>Use of Estimate</w:t>
      </w:r>
      <w:r>
        <w:rPr>
          <w:b/>
          <w:bCs/>
          <w:sz w:val="20"/>
          <w:szCs w:val="20"/>
        </w:rPr>
        <w:t>s</w:t>
      </w:r>
    </w:p>
    <w:p w14:paraId="258834E5" w14:textId="77777777" w:rsidR="00000000" w:rsidRDefault="00D6065B">
      <w:pPr>
        <w:pStyle w:val="a3"/>
        <w:spacing w:before="0" w:beforeAutospacing="0" w:after="0" w:afterAutospacing="0"/>
        <w:jc w:val="both"/>
        <w:rPr>
          <w:sz w:val="20"/>
          <w:szCs w:val="20"/>
        </w:rPr>
      </w:pPr>
      <w:r>
        <w:rPr>
          <w:sz w:val="20"/>
          <w:szCs w:val="20"/>
        </w:rPr>
        <w:t> </w:t>
      </w:r>
    </w:p>
    <w:p w14:paraId="75620C7B"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preparation of financial statements in accordance with generally accepted accounting principles requires management to make estimates and assumptions that affect the reported amounts of assets and liabilities and the disclosure of contingent assets and lia</w:t>
      </w:r>
      <w:r>
        <w:rPr>
          <w:sz w:val="20"/>
          <w:szCs w:val="20"/>
        </w:rPr>
        <w:t>bilities at the date of financial statements and the reported amounts of revenues and expenses during the reporting period. Estimates the Company considers include criteria for stock-based compensation expense, and valuation allowances on deferred tax asse</w:t>
      </w:r>
      <w:r>
        <w:rPr>
          <w:sz w:val="20"/>
          <w:szCs w:val="20"/>
        </w:rPr>
        <w:t>ts. Actual results could differ from those estimates.</w:t>
      </w:r>
    </w:p>
    <w:p w14:paraId="4D85BBFA" w14:textId="77777777" w:rsidR="00000000" w:rsidRDefault="00D6065B">
      <w:pPr>
        <w:pStyle w:val="a3"/>
        <w:spacing w:before="0" w:beforeAutospacing="0" w:after="0" w:afterAutospacing="0"/>
        <w:jc w:val="both"/>
        <w:rPr>
          <w:sz w:val="20"/>
          <w:szCs w:val="20"/>
        </w:rPr>
      </w:pPr>
      <w:r>
        <w:rPr>
          <w:sz w:val="20"/>
          <w:szCs w:val="20"/>
        </w:rPr>
        <w:t> </w:t>
      </w:r>
    </w:p>
    <w:p w14:paraId="1E8931E0" w14:textId="77777777" w:rsidR="00000000" w:rsidRDefault="00D6065B">
      <w:pPr>
        <w:pStyle w:val="a3"/>
        <w:spacing w:before="0" w:beforeAutospacing="0" w:after="0" w:afterAutospacing="0"/>
        <w:jc w:val="both"/>
        <w:rPr>
          <w:sz w:val="20"/>
          <w:szCs w:val="20"/>
        </w:rPr>
      </w:pPr>
      <w:r>
        <w:rPr>
          <w:b/>
          <w:bCs/>
          <w:sz w:val="20"/>
          <w:szCs w:val="20"/>
        </w:rPr>
        <w:t>Financial Statement Reclassificatio</w:t>
      </w:r>
      <w:r>
        <w:rPr>
          <w:b/>
          <w:bCs/>
          <w:sz w:val="20"/>
          <w:szCs w:val="20"/>
        </w:rPr>
        <w:t>n</w:t>
      </w:r>
    </w:p>
    <w:p w14:paraId="104B1FDE" w14:textId="77777777" w:rsidR="00000000" w:rsidRDefault="00D6065B">
      <w:pPr>
        <w:pStyle w:val="a3"/>
        <w:spacing w:before="0" w:beforeAutospacing="0" w:after="0" w:afterAutospacing="0"/>
        <w:jc w:val="both"/>
        <w:rPr>
          <w:sz w:val="20"/>
          <w:szCs w:val="20"/>
        </w:rPr>
      </w:pPr>
      <w:r>
        <w:rPr>
          <w:sz w:val="20"/>
          <w:szCs w:val="20"/>
        </w:rPr>
        <w:t> </w:t>
      </w:r>
    </w:p>
    <w:p w14:paraId="2D1231AF" w14:textId="77777777" w:rsidR="00000000" w:rsidRDefault="00D6065B">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classifications.</w:t>
      </w:r>
    </w:p>
    <w:p w14:paraId="2E08DC98" w14:textId="77777777" w:rsidR="00000000" w:rsidRDefault="00D6065B">
      <w:pPr>
        <w:pStyle w:val="a3"/>
        <w:spacing w:before="0" w:beforeAutospacing="0" w:after="0" w:afterAutospacing="0"/>
        <w:jc w:val="both"/>
        <w:rPr>
          <w:sz w:val="20"/>
          <w:szCs w:val="20"/>
        </w:rPr>
      </w:pPr>
      <w:r>
        <w:rPr>
          <w:sz w:val="20"/>
          <w:szCs w:val="20"/>
        </w:rPr>
        <w:t> </w:t>
      </w:r>
    </w:p>
    <w:p w14:paraId="25037AC7" w14:textId="77777777" w:rsidR="00000000" w:rsidRDefault="00D6065B">
      <w:pPr>
        <w:pStyle w:val="a3"/>
        <w:spacing w:before="0" w:beforeAutospacing="0" w:after="0" w:afterAutospacing="0"/>
        <w:jc w:val="both"/>
        <w:rPr>
          <w:sz w:val="20"/>
          <w:szCs w:val="20"/>
        </w:rPr>
      </w:pPr>
      <w:r>
        <w:rPr>
          <w:b/>
          <w:bCs/>
          <w:sz w:val="20"/>
          <w:szCs w:val="20"/>
        </w:rPr>
        <w:t>Cash Equiv</w:t>
      </w:r>
      <w:r>
        <w:rPr>
          <w:b/>
          <w:bCs/>
          <w:sz w:val="20"/>
          <w:szCs w:val="20"/>
        </w:rPr>
        <w:t>alent</w:t>
      </w:r>
      <w:r>
        <w:rPr>
          <w:b/>
          <w:bCs/>
          <w:sz w:val="20"/>
          <w:szCs w:val="20"/>
        </w:rPr>
        <w:t>s</w:t>
      </w:r>
    </w:p>
    <w:p w14:paraId="1189E9AE" w14:textId="77777777" w:rsidR="00000000" w:rsidRDefault="00D6065B">
      <w:pPr>
        <w:pStyle w:val="a3"/>
        <w:spacing w:before="0" w:beforeAutospacing="0" w:after="0" w:afterAutospacing="0"/>
        <w:jc w:val="both"/>
        <w:rPr>
          <w:sz w:val="20"/>
          <w:szCs w:val="20"/>
        </w:rPr>
      </w:pPr>
      <w:r>
        <w:rPr>
          <w:sz w:val="20"/>
          <w:szCs w:val="20"/>
        </w:rPr>
        <w:t> </w:t>
      </w:r>
    </w:p>
    <w:p w14:paraId="72D67354" w14:textId="77777777" w:rsidR="00000000" w:rsidRDefault="00D6065B">
      <w:pPr>
        <w:pStyle w:val="a3"/>
        <w:spacing w:before="0" w:beforeAutospacing="0" w:after="0" w:afterAutospacing="0"/>
        <w:jc w:val="both"/>
        <w:rPr>
          <w:sz w:val="20"/>
          <w:szCs w:val="20"/>
        </w:rPr>
      </w:pPr>
      <w:r>
        <w:rPr>
          <w:sz w:val="20"/>
          <w:szCs w:val="20"/>
        </w:rPr>
        <w:t>For the purposes of the statement of cash flows, the Company considers all highly liquid debt instruments purchased with an original maturity of three months or less to be cash equivalents.</w:t>
      </w:r>
    </w:p>
    <w:p w14:paraId="2813436B" w14:textId="77777777" w:rsidR="00000000" w:rsidRDefault="00D6065B">
      <w:pPr>
        <w:pStyle w:val="a3"/>
        <w:spacing w:before="0" w:beforeAutospacing="0" w:after="0" w:afterAutospacing="0"/>
        <w:jc w:val="both"/>
        <w:rPr>
          <w:sz w:val="20"/>
          <w:szCs w:val="20"/>
        </w:rPr>
      </w:pPr>
      <w:r>
        <w:rPr>
          <w:sz w:val="20"/>
          <w:szCs w:val="20"/>
        </w:rPr>
        <w:t> </w:t>
      </w:r>
    </w:p>
    <w:p w14:paraId="060E3AEA" w14:textId="77777777" w:rsidR="00000000" w:rsidRDefault="00D6065B">
      <w:pPr>
        <w:pStyle w:val="a3"/>
        <w:spacing w:before="0" w:beforeAutospacing="0" w:after="0" w:afterAutospacing="0"/>
        <w:jc w:val="both"/>
        <w:rPr>
          <w:sz w:val="20"/>
          <w:szCs w:val="20"/>
        </w:rPr>
      </w:pPr>
      <w:r>
        <w:rPr>
          <w:sz w:val="20"/>
          <w:szCs w:val="20"/>
        </w:rPr>
        <w:t>The Company occasionally maintains cash balances in exc</w:t>
      </w:r>
      <w:r>
        <w:rPr>
          <w:sz w:val="20"/>
          <w:szCs w:val="20"/>
        </w:rPr>
        <w:t>ess of the FDIC insured limit. The Company does not consider this risk to be material.</w:t>
      </w:r>
    </w:p>
    <w:p w14:paraId="6AF6CAB8" w14:textId="77777777" w:rsidR="00000000" w:rsidRDefault="00D6065B">
      <w:pPr>
        <w:pStyle w:val="a3"/>
        <w:spacing w:before="0" w:beforeAutospacing="0" w:after="0" w:afterAutospacing="0"/>
        <w:jc w:val="both"/>
        <w:rPr>
          <w:sz w:val="20"/>
          <w:szCs w:val="20"/>
        </w:rPr>
      </w:pPr>
      <w:r>
        <w:rPr>
          <w:sz w:val="20"/>
          <w:szCs w:val="20"/>
        </w:rPr>
        <w:t> </w:t>
      </w:r>
    </w:p>
    <w:p w14:paraId="18CBD907" w14:textId="77777777" w:rsidR="00000000" w:rsidRDefault="00D6065B">
      <w:pPr>
        <w:pStyle w:val="a3"/>
        <w:spacing w:before="0" w:beforeAutospacing="0" w:after="0" w:afterAutospacing="0"/>
        <w:jc w:val="both"/>
        <w:rPr>
          <w:sz w:val="20"/>
          <w:szCs w:val="20"/>
        </w:rPr>
      </w:pPr>
      <w:r>
        <w:rPr>
          <w:b/>
          <w:bCs/>
          <w:sz w:val="20"/>
          <w:szCs w:val="20"/>
        </w:rPr>
        <w:t>Fair Value of Financial Instrument</w:t>
      </w:r>
      <w:r>
        <w:rPr>
          <w:b/>
          <w:bCs/>
          <w:sz w:val="20"/>
          <w:szCs w:val="20"/>
        </w:rPr>
        <w:t>s</w:t>
      </w:r>
    </w:p>
    <w:p w14:paraId="5F518F79" w14:textId="77777777" w:rsidR="00000000" w:rsidRDefault="00D6065B">
      <w:pPr>
        <w:pStyle w:val="a3"/>
        <w:spacing w:before="0" w:beforeAutospacing="0" w:after="0" w:afterAutospacing="0"/>
        <w:jc w:val="both"/>
        <w:rPr>
          <w:sz w:val="20"/>
          <w:szCs w:val="20"/>
        </w:rPr>
      </w:pPr>
      <w:r>
        <w:rPr>
          <w:sz w:val="20"/>
          <w:szCs w:val="20"/>
        </w:rPr>
        <w:t> </w:t>
      </w:r>
    </w:p>
    <w:p w14:paraId="56F9FC0F" w14:textId="77777777" w:rsidR="00000000" w:rsidRDefault="00D6065B">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w:t>
      </w:r>
      <w:r>
        <w:rPr>
          <w:sz w:val="20"/>
          <w:szCs w:val="20"/>
        </w:rPr>
        <w:t>heet, where it is practicable to estimate that value. As of June 30, 2021 and December 31, 2020, the balances reported for cash, prepaid expenses, accounts receivable, accounts payable, and accrued expenses, approximate the fair value because of their shor</w:t>
      </w:r>
      <w:r>
        <w:rPr>
          <w:sz w:val="20"/>
          <w:szCs w:val="20"/>
        </w:rPr>
        <w:t>t maturities.</w:t>
      </w:r>
    </w:p>
    <w:p w14:paraId="4F47A2E4" w14:textId="77777777" w:rsidR="00000000" w:rsidRDefault="00D6065B">
      <w:pPr>
        <w:pStyle w:val="a3"/>
        <w:spacing w:before="0" w:beforeAutospacing="0" w:after="0" w:afterAutospacing="0"/>
        <w:jc w:val="both"/>
        <w:rPr>
          <w:sz w:val="20"/>
          <w:szCs w:val="20"/>
        </w:rPr>
      </w:pPr>
      <w:r>
        <w:rPr>
          <w:sz w:val="20"/>
          <w:szCs w:val="20"/>
        </w:rPr>
        <w:t> </w:t>
      </w:r>
    </w:p>
    <w:p w14:paraId="0A40DDB2" w14:textId="77777777" w:rsidR="00000000" w:rsidRDefault="00D6065B">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w:t>
      </w:r>
      <w:r>
        <w:rPr>
          <w:sz w:val="20"/>
          <w:szCs w:val="20"/>
        </w:rPr>
        <w:t>tablished a three-tier fair value hierarchy which prioritizes the inputs used in measuring fair value. The hierarchy gives the highest priority to unadjusted quoted prices in active markets for identical assets or liabilities (level 1 measurements) and the</w:t>
      </w:r>
      <w:r>
        <w:rPr>
          <w:sz w:val="20"/>
          <w:szCs w:val="20"/>
        </w:rPr>
        <w:t xml:space="preserve"> lowest priority to unobservable inputs (level 3 measurements). These tiers include:</w:t>
      </w:r>
    </w:p>
    <w:p w14:paraId="7585B979" w14:textId="77777777" w:rsidR="00000000" w:rsidRDefault="00D6065B">
      <w:pPr>
        <w:pStyle w:val="a3"/>
        <w:spacing w:before="0" w:beforeAutospacing="0" w:after="0" w:afterAutospacing="0"/>
        <w:jc w:val="both"/>
        <w:rPr>
          <w:sz w:val="20"/>
          <w:szCs w:val="20"/>
        </w:rPr>
      </w:pPr>
      <w:r>
        <w:rPr>
          <w:sz w:val="20"/>
          <w:szCs w:val="20"/>
        </w:rPr>
        <w:t> </w:t>
      </w:r>
    </w:p>
    <w:p w14:paraId="26293F8F" w14:textId="77777777" w:rsidR="00000000" w:rsidRDefault="00D6065B">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14:paraId="17781A4F" w14:textId="77777777" w:rsidR="00000000" w:rsidRDefault="00D6065B">
      <w:pPr>
        <w:pStyle w:val="a3"/>
        <w:spacing w:before="0" w:beforeAutospacing="0" w:after="0" w:afterAutospacing="0"/>
        <w:jc w:val="both"/>
        <w:rPr>
          <w:sz w:val="20"/>
          <w:szCs w:val="20"/>
        </w:rPr>
      </w:pPr>
      <w:r>
        <w:rPr>
          <w:sz w:val="20"/>
          <w:szCs w:val="20"/>
        </w:rPr>
        <w:t> </w:t>
      </w:r>
    </w:p>
    <w:p w14:paraId="7595F581" w14:textId="77777777" w:rsidR="00000000" w:rsidRDefault="00D6065B">
      <w:pPr>
        <w:pStyle w:val="a3"/>
        <w:spacing w:before="0" w:beforeAutospacing="0" w:after="0" w:afterAutospacing="0"/>
        <w:jc w:val="both"/>
        <w:rPr>
          <w:sz w:val="20"/>
          <w:szCs w:val="20"/>
        </w:rPr>
      </w:pPr>
      <w:r>
        <w:rPr>
          <w:sz w:val="20"/>
          <w:szCs w:val="20"/>
        </w:rPr>
        <w:t xml:space="preserve">Level 2, defined as inputs other than quoted prices in active </w:t>
      </w:r>
      <w:r>
        <w:rPr>
          <w:sz w:val="20"/>
          <w:szCs w:val="20"/>
        </w:rPr>
        <w:t>markets that are either directly or indirectly observable such as quoted prices for similar instruments in active markets or quoted prices for identical or similar instruments in markets that are not active; and</w:t>
      </w:r>
    </w:p>
    <w:p w14:paraId="14F84788" w14:textId="77777777" w:rsidR="00000000" w:rsidRDefault="00D6065B">
      <w:pPr>
        <w:pStyle w:val="a3"/>
        <w:spacing w:before="0" w:beforeAutospacing="0" w:after="0" w:afterAutospacing="0"/>
        <w:jc w:val="both"/>
        <w:rPr>
          <w:sz w:val="20"/>
          <w:szCs w:val="20"/>
        </w:rPr>
      </w:pPr>
      <w:r>
        <w:rPr>
          <w:sz w:val="20"/>
          <w:szCs w:val="20"/>
        </w:rPr>
        <w:t> </w:t>
      </w:r>
    </w:p>
    <w:p w14:paraId="13DCF504" w14:textId="77777777" w:rsidR="00000000" w:rsidRDefault="00D6065B">
      <w:pPr>
        <w:pStyle w:val="a3"/>
        <w:spacing w:before="0" w:beforeAutospacing="0" w:after="0" w:afterAutospacing="0"/>
        <w:jc w:val="both"/>
        <w:rPr>
          <w:sz w:val="20"/>
          <w:szCs w:val="20"/>
        </w:rPr>
      </w:pPr>
      <w:r>
        <w:rPr>
          <w:sz w:val="20"/>
          <w:szCs w:val="20"/>
        </w:rPr>
        <w:t>Level 3, defined as unobservable inputs in</w:t>
      </w:r>
      <w:r>
        <w:rPr>
          <w:sz w:val="20"/>
          <w:szCs w:val="20"/>
        </w:rPr>
        <w:t xml:space="preserve"> which little or no market data exists, therefore requiring an entity to develop its own assumptions, such as valuations derived from valuation techniques in which one or more significant inputs or significant value drivers are unobservable.</w:t>
      </w:r>
    </w:p>
    <w:p w14:paraId="1EB04E4E" w14:textId="77777777" w:rsidR="00000000" w:rsidRDefault="00D6065B">
      <w:pPr>
        <w:pStyle w:val="a3"/>
        <w:spacing w:before="0" w:beforeAutospacing="0" w:after="0" w:afterAutospacing="0"/>
        <w:jc w:val="both"/>
        <w:rPr>
          <w:sz w:val="20"/>
          <w:szCs w:val="20"/>
        </w:rPr>
      </w:pPr>
      <w:r>
        <w:rPr>
          <w:sz w:val="20"/>
          <w:szCs w:val="20"/>
        </w:rPr>
        <w:t> </w:t>
      </w:r>
    </w:p>
    <w:p w14:paraId="6CB8D47C" w14:textId="77777777" w:rsidR="00000000" w:rsidRDefault="00D6065B">
      <w:pPr>
        <w:pStyle w:val="a3"/>
        <w:spacing w:before="0" w:beforeAutospacing="0" w:after="0" w:afterAutospacing="0"/>
        <w:jc w:val="both"/>
        <w:rPr>
          <w:sz w:val="20"/>
          <w:szCs w:val="20"/>
        </w:rPr>
      </w:pPr>
      <w:r>
        <w:rPr>
          <w:sz w:val="20"/>
          <w:szCs w:val="20"/>
        </w:rPr>
        <w:t xml:space="preserve">The Company </w:t>
      </w:r>
      <w:r>
        <w:rPr>
          <w:sz w:val="20"/>
          <w:szCs w:val="20"/>
        </w:rPr>
        <w:t>measures certain financial instruments including options and warrants issued during the period at fair value on a recurring basis.</w:t>
      </w:r>
    </w:p>
    <w:p w14:paraId="09BC8433" w14:textId="77777777" w:rsidR="00000000" w:rsidRDefault="00D6065B">
      <w:pPr>
        <w:pStyle w:val="a3"/>
        <w:spacing w:before="0" w:beforeAutospacing="0" w:after="0" w:afterAutospacing="0"/>
        <w:jc w:val="both"/>
        <w:rPr>
          <w:sz w:val="20"/>
          <w:szCs w:val="20"/>
        </w:rPr>
      </w:pPr>
      <w:r>
        <w:rPr>
          <w:sz w:val="20"/>
          <w:szCs w:val="20"/>
        </w:rPr>
        <w:t> </w:t>
      </w:r>
    </w:p>
    <w:p w14:paraId="2028426A" w14:textId="77777777" w:rsidR="00000000" w:rsidRDefault="00D6065B">
      <w:pPr>
        <w:pStyle w:val="a3"/>
        <w:spacing w:before="0" w:beforeAutospacing="0" w:after="0" w:afterAutospacing="0"/>
        <w:jc w:val="both"/>
        <w:rPr>
          <w:sz w:val="20"/>
          <w:szCs w:val="20"/>
        </w:rPr>
      </w:pPr>
      <w:r>
        <w:rPr>
          <w:b/>
          <w:bCs/>
          <w:sz w:val="20"/>
          <w:szCs w:val="20"/>
        </w:rPr>
        <w:t>Derivative Liabilities and Beneficial Conversion Featur</w:t>
      </w:r>
      <w:r>
        <w:rPr>
          <w:b/>
          <w:bCs/>
          <w:sz w:val="20"/>
          <w:szCs w:val="20"/>
        </w:rPr>
        <w:t>e</w:t>
      </w:r>
    </w:p>
    <w:p w14:paraId="4388A497" w14:textId="77777777" w:rsidR="00000000" w:rsidRDefault="00D6065B">
      <w:pPr>
        <w:pStyle w:val="a3"/>
        <w:spacing w:before="0" w:beforeAutospacing="0" w:after="0" w:afterAutospacing="0"/>
        <w:ind w:firstLine="720"/>
        <w:jc w:val="both"/>
        <w:rPr>
          <w:sz w:val="20"/>
          <w:szCs w:val="20"/>
        </w:rPr>
      </w:pPr>
      <w:r>
        <w:rPr>
          <w:sz w:val="20"/>
          <w:szCs w:val="20"/>
        </w:rPr>
        <w:t> </w:t>
      </w:r>
    </w:p>
    <w:p w14:paraId="6C1F04A7"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Company evaluates its convertible debt, options, warrants or other contracts, if any, to determine if those contracts or embedded components of those contracts qualify as derivatives to be separately accounted for in accordance with ASC Topic 815, Accounti</w:t>
      </w:r>
      <w:r>
        <w:rPr>
          <w:sz w:val="20"/>
          <w:szCs w:val="20"/>
        </w:rPr>
        <w:t>ng for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w:t>
      </w:r>
      <w:r>
        <w:rPr>
          <w:sz w:val="20"/>
          <w:szCs w:val="20"/>
        </w:rPr>
        <w:t>vative instruments are recognized as either assets or liabilities in the balance sheet and are measured at fair values with gains or losses recognized in earnings.</w:t>
      </w:r>
    </w:p>
    <w:p w14:paraId="7D0265AA" w14:textId="77777777" w:rsidR="00000000" w:rsidRDefault="00D6065B">
      <w:pPr>
        <w:pStyle w:val="a3"/>
        <w:spacing w:before="0" w:beforeAutospacing="0" w:after="0" w:afterAutospacing="0"/>
        <w:jc w:val="both"/>
        <w:rPr>
          <w:sz w:val="20"/>
          <w:szCs w:val="20"/>
        </w:rPr>
      </w:pPr>
      <w:r>
        <w:rPr>
          <w:sz w:val="20"/>
          <w:szCs w:val="20"/>
        </w:rPr>
        <w:t> </w:t>
      </w:r>
    </w:p>
    <w:p w14:paraId="60031348" w14:textId="77777777" w:rsidR="00000000" w:rsidRDefault="00D6065B">
      <w:pPr>
        <w:pStyle w:val="a3"/>
        <w:spacing w:before="0" w:beforeAutospacing="0" w:after="0" w:afterAutospacing="0"/>
        <w:jc w:val="both"/>
        <w:rPr>
          <w:sz w:val="20"/>
          <w:szCs w:val="20"/>
        </w:rPr>
      </w:pPr>
      <w:r>
        <w:rPr>
          <w:sz w:val="20"/>
          <w:szCs w:val="20"/>
        </w:rPr>
        <w:t>Embedded derivatives that are not clearly and closely related to the host contract are bif</w:t>
      </w:r>
      <w:r>
        <w:rPr>
          <w:sz w:val="20"/>
          <w:szCs w:val="20"/>
        </w:rPr>
        <w:t>urcated and are recognized at fair value with changes in fair value recognized as either a gain or loss in earnings.</w:t>
      </w:r>
    </w:p>
    <w:p w14:paraId="710799FA"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CA2AC5E" w14:textId="77777777">
        <w:trPr>
          <w:divId w:val="1090852864"/>
        </w:trPr>
        <w:tc>
          <w:tcPr>
            <w:tcW w:w="5000" w:type="pct"/>
            <w:hideMark/>
          </w:tcPr>
          <w:p w14:paraId="4BAB1071" w14:textId="77777777" w:rsidR="00000000" w:rsidRDefault="00D6065B">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41FE779D" w14:textId="77777777">
        <w:tc>
          <w:tcPr>
            <w:tcW w:w="5000" w:type="pct"/>
            <w:hideMark/>
          </w:tcPr>
          <w:p w14:paraId="07BB92E1" w14:textId="77777777" w:rsidR="00000000" w:rsidRDefault="00D6065B">
            <w:pPr>
              <w:jc w:val="center"/>
              <w:rPr>
                <w:rFonts w:eastAsia="Times New Roman"/>
                <w:sz w:val="20"/>
                <w:szCs w:val="20"/>
              </w:rPr>
            </w:pPr>
            <w:r>
              <w:rPr>
                <w:rFonts w:eastAsia="Times New Roman"/>
                <w:sz w:val="20"/>
                <w:szCs w:val="20"/>
              </w:rPr>
              <w:t> </w:t>
            </w:r>
          </w:p>
        </w:tc>
      </w:tr>
    </w:tbl>
    <w:p w14:paraId="5A3F8C83" w14:textId="77777777" w:rsidR="00000000" w:rsidRDefault="00D6065B">
      <w:pPr>
        <w:pStyle w:val="a3"/>
        <w:spacing w:before="0" w:beforeAutospacing="0" w:after="0" w:afterAutospacing="0"/>
        <w:rPr>
          <w:sz w:val="20"/>
          <w:szCs w:val="20"/>
        </w:rPr>
      </w:pPr>
      <w:r>
        <w:rPr>
          <w:sz w:val="20"/>
          <w:szCs w:val="20"/>
        </w:rPr>
        <w:t> </w:t>
      </w:r>
    </w:p>
    <w:p w14:paraId="52FE6C8F" w14:textId="77777777" w:rsidR="00000000" w:rsidRDefault="00D6065B">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w:t>
      </w:r>
      <w:r>
        <w:rPr>
          <w:sz w:val="20"/>
          <w:szCs w:val="20"/>
        </w:rPr>
        <w:t>et date and with the change in fair value recognized in the statement of operations as other income or expense.</w:t>
      </w:r>
    </w:p>
    <w:p w14:paraId="0597842B" w14:textId="77777777" w:rsidR="00000000" w:rsidRDefault="00D6065B">
      <w:pPr>
        <w:pStyle w:val="a3"/>
        <w:spacing w:before="0" w:beforeAutospacing="0" w:after="0" w:afterAutospacing="0"/>
        <w:jc w:val="both"/>
        <w:rPr>
          <w:sz w:val="20"/>
          <w:szCs w:val="20"/>
        </w:rPr>
      </w:pPr>
      <w:r>
        <w:rPr>
          <w:sz w:val="20"/>
          <w:szCs w:val="20"/>
        </w:rPr>
        <w:t> </w:t>
      </w:r>
    </w:p>
    <w:p w14:paraId="20B60D69" w14:textId="77777777" w:rsidR="00000000" w:rsidRDefault="00D6065B">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w:t>
      </w:r>
      <w:r>
        <w:rPr>
          <w:sz w:val="20"/>
          <w:szCs w:val="20"/>
        </w:rPr>
        <w:t>se or cancellation than that the related fair value is removed from the books. Gains or losses on debt extinguishment are recognized in the statement of operations upon conversion, exercise or cancellation of a derivative instrument after any shares issued</w:t>
      </w:r>
      <w:r>
        <w:rPr>
          <w:sz w:val="20"/>
          <w:szCs w:val="20"/>
        </w:rPr>
        <w:t xml:space="preserve"> in such a transaction are recorded at market value.</w:t>
      </w:r>
    </w:p>
    <w:p w14:paraId="032D39EF" w14:textId="77777777" w:rsidR="00000000" w:rsidRDefault="00D6065B">
      <w:pPr>
        <w:pStyle w:val="a3"/>
        <w:spacing w:before="0" w:beforeAutospacing="0" w:after="0" w:afterAutospacing="0"/>
        <w:jc w:val="both"/>
        <w:rPr>
          <w:sz w:val="20"/>
          <w:szCs w:val="20"/>
        </w:rPr>
      </w:pPr>
      <w:r>
        <w:rPr>
          <w:sz w:val="20"/>
          <w:szCs w:val="20"/>
        </w:rPr>
        <w:t> </w:t>
      </w:r>
    </w:p>
    <w:p w14:paraId="79142F8E" w14:textId="77777777" w:rsidR="00000000" w:rsidRDefault="00D6065B">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each reporting period. Equity instruments t</w:t>
      </w:r>
      <w:r>
        <w:rPr>
          <w:sz w:val="20"/>
          <w:szCs w:val="20"/>
        </w:rPr>
        <w:t>hat are initially classified as equity that become subject to reclassification are reclassified to liability at the fair value of the instrument on the reclassification date. Instruments that become a derivative after inception are recognized as a derivati</w:t>
      </w:r>
      <w:r>
        <w:rPr>
          <w:sz w:val="20"/>
          <w:szCs w:val="20"/>
        </w:rPr>
        <w:t>ve on the date they become a derivative with the offsetting entry recorded in earnings.</w:t>
      </w:r>
    </w:p>
    <w:p w14:paraId="16716176" w14:textId="77777777" w:rsidR="00000000" w:rsidRDefault="00D6065B">
      <w:pPr>
        <w:pStyle w:val="a3"/>
        <w:spacing w:before="0" w:beforeAutospacing="0" w:after="0" w:afterAutospacing="0"/>
        <w:jc w:val="both"/>
        <w:rPr>
          <w:sz w:val="20"/>
          <w:szCs w:val="20"/>
        </w:rPr>
      </w:pPr>
      <w:r>
        <w:rPr>
          <w:sz w:val="20"/>
          <w:szCs w:val="20"/>
        </w:rPr>
        <w:t> </w:t>
      </w:r>
    </w:p>
    <w:p w14:paraId="16B4B4A0" w14:textId="77777777" w:rsidR="00000000" w:rsidRDefault="00D6065B">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obligations of each instrument, based on ava</w:t>
      </w:r>
      <w:r>
        <w:rPr>
          <w:sz w:val="20"/>
          <w:szCs w:val="20"/>
        </w:rPr>
        <w:t>ilable market data using a binomial model, adjusted for the effect of dilution, because it embodies all of the requisite assumptions (including trading volatility, estimated terms, dilution and risk-free rates) necessary to fair value these instruments. Fo</w:t>
      </w:r>
      <w:r>
        <w:rPr>
          <w:sz w:val="20"/>
          <w:szCs w:val="20"/>
        </w:rPr>
        <w:t>r instruments in default with no remaining time to maturity the Company uses a one-year term for their years to maturity estimate unless a sooner conversion date can be estimated or is known. Estimating fair values of derivative financial instruments requi</w:t>
      </w:r>
      <w:r>
        <w:rPr>
          <w:sz w:val="20"/>
          <w:szCs w:val="20"/>
        </w:rPr>
        <w:t>res the development of significant and subjective estimates that may, and are likely to, change over the duration of the instrument with related changes in internal and external market factors. In addition, option-based techniques (such as Black-Scholes mo</w:t>
      </w:r>
      <w:r>
        <w:rPr>
          <w:sz w:val="20"/>
          <w:szCs w:val="20"/>
        </w:rPr>
        <w:t>del) are highly volatile and sensitive to changes in the trading market price of our common stock.</w:t>
      </w:r>
    </w:p>
    <w:p w14:paraId="2D821FEA" w14:textId="77777777" w:rsidR="00000000" w:rsidRDefault="00D6065B">
      <w:pPr>
        <w:pStyle w:val="a3"/>
        <w:spacing w:before="0" w:beforeAutospacing="0" w:after="0" w:afterAutospacing="0"/>
        <w:jc w:val="both"/>
        <w:rPr>
          <w:sz w:val="20"/>
          <w:szCs w:val="20"/>
        </w:rPr>
      </w:pPr>
      <w:r>
        <w:rPr>
          <w:sz w:val="20"/>
          <w:szCs w:val="20"/>
        </w:rPr>
        <w:t> </w:t>
      </w:r>
    </w:p>
    <w:p w14:paraId="740F19EA" w14:textId="77777777" w:rsidR="00000000" w:rsidRDefault="00D6065B">
      <w:pPr>
        <w:pStyle w:val="a3"/>
        <w:spacing w:before="0" w:beforeAutospacing="0" w:after="0" w:afterAutospacing="0"/>
        <w:jc w:val="both"/>
        <w:rPr>
          <w:sz w:val="20"/>
          <w:szCs w:val="20"/>
        </w:rPr>
      </w:pPr>
      <w:r>
        <w:rPr>
          <w:sz w:val="20"/>
          <w:szCs w:val="20"/>
        </w:rPr>
        <w:t xml:space="preserve">The Company accounts for the beneficial conversion feature on its convertible instruments in accordance with ASC 470-20. The Beneficial Conversion Feature </w:t>
      </w:r>
      <w:r>
        <w:rPr>
          <w:sz w:val="20"/>
          <w:szCs w:val="20"/>
        </w:rPr>
        <w:t>(“BCF”) is normally characterized as the convertible portion or feature that provides a rate of conversion that is below market value or in the money when issued. The Company records a BCF when these criteria exist, when issued. BCFs that are contingent up</w:t>
      </w:r>
      <w:r>
        <w:rPr>
          <w:sz w:val="20"/>
          <w:szCs w:val="20"/>
        </w:rPr>
        <w:t>on the occurrence of a future event are recorded when the contingency is resolved.</w:t>
      </w:r>
    </w:p>
    <w:p w14:paraId="026211E9" w14:textId="77777777" w:rsidR="00000000" w:rsidRDefault="00D6065B">
      <w:pPr>
        <w:pStyle w:val="a3"/>
        <w:spacing w:before="0" w:beforeAutospacing="0" w:after="0" w:afterAutospacing="0"/>
        <w:jc w:val="both"/>
        <w:rPr>
          <w:sz w:val="20"/>
          <w:szCs w:val="20"/>
        </w:rPr>
      </w:pPr>
      <w:r>
        <w:rPr>
          <w:sz w:val="20"/>
          <w:szCs w:val="20"/>
        </w:rPr>
        <w:t> </w:t>
      </w:r>
    </w:p>
    <w:p w14:paraId="0755BA57" w14:textId="77777777" w:rsidR="00000000" w:rsidRDefault="00D6065B">
      <w:pPr>
        <w:pStyle w:val="a3"/>
        <w:spacing w:before="0" w:beforeAutospacing="0" w:after="0" w:afterAutospacing="0"/>
        <w:jc w:val="both"/>
        <w:rPr>
          <w:sz w:val="20"/>
          <w:szCs w:val="20"/>
        </w:rPr>
      </w:pPr>
      <w:r>
        <w:rPr>
          <w:sz w:val="20"/>
          <w:szCs w:val="20"/>
        </w:rPr>
        <w:t xml:space="preserve">To </w:t>
      </w:r>
      <w:r>
        <w:rPr>
          <w:sz w:val="20"/>
          <w:szCs w:val="20"/>
        </w:rPr>
        <w:t>determine the effective conversion price, the Company first allocates the proceeds received to the convertible instrument, and then use those allocated proceeds to determine the effective conversion price. The intrinsic value of the conversion option shoul</w:t>
      </w:r>
      <w:r>
        <w:rPr>
          <w:sz w:val="20"/>
          <w:szCs w:val="20"/>
        </w:rPr>
        <w:t>d be measured using the effective conversion price for the convertible instrument on the proceeds allocated to that instrument.</w:t>
      </w:r>
    </w:p>
    <w:p w14:paraId="7EDA52E7" w14:textId="77777777" w:rsidR="00000000" w:rsidRDefault="00D6065B">
      <w:pPr>
        <w:pStyle w:val="a3"/>
        <w:spacing w:before="0" w:beforeAutospacing="0" w:after="0" w:afterAutospacing="0"/>
        <w:jc w:val="both"/>
        <w:rPr>
          <w:sz w:val="20"/>
          <w:szCs w:val="20"/>
        </w:rPr>
      </w:pPr>
      <w:r>
        <w:rPr>
          <w:sz w:val="20"/>
          <w:szCs w:val="20"/>
        </w:rPr>
        <w:t> </w:t>
      </w:r>
    </w:p>
    <w:p w14:paraId="18AB5AB4" w14:textId="77777777" w:rsidR="00000000" w:rsidRDefault="00D6065B">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w:t>
      </w:r>
      <w:r>
        <w:rPr>
          <w:sz w:val="20"/>
          <w:szCs w:val="20"/>
        </w:rPr>
        <w:t>itional paid in capital, resulting in a discount to the convertible instrument. This discount should be accreted from the date on which the BCF is first recognized through the earliest conversion date for instruments that do not have a stated redemption da</w:t>
      </w:r>
      <w:r>
        <w:rPr>
          <w:sz w:val="20"/>
          <w:szCs w:val="20"/>
        </w:rPr>
        <w:t>te.</w:t>
      </w:r>
    </w:p>
    <w:p w14:paraId="00C35A3A" w14:textId="77777777" w:rsidR="00000000" w:rsidRDefault="00D6065B">
      <w:pPr>
        <w:pStyle w:val="a3"/>
        <w:spacing w:before="0" w:beforeAutospacing="0" w:after="0" w:afterAutospacing="0"/>
        <w:jc w:val="both"/>
        <w:rPr>
          <w:sz w:val="20"/>
          <w:szCs w:val="20"/>
        </w:rPr>
      </w:pPr>
      <w:r>
        <w:rPr>
          <w:sz w:val="20"/>
          <w:szCs w:val="20"/>
        </w:rPr>
        <w:t> </w:t>
      </w:r>
    </w:p>
    <w:p w14:paraId="61690456" w14:textId="77777777" w:rsidR="00000000" w:rsidRDefault="00D6065B">
      <w:pPr>
        <w:pStyle w:val="a3"/>
        <w:spacing w:before="0" w:beforeAutospacing="0" w:after="0" w:afterAutospacing="0"/>
        <w:jc w:val="both"/>
        <w:rPr>
          <w:sz w:val="20"/>
          <w:szCs w:val="20"/>
        </w:rPr>
      </w:pPr>
      <w:r>
        <w:rPr>
          <w:b/>
          <w:bCs/>
          <w:sz w:val="20"/>
          <w:szCs w:val="20"/>
        </w:rPr>
        <w:t>Fixed Asset</w:t>
      </w:r>
      <w:r>
        <w:rPr>
          <w:b/>
          <w:bCs/>
          <w:sz w:val="20"/>
          <w:szCs w:val="20"/>
        </w:rPr>
        <w:t>s</w:t>
      </w:r>
    </w:p>
    <w:p w14:paraId="14D849F6" w14:textId="77777777" w:rsidR="00000000" w:rsidRDefault="00D6065B">
      <w:pPr>
        <w:pStyle w:val="a3"/>
        <w:spacing w:before="0" w:beforeAutospacing="0" w:after="0" w:afterAutospacing="0"/>
        <w:jc w:val="both"/>
        <w:rPr>
          <w:sz w:val="20"/>
          <w:szCs w:val="20"/>
        </w:rPr>
      </w:pPr>
      <w:r>
        <w:rPr>
          <w:sz w:val="20"/>
          <w:szCs w:val="20"/>
        </w:rPr>
        <w:t> </w:t>
      </w:r>
    </w:p>
    <w:p w14:paraId="489A24D4" w14:textId="77777777" w:rsidR="00000000" w:rsidRDefault="00D6065B">
      <w:pPr>
        <w:pStyle w:val="a3"/>
        <w:spacing w:before="0" w:beforeAutospacing="0" w:after="0" w:afterAutospacing="0"/>
        <w:jc w:val="both"/>
        <w:rPr>
          <w:sz w:val="20"/>
          <w:szCs w:val="20"/>
        </w:rPr>
      </w:pPr>
      <w:r>
        <w:rPr>
          <w:sz w:val="20"/>
          <w:szCs w:val="20"/>
        </w:rPr>
        <w:t xml:space="preserve">Fixed assets are carried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w:t>
      </w:r>
      <w:r>
        <w:rPr>
          <w:sz w:val="20"/>
          <w:szCs w:val="20"/>
        </w:rPr>
        <w:t>ful lives of assets are also capitalized. Normal maintenance and repairs are charged to expense as incurred. When assets are sold or otherwise disposed of, the cost and accumulated depreciation are removed from the accounts and any resulting gain or loss i</w:t>
      </w:r>
      <w:r>
        <w:rPr>
          <w:sz w:val="20"/>
          <w:szCs w:val="20"/>
        </w:rPr>
        <w:t>s recognized in operations.</w:t>
      </w:r>
    </w:p>
    <w:p w14:paraId="5C83B746" w14:textId="77777777" w:rsidR="00000000" w:rsidRDefault="00D6065B">
      <w:pPr>
        <w:pStyle w:val="a3"/>
        <w:spacing w:before="0" w:beforeAutospacing="0" w:after="0" w:afterAutospacing="0"/>
        <w:jc w:val="both"/>
        <w:rPr>
          <w:sz w:val="20"/>
          <w:szCs w:val="20"/>
        </w:rPr>
      </w:pPr>
      <w:r>
        <w:rPr>
          <w:sz w:val="20"/>
          <w:szCs w:val="20"/>
        </w:rPr>
        <w:t> </w:t>
      </w:r>
    </w:p>
    <w:p w14:paraId="441AE59A" w14:textId="77777777" w:rsidR="00000000" w:rsidRDefault="00D6065B">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14:paraId="56E7115F" w14:textId="77777777" w:rsidR="00000000" w:rsidRDefault="00D6065B">
      <w:pPr>
        <w:pStyle w:val="a3"/>
        <w:spacing w:before="0" w:beforeAutospacing="0" w:after="0" w:afterAutospacing="0"/>
        <w:jc w:val="center"/>
        <w:rPr>
          <w:sz w:val="20"/>
          <w:szCs w:val="20"/>
        </w:rPr>
      </w:pPr>
      <w:r>
        <w:rPr>
          <w:vanish/>
          <w:sz w:val="20"/>
          <w:szCs w:val="20"/>
        </w:rPr>
        <w:t>SCHEDULE OF DEPRECIATION ESTIMATED USEFUL LIF</w:t>
      </w:r>
      <w:r>
        <w:rPr>
          <w:vanish/>
          <w:sz w:val="20"/>
          <w:szCs w:val="20"/>
        </w:rPr>
        <w:t>E</w:t>
      </w:r>
      <w:r>
        <w:rPr>
          <w:sz w:val="20"/>
          <w:szCs w:val="20"/>
        </w:rPr>
        <w:t> </w:t>
      </w:r>
    </w:p>
    <w:tbl>
      <w:tblPr>
        <w:tblW w:w="3500" w:type="pct"/>
        <w:tblCellMar>
          <w:left w:w="0" w:type="dxa"/>
          <w:right w:w="0" w:type="dxa"/>
        </w:tblCellMar>
        <w:tblLook w:val="04A0" w:firstRow="1" w:lastRow="0" w:firstColumn="1" w:lastColumn="0" w:noHBand="0" w:noVBand="1"/>
      </w:tblPr>
      <w:tblGrid>
        <w:gridCol w:w="4651"/>
        <w:gridCol w:w="1163"/>
      </w:tblGrid>
      <w:tr w:rsidR="00000000" w14:paraId="160CC962" w14:textId="77777777">
        <w:tc>
          <w:tcPr>
            <w:tcW w:w="4000" w:type="pct"/>
            <w:hideMark/>
          </w:tcPr>
          <w:p w14:paraId="79924DD6" w14:textId="77777777" w:rsidR="00000000" w:rsidRDefault="00D6065B">
            <w:pPr>
              <w:rPr>
                <w:rFonts w:eastAsia="Times New Roman"/>
                <w:sz w:val="20"/>
                <w:szCs w:val="20"/>
              </w:rPr>
            </w:pPr>
            <w:r>
              <w:rPr>
                <w:rFonts w:eastAsia="Times New Roman"/>
                <w:sz w:val="20"/>
                <w:szCs w:val="20"/>
              </w:rPr>
              <w:t>Production equipment:</w:t>
            </w:r>
          </w:p>
        </w:tc>
        <w:tc>
          <w:tcPr>
            <w:tcW w:w="1000" w:type="pct"/>
            <w:hideMark/>
          </w:tcPr>
          <w:p w14:paraId="7CC11342" w14:textId="77777777" w:rsidR="00000000" w:rsidRDefault="00D6065B">
            <w:pPr>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14:paraId="01320887" w14:textId="77777777">
        <w:tc>
          <w:tcPr>
            <w:tcW w:w="0" w:type="auto"/>
            <w:hideMark/>
          </w:tcPr>
          <w:p w14:paraId="03967891" w14:textId="77777777" w:rsidR="00000000" w:rsidRDefault="00D6065B">
            <w:pPr>
              <w:rPr>
                <w:rFonts w:eastAsia="Times New Roman"/>
                <w:sz w:val="20"/>
                <w:szCs w:val="20"/>
              </w:rPr>
            </w:pPr>
            <w:r>
              <w:rPr>
                <w:rFonts w:eastAsia="Times New Roman"/>
                <w:sz w:val="20"/>
                <w:szCs w:val="20"/>
              </w:rPr>
              <w:t>Office equipment:</w:t>
            </w:r>
          </w:p>
        </w:tc>
        <w:tc>
          <w:tcPr>
            <w:tcW w:w="0" w:type="auto"/>
            <w:hideMark/>
          </w:tcPr>
          <w:p w14:paraId="3E9BFC7C" w14:textId="77777777" w:rsidR="00000000" w:rsidRDefault="00D6065B">
            <w:pPr>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14:paraId="2D828A8D" w14:textId="77777777">
        <w:tc>
          <w:tcPr>
            <w:tcW w:w="0" w:type="auto"/>
            <w:hideMark/>
          </w:tcPr>
          <w:p w14:paraId="777DD099" w14:textId="77777777" w:rsidR="00000000" w:rsidRDefault="00D6065B">
            <w:pPr>
              <w:rPr>
                <w:rFonts w:eastAsia="Times New Roman"/>
                <w:sz w:val="20"/>
                <w:szCs w:val="20"/>
              </w:rPr>
            </w:pPr>
            <w:r>
              <w:rPr>
                <w:rFonts w:eastAsia="Times New Roman"/>
                <w:sz w:val="20"/>
                <w:szCs w:val="20"/>
              </w:rPr>
              <w:t>Furniture a</w:t>
            </w:r>
            <w:r>
              <w:rPr>
                <w:rFonts w:eastAsia="Times New Roman"/>
                <w:sz w:val="20"/>
                <w:szCs w:val="20"/>
              </w:rPr>
              <w:t>nd fixtures:</w:t>
            </w:r>
          </w:p>
        </w:tc>
        <w:tc>
          <w:tcPr>
            <w:tcW w:w="0" w:type="auto"/>
            <w:hideMark/>
          </w:tcPr>
          <w:p w14:paraId="30B86835" w14:textId="77777777" w:rsidR="00000000" w:rsidRDefault="00D6065B">
            <w:pPr>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bl>
    <w:p w14:paraId="040A2023" w14:textId="77777777" w:rsidR="00000000" w:rsidRDefault="00D6065B">
      <w:pPr>
        <w:pStyle w:val="a3"/>
        <w:spacing w:before="0" w:beforeAutospacing="0" w:after="0" w:afterAutospacing="0"/>
        <w:jc w:val="center"/>
        <w:rPr>
          <w:sz w:val="20"/>
          <w:szCs w:val="20"/>
        </w:rPr>
      </w:pPr>
      <w:r>
        <w:rPr>
          <w:sz w:val="20"/>
          <w:szCs w:val="20"/>
        </w:rPr>
        <w:t> </w:t>
      </w:r>
    </w:p>
    <w:p w14:paraId="137F9B2F" w14:textId="77777777" w:rsidR="00000000" w:rsidRDefault="00D6065B">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14:paraId="217123F5"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09F6E4" w14:textId="77777777">
        <w:trPr>
          <w:divId w:val="386026668"/>
        </w:trPr>
        <w:tc>
          <w:tcPr>
            <w:tcW w:w="5000" w:type="pct"/>
            <w:hideMark/>
          </w:tcPr>
          <w:p w14:paraId="0C7D253B"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580FA524" w14:textId="77777777">
        <w:tc>
          <w:tcPr>
            <w:tcW w:w="5000" w:type="pct"/>
            <w:hideMark/>
          </w:tcPr>
          <w:p w14:paraId="715153FB" w14:textId="77777777" w:rsidR="00000000" w:rsidRDefault="00D6065B">
            <w:pPr>
              <w:jc w:val="center"/>
              <w:rPr>
                <w:rFonts w:eastAsia="Times New Roman"/>
                <w:sz w:val="20"/>
                <w:szCs w:val="20"/>
              </w:rPr>
            </w:pPr>
            <w:r>
              <w:rPr>
                <w:rFonts w:eastAsia="Times New Roman"/>
                <w:sz w:val="20"/>
                <w:szCs w:val="20"/>
              </w:rPr>
              <w:t> </w:t>
            </w:r>
          </w:p>
        </w:tc>
      </w:tr>
    </w:tbl>
    <w:p w14:paraId="6B3F31B7" w14:textId="77777777" w:rsidR="00000000" w:rsidRDefault="00D6065B">
      <w:pPr>
        <w:pStyle w:val="a3"/>
        <w:spacing w:before="0" w:beforeAutospacing="0" w:after="0" w:afterAutospacing="0"/>
        <w:rPr>
          <w:sz w:val="20"/>
          <w:szCs w:val="20"/>
        </w:rPr>
      </w:pPr>
      <w:r>
        <w:rPr>
          <w:sz w:val="20"/>
          <w:szCs w:val="20"/>
        </w:rPr>
        <w:t> </w:t>
      </w:r>
    </w:p>
    <w:p w14:paraId="726318F0" w14:textId="77777777" w:rsidR="00000000" w:rsidRDefault="00D6065B">
      <w:pPr>
        <w:pStyle w:val="a3"/>
        <w:spacing w:before="0" w:beforeAutospacing="0" w:after="0" w:afterAutospacing="0"/>
        <w:jc w:val="both"/>
        <w:rPr>
          <w:sz w:val="20"/>
          <w:szCs w:val="20"/>
        </w:rPr>
      </w:pPr>
      <w:r>
        <w:rPr>
          <w:sz w:val="20"/>
          <w:szCs w:val="20"/>
        </w:rPr>
        <w:t>Management of the Company reviews the net carrying value of all of its equipment on an asset by asset basis whenev</w:t>
      </w:r>
      <w:r>
        <w:rPr>
          <w:sz w:val="20"/>
          <w:szCs w:val="20"/>
        </w:rPr>
        <w:t xml:space="preserve">er events or changes in circumstances indicate that its carrying amount may not be recoverable. These reviews consider the net realizable value of each asset, as measured in accordance with the preceding paragraph, to determine whether impairment in value </w:t>
      </w:r>
      <w:r>
        <w:rPr>
          <w:sz w:val="20"/>
          <w:szCs w:val="20"/>
        </w:rPr>
        <w:t>has occurred, and the need for any asset impairment write-down.</w:t>
      </w:r>
    </w:p>
    <w:p w14:paraId="5EC098E9" w14:textId="77777777" w:rsidR="00000000" w:rsidRDefault="00D6065B">
      <w:pPr>
        <w:pStyle w:val="a3"/>
        <w:spacing w:before="0" w:beforeAutospacing="0" w:after="0" w:afterAutospacing="0"/>
        <w:ind w:firstLine="720"/>
        <w:jc w:val="both"/>
        <w:rPr>
          <w:sz w:val="20"/>
          <w:szCs w:val="20"/>
        </w:rPr>
      </w:pPr>
      <w:r>
        <w:rPr>
          <w:sz w:val="20"/>
          <w:szCs w:val="20"/>
        </w:rPr>
        <w:t> </w:t>
      </w:r>
    </w:p>
    <w:p w14:paraId="1DB707E0" w14:textId="77777777" w:rsidR="00000000" w:rsidRDefault="00D6065B">
      <w:pPr>
        <w:pStyle w:val="a3"/>
        <w:spacing w:before="0" w:beforeAutospacing="0" w:after="0" w:afterAutospacing="0"/>
        <w:jc w:val="both"/>
        <w:rPr>
          <w:sz w:val="20"/>
          <w:szCs w:val="20"/>
        </w:rPr>
      </w:pPr>
      <w:r>
        <w:rPr>
          <w:b/>
          <w:bCs/>
          <w:sz w:val="20"/>
          <w:szCs w:val="20"/>
        </w:rPr>
        <w:t>License Fee</w:t>
      </w:r>
      <w:r>
        <w:rPr>
          <w:b/>
          <w:bCs/>
          <w:sz w:val="20"/>
          <w:szCs w:val="20"/>
        </w:rPr>
        <w:t>s</w:t>
      </w:r>
    </w:p>
    <w:p w14:paraId="11B5DF10" w14:textId="77777777" w:rsidR="00000000" w:rsidRDefault="00D6065B">
      <w:pPr>
        <w:pStyle w:val="a3"/>
        <w:spacing w:before="0" w:beforeAutospacing="0" w:after="0" w:afterAutospacing="0"/>
        <w:jc w:val="both"/>
        <w:rPr>
          <w:sz w:val="20"/>
          <w:szCs w:val="20"/>
        </w:rPr>
      </w:pPr>
      <w:r>
        <w:rPr>
          <w:sz w:val="20"/>
          <w:szCs w:val="20"/>
        </w:rPr>
        <w:t> </w:t>
      </w:r>
    </w:p>
    <w:p w14:paraId="093B359E" w14:textId="77777777" w:rsidR="00000000" w:rsidRDefault="00D6065B">
      <w:pPr>
        <w:pStyle w:val="a3"/>
        <w:spacing w:before="0" w:beforeAutospacing="0" w:after="0" w:afterAutospacing="0"/>
        <w:jc w:val="both"/>
        <w:rPr>
          <w:sz w:val="20"/>
          <w:szCs w:val="20"/>
        </w:rPr>
      </w:pPr>
      <w:r>
        <w:rPr>
          <w:sz w:val="20"/>
          <w:szCs w:val="20"/>
        </w:rPr>
        <w:t xml:space="preserve">License </w:t>
      </w:r>
      <w:r>
        <w:rPr>
          <w:sz w:val="20"/>
          <w:szCs w:val="20"/>
        </w:rPr>
        <w:t>fees are stated at cost, less accumulated amortization. Amortization of license fees is computed using the straight-line method over the estimated economic useful life of the assets.</w:t>
      </w:r>
    </w:p>
    <w:p w14:paraId="3F84A8D8" w14:textId="77777777" w:rsidR="00000000" w:rsidRDefault="00D6065B">
      <w:pPr>
        <w:pStyle w:val="a3"/>
        <w:spacing w:before="0" w:beforeAutospacing="0" w:after="0" w:afterAutospacing="0"/>
        <w:jc w:val="both"/>
        <w:rPr>
          <w:sz w:val="20"/>
          <w:szCs w:val="20"/>
        </w:rPr>
      </w:pPr>
      <w:r>
        <w:rPr>
          <w:sz w:val="20"/>
          <w:szCs w:val="20"/>
        </w:rPr>
        <w:t> </w:t>
      </w:r>
    </w:p>
    <w:p w14:paraId="5F4E3405" w14:textId="77777777" w:rsidR="00000000" w:rsidRDefault="00D6065B">
      <w:pPr>
        <w:pStyle w:val="a3"/>
        <w:spacing w:before="0" w:beforeAutospacing="0" w:after="0" w:afterAutospacing="0"/>
        <w:jc w:val="both"/>
        <w:rPr>
          <w:sz w:val="20"/>
          <w:szCs w:val="20"/>
        </w:rPr>
      </w:pPr>
      <w:r>
        <w:rPr>
          <w:sz w:val="20"/>
          <w:szCs w:val="20"/>
        </w:rPr>
        <w:t>Effective March 2012, the Company entered into an exclusive license agr</w:t>
      </w:r>
      <w:r>
        <w:rPr>
          <w:sz w:val="20"/>
          <w:szCs w:val="20"/>
        </w:rPr>
        <w:t>eement with Battelle Memorial Institute regarding the use of its patented RadioGel</w:t>
      </w:r>
      <w:r>
        <w:rPr>
          <w:sz w:val="20"/>
          <w:szCs w:val="20"/>
          <w:vertAlign w:val="superscript"/>
        </w:rPr>
        <w:t>™</w:t>
      </w:r>
      <w:r>
        <w:rPr>
          <w:sz w:val="20"/>
          <w:szCs w:val="20"/>
        </w:rPr>
        <w:t xml:space="preserve"> technology. This license agreement originally called for a </w:t>
      </w:r>
      <w:r>
        <w:rPr>
          <w:sz w:val="20"/>
          <w:szCs w:val="20"/>
        </w:rPr>
        <w:t>$</w:t>
      </w:r>
      <w:r>
        <w:rPr>
          <w:sz w:val="20"/>
          <w:szCs w:val="20"/>
        </w:rPr>
        <w:t>17,50</w:t>
      </w:r>
      <w:r>
        <w:rPr>
          <w:sz w:val="20"/>
          <w:szCs w:val="20"/>
        </w:rPr>
        <w:t>0</w:t>
      </w:r>
      <w:r>
        <w:rPr>
          <w:sz w:val="20"/>
          <w:szCs w:val="20"/>
        </w:rPr>
        <w:t xml:space="preserve"> nonrefundable license fee and a royalty based on a percent of gross sales for licensed products sold; the</w:t>
      </w:r>
      <w:r>
        <w:rPr>
          <w:sz w:val="20"/>
          <w:szCs w:val="20"/>
        </w:rPr>
        <w:t xml:space="preserve"> license agreement also contains a minimum royalty amount to be paid each year starting with 2013. The license agreement was most recently amended on December 20, 2018, and pursuant to the amendment the maintenance fee schedule was updated for minimum roya</w:t>
      </w:r>
      <w:r>
        <w:rPr>
          <w:sz w:val="20"/>
          <w:szCs w:val="20"/>
        </w:rPr>
        <w:t>lties, as well as</w:t>
      </w:r>
      <w:r>
        <w:rPr>
          <w:sz w:val="20"/>
          <w:szCs w:val="20"/>
        </w:rPr>
        <w:t xml:space="preserve"> </w:t>
      </w:r>
      <w:r>
        <w:rPr>
          <w:sz w:val="20"/>
          <w:szCs w:val="20"/>
        </w:rPr>
        <w:t>the increase in royalties from one percent (1%) to two percent (2%), then on October 8, 2019 to reduce the fee back to one percent (1%)</w:t>
      </w:r>
      <w:r>
        <w:rPr>
          <w:sz w:val="20"/>
          <w:szCs w:val="20"/>
        </w:rPr>
        <w:t>.</w:t>
      </w:r>
    </w:p>
    <w:p w14:paraId="562E7D94" w14:textId="77777777" w:rsidR="00000000" w:rsidRDefault="00D6065B">
      <w:pPr>
        <w:pStyle w:val="a3"/>
        <w:spacing w:before="0" w:beforeAutospacing="0" w:after="0" w:afterAutospacing="0"/>
        <w:jc w:val="both"/>
        <w:rPr>
          <w:sz w:val="20"/>
          <w:szCs w:val="20"/>
        </w:rPr>
      </w:pPr>
      <w:r>
        <w:rPr>
          <w:sz w:val="20"/>
          <w:szCs w:val="20"/>
        </w:rPr>
        <w:t> </w:t>
      </w:r>
    </w:p>
    <w:p w14:paraId="509487D5" w14:textId="77777777" w:rsidR="00000000" w:rsidRDefault="00D6065B">
      <w:pPr>
        <w:pStyle w:val="a3"/>
        <w:spacing w:before="0" w:beforeAutospacing="0" w:after="0" w:afterAutospacing="0"/>
        <w:jc w:val="both"/>
        <w:rPr>
          <w:sz w:val="20"/>
          <w:szCs w:val="20"/>
        </w:rPr>
      </w:pPr>
      <w:r>
        <w:rPr>
          <w:sz w:val="20"/>
          <w:szCs w:val="20"/>
        </w:rPr>
        <w:t>Future minimum royalties for the years ending December 31 are noted below:</w:t>
      </w:r>
    </w:p>
    <w:p w14:paraId="6D2BD3E3" w14:textId="77777777" w:rsidR="00000000" w:rsidRDefault="00D6065B">
      <w:pPr>
        <w:pStyle w:val="a3"/>
        <w:spacing w:before="0" w:beforeAutospacing="0" w:after="0" w:afterAutospacing="0"/>
        <w:rPr>
          <w:sz w:val="20"/>
          <w:szCs w:val="20"/>
        </w:rPr>
      </w:pPr>
      <w:r>
        <w:rPr>
          <w:sz w:val="20"/>
          <w:szCs w:val="20"/>
        </w:rPr>
        <w:t> </w:t>
      </w:r>
      <w:r>
        <w:rPr>
          <w:vanish/>
          <w:sz w:val="20"/>
          <w:szCs w:val="20"/>
        </w:rPr>
        <w:t>SCHEDULE OF FUTURE MINI</w:t>
      </w:r>
      <w:r>
        <w:rPr>
          <w:vanish/>
          <w:sz w:val="20"/>
          <w:szCs w:val="20"/>
        </w:rPr>
        <w:t>MUM ROYALTIE</w:t>
      </w:r>
      <w:r>
        <w:rPr>
          <w:vanish/>
          <w:sz w:val="20"/>
          <w:szCs w:val="20"/>
        </w:rPr>
        <w:t>S</w:t>
      </w:r>
    </w:p>
    <w:tbl>
      <w:tblPr>
        <w:tblW w:w="5000" w:type="pct"/>
        <w:tblCellMar>
          <w:left w:w="0" w:type="dxa"/>
          <w:right w:w="0" w:type="dxa"/>
        </w:tblCellMar>
        <w:tblLook w:val="04A0" w:firstRow="1" w:lastRow="0" w:firstColumn="1" w:lastColumn="0" w:noHBand="0" w:noVBand="1"/>
      </w:tblPr>
      <w:tblGrid>
        <w:gridCol w:w="6640"/>
        <w:gridCol w:w="161"/>
        <w:gridCol w:w="101"/>
        <w:gridCol w:w="1325"/>
        <w:gridCol w:w="79"/>
      </w:tblGrid>
      <w:tr w:rsidR="00000000" w14:paraId="38C9B735" w14:textId="77777777">
        <w:tc>
          <w:tcPr>
            <w:tcW w:w="0" w:type="auto"/>
            <w:vAlign w:val="bottom"/>
            <w:hideMark/>
          </w:tcPr>
          <w:p w14:paraId="456C9FAE"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7336A58F" w14:textId="77777777" w:rsidR="00000000" w:rsidRDefault="00D6065B">
            <w:pPr>
              <w:rPr>
                <w:rFonts w:eastAsia="Times New Roman"/>
                <w:sz w:val="20"/>
                <w:szCs w:val="20"/>
              </w:rPr>
            </w:pPr>
            <w:r>
              <w:rPr>
                <w:rFonts w:eastAsia="Times New Roman"/>
                <w:b/>
                <w:bCs/>
                <w:sz w:val="20"/>
                <w:szCs w:val="20"/>
              </w:rPr>
              <w:t> </w:t>
            </w:r>
          </w:p>
        </w:tc>
        <w:tc>
          <w:tcPr>
            <w:tcW w:w="0" w:type="auto"/>
            <w:gridSpan w:val="2"/>
            <w:vAlign w:val="bottom"/>
            <w:hideMark/>
          </w:tcPr>
          <w:p w14:paraId="127A4681" w14:textId="77777777" w:rsidR="00000000" w:rsidRDefault="00D6065B">
            <w:pPr>
              <w:jc w:val="center"/>
              <w:rPr>
                <w:rFonts w:eastAsia="Times New Roman"/>
                <w:sz w:val="20"/>
                <w:szCs w:val="20"/>
              </w:rPr>
            </w:pPr>
            <w:r>
              <w:rPr>
                <w:rFonts w:eastAsia="Times New Roman"/>
                <w:b/>
                <w:bCs/>
                <w:sz w:val="20"/>
                <w:szCs w:val="20"/>
              </w:rPr>
              <w:t>Minimum</w:t>
            </w:r>
          </w:p>
        </w:tc>
        <w:tc>
          <w:tcPr>
            <w:tcW w:w="0" w:type="auto"/>
            <w:vAlign w:val="bottom"/>
            <w:hideMark/>
          </w:tcPr>
          <w:p w14:paraId="77EF7789" w14:textId="77777777" w:rsidR="00000000" w:rsidRDefault="00D6065B">
            <w:pPr>
              <w:rPr>
                <w:rFonts w:eastAsia="Times New Roman"/>
                <w:sz w:val="20"/>
                <w:szCs w:val="20"/>
              </w:rPr>
            </w:pPr>
            <w:r>
              <w:rPr>
                <w:rFonts w:eastAsia="Times New Roman"/>
                <w:b/>
                <w:bCs/>
                <w:sz w:val="20"/>
                <w:szCs w:val="20"/>
              </w:rPr>
              <w:t> </w:t>
            </w:r>
          </w:p>
        </w:tc>
      </w:tr>
      <w:tr w:rsidR="00000000" w14:paraId="001CF7F5" w14:textId="77777777">
        <w:tc>
          <w:tcPr>
            <w:tcW w:w="0" w:type="auto"/>
            <w:vAlign w:val="bottom"/>
            <w:hideMark/>
          </w:tcPr>
          <w:p w14:paraId="2D865096"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14CE464A" w14:textId="77777777" w:rsidR="00000000" w:rsidRDefault="00D6065B">
            <w:pPr>
              <w:rPr>
                <w:rFonts w:eastAsia="Times New Roman"/>
                <w:sz w:val="20"/>
                <w:szCs w:val="20"/>
              </w:rPr>
            </w:pPr>
            <w:r>
              <w:rPr>
                <w:rFonts w:eastAsia="Times New Roman"/>
                <w:b/>
                <w:bCs/>
                <w:sz w:val="20"/>
                <w:szCs w:val="20"/>
              </w:rPr>
              <w:t> </w:t>
            </w:r>
          </w:p>
        </w:tc>
        <w:tc>
          <w:tcPr>
            <w:tcW w:w="0" w:type="auto"/>
            <w:gridSpan w:val="2"/>
            <w:vAlign w:val="bottom"/>
            <w:hideMark/>
          </w:tcPr>
          <w:p w14:paraId="486B3669" w14:textId="77777777" w:rsidR="00000000" w:rsidRDefault="00D6065B">
            <w:pPr>
              <w:jc w:val="center"/>
              <w:rPr>
                <w:rFonts w:eastAsia="Times New Roman"/>
                <w:sz w:val="20"/>
                <w:szCs w:val="20"/>
              </w:rPr>
            </w:pPr>
            <w:r>
              <w:rPr>
                <w:rFonts w:eastAsia="Times New Roman"/>
                <w:b/>
                <w:bCs/>
                <w:sz w:val="20"/>
                <w:szCs w:val="20"/>
              </w:rPr>
              <w:t>Royalties per</w:t>
            </w:r>
          </w:p>
        </w:tc>
        <w:tc>
          <w:tcPr>
            <w:tcW w:w="0" w:type="auto"/>
            <w:vAlign w:val="bottom"/>
            <w:hideMark/>
          </w:tcPr>
          <w:p w14:paraId="54133675" w14:textId="77777777" w:rsidR="00000000" w:rsidRDefault="00D6065B">
            <w:pPr>
              <w:rPr>
                <w:rFonts w:eastAsia="Times New Roman"/>
                <w:sz w:val="20"/>
                <w:szCs w:val="20"/>
              </w:rPr>
            </w:pPr>
            <w:r>
              <w:rPr>
                <w:rFonts w:eastAsia="Times New Roman"/>
                <w:b/>
                <w:bCs/>
                <w:sz w:val="20"/>
                <w:szCs w:val="20"/>
              </w:rPr>
              <w:t> </w:t>
            </w:r>
          </w:p>
        </w:tc>
      </w:tr>
      <w:tr w:rsidR="00000000" w14:paraId="4E9E75D9" w14:textId="77777777">
        <w:tc>
          <w:tcPr>
            <w:tcW w:w="0" w:type="auto"/>
            <w:tcBorders>
              <w:bottom w:val="single" w:sz="12" w:space="0" w:color="000000"/>
            </w:tcBorders>
            <w:vAlign w:val="bottom"/>
            <w:hideMark/>
          </w:tcPr>
          <w:p w14:paraId="7261101F" w14:textId="77777777" w:rsidR="00000000" w:rsidRDefault="00D6065B">
            <w:pPr>
              <w:rPr>
                <w:rFonts w:eastAsia="Times New Roman"/>
                <w:sz w:val="20"/>
                <w:szCs w:val="20"/>
              </w:rPr>
            </w:pPr>
            <w:r>
              <w:rPr>
                <w:rFonts w:eastAsia="Times New Roman"/>
                <w:b/>
                <w:bCs/>
                <w:sz w:val="20"/>
                <w:szCs w:val="20"/>
              </w:rPr>
              <w:t>Calendar Year</w:t>
            </w:r>
          </w:p>
        </w:tc>
        <w:tc>
          <w:tcPr>
            <w:tcW w:w="0" w:type="auto"/>
            <w:vAlign w:val="bottom"/>
            <w:hideMark/>
          </w:tcPr>
          <w:p w14:paraId="10B47638" w14:textId="77777777" w:rsidR="00000000" w:rsidRDefault="00D6065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27F511" w14:textId="77777777" w:rsidR="00000000" w:rsidRDefault="00D6065B">
            <w:pPr>
              <w:jc w:val="center"/>
              <w:rPr>
                <w:rFonts w:eastAsia="Times New Roman"/>
                <w:sz w:val="20"/>
                <w:szCs w:val="20"/>
              </w:rPr>
            </w:pPr>
            <w:r>
              <w:rPr>
                <w:rFonts w:eastAsia="Times New Roman"/>
                <w:b/>
                <w:bCs/>
                <w:sz w:val="20"/>
                <w:szCs w:val="20"/>
              </w:rPr>
              <w:t>Calendar Year</w:t>
            </w:r>
          </w:p>
        </w:tc>
        <w:tc>
          <w:tcPr>
            <w:tcW w:w="0" w:type="auto"/>
            <w:vAlign w:val="bottom"/>
            <w:hideMark/>
          </w:tcPr>
          <w:p w14:paraId="75F18C40" w14:textId="77777777" w:rsidR="00000000" w:rsidRDefault="00D6065B">
            <w:pPr>
              <w:rPr>
                <w:rFonts w:eastAsia="Times New Roman"/>
                <w:sz w:val="20"/>
                <w:szCs w:val="20"/>
              </w:rPr>
            </w:pPr>
            <w:r>
              <w:rPr>
                <w:rFonts w:eastAsia="Times New Roman"/>
                <w:b/>
                <w:bCs/>
                <w:sz w:val="20"/>
                <w:szCs w:val="20"/>
              </w:rPr>
              <w:t> </w:t>
            </w:r>
          </w:p>
        </w:tc>
      </w:tr>
      <w:tr w:rsidR="00000000" w14:paraId="2D5CD680" w14:textId="77777777">
        <w:tc>
          <w:tcPr>
            <w:tcW w:w="4000" w:type="pct"/>
            <w:shd w:val="clear" w:color="auto" w:fill="CCEEFF"/>
            <w:vAlign w:val="bottom"/>
            <w:hideMark/>
          </w:tcPr>
          <w:p w14:paraId="301BF6C0" w14:textId="77777777" w:rsidR="00000000" w:rsidRDefault="00D6065B">
            <w:pPr>
              <w:rPr>
                <w:rFonts w:eastAsia="Times New Roman"/>
                <w:sz w:val="20"/>
                <w:szCs w:val="20"/>
              </w:rPr>
            </w:pPr>
            <w:r>
              <w:rPr>
                <w:rFonts w:eastAsia="Times New Roman"/>
                <w:sz w:val="20"/>
                <w:szCs w:val="20"/>
              </w:rPr>
              <w:t>2021</w:t>
            </w:r>
          </w:p>
        </w:tc>
        <w:tc>
          <w:tcPr>
            <w:tcW w:w="100" w:type="pct"/>
            <w:shd w:val="clear" w:color="auto" w:fill="CCEEFF"/>
            <w:vAlign w:val="bottom"/>
            <w:hideMark/>
          </w:tcPr>
          <w:p w14:paraId="3BD5F353"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E48D3F"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700B7869" w14:textId="77777777" w:rsidR="00000000" w:rsidRDefault="00D6065B">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14:paraId="03173BC6" w14:textId="77777777" w:rsidR="00000000" w:rsidRDefault="00D6065B">
            <w:pPr>
              <w:rPr>
                <w:rFonts w:eastAsia="Times New Roman"/>
                <w:sz w:val="20"/>
                <w:szCs w:val="20"/>
              </w:rPr>
            </w:pPr>
            <w:r>
              <w:rPr>
                <w:rFonts w:eastAsia="Times New Roman"/>
                <w:sz w:val="20"/>
                <w:szCs w:val="20"/>
              </w:rPr>
              <w:t> </w:t>
            </w:r>
          </w:p>
        </w:tc>
      </w:tr>
      <w:tr w:rsidR="00000000" w14:paraId="7D43075D" w14:textId="77777777">
        <w:tc>
          <w:tcPr>
            <w:tcW w:w="0" w:type="auto"/>
            <w:shd w:val="clear" w:color="auto" w:fill="FFFFFF"/>
            <w:vAlign w:val="bottom"/>
            <w:hideMark/>
          </w:tcPr>
          <w:p w14:paraId="5D9DAF7D" w14:textId="77777777" w:rsidR="00000000" w:rsidRDefault="00D6065B">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056227BB"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9AD1D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7081E4" w14:textId="77777777" w:rsidR="00000000" w:rsidRDefault="00D6065B">
            <w:pPr>
              <w:jc w:val="right"/>
              <w:rPr>
                <w:rFonts w:eastAsia="Times New Roman"/>
                <w:sz w:val="20"/>
                <w:szCs w:val="20"/>
              </w:rPr>
            </w:pPr>
            <w:r>
              <w:rPr>
                <w:rFonts w:eastAsia="Times New Roman"/>
                <w:sz w:val="20"/>
                <w:szCs w:val="20"/>
              </w:rPr>
              <w:t>4,000</w:t>
            </w:r>
          </w:p>
        </w:tc>
        <w:tc>
          <w:tcPr>
            <w:tcW w:w="0" w:type="auto"/>
            <w:shd w:val="clear" w:color="auto" w:fill="FFFFFF"/>
            <w:vAlign w:val="bottom"/>
            <w:hideMark/>
          </w:tcPr>
          <w:p w14:paraId="3633D36F" w14:textId="77777777" w:rsidR="00000000" w:rsidRDefault="00D6065B">
            <w:pPr>
              <w:rPr>
                <w:rFonts w:eastAsia="Times New Roman"/>
                <w:sz w:val="20"/>
                <w:szCs w:val="20"/>
              </w:rPr>
            </w:pPr>
            <w:r>
              <w:rPr>
                <w:rFonts w:eastAsia="Times New Roman"/>
                <w:sz w:val="20"/>
                <w:szCs w:val="20"/>
              </w:rPr>
              <w:t> </w:t>
            </w:r>
          </w:p>
        </w:tc>
      </w:tr>
      <w:tr w:rsidR="00000000" w14:paraId="34E0C932" w14:textId="77777777">
        <w:tc>
          <w:tcPr>
            <w:tcW w:w="0" w:type="auto"/>
            <w:shd w:val="clear" w:color="auto" w:fill="CCEEFF"/>
            <w:vAlign w:val="bottom"/>
            <w:hideMark/>
          </w:tcPr>
          <w:p w14:paraId="0F7E63EA" w14:textId="77777777" w:rsidR="00000000" w:rsidRDefault="00D6065B">
            <w:pPr>
              <w:rPr>
                <w:rFonts w:eastAsia="Times New Roman"/>
                <w:sz w:val="20"/>
                <w:szCs w:val="20"/>
              </w:rPr>
            </w:pPr>
            <w:r>
              <w:rPr>
                <w:rFonts w:eastAsia="Times New Roman"/>
                <w:sz w:val="20"/>
                <w:szCs w:val="20"/>
              </w:rPr>
              <w:t>Total</w:t>
            </w:r>
          </w:p>
        </w:tc>
        <w:tc>
          <w:tcPr>
            <w:tcW w:w="0" w:type="auto"/>
            <w:shd w:val="clear" w:color="auto" w:fill="CCEEFF"/>
            <w:vAlign w:val="bottom"/>
            <w:hideMark/>
          </w:tcPr>
          <w:p w14:paraId="7ECBB57C"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FE6010"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4B83622" w14:textId="77777777" w:rsidR="00000000" w:rsidRDefault="00D6065B">
            <w:pPr>
              <w:jc w:val="right"/>
              <w:rPr>
                <w:rFonts w:eastAsia="Times New Roman"/>
                <w:sz w:val="20"/>
                <w:szCs w:val="20"/>
              </w:rPr>
            </w:pPr>
            <w:r>
              <w:rPr>
                <w:rFonts w:eastAsia="Times New Roman"/>
                <w:sz w:val="20"/>
                <w:szCs w:val="20"/>
              </w:rPr>
              <w:t>14,000</w:t>
            </w:r>
          </w:p>
        </w:tc>
        <w:tc>
          <w:tcPr>
            <w:tcW w:w="0" w:type="auto"/>
            <w:shd w:val="clear" w:color="auto" w:fill="CCEEFF"/>
            <w:vAlign w:val="bottom"/>
            <w:hideMark/>
          </w:tcPr>
          <w:p w14:paraId="4A01748B" w14:textId="77777777" w:rsidR="00000000" w:rsidRDefault="00D6065B">
            <w:pPr>
              <w:rPr>
                <w:rFonts w:eastAsia="Times New Roman"/>
                <w:sz w:val="20"/>
                <w:szCs w:val="20"/>
              </w:rPr>
            </w:pPr>
            <w:r>
              <w:rPr>
                <w:rFonts w:eastAsia="Times New Roman"/>
                <w:sz w:val="20"/>
                <w:szCs w:val="20"/>
              </w:rPr>
              <w:t> </w:t>
            </w:r>
          </w:p>
        </w:tc>
      </w:tr>
    </w:tbl>
    <w:p w14:paraId="2E934EB1" w14:textId="77777777" w:rsidR="00000000" w:rsidRDefault="00D6065B">
      <w:pPr>
        <w:pStyle w:val="a3"/>
        <w:spacing w:before="0" w:beforeAutospacing="0" w:after="0" w:afterAutospacing="0"/>
        <w:rPr>
          <w:sz w:val="20"/>
          <w:szCs w:val="20"/>
        </w:rPr>
      </w:pPr>
      <w:r>
        <w:rPr>
          <w:sz w:val="20"/>
          <w:szCs w:val="20"/>
        </w:rPr>
        <w:t> </w:t>
      </w:r>
    </w:p>
    <w:p w14:paraId="643EB9BC"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14:paraId="55684E8B" w14:textId="77777777" w:rsidR="00000000" w:rsidRDefault="00D6065B">
      <w:pPr>
        <w:pStyle w:val="a3"/>
        <w:spacing w:before="0" w:beforeAutospacing="0" w:after="0" w:afterAutospacing="0"/>
        <w:jc w:val="both"/>
        <w:rPr>
          <w:sz w:val="20"/>
          <w:szCs w:val="20"/>
        </w:rPr>
      </w:pPr>
      <w:r>
        <w:rPr>
          <w:sz w:val="20"/>
          <w:szCs w:val="20"/>
        </w:rPr>
        <w:t> </w:t>
      </w:r>
    </w:p>
    <w:p w14:paraId="1D99FDE5" w14:textId="77777777" w:rsidR="00000000" w:rsidRDefault="00D6065B">
      <w:pPr>
        <w:pStyle w:val="a3"/>
        <w:spacing w:before="0" w:beforeAutospacing="0" w:after="0" w:afterAutospacing="0"/>
        <w:jc w:val="both"/>
        <w:rPr>
          <w:sz w:val="20"/>
          <w:szCs w:val="20"/>
        </w:rPr>
      </w:pPr>
      <w:r>
        <w:rPr>
          <w:sz w:val="20"/>
          <w:szCs w:val="20"/>
        </w:rPr>
        <w:t>The 2021 fee was paid in Dece</w:t>
      </w:r>
      <w:r>
        <w:rPr>
          <w:sz w:val="20"/>
          <w:szCs w:val="20"/>
        </w:rPr>
        <w:t>mber 2020.</w:t>
      </w:r>
    </w:p>
    <w:p w14:paraId="37ADF409" w14:textId="77777777" w:rsidR="00000000" w:rsidRDefault="00D6065B">
      <w:pPr>
        <w:pStyle w:val="a3"/>
        <w:spacing w:before="0" w:beforeAutospacing="0" w:after="0" w:afterAutospacing="0"/>
        <w:jc w:val="both"/>
        <w:rPr>
          <w:sz w:val="20"/>
          <w:szCs w:val="20"/>
        </w:rPr>
      </w:pPr>
      <w:r>
        <w:rPr>
          <w:sz w:val="20"/>
          <w:szCs w:val="20"/>
        </w:rPr>
        <w:t> </w:t>
      </w:r>
    </w:p>
    <w:p w14:paraId="2777DFCD" w14:textId="77777777" w:rsidR="00000000" w:rsidRDefault="00D6065B">
      <w:pPr>
        <w:pStyle w:val="a3"/>
        <w:spacing w:before="0" w:beforeAutospacing="0" w:after="0" w:afterAutospacing="0"/>
        <w:jc w:val="both"/>
        <w:rPr>
          <w:sz w:val="20"/>
          <w:szCs w:val="20"/>
        </w:rPr>
      </w:pPr>
      <w:r>
        <w:rPr>
          <w:b/>
          <w:bCs/>
          <w:sz w:val="20"/>
          <w:szCs w:val="20"/>
        </w:rPr>
        <w:t>Patents and Intellectual Propert</w:t>
      </w:r>
      <w:r>
        <w:rPr>
          <w:b/>
          <w:bCs/>
          <w:sz w:val="20"/>
          <w:szCs w:val="20"/>
        </w:rPr>
        <w:t>y</w:t>
      </w:r>
    </w:p>
    <w:p w14:paraId="3CD18FD8" w14:textId="77777777" w:rsidR="00000000" w:rsidRDefault="00D6065B">
      <w:pPr>
        <w:pStyle w:val="a3"/>
        <w:spacing w:before="0" w:beforeAutospacing="0" w:after="0" w:afterAutospacing="0"/>
        <w:jc w:val="both"/>
        <w:rPr>
          <w:sz w:val="20"/>
          <w:szCs w:val="20"/>
        </w:rPr>
      </w:pPr>
      <w:r>
        <w:rPr>
          <w:sz w:val="20"/>
          <w:szCs w:val="20"/>
        </w:rPr>
        <w:t> </w:t>
      </w:r>
    </w:p>
    <w:p w14:paraId="4E88192D" w14:textId="77777777" w:rsidR="00000000" w:rsidRDefault="00D6065B">
      <w:pPr>
        <w:pStyle w:val="a3"/>
        <w:spacing w:before="0" w:beforeAutospacing="0" w:after="0" w:afterAutospacing="0"/>
        <w:jc w:val="both"/>
        <w:rPr>
          <w:sz w:val="20"/>
          <w:szCs w:val="20"/>
        </w:rPr>
      </w:pPr>
      <w:r>
        <w:rPr>
          <w:sz w:val="20"/>
          <w:szCs w:val="20"/>
        </w:rPr>
        <w:t xml:space="preserve">While </w:t>
      </w:r>
      <w:r>
        <w:rPr>
          <w:sz w:val="20"/>
          <w:szCs w:val="20"/>
        </w:rPr>
        <w:t>patents are being developed or pending, they are not being amortized. Management has determined that the economic life of the patents to be ten years and amortization, over such</w:t>
      </w:r>
      <w:r>
        <w:rPr>
          <w:sz w:val="20"/>
          <w:szCs w:val="20"/>
        </w:rPr>
        <w:t xml:space="preserve"> </w:t>
      </w:r>
      <w:r>
        <w:rPr>
          <w:sz w:val="20"/>
          <w:szCs w:val="20"/>
        </w:rPr>
        <w:t>1</w:t>
      </w:r>
      <w:r>
        <w:rPr>
          <w:sz w:val="20"/>
          <w:szCs w:val="20"/>
        </w:rPr>
        <w:t>0</w:t>
      </w:r>
      <w:r>
        <w:rPr>
          <w:sz w:val="20"/>
          <w:szCs w:val="20"/>
        </w:rPr>
        <w:t>-year period and on a straight-line basis will begin once the patents have b</w:t>
      </w:r>
      <w:r>
        <w:rPr>
          <w:sz w:val="20"/>
          <w:szCs w:val="20"/>
        </w:rPr>
        <w:t>een issued and the Company begins utilization of the patents through production and sales, resulting in revenues.</w:t>
      </w:r>
    </w:p>
    <w:p w14:paraId="563AA6AB" w14:textId="77777777" w:rsidR="00000000" w:rsidRDefault="00D6065B">
      <w:pPr>
        <w:pStyle w:val="a3"/>
        <w:spacing w:before="0" w:beforeAutospacing="0" w:after="0" w:afterAutospacing="0"/>
        <w:jc w:val="both"/>
        <w:rPr>
          <w:sz w:val="20"/>
          <w:szCs w:val="20"/>
        </w:rPr>
      </w:pPr>
      <w:r>
        <w:rPr>
          <w:sz w:val="20"/>
          <w:szCs w:val="20"/>
        </w:rPr>
        <w:t> </w:t>
      </w:r>
    </w:p>
    <w:p w14:paraId="2318C75D" w14:textId="77777777" w:rsidR="00000000" w:rsidRDefault="00D6065B">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 Several fac</w:t>
      </w:r>
      <w:r>
        <w:rPr>
          <w:sz w:val="20"/>
          <w:szCs w:val="20"/>
        </w:rPr>
        <w:t>tors are used to evaluate intangibles, including, but not limited to, management’s plans for future operations, recent operating results and projected and expected undiscounted future cash flows.</w:t>
      </w:r>
    </w:p>
    <w:p w14:paraId="08A4FB14" w14:textId="77777777" w:rsidR="00000000" w:rsidRDefault="00D6065B">
      <w:pPr>
        <w:pStyle w:val="a3"/>
        <w:spacing w:before="0" w:beforeAutospacing="0" w:after="0" w:afterAutospacing="0"/>
        <w:jc w:val="both"/>
        <w:rPr>
          <w:sz w:val="20"/>
          <w:szCs w:val="20"/>
        </w:rPr>
      </w:pPr>
      <w:r>
        <w:rPr>
          <w:sz w:val="20"/>
          <w:szCs w:val="20"/>
        </w:rPr>
        <w:t> </w:t>
      </w:r>
    </w:p>
    <w:p w14:paraId="3C40DBE6" w14:textId="77777777" w:rsidR="00000000" w:rsidRDefault="00D6065B">
      <w:pPr>
        <w:pStyle w:val="a3"/>
        <w:spacing w:before="0" w:beforeAutospacing="0" w:after="0" w:afterAutospacing="0"/>
        <w:jc w:val="both"/>
        <w:rPr>
          <w:sz w:val="20"/>
          <w:szCs w:val="20"/>
        </w:rPr>
      </w:pPr>
      <w:r>
        <w:rPr>
          <w:sz w:val="20"/>
          <w:szCs w:val="20"/>
        </w:rPr>
        <w:t>There have been no such capitalized costs in the six month</w:t>
      </w:r>
      <w:r>
        <w:rPr>
          <w:sz w:val="20"/>
          <w:szCs w:val="20"/>
        </w:rPr>
        <w:t>s ended June 30, 2021 or years ended December 31, 2020 and 2019, respectively. However, a patent was filed on July 1, 2019 (No. 1811.191) filed by Michael Korenko and David Swanberg and assigned to the Company based on the Company’s proprietary particle ma</w:t>
      </w:r>
      <w:r>
        <w:rPr>
          <w:sz w:val="20"/>
          <w:szCs w:val="20"/>
        </w:rPr>
        <w:t>nufacturing process. The timing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position. It i</w:t>
      </w:r>
      <w:r>
        <w:rPr>
          <w:sz w:val="20"/>
          <w:szCs w:val="20"/>
        </w:rPr>
        <w:t>s the Company’s intention to further extend this patent protection to several key countries within one year, as permitted under international patent laws and treaties.</w:t>
      </w:r>
    </w:p>
    <w:p w14:paraId="1F40D1C9"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A27A47F" w14:textId="77777777">
        <w:trPr>
          <w:divId w:val="2092849666"/>
        </w:trPr>
        <w:tc>
          <w:tcPr>
            <w:tcW w:w="5000" w:type="pct"/>
            <w:hideMark/>
          </w:tcPr>
          <w:p w14:paraId="14BCCD96"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9301733" w14:textId="77777777">
        <w:tc>
          <w:tcPr>
            <w:tcW w:w="5000" w:type="pct"/>
            <w:hideMark/>
          </w:tcPr>
          <w:p w14:paraId="4DDE6E08" w14:textId="77777777" w:rsidR="00000000" w:rsidRDefault="00D6065B">
            <w:pPr>
              <w:jc w:val="center"/>
              <w:rPr>
                <w:rFonts w:eastAsia="Times New Roman"/>
                <w:sz w:val="20"/>
                <w:szCs w:val="20"/>
              </w:rPr>
            </w:pPr>
            <w:r>
              <w:rPr>
                <w:rFonts w:eastAsia="Times New Roman"/>
                <w:sz w:val="20"/>
                <w:szCs w:val="20"/>
              </w:rPr>
              <w:t> </w:t>
            </w:r>
          </w:p>
        </w:tc>
      </w:tr>
    </w:tbl>
    <w:p w14:paraId="74F6E7C0" w14:textId="77777777" w:rsidR="00000000" w:rsidRDefault="00D6065B">
      <w:pPr>
        <w:pStyle w:val="a3"/>
        <w:spacing w:before="0" w:beforeAutospacing="0" w:after="0" w:afterAutospacing="0"/>
        <w:rPr>
          <w:sz w:val="20"/>
          <w:szCs w:val="20"/>
        </w:rPr>
      </w:pPr>
      <w:r>
        <w:rPr>
          <w:sz w:val="20"/>
          <w:szCs w:val="20"/>
        </w:rPr>
        <w:t> </w:t>
      </w:r>
    </w:p>
    <w:p w14:paraId="3F25A3FD" w14:textId="77777777" w:rsidR="00000000" w:rsidRDefault="00D6065B">
      <w:pPr>
        <w:pStyle w:val="a3"/>
        <w:spacing w:before="0" w:beforeAutospacing="0" w:after="0" w:afterAutospacing="0"/>
        <w:jc w:val="both"/>
        <w:rPr>
          <w:sz w:val="20"/>
          <w:szCs w:val="20"/>
        </w:rPr>
      </w:pPr>
      <w:r>
        <w:rPr>
          <w:b/>
          <w:bCs/>
          <w:sz w:val="20"/>
          <w:szCs w:val="20"/>
        </w:rPr>
        <w:t>Revenue Recognitio</w:t>
      </w:r>
      <w:r>
        <w:rPr>
          <w:b/>
          <w:bCs/>
          <w:sz w:val="20"/>
          <w:szCs w:val="20"/>
        </w:rPr>
        <w:t>n</w:t>
      </w:r>
    </w:p>
    <w:p w14:paraId="221108D6" w14:textId="77777777" w:rsidR="00000000" w:rsidRDefault="00D6065B">
      <w:pPr>
        <w:pStyle w:val="a3"/>
        <w:spacing w:before="0" w:beforeAutospacing="0" w:after="0" w:afterAutospacing="0"/>
        <w:jc w:val="both"/>
        <w:rPr>
          <w:sz w:val="20"/>
          <w:szCs w:val="20"/>
        </w:rPr>
      </w:pPr>
      <w:r>
        <w:rPr>
          <w:sz w:val="20"/>
          <w:szCs w:val="20"/>
        </w:rPr>
        <w:t> </w:t>
      </w:r>
    </w:p>
    <w:p w14:paraId="028CD11D" w14:textId="77777777" w:rsidR="00000000" w:rsidRDefault="00D6065B">
      <w:pPr>
        <w:pStyle w:val="a3"/>
        <w:spacing w:before="0" w:beforeAutospacing="0" w:after="0" w:afterAutospacing="0"/>
        <w:jc w:val="both"/>
        <w:rPr>
          <w:sz w:val="20"/>
          <w:szCs w:val="20"/>
        </w:rPr>
      </w:pPr>
      <w:r>
        <w:rPr>
          <w:sz w:val="20"/>
          <w:szCs w:val="20"/>
        </w:rPr>
        <w:t xml:space="preserve">In May 2014, the Financial Accounting Standards Board </w:t>
      </w:r>
      <w:r>
        <w:rPr>
          <w:sz w:val="20"/>
          <w:szCs w:val="20"/>
        </w:rPr>
        <w:t>(“F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disclosure</w:t>
      </w:r>
      <w:r>
        <w:rPr>
          <w:sz w:val="20"/>
          <w:szCs w:val="20"/>
        </w:rPr>
        <w:t>s. The updated guidance introduces a five-step model to achieve its core principal of the entity recognizing revenue to depict the transfer of goods or services to customers at an amount that reflects the consideration to which the entity expects to be ent</w:t>
      </w:r>
      <w:r>
        <w:rPr>
          <w:sz w:val="20"/>
          <w:szCs w:val="20"/>
        </w:rPr>
        <w:t>itled in exchange for those goods or services. The Company adopted the updated guidance effective January 1, 2018 using the full retrospective method.</w:t>
      </w:r>
    </w:p>
    <w:p w14:paraId="6F3EF111" w14:textId="77777777" w:rsidR="00000000" w:rsidRDefault="00D6065B">
      <w:pPr>
        <w:pStyle w:val="a3"/>
        <w:spacing w:before="0" w:beforeAutospacing="0" w:after="0" w:afterAutospacing="0"/>
        <w:jc w:val="both"/>
        <w:rPr>
          <w:sz w:val="20"/>
          <w:szCs w:val="20"/>
        </w:rPr>
      </w:pPr>
      <w:r>
        <w:rPr>
          <w:sz w:val="20"/>
          <w:szCs w:val="20"/>
        </w:rPr>
        <w:t> </w:t>
      </w:r>
    </w:p>
    <w:p w14:paraId="5CB30779" w14:textId="77777777" w:rsidR="00000000" w:rsidRDefault="00D6065B">
      <w:pPr>
        <w:pStyle w:val="a3"/>
        <w:spacing w:before="0" w:beforeAutospacing="0" w:after="0" w:afterAutospacing="0"/>
        <w:jc w:val="both"/>
        <w:rPr>
          <w:sz w:val="20"/>
          <w:szCs w:val="20"/>
        </w:rPr>
      </w:pPr>
      <w:r>
        <w:rPr>
          <w:sz w:val="20"/>
          <w:szCs w:val="20"/>
        </w:rPr>
        <w:t xml:space="preserve">Under ASC 606, in order to recognize revenue, the Company is required to identify an approved contract </w:t>
      </w:r>
      <w:r>
        <w:rPr>
          <w:sz w:val="20"/>
          <w:szCs w:val="20"/>
        </w:rPr>
        <w:t xml:space="preserve">with commitments to preform respective obligations, identify rights of each party in the transaction regarding goods to be transferred, identify the payment terms for the goods transferred, verify that the contract has commercial substance and verify that </w:t>
      </w:r>
      <w:r>
        <w:rPr>
          <w:sz w:val="20"/>
          <w:szCs w:val="20"/>
        </w:rPr>
        <w:t>collection of substantially all consideration is probable. The adoption of ASC 606 did not have an impact on the Company’s operations or cash flows.</w:t>
      </w:r>
    </w:p>
    <w:p w14:paraId="5B3285E5" w14:textId="77777777" w:rsidR="00000000" w:rsidRDefault="00D6065B">
      <w:pPr>
        <w:pStyle w:val="a3"/>
        <w:spacing w:before="0" w:beforeAutospacing="0" w:after="0" w:afterAutospacing="0"/>
        <w:jc w:val="both"/>
        <w:rPr>
          <w:sz w:val="20"/>
          <w:szCs w:val="20"/>
        </w:rPr>
      </w:pPr>
      <w:r>
        <w:rPr>
          <w:sz w:val="20"/>
          <w:szCs w:val="20"/>
        </w:rPr>
        <w:t> </w:t>
      </w:r>
    </w:p>
    <w:p w14:paraId="3C479355" w14:textId="77777777" w:rsidR="00000000" w:rsidRDefault="00D6065B">
      <w:pPr>
        <w:pStyle w:val="a3"/>
        <w:spacing w:before="0" w:beforeAutospacing="0" w:after="0" w:afterAutospacing="0"/>
        <w:jc w:val="both"/>
        <w:rPr>
          <w:sz w:val="20"/>
          <w:szCs w:val="20"/>
        </w:rPr>
      </w:pPr>
      <w:r>
        <w:rPr>
          <w:sz w:val="20"/>
          <w:szCs w:val="20"/>
        </w:rPr>
        <w:t>The Company recognized revenue as they (i) identified the contracts with each customer; (ii) identified t</w:t>
      </w:r>
      <w:r>
        <w:rPr>
          <w:sz w:val="20"/>
          <w:szCs w:val="20"/>
        </w:rPr>
        <w:t>he performance obligation in each contract; (iii) determined the transaction price in each contract; (iv) were able to allocate the transaction price to the performance obligations in the contract; and (v) recognized revenue upon the satisfaction of the pe</w:t>
      </w:r>
      <w:r>
        <w:rPr>
          <w:sz w:val="20"/>
          <w:szCs w:val="20"/>
        </w:rPr>
        <w:t>rformance obligation. Upon the sales of the product to complete the procedures on the animals, the Company recognized revenue as that was considered the performance obligation.</w:t>
      </w:r>
    </w:p>
    <w:p w14:paraId="20EC085C" w14:textId="77777777" w:rsidR="00000000" w:rsidRDefault="00D6065B">
      <w:pPr>
        <w:pStyle w:val="a3"/>
        <w:spacing w:before="0" w:beforeAutospacing="0" w:after="0" w:afterAutospacing="0"/>
        <w:jc w:val="both"/>
        <w:rPr>
          <w:sz w:val="20"/>
          <w:szCs w:val="20"/>
        </w:rPr>
      </w:pPr>
      <w:r>
        <w:rPr>
          <w:sz w:val="20"/>
          <w:szCs w:val="20"/>
        </w:rPr>
        <w:t> </w:t>
      </w:r>
    </w:p>
    <w:p w14:paraId="1A097B27" w14:textId="77777777" w:rsidR="00000000" w:rsidRDefault="00D6065B">
      <w:pPr>
        <w:pStyle w:val="a3"/>
        <w:spacing w:before="0" w:beforeAutospacing="0" w:after="0" w:afterAutospacing="0"/>
        <w:jc w:val="both"/>
        <w:rPr>
          <w:sz w:val="20"/>
          <w:szCs w:val="20"/>
        </w:rPr>
      </w:pPr>
      <w:r>
        <w:rPr>
          <w:b/>
          <w:bCs/>
          <w:sz w:val="20"/>
          <w:szCs w:val="20"/>
        </w:rPr>
        <w:t>Loss Per Shar</w:t>
      </w:r>
      <w:r>
        <w:rPr>
          <w:b/>
          <w:bCs/>
          <w:sz w:val="20"/>
          <w:szCs w:val="20"/>
        </w:rPr>
        <w:t>e</w:t>
      </w:r>
    </w:p>
    <w:p w14:paraId="78C656D0" w14:textId="77777777" w:rsidR="00000000" w:rsidRDefault="00D6065B">
      <w:pPr>
        <w:pStyle w:val="a3"/>
        <w:spacing w:before="0" w:beforeAutospacing="0" w:after="0" w:afterAutospacing="0"/>
        <w:jc w:val="both"/>
        <w:rPr>
          <w:sz w:val="20"/>
          <w:szCs w:val="20"/>
        </w:rPr>
      </w:pPr>
      <w:r>
        <w:rPr>
          <w:sz w:val="20"/>
          <w:szCs w:val="20"/>
        </w:rPr>
        <w:t> </w:t>
      </w:r>
    </w:p>
    <w:p w14:paraId="6BFD6CFC"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periods ended in the six months ended June 30, 2021 and 2020, the basic earnings per share equals the diluted earnings per share.</w:t>
      </w:r>
    </w:p>
    <w:p w14:paraId="744AF076" w14:textId="77777777" w:rsidR="00000000" w:rsidRDefault="00D6065B">
      <w:pPr>
        <w:pStyle w:val="a3"/>
        <w:spacing w:before="0" w:beforeAutospacing="0" w:after="0" w:afterAutospacing="0"/>
        <w:jc w:val="both"/>
        <w:rPr>
          <w:sz w:val="20"/>
          <w:szCs w:val="20"/>
        </w:rPr>
      </w:pPr>
      <w:r>
        <w:rPr>
          <w:sz w:val="20"/>
          <w:szCs w:val="20"/>
        </w:rPr>
        <w:t> </w:t>
      </w:r>
    </w:p>
    <w:p w14:paraId="79F7D4E0" w14:textId="77777777" w:rsidR="00000000" w:rsidRDefault="00D6065B">
      <w:pPr>
        <w:pStyle w:val="a3"/>
        <w:spacing w:before="0" w:beforeAutospacing="0" w:after="0" w:afterAutospacing="0"/>
        <w:jc w:val="both"/>
        <w:rPr>
          <w:sz w:val="20"/>
          <w:szCs w:val="20"/>
        </w:rPr>
      </w:pPr>
      <w:r>
        <w:rPr>
          <w:sz w:val="20"/>
          <w:szCs w:val="20"/>
        </w:rPr>
        <w:t>The following represent common stock equivalents that could be dilutive in the future as of June 30, 2021 and December 31,</w:t>
      </w:r>
      <w:r>
        <w:rPr>
          <w:sz w:val="20"/>
          <w:szCs w:val="20"/>
        </w:rPr>
        <w:t xml:space="preserve"> 2020, which include the following:</w:t>
      </w:r>
    </w:p>
    <w:p w14:paraId="33AE98E0" w14:textId="77777777" w:rsidR="00000000" w:rsidRDefault="00D6065B">
      <w:pPr>
        <w:pStyle w:val="a3"/>
        <w:spacing w:before="0" w:beforeAutospacing="0" w:after="0" w:afterAutospacing="0"/>
        <w:jc w:val="both"/>
        <w:rPr>
          <w:sz w:val="20"/>
          <w:szCs w:val="20"/>
        </w:rPr>
      </w:pPr>
      <w:r>
        <w:rPr>
          <w:sz w:val="20"/>
          <w:szCs w:val="20"/>
        </w:rPr>
        <w:t> </w:t>
      </w:r>
    </w:p>
    <w:p w14:paraId="4C2B9AD2" w14:textId="77777777" w:rsidR="00000000" w:rsidRDefault="00D6065B">
      <w:pPr>
        <w:pStyle w:val="a3"/>
        <w:spacing w:before="0" w:beforeAutospacing="0" w:after="0" w:afterAutospacing="0"/>
        <w:jc w:val="both"/>
        <w:rPr>
          <w:sz w:val="20"/>
          <w:szCs w:val="20"/>
        </w:rPr>
      </w:pP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14:paraId="65AD48A8" w14:textId="77777777">
        <w:tc>
          <w:tcPr>
            <w:tcW w:w="0" w:type="auto"/>
            <w:vAlign w:val="bottom"/>
            <w:hideMark/>
          </w:tcPr>
          <w:p w14:paraId="3FDF552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5D1FA4D"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37C4CF8" w14:textId="77777777" w:rsidR="00000000" w:rsidRDefault="00D6065B">
            <w:pPr>
              <w:jc w:val="center"/>
              <w:rPr>
                <w:rFonts w:eastAsia="Times New Roman"/>
                <w:sz w:val="20"/>
                <w:szCs w:val="20"/>
              </w:rPr>
            </w:pPr>
            <w:r>
              <w:rPr>
                <w:rFonts w:eastAsia="Times New Roman"/>
                <w:sz w:val="20"/>
                <w:szCs w:val="20"/>
              </w:rPr>
              <w:t>June 30, 2021</w:t>
            </w:r>
          </w:p>
        </w:tc>
        <w:tc>
          <w:tcPr>
            <w:tcW w:w="0" w:type="auto"/>
            <w:vAlign w:val="bottom"/>
            <w:hideMark/>
          </w:tcPr>
          <w:p w14:paraId="22A1764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27432D67"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7319751" w14:textId="77777777" w:rsidR="00000000" w:rsidRDefault="00D6065B">
            <w:pPr>
              <w:jc w:val="center"/>
              <w:rPr>
                <w:rFonts w:eastAsia="Times New Roman"/>
                <w:sz w:val="20"/>
                <w:szCs w:val="20"/>
              </w:rPr>
            </w:pPr>
            <w:r>
              <w:rPr>
                <w:rFonts w:eastAsia="Times New Roman"/>
                <w:sz w:val="20"/>
                <w:szCs w:val="20"/>
              </w:rPr>
              <w:t>December 31, 2020</w:t>
            </w:r>
          </w:p>
        </w:tc>
        <w:tc>
          <w:tcPr>
            <w:tcW w:w="0" w:type="auto"/>
            <w:vAlign w:val="bottom"/>
            <w:hideMark/>
          </w:tcPr>
          <w:p w14:paraId="2486E288" w14:textId="77777777" w:rsidR="00000000" w:rsidRDefault="00D6065B">
            <w:pPr>
              <w:jc w:val="center"/>
              <w:rPr>
                <w:rFonts w:eastAsia="Times New Roman"/>
                <w:sz w:val="20"/>
                <w:szCs w:val="20"/>
              </w:rPr>
            </w:pPr>
            <w:r>
              <w:rPr>
                <w:rFonts w:eastAsia="Times New Roman"/>
                <w:sz w:val="20"/>
                <w:szCs w:val="20"/>
              </w:rPr>
              <w:t> </w:t>
            </w:r>
          </w:p>
        </w:tc>
      </w:tr>
      <w:tr w:rsidR="00000000" w14:paraId="055BA5A6" w14:textId="77777777">
        <w:tc>
          <w:tcPr>
            <w:tcW w:w="3000" w:type="pct"/>
            <w:shd w:val="clear" w:color="auto" w:fill="CCEEFF"/>
            <w:vAlign w:val="bottom"/>
            <w:hideMark/>
          </w:tcPr>
          <w:p w14:paraId="43C93949" w14:textId="77777777" w:rsidR="00000000" w:rsidRDefault="00D6065B">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14:paraId="19A780B6"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017BC4" w14:textId="77777777" w:rsidR="00000000" w:rsidRDefault="00D6065B">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5F5EA24" w14:textId="77777777" w:rsidR="00000000" w:rsidRDefault="00D6065B">
            <w:pPr>
              <w:jc w:val="right"/>
              <w:rPr>
                <w:rFonts w:eastAsia="Times New Roman"/>
                <w:sz w:val="20"/>
                <w:szCs w:val="20"/>
              </w:rPr>
            </w:pPr>
            <w:r>
              <w:rPr>
                <w:rFonts w:eastAsia="Times New Roman"/>
                <w:sz w:val="20"/>
                <w:szCs w:val="20"/>
              </w:rPr>
              <w:t>2,492</w:t>
            </w:r>
          </w:p>
        </w:tc>
        <w:tc>
          <w:tcPr>
            <w:tcW w:w="50" w:type="pct"/>
            <w:shd w:val="clear" w:color="auto" w:fill="CCEEFF"/>
            <w:vAlign w:val="bottom"/>
            <w:hideMark/>
          </w:tcPr>
          <w:p w14:paraId="36243C0C"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7207173"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AD217F" w14:textId="77777777" w:rsidR="00000000" w:rsidRDefault="00D6065B">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6EABB02" w14:textId="77777777" w:rsidR="00000000" w:rsidRDefault="00D6065B">
            <w:pPr>
              <w:jc w:val="right"/>
              <w:rPr>
                <w:rFonts w:eastAsia="Times New Roman"/>
                <w:sz w:val="20"/>
                <w:szCs w:val="20"/>
              </w:rPr>
            </w:pPr>
            <w:r>
              <w:rPr>
                <w:rFonts w:eastAsia="Times New Roman"/>
                <w:sz w:val="20"/>
                <w:szCs w:val="20"/>
              </w:rPr>
              <w:t>1,252,456</w:t>
            </w:r>
          </w:p>
        </w:tc>
        <w:tc>
          <w:tcPr>
            <w:tcW w:w="50" w:type="pct"/>
            <w:shd w:val="clear" w:color="auto" w:fill="CCEEFF"/>
            <w:vAlign w:val="bottom"/>
            <w:hideMark/>
          </w:tcPr>
          <w:p w14:paraId="56152C91" w14:textId="77777777" w:rsidR="00000000" w:rsidRDefault="00D6065B">
            <w:pPr>
              <w:rPr>
                <w:rFonts w:eastAsia="Times New Roman"/>
                <w:sz w:val="20"/>
                <w:szCs w:val="20"/>
              </w:rPr>
            </w:pPr>
            <w:r>
              <w:rPr>
                <w:rFonts w:eastAsia="Times New Roman"/>
                <w:sz w:val="20"/>
                <w:szCs w:val="20"/>
              </w:rPr>
              <w:t> </w:t>
            </w:r>
          </w:p>
        </w:tc>
      </w:tr>
      <w:tr w:rsidR="00000000" w14:paraId="2EDBBC7E" w14:textId="77777777">
        <w:tc>
          <w:tcPr>
            <w:tcW w:w="0" w:type="auto"/>
            <w:shd w:val="clear" w:color="auto" w:fill="FFFFFF"/>
            <w:vAlign w:val="bottom"/>
            <w:hideMark/>
          </w:tcPr>
          <w:p w14:paraId="27EE8528" w14:textId="77777777" w:rsidR="00000000" w:rsidRDefault="00D6065B">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04771DA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A875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E7A485" w14:textId="77777777" w:rsidR="00000000" w:rsidRDefault="00D6065B">
            <w:pPr>
              <w:jc w:val="right"/>
              <w:rPr>
                <w:rFonts w:eastAsia="Times New Roman"/>
                <w:sz w:val="20"/>
                <w:szCs w:val="20"/>
              </w:rPr>
            </w:pPr>
            <w:r>
              <w:rPr>
                <w:rFonts w:eastAsia="Times New Roman"/>
                <w:sz w:val="20"/>
                <w:szCs w:val="20"/>
              </w:rPr>
              <w:t>12,863,195</w:t>
            </w:r>
          </w:p>
        </w:tc>
        <w:tc>
          <w:tcPr>
            <w:tcW w:w="0" w:type="auto"/>
            <w:shd w:val="clear" w:color="auto" w:fill="FFFFFF"/>
            <w:vAlign w:val="bottom"/>
            <w:hideMark/>
          </w:tcPr>
          <w:p w14:paraId="0F9F62D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9F10B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0408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92A94" w14:textId="77777777" w:rsidR="00000000" w:rsidRDefault="00D6065B">
            <w:pPr>
              <w:jc w:val="right"/>
              <w:rPr>
                <w:rFonts w:eastAsia="Times New Roman"/>
                <w:sz w:val="20"/>
                <w:szCs w:val="20"/>
              </w:rPr>
            </w:pPr>
            <w:r>
              <w:rPr>
                <w:rFonts w:eastAsia="Times New Roman"/>
                <w:sz w:val="20"/>
                <w:szCs w:val="20"/>
              </w:rPr>
              <w:t>12,988,195</w:t>
            </w:r>
          </w:p>
        </w:tc>
        <w:tc>
          <w:tcPr>
            <w:tcW w:w="0" w:type="auto"/>
            <w:shd w:val="clear" w:color="auto" w:fill="FFFFFF"/>
            <w:vAlign w:val="bottom"/>
            <w:hideMark/>
          </w:tcPr>
          <w:p w14:paraId="267342F0" w14:textId="77777777" w:rsidR="00000000" w:rsidRDefault="00D6065B">
            <w:pPr>
              <w:rPr>
                <w:rFonts w:eastAsia="Times New Roman"/>
                <w:sz w:val="20"/>
                <w:szCs w:val="20"/>
              </w:rPr>
            </w:pPr>
            <w:r>
              <w:rPr>
                <w:rFonts w:eastAsia="Times New Roman"/>
                <w:sz w:val="20"/>
                <w:szCs w:val="20"/>
              </w:rPr>
              <w:t> </w:t>
            </w:r>
          </w:p>
        </w:tc>
      </w:tr>
      <w:tr w:rsidR="00000000" w14:paraId="04E942D4" w14:textId="77777777">
        <w:tc>
          <w:tcPr>
            <w:tcW w:w="0" w:type="auto"/>
            <w:shd w:val="clear" w:color="auto" w:fill="CCEEFF"/>
            <w:vAlign w:val="bottom"/>
            <w:hideMark/>
          </w:tcPr>
          <w:p w14:paraId="3EDAF64E" w14:textId="77777777" w:rsidR="00000000" w:rsidRDefault="00D6065B">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14:paraId="7127E1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5E36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F1AAFA" w14:textId="77777777" w:rsidR="00000000" w:rsidRDefault="00D6065B">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10391A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5C1B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6934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DE5C9" w14:textId="77777777" w:rsidR="00000000" w:rsidRDefault="00D6065B">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14:paraId="01C530AE" w14:textId="77777777" w:rsidR="00000000" w:rsidRDefault="00D6065B">
            <w:pPr>
              <w:rPr>
                <w:rFonts w:eastAsia="Times New Roman"/>
                <w:sz w:val="20"/>
                <w:szCs w:val="20"/>
              </w:rPr>
            </w:pPr>
            <w:r>
              <w:rPr>
                <w:rFonts w:eastAsia="Times New Roman"/>
                <w:sz w:val="20"/>
                <w:szCs w:val="20"/>
              </w:rPr>
              <w:t> </w:t>
            </w:r>
          </w:p>
        </w:tc>
      </w:tr>
      <w:tr w:rsidR="00000000" w14:paraId="3D3CFB73" w14:textId="77777777">
        <w:tc>
          <w:tcPr>
            <w:tcW w:w="0" w:type="auto"/>
            <w:shd w:val="clear" w:color="auto" w:fill="FFFFFF"/>
            <w:vAlign w:val="bottom"/>
            <w:hideMark/>
          </w:tcPr>
          <w:p w14:paraId="03B57AAA" w14:textId="77777777" w:rsidR="00000000" w:rsidRDefault="00D6065B">
            <w:pPr>
              <w:jc w:val="both"/>
              <w:rPr>
                <w:rFonts w:eastAsia="Times New Roman"/>
                <w:sz w:val="20"/>
                <w:szCs w:val="20"/>
              </w:rPr>
            </w:pPr>
            <w:r>
              <w:rPr>
                <w:rFonts w:eastAsia="Times New Roman"/>
                <w:sz w:val="20"/>
                <w:szCs w:val="20"/>
              </w:rPr>
              <w:t>Common stock warrants</w:t>
            </w:r>
          </w:p>
        </w:tc>
        <w:tc>
          <w:tcPr>
            <w:tcW w:w="0" w:type="auto"/>
            <w:shd w:val="clear" w:color="auto" w:fill="FFFFFF"/>
            <w:vAlign w:val="bottom"/>
            <w:hideMark/>
          </w:tcPr>
          <w:p w14:paraId="642F865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41AA3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2B3D5F" w14:textId="77777777" w:rsidR="00000000" w:rsidRDefault="00D6065B">
            <w:pPr>
              <w:jc w:val="right"/>
              <w:rPr>
                <w:rFonts w:eastAsia="Times New Roman"/>
                <w:sz w:val="20"/>
                <w:szCs w:val="20"/>
              </w:rPr>
            </w:pPr>
            <w:r>
              <w:rPr>
                <w:rFonts w:eastAsia="Times New Roman"/>
                <w:sz w:val="20"/>
                <w:szCs w:val="20"/>
              </w:rPr>
              <w:t>37,162,500</w:t>
            </w:r>
          </w:p>
        </w:tc>
        <w:tc>
          <w:tcPr>
            <w:tcW w:w="0" w:type="auto"/>
            <w:shd w:val="clear" w:color="auto" w:fill="FFFFFF"/>
            <w:vAlign w:val="bottom"/>
            <w:hideMark/>
          </w:tcPr>
          <w:p w14:paraId="7DDE2CF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0F10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DC656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2AE68D" w14:textId="77777777" w:rsidR="00000000" w:rsidRDefault="00D6065B">
            <w:pPr>
              <w:jc w:val="right"/>
              <w:rPr>
                <w:rFonts w:eastAsia="Times New Roman"/>
                <w:sz w:val="20"/>
                <w:szCs w:val="20"/>
              </w:rPr>
            </w:pPr>
            <w:r>
              <w:rPr>
                <w:rFonts w:eastAsia="Times New Roman"/>
                <w:sz w:val="20"/>
                <w:szCs w:val="20"/>
              </w:rPr>
              <w:t>32,064,375</w:t>
            </w:r>
          </w:p>
        </w:tc>
        <w:tc>
          <w:tcPr>
            <w:tcW w:w="0" w:type="auto"/>
            <w:shd w:val="clear" w:color="auto" w:fill="FFFFFF"/>
            <w:vAlign w:val="bottom"/>
            <w:hideMark/>
          </w:tcPr>
          <w:p w14:paraId="6CDB89A9" w14:textId="77777777" w:rsidR="00000000" w:rsidRDefault="00D6065B">
            <w:pPr>
              <w:rPr>
                <w:rFonts w:eastAsia="Times New Roman"/>
                <w:sz w:val="20"/>
                <w:szCs w:val="20"/>
              </w:rPr>
            </w:pPr>
            <w:r>
              <w:rPr>
                <w:rFonts w:eastAsia="Times New Roman"/>
                <w:sz w:val="20"/>
                <w:szCs w:val="20"/>
              </w:rPr>
              <w:t> </w:t>
            </w:r>
          </w:p>
        </w:tc>
      </w:tr>
      <w:tr w:rsidR="00000000" w14:paraId="2994F627" w14:textId="77777777">
        <w:tc>
          <w:tcPr>
            <w:tcW w:w="0" w:type="auto"/>
            <w:shd w:val="clear" w:color="auto" w:fill="CCEEFF"/>
            <w:vAlign w:val="bottom"/>
            <w:hideMark/>
          </w:tcPr>
          <w:p w14:paraId="678749B6" w14:textId="77777777" w:rsidR="00000000" w:rsidRDefault="00D6065B">
            <w:pPr>
              <w:jc w:val="both"/>
              <w:rPr>
                <w:rFonts w:eastAsia="Times New Roman"/>
                <w:sz w:val="20"/>
                <w:szCs w:val="20"/>
              </w:rPr>
            </w:pPr>
            <w:r>
              <w:rPr>
                <w:rFonts w:eastAsia="Times New Roman"/>
                <w:sz w:val="20"/>
                <w:szCs w:val="20"/>
              </w:rPr>
              <w:t>Total potential dilutive securities</w:t>
            </w:r>
          </w:p>
        </w:tc>
        <w:tc>
          <w:tcPr>
            <w:tcW w:w="0" w:type="auto"/>
            <w:shd w:val="clear" w:color="auto" w:fill="CCEEFF"/>
            <w:vAlign w:val="bottom"/>
            <w:hideMark/>
          </w:tcPr>
          <w:p w14:paraId="4C23AA4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48337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FEC5079" w14:textId="77777777" w:rsidR="00000000" w:rsidRDefault="00D6065B">
            <w:pPr>
              <w:jc w:val="right"/>
              <w:rPr>
                <w:rFonts w:eastAsia="Times New Roman"/>
                <w:sz w:val="20"/>
                <w:szCs w:val="20"/>
              </w:rPr>
            </w:pPr>
            <w:r>
              <w:rPr>
                <w:rFonts w:eastAsia="Times New Roman"/>
                <w:sz w:val="20"/>
                <w:szCs w:val="20"/>
              </w:rPr>
              <w:t>52,280,996</w:t>
            </w:r>
          </w:p>
        </w:tc>
        <w:tc>
          <w:tcPr>
            <w:tcW w:w="0" w:type="auto"/>
            <w:shd w:val="clear" w:color="auto" w:fill="CCEEFF"/>
            <w:vAlign w:val="bottom"/>
            <w:hideMark/>
          </w:tcPr>
          <w:p w14:paraId="07D81AC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8848E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62262D"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5F7F24" w14:textId="77777777" w:rsidR="00000000" w:rsidRDefault="00D6065B">
            <w:pPr>
              <w:jc w:val="right"/>
              <w:rPr>
                <w:rFonts w:eastAsia="Times New Roman"/>
                <w:sz w:val="20"/>
                <w:szCs w:val="20"/>
              </w:rPr>
            </w:pPr>
            <w:r>
              <w:rPr>
                <w:rFonts w:eastAsia="Times New Roman"/>
                <w:sz w:val="20"/>
                <w:szCs w:val="20"/>
              </w:rPr>
              <w:t>75,190,487</w:t>
            </w:r>
          </w:p>
        </w:tc>
        <w:tc>
          <w:tcPr>
            <w:tcW w:w="0" w:type="auto"/>
            <w:shd w:val="clear" w:color="auto" w:fill="CCEEFF"/>
            <w:vAlign w:val="bottom"/>
            <w:hideMark/>
          </w:tcPr>
          <w:p w14:paraId="219D460C" w14:textId="77777777" w:rsidR="00000000" w:rsidRDefault="00D6065B">
            <w:pPr>
              <w:rPr>
                <w:rFonts w:eastAsia="Times New Roman"/>
                <w:sz w:val="20"/>
                <w:szCs w:val="20"/>
              </w:rPr>
            </w:pPr>
            <w:r>
              <w:rPr>
                <w:rFonts w:eastAsia="Times New Roman"/>
                <w:sz w:val="20"/>
                <w:szCs w:val="20"/>
              </w:rPr>
              <w:t> </w:t>
            </w:r>
          </w:p>
        </w:tc>
      </w:tr>
    </w:tbl>
    <w:p w14:paraId="52B40E0F" w14:textId="77777777" w:rsidR="00000000" w:rsidRDefault="00D6065B">
      <w:pPr>
        <w:pStyle w:val="a3"/>
        <w:spacing w:before="0" w:beforeAutospacing="0" w:after="0" w:afterAutospacing="0"/>
        <w:jc w:val="both"/>
        <w:rPr>
          <w:sz w:val="20"/>
          <w:szCs w:val="20"/>
        </w:rPr>
      </w:pPr>
      <w:r>
        <w:rPr>
          <w:sz w:val="20"/>
          <w:szCs w:val="20"/>
        </w:rPr>
        <w:t> </w:t>
      </w:r>
    </w:p>
    <w:p w14:paraId="608C31C2" w14:textId="77777777" w:rsidR="00000000" w:rsidRDefault="00D6065B">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14:paraId="7D5DD749" w14:textId="77777777" w:rsidR="00000000" w:rsidRDefault="00D6065B">
      <w:pPr>
        <w:pStyle w:val="a3"/>
        <w:spacing w:before="0" w:beforeAutospacing="0" w:after="0" w:afterAutospacing="0"/>
        <w:jc w:val="both"/>
        <w:rPr>
          <w:sz w:val="20"/>
          <w:szCs w:val="20"/>
        </w:rPr>
      </w:pPr>
      <w:r>
        <w:rPr>
          <w:sz w:val="20"/>
          <w:szCs w:val="20"/>
        </w:rPr>
        <w:t> </w:t>
      </w:r>
    </w:p>
    <w:p w14:paraId="1418F65F" w14:textId="77777777" w:rsidR="00000000" w:rsidRDefault="00D6065B">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14:paraId="1CB04EE4" w14:textId="77777777" w:rsidR="00000000" w:rsidRDefault="00D6065B">
      <w:pPr>
        <w:pStyle w:val="a3"/>
        <w:spacing w:before="0" w:beforeAutospacing="0" w:after="0" w:afterAutospacing="0"/>
        <w:jc w:val="both"/>
        <w:rPr>
          <w:sz w:val="20"/>
          <w:szCs w:val="20"/>
        </w:rPr>
      </w:pPr>
      <w:r>
        <w:rPr>
          <w:sz w:val="20"/>
          <w:szCs w:val="20"/>
        </w:rPr>
        <w:t> </w:t>
      </w:r>
    </w:p>
    <w:p w14:paraId="32CF3308" w14:textId="77777777" w:rsidR="00000000" w:rsidRDefault="00D6065B">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160</w:t>
      </w:r>
      <w:r>
        <w:rPr>
          <w:sz w:val="20"/>
          <w:szCs w:val="20"/>
        </w:rPr>
        <w:t>,32</w:t>
      </w:r>
      <w:r>
        <w:rPr>
          <w:sz w:val="20"/>
          <w:szCs w:val="20"/>
        </w:rPr>
        <w:t>2</w:t>
      </w:r>
      <w:r>
        <w:rPr>
          <w:sz w:val="20"/>
          <w:szCs w:val="20"/>
        </w:rPr>
        <w:t xml:space="preserve"> and </w:t>
      </w:r>
      <w:r>
        <w:rPr>
          <w:sz w:val="20"/>
          <w:szCs w:val="20"/>
        </w:rPr>
        <w:t>$</w:t>
      </w:r>
      <w:r>
        <w:rPr>
          <w:sz w:val="20"/>
          <w:szCs w:val="20"/>
        </w:rPr>
        <w:t>17,42</w:t>
      </w:r>
      <w:r>
        <w:rPr>
          <w:sz w:val="20"/>
          <w:szCs w:val="20"/>
        </w:rPr>
        <w:t>5</w:t>
      </w:r>
      <w:r>
        <w:rPr>
          <w:sz w:val="20"/>
          <w:szCs w:val="20"/>
        </w:rPr>
        <w:t xml:space="preserve"> research and development costs for the six months ended June 30, 2021 and 2020, respectively, all of which were recorded in the Company’s operating expenses noted on the statements of operations for the periods then ended.</w:t>
      </w:r>
    </w:p>
    <w:p w14:paraId="51E58835"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4EDDAD" w14:textId="77777777">
        <w:trPr>
          <w:divId w:val="409470201"/>
        </w:trPr>
        <w:tc>
          <w:tcPr>
            <w:tcW w:w="5000" w:type="pct"/>
            <w:hideMark/>
          </w:tcPr>
          <w:p w14:paraId="6DA72BF9"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1DD517AE" w14:textId="77777777">
        <w:tc>
          <w:tcPr>
            <w:tcW w:w="5000" w:type="pct"/>
            <w:hideMark/>
          </w:tcPr>
          <w:p w14:paraId="099B172F" w14:textId="77777777" w:rsidR="00000000" w:rsidRDefault="00D6065B">
            <w:pPr>
              <w:jc w:val="center"/>
              <w:rPr>
                <w:rFonts w:eastAsia="Times New Roman"/>
                <w:sz w:val="20"/>
                <w:szCs w:val="20"/>
              </w:rPr>
            </w:pPr>
            <w:r>
              <w:rPr>
                <w:rFonts w:eastAsia="Times New Roman"/>
                <w:sz w:val="20"/>
                <w:szCs w:val="20"/>
              </w:rPr>
              <w:t> </w:t>
            </w:r>
          </w:p>
        </w:tc>
      </w:tr>
    </w:tbl>
    <w:p w14:paraId="12FA2B21" w14:textId="77777777" w:rsidR="00000000" w:rsidRDefault="00D6065B">
      <w:pPr>
        <w:pStyle w:val="a3"/>
        <w:spacing w:before="0" w:beforeAutospacing="0" w:after="0" w:afterAutospacing="0"/>
        <w:rPr>
          <w:sz w:val="20"/>
          <w:szCs w:val="20"/>
        </w:rPr>
      </w:pPr>
      <w:r>
        <w:rPr>
          <w:sz w:val="20"/>
          <w:szCs w:val="20"/>
        </w:rPr>
        <w:t> </w:t>
      </w:r>
    </w:p>
    <w:p w14:paraId="22555E51" w14:textId="77777777" w:rsidR="00000000" w:rsidRDefault="00D6065B">
      <w:pPr>
        <w:pStyle w:val="a3"/>
        <w:spacing w:before="0" w:beforeAutospacing="0" w:after="0" w:afterAutospacing="0"/>
        <w:jc w:val="both"/>
        <w:rPr>
          <w:sz w:val="20"/>
          <w:szCs w:val="20"/>
        </w:rPr>
      </w:pPr>
      <w:r>
        <w:rPr>
          <w:b/>
          <w:bCs/>
          <w:sz w:val="20"/>
          <w:szCs w:val="20"/>
        </w:rPr>
        <w:t>Advertising and Marketing Cost</w:t>
      </w:r>
      <w:r>
        <w:rPr>
          <w:b/>
          <w:bCs/>
          <w:sz w:val="20"/>
          <w:szCs w:val="20"/>
        </w:rPr>
        <w:t>s</w:t>
      </w:r>
    </w:p>
    <w:p w14:paraId="40100E49" w14:textId="77777777" w:rsidR="00000000" w:rsidRDefault="00D6065B">
      <w:pPr>
        <w:pStyle w:val="a3"/>
        <w:spacing w:before="0" w:beforeAutospacing="0" w:after="0" w:afterAutospacing="0"/>
        <w:jc w:val="both"/>
        <w:rPr>
          <w:sz w:val="20"/>
          <w:szCs w:val="20"/>
        </w:rPr>
      </w:pPr>
      <w:r>
        <w:rPr>
          <w:sz w:val="20"/>
          <w:szCs w:val="20"/>
        </w:rPr>
        <w:t> </w:t>
      </w:r>
    </w:p>
    <w:p w14:paraId="4300DD96" w14:textId="77777777" w:rsidR="00000000" w:rsidRDefault="00D6065B">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six months ended June 30, 2021 and 2020, the Company incurred</w:t>
      </w:r>
      <w:r>
        <w:rPr>
          <w:sz w:val="20"/>
          <w:szCs w:val="20"/>
        </w:rPr>
        <w:t xml:space="preserve"> </w:t>
      </w:r>
      <w:r>
        <w:rPr>
          <w:sz w:val="20"/>
          <w:szCs w:val="20"/>
        </w:rPr>
        <w:t>n</w:t>
      </w:r>
      <w:r>
        <w:rPr>
          <w:sz w:val="20"/>
          <w:szCs w:val="20"/>
        </w:rPr>
        <w:t>o</w:t>
      </w:r>
      <w:r>
        <w:rPr>
          <w:sz w:val="20"/>
          <w:szCs w:val="20"/>
        </w:rPr>
        <w:t xml:space="preserve"> advertis</w:t>
      </w:r>
      <w:r>
        <w:rPr>
          <w:sz w:val="20"/>
          <w:szCs w:val="20"/>
        </w:rPr>
        <w:t>ing and marketing costs.</w:t>
      </w:r>
    </w:p>
    <w:p w14:paraId="13419FE2" w14:textId="77777777" w:rsidR="00000000" w:rsidRDefault="00D6065B">
      <w:pPr>
        <w:pStyle w:val="a3"/>
        <w:spacing w:before="0" w:beforeAutospacing="0" w:after="0" w:afterAutospacing="0"/>
        <w:jc w:val="both"/>
        <w:rPr>
          <w:sz w:val="20"/>
          <w:szCs w:val="20"/>
        </w:rPr>
      </w:pPr>
      <w:r>
        <w:rPr>
          <w:sz w:val="20"/>
          <w:szCs w:val="20"/>
        </w:rPr>
        <w:t> </w:t>
      </w:r>
    </w:p>
    <w:p w14:paraId="579F5327" w14:textId="77777777" w:rsidR="00000000" w:rsidRDefault="00D6065B">
      <w:pPr>
        <w:pStyle w:val="a3"/>
        <w:spacing w:before="0" w:beforeAutospacing="0" w:after="0" w:afterAutospacing="0"/>
        <w:jc w:val="both"/>
        <w:rPr>
          <w:sz w:val="20"/>
          <w:szCs w:val="20"/>
        </w:rPr>
      </w:pPr>
      <w:r>
        <w:rPr>
          <w:b/>
          <w:bCs/>
          <w:sz w:val="20"/>
          <w:szCs w:val="20"/>
        </w:rPr>
        <w:t>Contingencie</w:t>
      </w:r>
      <w:r>
        <w:rPr>
          <w:b/>
          <w:bCs/>
          <w:sz w:val="20"/>
          <w:szCs w:val="20"/>
        </w:rPr>
        <w:t>s</w:t>
      </w:r>
    </w:p>
    <w:p w14:paraId="1645E5E6" w14:textId="77777777" w:rsidR="00000000" w:rsidRDefault="00D6065B">
      <w:pPr>
        <w:pStyle w:val="a3"/>
        <w:spacing w:before="0" w:beforeAutospacing="0" w:after="0" w:afterAutospacing="0"/>
        <w:jc w:val="both"/>
        <w:rPr>
          <w:sz w:val="20"/>
          <w:szCs w:val="20"/>
        </w:rPr>
      </w:pPr>
      <w:r>
        <w:rPr>
          <w:sz w:val="20"/>
          <w:szCs w:val="20"/>
        </w:rPr>
        <w:t> </w:t>
      </w:r>
    </w:p>
    <w:p w14:paraId="12915D28" w14:textId="77777777" w:rsidR="00000000" w:rsidRDefault="00D6065B">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other matters. The Com</w:t>
      </w:r>
      <w:r>
        <w:rPr>
          <w:sz w:val="20"/>
          <w:szCs w:val="20"/>
        </w:rPr>
        <w:t>pany records contingent liabilities resulting from asserted and unasserted claims against it, when it is probable that a liability has been incurred and the amount of the loss is reasonably estimable. The Company discloses contingent liabilities when there</w:t>
      </w:r>
      <w:r>
        <w:rPr>
          <w:sz w:val="20"/>
          <w:szCs w:val="20"/>
        </w:rPr>
        <w:t xml:space="preserve"> is a reasonable possibility that the ultimate loss will exceed the recorded liability. Estimated probable losses require analysis of multiple factors, in some cases including judgments about the potential actions of third-party claimants and courts. There</w:t>
      </w:r>
      <w:r>
        <w:rPr>
          <w:sz w:val="20"/>
          <w:szCs w:val="20"/>
        </w:rPr>
        <w:t>fore, actual losses in any future period are inherently uncertain. The Company has entered into various agreements that require them to pay certain fees to consultants and/or employees that have been fully accrued for as of June 30, 2021 and December 31, 2</w:t>
      </w:r>
      <w:r>
        <w:rPr>
          <w:sz w:val="20"/>
          <w:szCs w:val="20"/>
        </w:rPr>
        <w:t>020.</w:t>
      </w:r>
    </w:p>
    <w:p w14:paraId="6DAF8EA3" w14:textId="77777777" w:rsidR="00000000" w:rsidRDefault="00D6065B">
      <w:pPr>
        <w:pStyle w:val="a3"/>
        <w:spacing w:before="0" w:beforeAutospacing="0" w:after="0" w:afterAutospacing="0"/>
        <w:jc w:val="both"/>
        <w:rPr>
          <w:sz w:val="20"/>
          <w:szCs w:val="20"/>
        </w:rPr>
      </w:pPr>
      <w:r>
        <w:rPr>
          <w:sz w:val="20"/>
          <w:szCs w:val="20"/>
        </w:rPr>
        <w:t> </w:t>
      </w:r>
    </w:p>
    <w:p w14:paraId="02FFEB85" w14:textId="77777777" w:rsidR="00000000" w:rsidRDefault="00D6065B">
      <w:pPr>
        <w:pStyle w:val="a3"/>
        <w:spacing w:before="0" w:beforeAutospacing="0" w:after="0" w:afterAutospacing="0"/>
        <w:jc w:val="both"/>
        <w:rPr>
          <w:sz w:val="20"/>
          <w:szCs w:val="20"/>
        </w:rPr>
      </w:pPr>
      <w:r>
        <w:rPr>
          <w:b/>
          <w:bCs/>
          <w:sz w:val="20"/>
          <w:szCs w:val="20"/>
        </w:rPr>
        <w:t>Income Taxe</w:t>
      </w:r>
      <w:r>
        <w:rPr>
          <w:b/>
          <w:bCs/>
          <w:sz w:val="20"/>
          <w:szCs w:val="20"/>
        </w:rPr>
        <w:t>s</w:t>
      </w:r>
    </w:p>
    <w:p w14:paraId="2EFAFACD" w14:textId="77777777" w:rsidR="00000000" w:rsidRDefault="00D6065B">
      <w:pPr>
        <w:pStyle w:val="a3"/>
        <w:spacing w:before="0" w:beforeAutospacing="0" w:after="0" w:afterAutospacing="0"/>
        <w:jc w:val="both"/>
        <w:rPr>
          <w:sz w:val="20"/>
          <w:szCs w:val="20"/>
        </w:rPr>
      </w:pPr>
      <w:r>
        <w:rPr>
          <w:sz w:val="20"/>
          <w:szCs w:val="20"/>
        </w:rPr>
        <w:t> </w:t>
      </w:r>
    </w:p>
    <w:p w14:paraId="6D7447C4" w14:textId="77777777" w:rsidR="00000000" w:rsidRDefault="00D6065B">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prescribing a minimum recognition threshold that a tax position is required to meet before being recognized in the financ</w:t>
      </w:r>
      <w:r>
        <w:rPr>
          <w:sz w:val="20"/>
          <w:szCs w:val="20"/>
        </w:rPr>
        <w:t>ial statements. The Company also provides guidance on de-recognition, measurement, classification, interest, and penalties, accounting in interim periods, disclosure and transition.</w:t>
      </w:r>
    </w:p>
    <w:p w14:paraId="20F20B03" w14:textId="77777777" w:rsidR="00000000" w:rsidRDefault="00D6065B">
      <w:pPr>
        <w:pStyle w:val="a3"/>
        <w:spacing w:before="0" w:beforeAutospacing="0" w:after="0" w:afterAutospacing="0"/>
        <w:ind w:firstLine="720"/>
        <w:jc w:val="both"/>
        <w:rPr>
          <w:sz w:val="20"/>
          <w:szCs w:val="20"/>
        </w:rPr>
      </w:pPr>
      <w:r>
        <w:rPr>
          <w:sz w:val="20"/>
          <w:szCs w:val="20"/>
        </w:rPr>
        <w:t> </w:t>
      </w:r>
    </w:p>
    <w:p w14:paraId="009D3FA5" w14:textId="77777777" w:rsidR="00000000" w:rsidRDefault="00D6065B">
      <w:pPr>
        <w:pStyle w:val="a3"/>
        <w:spacing w:before="0" w:beforeAutospacing="0" w:after="0" w:afterAutospacing="0"/>
        <w:jc w:val="both"/>
        <w:rPr>
          <w:sz w:val="20"/>
          <w:szCs w:val="20"/>
        </w:rPr>
      </w:pPr>
      <w:r>
        <w:rPr>
          <w:sz w:val="20"/>
          <w:szCs w:val="20"/>
        </w:rPr>
        <w:t>The Company files income tax returns in the U.S. federal jurisdiction. T</w:t>
      </w:r>
      <w:r>
        <w:rPr>
          <w:sz w:val="20"/>
          <w:szCs w:val="20"/>
        </w:rPr>
        <w:t>he Company did not have any tax expense for the six months ended June 30, 2021 and 2020. The Company did not have any deferred tax liability or asset on its balance sheet on June 30, 2021 and December 31, 2020.</w:t>
      </w:r>
    </w:p>
    <w:p w14:paraId="2B9F5058" w14:textId="77777777" w:rsidR="00000000" w:rsidRDefault="00D6065B">
      <w:pPr>
        <w:pStyle w:val="a3"/>
        <w:spacing w:before="0" w:beforeAutospacing="0" w:after="0" w:afterAutospacing="0"/>
        <w:ind w:firstLine="720"/>
        <w:jc w:val="both"/>
        <w:rPr>
          <w:sz w:val="20"/>
          <w:szCs w:val="20"/>
        </w:rPr>
      </w:pPr>
      <w:r>
        <w:rPr>
          <w:sz w:val="20"/>
          <w:szCs w:val="20"/>
        </w:rPr>
        <w:t> </w:t>
      </w:r>
    </w:p>
    <w:p w14:paraId="19DA0AAD" w14:textId="77777777" w:rsidR="00000000" w:rsidRDefault="00D6065B">
      <w:pPr>
        <w:pStyle w:val="a3"/>
        <w:spacing w:before="0" w:beforeAutospacing="0" w:after="0" w:afterAutospacing="0"/>
        <w:jc w:val="both"/>
        <w:rPr>
          <w:sz w:val="20"/>
          <w:szCs w:val="20"/>
        </w:rPr>
      </w:pPr>
      <w:r>
        <w:rPr>
          <w:sz w:val="20"/>
          <w:szCs w:val="20"/>
        </w:rPr>
        <w:t>Interest costs and penalties related to inc</w:t>
      </w:r>
      <w:r>
        <w:rPr>
          <w:sz w:val="20"/>
          <w:szCs w:val="20"/>
        </w:rPr>
        <w:t>ome taxes, if any, will be classified as interest expense and general and administrative costs, respectively, in the Company’s financial statements. For the six months ended June 30, 2021 and 2020, the Company did not recognize any interest or penalty expe</w:t>
      </w:r>
      <w:r>
        <w:rPr>
          <w:sz w:val="20"/>
          <w:szCs w:val="20"/>
        </w:rPr>
        <w:t>nse related to income taxes.</w:t>
      </w:r>
      <w:r>
        <w:rPr>
          <w:sz w:val="20"/>
          <w:szCs w:val="20"/>
        </w:rPr>
        <w:t xml:space="preserve"> </w:t>
      </w:r>
      <w:r>
        <w:rPr>
          <w:sz w:val="20"/>
          <w:szCs w:val="20"/>
        </w:rPr>
        <w:t>The Company believes that it is not reasonably possible for the amounts of unrecognized tax benefits to significantly increase or decrease within the next twelve months</w:t>
      </w:r>
      <w:r>
        <w:rPr>
          <w:sz w:val="20"/>
          <w:szCs w:val="20"/>
        </w:rPr>
        <w:t>.</w:t>
      </w:r>
    </w:p>
    <w:p w14:paraId="5CD8517F" w14:textId="77777777" w:rsidR="00000000" w:rsidRDefault="00D6065B">
      <w:pPr>
        <w:pStyle w:val="a3"/>
        <w:spacing w:before="0" w:beforeAutospacing="0" w:after="0" w:afterAutospacing="0"/>
        <w:jc w:val="both"/>
        <w:rPr>
          <w:sz w:val="20"/>
          <w:szCs w:val="20"/>
        </w:rPr>
      </w:pPr>
      <w:r>
        <w:rPr>
          <w:sz w:val="20"/>
          <w:szCs w:val="20"/>
        </w:rPr>
        <w:t> </w:t>
      </w:r>
    </w:p>
    <w:p w14:paraId="71BB51A2" w14:textId="77777777" w:rsidR="00000000" w:rsidRDefault="00D6065B">
      <w:pPr>
        <w:pStyle w:val="a3"/>
        <w:spacing w:before="0" w:beforeAutospacing="0" w:after="0" w:afterAutospacing="0"/>
        <w:jc w:val="both"/>
        <w:rPr>
          <w:sz w:val="20"/>
          <w:szCs w:val="20"/>
        </w:rPr>
      </w:pPr>
      <w:r>
        <w:rPr>
          <w:b/>
          <w:bCs/>
          <w:sz w:val="20"/>
          <w:szCs w:val="20"/>
        </w:rPr>
        <w:t>Stock-Based Compensatio</w:t>
      </w:r>
      <w:r>
        <w:rPr>
          <w:b/>
          <w:bCs/>
          <w:sz w:val="20"/>
          <w:szCs w:val="20"/>
        </w:rPr>
        <w:t>n</w:t>
      </w:r>
    </w:p>
    <w:p w14:paraId="3A37A9F0" w14:textId="77777777" w:rsidR="00000000" w:rsidRDefault="00D6065B">
      <w:pPr>
        <w:pStyle w:val="a3"/>
        <w:spacing w:before="0" w:beforeAutospacing="0" w:after="0" w:afterAutospacing="0"/>
        <w:jc w:val="both"/>
        <w:rPr>
          <w:sz w:val="20"/>
          <w:szCs w:val="20"/>
        </w:rPr>
      </w:pPr>
      <w:r>
        <w:rPr>
          <w:sz w:val="20"/>
          <w:szCs w:val="20"/>
        </w:rPr>
        <w:t> </w:t>
      </w:r>
    </w:p>
    <w:p w14:paraId="047F4039" w14:textId="77777777" w:rsidR="00000000" w:rsidRDefault="00D6065B">
      <w:pPr>
        <w:pStyle w:val="a3"/>
        <w:spacing w:before="0" w:beforeAutospacing="0" w:after="0" w:afterAutospacing="0"/>
        <w:jc w:val="both"/>
        <w:rPr>
          <w:sz w:val="20"/>
          <w:szCs w:val="20"/>
        </w:rPr>
      </w:pPr>
      <w:r>
        <w:rPr>
          <w:sz w:val="20"/>
          <w:szCs w:val="20"/>
        </w:rPr>
        <w:t>The Company recognizes compe</w:t>
      </w:r>
      <w:r>
        <w:rPr>
          <w:sz w:val="20"/>
          <w:szCs w:val="20"/>
        </w:rPr>
        <w:t>nsation costs under FASB ASC Topic 718, Compensation – Stock Compensation and ASU 2018-07. Companies are required to measure the compensation costs of share-based compensation arrangements based on the grant-date fair value and recognize the costs in the f</w:t>
      </w:r>
      <w:r>
        <w:rPr>
          <w:sz w:val="20"/>
          <w:szCs w:val="20"/>
        </w:rPr>
        <w:t>inancial statements over the period during which employees are required to provide services. Share based compensation arrangements include stock options, restricted share plans, performance-based awards, share appreciation rights and employee share purchas</w:t>
      </w:r>
      <w:r>
        <w:rPr>
          <w:sz w:val="20"/>
          <w:szCs w:val="20"/>
        </w:rPr>
        <w:t>e plans. As such, compensation cost is measured on the date of grant at their fair value. Such compensation amounts, if any, are amortized over the respective vesting periods of the option grant.</w:t>
      </w:r>
    </w:p>
    <w:p w14:paraId="20CF6AA1" w14:textId="77777777" w:rsidR="00000000" w:rsidRDefault="00D6065B">
      <w:pPr>
        <w:pStyle w:val="a3"/>
        <w:spacing w:before="0" w:beforeAutospacing="0" w:after="0" w:afterAutospacing="0"/>
        <w:jc w:val="both"/>
        <w:rPr>
          <w:sz w:val="20"/>
          <w:szCs w:val="20"/>
        </w:rPr>
      </w:pPr>
      <w:r>
        <w:rPr>
          <w:sz w:val="20"/>
          <w:szCs w:val="20"/>
        </w:rPr>
        <w:t> </w:t>
      </w:r>
    </w:p>
    <w:p w14:paraId="503A6480" w14:textId="77777777" w:rsidR="00000000" w:rsidRDefault="00D6065B">
      <w:pPr>
        <w:pStyle w:val="a3"/>
        <w:spacing w:before="0" w:beforeAutospacing="0" w:after="0" w:afterAutospacing="0"/>
        <w:jc w:val="both"/>
        <w:rPr>
          <w:sz w:val="20"/>
          <w:szCs w:val="20"/>
        </w:rPr>
      </w:pPr>
      <w:r>
        <w:rPr>
          <w:sz w:val="20"/>
          <w:szCs w:val="20"/>
        </w:rPr>
        <w:t xml:space="preserve">In May 2017, the FASB issued ASU 2017-09, “Compensation - </w:t>
      </w:r>
      <w:r>
        <w:rPr>
          <w:sz w:val="20"/>
          <w:szCs w:val="20"/>
        </w:rPr>
        <w:t>Stock Compensation.” The update provides guidance about which changes to the terms or conditions of a share-based payment award require an entity to apply modification accounting in ASC Topic 718. An entity shall account for the effects of a modification d</w:t>
      </w:r>
      <w:r>
        <w:rPr>
          <w:sz w:val="20"/>
          <w:szCs w:val="20"/>
        </w:rPr>
        <w:t>escribed in ASC paragraphs 718-20-35-3 through 35-9, unless all the following are met: (1) The fair value of the modified award is the same as the fair value of the original award immediately before the original award is modified; (2) The vesting condition</w:t>
      </w:r>
      <w:r>
        <w:rPr>
          <w:sz w:val="20"/>
          <w:szCs w:val="20"/>
        </w:rPr>
        <w:t>s of the modified award are the same as the vesting conditions of the original award immediately before the original award is modified; and (3) The classification of the modified award as an equity instrument or a liability instrument is the same as the cl</w:t>
      </w:r>
      <w:r>
        <w:rPr>
          <w:sz w:val="20"/>
          <w:szCs w:val="20"/>
        </w:rPr>
        <w:t>assification of the original award immediately before the original award is modified. The provisions of this update become effective for annual periods and interim periods within those annual periods beginning after December 15, 2017. The Company’s adoptio</w:t>
      </w:r>
      <w:r>
        <w:rPr>
          <w:sz w:val="20"/>
          <w:szCs w:val="20"/>
        </w:rPr>
        <w:t>n of this guidance on January 1, 2018 did not have a material impact on the Company’s results of operations, financial position and related disclosures.</w:t>
      </w:r>
    </w:p>
    <w:p w14:paraId="6B2E5D50"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8E3A8D5" w14:textId="77777777">
        <w:trPr>
          <w:divId w:val="734356056"/>
        </w:trPr>
        <w:tc>
          <w:tcPr>
            <w:tcW w:w="5000" w:type="pct"/>
            <w:hideMark/>
          </w:tcPr>
          <w:p w14:paraId="6CBEA598"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6B28EC48" w14:textId="77777777">
        <w:tc>
          <w:tcPr>
            <w:tcW w:w="5000" w:type="pct"/>
            <w:hideMark/>
          </w:tcPr>
          <w:p w14:paraId="00D0F3E3" w14:textId="77777777" w:rsidR="00000000" w:rsidRDefault="00D6065B">
            <w:pPr>
              <w:jc w:val="center"/>
              <w:rPr>
                <w:rFonts w:eastAsia="Times New Roman"/>
                <w:sz w:val="20"/>
                <w:szCs w:val="20"/>
              </w:rPr>
            </w:pPr>
            <w:r>
              <w:rPr>
                <w:rFonts w:eastAsia="Times New Roman"/>
                <w:sz w:val="20"/>
                <w:szCs w:val="20"/>
              </w:rPr>
              <w:t> </w:t>
            </w:r>
          </w:p>
        </w:tc>
      </w:tr>
    </w:tbl>
    <w:p w14:paraId="1BFD756E" w14:textId="77777777" w:rsidR="00000000" w:rsidRDefault="00D6065B">
      <w:pPr>
        <w:pStyle w:val="a3"/>
        <w:spacing w:before="0" w:beforeAutospacing="0" w:after="0" w:afterAutospacing="0"/>
        <w:rPr>
          <w:sz w:val="20"/>
          <w:szCs w:val="20"/>
        </w:rPr>
      </w:pPr>
      <w:r>
        <w:rPr>
          <w:sz w:val="20"/>
          <w:szCs w:val="20"/>
        </w:rPr>
        <w:t> </w:t>
      </w:r>
    </w:p>
    <w:p w14:paraId="658EB1EF" w14:textId="77777777" w:rsidR="00000000" w:rsidRDefault="00D6065B">
      <w:pPr>
        <w:pStyle w:val="a3"/>
        <w:spacing w:before="0" w:beforeAutospacing="0" w:after="0" w:afterAutospacing="0"/>
        <w:jc w:val="both"/>
        <w:rPr>
          <w:sz w:val="20"/>
          <w:szCs w:val="20"/>
        </w:rPr>
      </w:pPr>
      <w:r>
        <w:rPr>
          <w:sz w:val="20"/>
          <w:szCs w:val="20"/>
        </w:rPr>
        <w:t>In June 2018, the FASB issued ASU No. 2018-07 “</w:t>
      </w:r>
      <w:r>
        <w:rPr>
          <w:sz w:val="20"/>
          <w:szCs w:val="20"/>
        </w:rPr>
        <w:t xml:space="preserve">Compensation - Stock Compensation (Topic 718): Improvements to Nonemployee Share-Based Payment Accounting.” These amendments expand the scope of Topic 718, Compensation - Stock Compensation (which currently only includes share-based payments to employees) </w:t>
      </w:r>
      <w:r>
        <w:rPr>
          <w:sz w:val="20"/>
          <w:szCs w:val="20"/>
        </w:rPr>
        <w:t>to include share-based payments issued to nonemployees for goods or services. Consequently, the accounting for share-based payments to nonemployees and employees will be substantially aligned. The ASU supersedes Subtopic 505-50, Equity - Equity-Based Payme</w:t>
      </w:r>
      <w:r>
        <w:rPr>
          <w:sz w:val="20"/>
          <w:szCs w:val="20"/>
        </w:rPr>
        <w:t>nts to Non-Employees. The guidance is effective for public companies for fiscal years, and interim fiscal periods within those fiscal years, beginning after December 15, 2018. Early adoption is permitted, but no earlier than a company’s adoption date of To</w:t>
      </w:r>
      <w:r>
        <w:rPr>
          <w:sz w:val="20"/>
          <w:szCs w:val="20"/>
        </w:rPr>
        <w:t>pic 606, Revenue from Contracts with Customers. The adoption of this standard did not have a material impact on its financial statements. The Company has determined that no amounts had to be revalued upon adoption of this amendment.</w:t>
      </w:r>
    </w:p>
    <w:p w14:paraId="2E4D07C6" w14:textId="77777777" w:rsidR="00000000" w:rsidRDefault="00D6065B">
      <w:pPr>
        <w:pStyle w:val="a3"/>
        <w:spacing w:before="0" w:beforeAutospacing="0" w:after="0" w:afterAutospacing="0"/>
        <w:jc w:val="both"/>
        <w:rPr>
          <w:sz w:val="20"/>
          <w:szCs w:val="20"/>
        </w:rPr>
      </w:pPr>
      <w:r>
        <w:rPr>
          <w:sz w:val="20"/>
          <w:szCs w:val="20"/>
        </w:rPr>
        <w:t> </w:t>
      </w:r>
    </w:p>
    <w:p w14:paraId="5C300AA0" w14:textId="77777777" w:rsidR="00000000" w:rsidRDefault="00D6065B">
      <w:pPr>
        <w:pStyle w:val="a3"/>
        <w:spacing w:before="0" w:beforeAutospacing="0" w:after="0" w:afterAutospacing="0"/>
        <w:jc w:val="both"/>
        <w:rPr>
          <w:sz w:val="20"/>
          <w:szCs w:val="20"/>
        </w:rPr>
      </w:pPr>
      <w:r>
        <w:rPr>
          <w:b/>
          <w:bCs/>
          <w:sz w:val="20"/>
          <w:szCs w:val="20"/>
        </w:rPr>
        <w:t>Recent Accounting Pro</w:t>
      </w:r>
      <w:r>
        <w:rPr>
          <w:b/>
          <w:bCs/>
          <w:sz w:val="20"/>
          <w:szCs w:val="20"/>
        </w:rPr>
        <w:t>nouncement</w:t>
      </w:r>
      <w:r>
        <w:rPr>
          <w:b/>
          <w:bCs/>
          <w:sz w:val="20"/>
          <w:szCs w:val="20"/>
        </w:rPr>
        <w:t>s</w:t>
      </w:r>
    </w:p>
    <w:p w14:paraId="3A1471D8" w14:textId="77777777" w:rsidR="00000000" w:rsidRDefault="00D6065B">
      <w:pPr>
        <w:pStyle w:val="a3"/>
        <w:spacing w:before="0" w:beforeAutospacing="0" w:after="0" w:afterAutospacing="0"/>
        <w:jc w:val="both"/>
        <w:rPr>
          <w:sz w:val="20"/>
          <w:szCs w:val="20"/>
        </w:rPr>
      </w:pPr>
      <w:r>
        <w:rPr>
          <w:sz w:val="20"/>
          <w:szCs w:val="20"/>
        </w:rPr>
        <w:t> </w:t>
      </w:r>
    </w:p>
    <w:p w14:paraId="3D603D84" w14:textId="77777777" w:rsidR="00000000" w:rsidRDefault="00D6065B">
      <w:pPr>
        <w:pStyle w:val="a3"/>
        <w:spacing w:before="0" w:beforeAutospacing="0" w:after="0" w:afterAutospacing="0"/>
        <w:jc w:val="both"/>
        <w:rPr>
          <w:sz w:val="20"/>
          <w:szCs w:val="20"/>
        </w:rPr>
      </w:pPr>
      <w:r>
        <w:rPr>
          <w:sz w:val="20"/>
          <w:szCs w:val="20"/>
        </w:rPr>
        <w:t>In August, the Financial Accounting Standards Board (“FASB”) issued Accounting Standards Update (“ASU”) No. 2020-06, Debt with Conversion and Other Options (Subtopic 470-20) and Derivatives and Hedging-Contracts in Entity’s Own Equity (Subtop</w:t>
      </w:r>
      <w:r>
        <w:rPr>
          <w:sz w:val="20"/>
          <w:szCs w:val="20"/>
        </w:rPr>
        <w:t>ic 815-40), Accounting for Convertible Instruments and Contract’s in an Entity’s Own Equity. The ASU simplifies accounting for convertible instruments by removing major separation models required under current GAAP. Consequently, more convertible debt inst</w:t>
      </w:r>
      <w:r>
        <w:rPr>
          <w:sz w:val="20"/>
          <w:szCs w:val="20"/>
        </w:rPr>
        <w:t>ruments will be reported as a single liability instrument with no separate accounting for embedded conversion features. The ASU removes certain settlement conditions that are required for equity contracts to qualify for the derivative scope exception, whic</w:t>
      </w:r>
      <w:r>
        <w:rPr>
          <w:sz w:val="20"/>
          <w:szCs w:val="20"/>
        </w:rPr>
        <w:t xml:space="preserve">h will permit more equity contracts to qualify for it. The ASU simplifies the diluted net income per share calculation in certain areas. The ASU is effective for annual and interim periods beginning after December 31, 2021, and early adoption is permitted </w:t>
      </w:r>
      <w:r>
        <w:rPr>
          <w:sz w:val="20"/>
          <w:szCs w:val="20"/>
        </w:rPr>
        <w:t>for fiscal years beginning after December 15, 2020, and interim periods within those fiscal years. The Company is currently evaluating the impact that this new guidance will have on its financial statements.</w:t>
      </w:r>
    </w:p>
    <w:p w14:paraId="3024C6D2" w14:textId="77777777" w:rsidR="00000000" w:rsidRDefault="00D6065B">
      <w:pPr>
        <w:pStyle w:val="a3"/>
        <w:spacing w:before="0" w:beforeAutospacing="0" w:after="0" w:afterAutospacing="0"/>
        <w:jc w:val="both"/>
        <w:rPr>
          <w:sz w:val="20"/>
          <w:szCs w:val="20"/>
        </w:rPr>
      </w:pPr>
      <w:r>
        <w:rPr>
          <w:sz w:val="20"/>
          <w:szCs w:val="20"/>
        </w:rPr>
        <w:t> </w:t>
      </w:r>
    </w:p>
    <w:p w14:paraId="0DEC4647" w14:textId="77777777" w:rsidR="00000000" w:rsidRDefault="00D6065B">
      <w:pPr>
        <w:pStyle w:val="a3"/>
        <w:spacing w:before="0" w:beforeAutospacing="0" w:after="0" w:afterAutospacing="0"/>
        <w:jc w:val="both"/>
        <w:rPr>
          <w:sz w:val="20"/>
          <w:szCs w:val="20"/>
        </w:rPr>
      </w:pPr>
      <w:r>
        <w:rPr>
          <w:sz w:val="20"/>
          <w:szCs w:val="20"/>
        </w:rPr>
        <w:t>The Company does not discuss recent pronouncem</w:t>
      </w:r>
      <w:r>
        <w:rPr>
          <w:sz w:val="20"/>
          <w:szCs w:val="20"/>
        </w:rPr>
        <w:t>ents that are not anticipated to have an impact on or are unrelated to its financial condition, results of operations, cash flows or disclosures.</w:t>
      </w:r>
    </w:p>
    <w:p w14:paraId="3C50B90E" w14:textId="77777777" w:rsidR="00000000" w:rsidRDefault="00D6065B">
      <w:pPr>
        <w:pStyle w:val="a3"/>
        <w:spacing w:before="0" w:beforeAutospacing="0" w:after="0" w:afterAutospacing="0"/>
        <w:jc w:val="both"/>
        <w:rPr>
          <w:sz w:val="20"/>
          <w:szCs w:val="20"/>
        </w:rPr>
      </w:pPr>
      <w:r>
        <w:rPr>
          <w:sz w:val="20"/>
          <w:szCs w:val="20"/>
        </w:rPr>
        <w:t> </w:t>
      </w:r>
    </w:p>
    <w:p w14:paraId="7FD82ED1" w14:textId="77777777" w:rsidR="00000000" w:rsidRDefault="00D6065B">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14:paraId="2388F4E0" w14:textId="77777777" w:rsidR="00000000" w:rsidRDefault="00D6065B">
      <w:pPr>
        <w:pStyle w:val="a3"/>
        <w:spacing w:before="0" w:beforeAutospacing="0" w:after="0" w:afterAutospacing="0"/>
        <w:ind w:firstLine="720"/>
        <w:jc w:val="both"/>
        <w:rPr>
          <w:sz w:val="20"/>
          <w:szCs w:val="20"/>
        </w:rPr>
      </w:pPr>
      <w:r>
        <w:rPr>
          <w:sz w:val="20"/>
          <w:szCs w:val="20"/>
        </w:rPr>
        <w:t> </w:t>
      </w:r>
    </w:p>
    <w:p w14:paraId="5826ED0C" w14:textId="77777777" w:rsidR="00000000" w:rsidRDefault="00D6065B">
      <w:pPr>
        <w:pStyle w:val="a3"/>
        <w:spacing w:before="0" w:beforeAutospacing="0" w:after="0" w:afterAutospacing="0"/>
        <w:jc w:val="both"/>
        <w:rPr>
          <w:sz w:val="20"/>
          <w:szCs w:val="20"/>
        </w:rPr>
      </w:pPr>
      <w:r>
        <w:rPr>
          <w:b/>
          <w:bCs/>
          <w:sz w:val="20"/>
          <w:szCs w:val="20"/>
        </w:rPr>
        <w:t>Related Party Convertible Notes Payable</w:t>
      </w:r>
    </w:p>
    <w:p w14:paraId="6860BD9F" w14:textId="77777777" w:rsidR="00000000" w:rsidRDefault="00D6065B">
      <w:pPr>
        <w:pStyle w:val="a3"/>
        <w:spacing w:before="0" w:beforeAutospacing="0" w:after="0" w:afterAutospacing="0"/>
        <w:ind w:firstLine="720"/>
        <w:jc w:val="both"/>
        <w:rPr>
          <w:sz w:val="20"/>
          <w:szCs w:val="20"/>
        </w:rPr>
      </w:pPr>
      <w:r>
        <w:rPr>
          <w:sz w:val="20"/>
          <w:szCs w:val="20"/>
        </w:rPr>
        <w:t> </w:t>
      </w:r>
    </w:p>
    <w:p w14:paraId="62577BEA" w14:textId="77777777" w:rsidR="00000000" w:rsidRDefault="00D6065B">
      <w:pPr>
        <w:pStyle w:val="a3"/>
        <w:spacing w:before="0" w:beforeAutospacing="0" w:after="0" w:afterAutospacing="0"/>
        <w:jc w:val="both"/>
        <w:rPr>
          <w:sz w:val="20"/>
          <w:szCs w:val="20"/>
        </w:rPr>
      </w:pPr>
      <w:r>
        <w:rPr>
          <w:sz w:val="20"/>
          <w:szCs w:val="20"/>
        </w:rPr>
        <w:t>The Company from time to time</w:t>
      </w:r>
      <w:r>
        <w:rPr>
          <w:sz w:val="20"/>
          <w:szCs w:val="20"/>
        </w:rPr>
        <w:t xml:space="preserve"> receives non-interest bearing advancers from its Chief Executive Officer that are due on demand. During the year ended December 31, 2019, the Company received </w:t>
      </w:r>
      <w:r>
        <w:rPr>
          <w:sz w:val="20"/>
          <w:szCs w:val="20"/>
        </w:rPr>
        <w:t>$</w:t>
      </w:r>
      <w:r>
        <w:rPr>
          <w:sz w:val="20"/>
          <w:szCs w:val="20"/>
        </w:rPr>
        <w:t>20,00</w:t>
      </w:r>
      <w:r>
        <w:rPr>
          <w:sz w:val="20"/>
          <w:szCs w:val="20"/>
        </w:rPr>
        <w:t>0</w:t>
      </w:r>
      <w:r>
        <w:rPr>
          <w:sz w:val="20"/>
          <w:szCs w:val="20"/>
        </w:rPr>
        <w:t xml:space="preserve"> in advances and repaid </w:t>
      </w:r>
      <w:r>
        <w:rPr>
          <w:sz w:val="20"/>
          <w:szCs w:val="20"/>
        </w:rPr>
        <w:t>$</w:t>
      </w:r>
      <w:r>
        <w:rPr>
          <w:sz w:val="20"/>
          <w:szCs w:val="20"/>
        </w:rPr>
        <w:t>5,00</w:t>
      </w:r>
      <w:r>
        <w:rPr>
          <w:sz w:val="20"/>
          <w:szCs w:val="20"/>
        </w:rPr>
        <w:t>0</w:t>
      </w:r>
      <w:r>
        <w:rPr>
          <w:sz w:val="20"/>
          <w:szCs w:val="20"/>
        </w:rPr>
        <w:t xml:space="preserve"> of these and had </w:t>
      </w:r>
      <w:r>
        <w:rPr>
          <w:sz w:val="20"/>
          <w:szCs w:val="20"/>
        </w:rPr>
        <w:t>$</w:t>
      </w:r>
      <w:r>
        <w:rPr>
          <w:sz w:val="20"/>
          <w:szCs w:val="20"/>
        </w:rPr>
        <w:t>15,00</w:t>
      </w:r>
      <w:r>
        <w:rPr>
          <w:sz w:val="20"/>
          <w:szCs w:val="20"/>
        </w:rPr>
        <w:t>0</w:t>
      </w:r>
      <w:r>
        <w:rPr>
          <w:sz w:val="20"/>
          <w:szCs w:val="20"/>
        </w:rPr>
        <w:t xml:space="preserve"> outstanding at September 24, 2019</w:t>
      </w:r>
      <w:r>
        <w:rPr>
          <w:sz w:val="20"/>
          <w:szCs w:val="20"/>
        </w:rPr>
        <w:t>. On September 24, 2019, these advances were converted into a convertible note at</w:t>
      </w:r>
      <w:r>
        <w:rPr>
          <w:sz w:val="20"/>
          <w:szCs w:val="20"/>
        </w:rPr>
        <w:t xml:space="preserve"> </w:t>
      </w:r>
      <w:r>
        <w:rPr>
          <w:sz w:val="20"/>
          <w:szCs w:val="20"/>
        </w:rPr>
        <w:t>8</w:t>
      </w:r>
      <w:r>
        <w:rPr>
          <w:sz w:val="20"/>
          <w:szCs w:val="20"/>
        </w:rPr>
        <w:t>% interest which matures</w:t>
      </w:r>
      <w:r>
        <w:rPr>
          <w:sz w:val="20"/>
          <w:szCs w:val="20"/>
        </w:rPr>
        <w:t xml:space="preserve"> </w:t>
      </w:r>
      <w:r>
        <w:rPr>
          <w:sz w:val="20"/>
          <w:szCs w:val="20"/>
        </w:rPr>
        <w:t>January 15, 202</w:t>
      </w:r>
      <w:r>
        <w:rPr>
          <w:sz w:val="20"/>
          <w:szCs w:val="20"/>
        </w:rPr>
        <w:t>0</w:t>
      </w:r>
      <w:r>
        <w:rPr>
          <w:sz w:val="20"/>
          <w:szCs w:val="20"/>
        </w:rPr>
        <w:t xml:space="preserve">. Interest on this note for the period ended December 31, 2019 amounted to </w:t>
      </w:r>
      <w:r>
        <w:rPr>
          <w:sz w:val="20"/>
          <w:szCs w:val="20"/>
        </w:rPr>
        <w:t>$</w:t>
      </w:r>
      <w:r>
        <w:rPr>
          <w:sz w:val="20"/>
          <w:szCs w:val="20"/>
        </w:rPr>
        <w:t>32</w:t>
      </w:r>
      <w:r>
        <w:rPr>
          <w:sz w:val="20"/>
          <w:szCs w:val="20"/>
        </w:rPr>
        <w:t>1</w:t>
      </w:r>
      <w:r>
        <w:rPr>
          <w:sz w:val="20"/>
          <w:szCs w:val="20"/>
        </w:rPr>
        <w:t>, and this amount is accrued at December 31, 2019. Th</w:t>
      </w:r>
      <w:r>
        <w:rPr>
          <w:sz w:val="20"/>
          <w:szCs w:val="20"/>
        </w:rPr>
        <w:t>e Chief Executive Officer received</w:t>
      </w:r>
      <w:r>
        <w:rPr>
          <w:sz w:val="20"/>
          <w:szCs w:val="20"/>
        </w:rPr>
        <w:t xml:space="preserve"> </w:t>
      </w:r>
      <w:r>
        <w:rPr>
          <w:sz w:val="20"/>
          <w:szCs w:val="20"/>
        </w:rPr>
        <w:t>150,00</w:t>
      </w:r>
      <w:r>
        <w:rPr>
          <w:sz w:val="20"/>
          <w:szCs w:val="20"/>
        </w:rPr>
        <w:t>0</w:t>
      </w:r>
      <w:r>
        <w:rPr>
          <w:sz w:val="20"/>
          <w:szCs w:val="20"/>
        </w:rPr>
        <w:t xml:space="preserve"> warrants when the advances were converted into this convertible note payable.</w:t>
      </w:r>
      <w:r>
        <w:rPr>
          <w:sz w:val="20"/>
          <w:szCs w:val="20"/>
        </w:rPr>
        <w:t xml:space="preserve"> </w:t>
      </w:r>
      <w:r>
        <w:rPr>
          <w:sz w:val="20"/>
          <w:szCs w:val="20"/>
        </w:rPr>
        <w:t xml:space="preserve">The Company recognized a discount on the convertible note of </w:t>
      </w:r>
      <w:r>
        <w:rPr>
          <w:sz w:val="20"/>
          <w:szCs w:val="20"/>
        </w:rPr>
        <w:t>$</w:t>
      </w:r>
      <w:r>
        <w:rPr>
          <w:sz w:val="20"/>
          <w:szCs w:val="20"/>
        </w:rPr>
        <w:t>3,72</w:t>
      </w:r>
      <w:r>
        <w:rPr>
          <w:sz w:val="20"/>
          <w:szCs w:val="20"/>
        </w:rPr>
        <w:t>1</w:t>
      </w:r>
      <w:r>
        <w:rPr>
          <w:sz w:val="20"/>
          <w:szCs w:val="20"/>
        </w:rPr>
        <w:t xml:space="preserve"> as a result of the warrants which are being amortized over the life</w:t>
      </w:r>
      <w:r>
        <w:rPr>
          <w:sz w:val="20"/>
          <w:szCs w:val="20"/>
        </w:rPr>
        <w:t xml:space="preserve"> of the note through January 15, 2020</w:t>
      </w:r>
      <w:r>
        <w:rPr>
          <w:sz w:val="20"/>
          <w:szCs w:val="20"/>
        </w:rPr>
        <w:t>.</w:t>
      </w:r>
      <w:r>
        <w:rPr>
          <w:sz w:val="20"/>
          <w:szCs w:val="20"/>
        </w:rPr>
        <w:t xml:space="preserve"> The Company was in default of this note. As a result of the default, the interest rate charged was changed to</w:t>
      </w:r>
      <w:r>
        <w:rPr>
          <w:sz w:val="20"/>
          <w:szCs w:val="20"/>
        </w:rPr>
        <w:t xml:space="preserve"> </w:t>
      </w:r>
      <w:r>
        <w:rPr>
          <w:sz w:val="20"/>
          <w:szCs w:val="20"/>
        </w:rPr>
        <w:t>12.</w:t>
      </w:r>
      <w:r>
        <w:rPr>
          <w:sz w:val="20"/>
          <w:szCs w:val="20"/>
        </w:rPr>
        <w:t>5</w:t>
      </w:r>
      <w:r>
        <w:rPr>
          <w:sz w:val="20"/>
          <w:szCs w:val="20"/>
        </w:rPr>
        <w:t>% through conversion of this note in April 2020.</w:t>
      </w:r>
    </w:p>
    <w:p w14:paraId="5139A336" w14:textId="77777777" w:rsidR="00000000" w:rsidRDefault="00D6065B">
      <w:pPr>
        <w:pStyle w:val="a3"/>
        <w:spacing w:before="0" w:beforeAutospacing="0" w:after="0" w:afterAutospacing="0"/>
        <w:jc w:val="both"/>
        <w:rPr>
          <w:sz w:val="20"/>
          <w:szCs w:val="20"/>
        </w:rPr>
      </w:pPr>
      <w:r>
        <w:rPr>
          <w:sz w:val="20"/>
          <w:szCs w:val="20"/>
        </w:rPr>
        <w:t> </w:t>
      </w:r>
    </w:p>
    <w:p w14:paraId="2B373B57" w14:textId="77777777" w:rsidR="00000000" w:rsidRDefault="00D6065B">
      <w:pPr>
        <w:pStyle w:val="a3"/>
        <w:spacing w:before="0" w:beforeAutospacing="0" w:after="0" w:afterAutospacing="0"/>
        <w:jc w:val="both"/>
        <w:rPr>
          <w:sz w:val="20"/>
          <w:szCs w:val="20"/>
        </w:rPr>
      </w:pPr>
      <w:r>
        <w:rPr>
          <w:sz w:val="20"/>
          <w:szCs w:val="20"/>
        </w:rPr>
        <w:t>Interest expense for the six months ended June 30, 2</w:t>
      </w:r>
      <w:r>
        <w:rPr>
          <w:sz w:val="20"/>
          <w:szCs w:val="20"/>
        </w:rPr>
        <w:t xml:space="preserve">021 and 2020 on the related party convertible notes payable amounted to </w:t>
      </w:r>
      <w:r>
        <w:rPr>
          <w:sz w:val="20"/>
          <w:szCs w:val="20"/>
        </w:rPr>
        <w:t>$</w:t>
      </w:r>
      <w:r>
        <w:rPr>
          <w:sz w:val="20"/>
          <w:szCs w:val="20"/>
        </w:rPr>
        <w:t>0</w:t>
      </w:r>
      <w:r>
        <w:rPr>
          <w:sz w:val="20"/>
          <w:szCs w:val="20"/>
        </w:rPr>
        <w:t xml:space="preserve"> and </w:t>
      </w:r>
      <w:r>
        <w:rPr>
          <w:sz w:val="20"/>
          <w:szCs w:val="20"/>
        </w:rPr>
        <w:t>$</w:t>
      </w:r>
      <w:r>
        <w:rPr>
          <w:sz w:val="20"/>
          <w:szCs w:val="20"/>
        </w:rPr>
        <w:t>29</w:t>
      </w:r>
      <w:r>
        <w:rPr>
          <w:sz w:val="20"/>
          <w:szCs w:val="20"/>
        </w:rPr>
        <w:t>8</w:t>
      </w:r>
      <w:r>
        <w:rPr>
          <w:sz w:val="20"/>
          <w:szCs w:val="20"/>
        </w:rPr>
        <w:t>, respectively.</w:t>
      </w:r>
    </w:p>
    <w:p w14:paraId="00EC4197"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6A60FB" w14:textId="77777777">
        <w:trPr>
          <w:divId w:val="19859967"/>
        </w:trPr>
        <w:tc>
          <w:tcPr>
            <w:tcW w:w="5000" w:type="pct"/>
            <w:hideMark/>
          </w:tcPr>
          <w:p w14:paraId="029CEE30"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5C0B56ED" w14:textId="77777777">
        <w:tc>
          <w:tcPr>
            <w:tcW w:w="5000" w:type="pct"/>
            <w:hideMark/>
          </w:tcPr>
          <w:p w14:paraId="611775B4" w14:textId="77777777" w:rsidR="00000000" w:rsidRDefault="00D6065B">
            <w:pPr>
              <w:jc w:val="center"/>
              <w:rPr>
                <w:rFonts w:eastAsia="Times New Roman"/>
                <w:sz w:val="20"/>
                <w:szCs w:val="20"/>
              </w:rPr>
            </w:pPr>
            <w:r>
              <w:rPr>
                <w:rFonts w:eastAsia="Times New Roman"/>
                <w:sz w:val="20"/>
                <w:szCs w:val="20"/>
              </w:rPr>
              <w:t> </w:t>
            </w:r>
          </w:p>
        </w:tc>
      </w:tr>
    </w:tbl>
    <w:p w14:paraId="3A12A873" w14:textId="77777777" w:rsidR="00000000" w:rsidRDefault="00D6065B">
      <w:pPr>
        <w:pStyle w:val="a3"/>
        <w:spacing w:before="0" w:beforeAutospacing="0" w:after="0" w:afterAutospacing="0"/>
        <w:rPr>
          <w:sz w:val="20"/>
          <w:szCs w:val="20"/>
        </w:rPr>
      </w:pPr>
      <w:r>
        <w:rPr>
          <w:sz w:val="20"/>
          <w:szCs w:val="20"/>
        </w:rPr>
        <w:t> </w:t>
      </w:r>
    </w:p>
    <w:p w14:paraId="78D52242" w14:textId="77777777" w:rsidR="00000000" w:rsidRDefault="00D6065B">
      <w:pPr>
        <w:pStyle w:val="a3"/>
        <w:spacing w:before="0" w:beforeAutospacing="0" w:after="0" w:afterAutospacing="0"/>
        <w:jc w:val="both"/>
        <w:rPr>
          <w:sz w:val="20"/>
          <w:szCs w:val="20"/>
        </w:rPr>
      </w:pPr>
      <w:r>
        <w:rPr>
          <w:b/>
          <w:bCs/>
          <w:sz w:val="20"/>
          <w:szCs w:val="20"/>
        </w:rPr>
        <w:t>Related Party Notes Payable</w:t>
      </w:r>
    </w:p>
    <w:p w14:paraId="2390400E" w14:textId="77777777" w:rsidR="00000000" w:rsidRDefault="00D6065B">
      <w:pPr>
        <w:pStyle w:val="a3"/>
        <w:spacing w:before="0" w:beforeAutospacing="0" w:after="0" w:afterAutospacing="0"/>
        <w:jc w:val="both"/>
        <w:rPr>
          <w:sz w:val="20"/>
          <w:szCs w:val="20"/>
        </w:rPr>
      </w:pPr>
      <w:r>
        <w:rPr>
          <w:sz w:val="20"/>
          <w:szCs w:val="20"/>
        </w:rPr>
        <w:t> </w:t>
      </w:r>
    </w:p>
    <w:p w14:paraId="6FF61926" w14:textId="77777777" w:rsidR="00000000" w:rsidRDefault="00D6065B">
      <w:pPr>
        <w:pStyle w:val="a3"/>
        <w:spacing w:before="0" w:beforeAutospacing="0" w:after="0" w:afterAutospacing="0"/>
        <w:jc w:val="both"/>
        <w:rPr>
          <w:sz w:val="20"/>
          <w:szCs w:val="20"/>
        </w:rPr>
      </w:pPr>
      <w:r>
        <w:rPr>
          <w:sz w:val="20"/>
          <w:szCs w:val="20"/>
        </w:rPr>
        <w:t xml:space="preserve">As </w:t>
      </w:r>
      <w:r>
        <w:rPr>
          <w:sz w:val="20"/>
          <w:szCs w:val="20"/>
        </w:rPr>
        <w:t>of June 30, 2021 and December 31, 2020, the Company had the following related party notes outstanding:</w:t>
      </w:r>
    </w:p>
    <w:p w14:paraId="4F2FAC42" w14:textId="77777777" w:rsidR="00000000" w:rsidRDefault="00D6065B">
      <w:pPr>
        <w:pStyle w:val="a3"/>
        <w:spacing w:before="0" w:beforeAutospacing="0" w:after="0" w:afterAutospacing="0"/>
        <w:rPr>
          <w:sz w:val="20"/>
          <w:szCs w:val="20"/>
        </w:rPr>
      </w:pPr>
      <w:r>
        <w:rPr>
          <w:sz w:val="20"/>
          <w:szCs w:val="20"/>
        </w:rPr>
        <w:t> </w:t>
      </w:r>
      <w:r>
        <w:rPr>
          <w:vanish/>
          <w:sz w:val="20"/>
          <w:szCs w:val="20"/>
        </w:rPr>
        <w:t>SCHEDULE OF RELATED PARTY TRANSACTIO</w:t>
      </w:r>
      <w:r>
        <w:rPr>
          <w:vanish/>
          <w:sz w:val="20"/>
          <w:szCs w:val="20"/>
        </w:rPr>
        <w:t>N</w:t>
      </w:r>
    </w:p>
    <w:tbl>
      <w:tblPr>
        <w:tblW w:w="4000" w:type="pct"/>
        <w:tblCellMar>
          <w:left w:w="0" w:type="dxa"/>
          <w:right w:w="0" w:type="dxa"/>
        </w:tblCellMar>
        <w:tblLook w:val="04A0" w:firstRow="1" w:lastRow="0" w:firstColumn="1" w:lastColumn="0" w:noHBand="0" w:noVBand="1"/>
      </w:tblPr>
      <w:tblGrid>
        <w:gridCol w:w="3711"/>
        <w:gridCol w:w="123"/>
        <w:gridCol w:w="100"/>
        <w:gridCol w:w="1186"/>
        <w:gridCol w:w="56"/>
        <w:gridCol w:w="124"/>
        <w:gridCol w:w="101"/>
        <w:gridCol w:w="1187"/>
        <w:gridCol w:w="57"/>
      </w:tblGrid>
      <w:tr w:rsidR="00000000" w14:paraId="26120685" w14:textId="77777777">
        <w:tc>
          <w:tcPr>
            <w:tcW w:w="0" w:type="auto"/>
            <w:vAlign w:val="bottom"/>
            <w:hideMark/>
          </w:tcPr>
          <w:p w14:paraId="72F037B7"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4965C39"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75CAA30" w14:textId="77777777" w:rsidR="00000000" w:rsidRDefault="00D6065B">
            <w:pPr>
              <w:jc w:val="center"/>
              <w:rPr>
                <w:rFonts w:eastAsia="Times New Roman"/>
                <w:sz w:val="20"/>
                <w:szCs w:val="20"/>
              </w:rPr>
            </w:pPr>
            <w:r>
              <w:rPr>
                <w:rFonts w:eastAsia="Times New Roman"/>
                <w:sz w:val="20"/>
                <w:szCs w:val="20"/>
              </w:rPr>
              <w:t>June 30, 2021</w:t>
            </w:r>
          </w:p>
        </w:tc>
        <w:tc>
          <w:tcPr>
            <w:tcW w:w="0" w:type="auto"/>
            <w:vAlign w:val="bottom"/>
            <w:hideMark/>
          </w:tcPr>
          <w:p w14:paraId="58F99EBF"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7B4BDEC6"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8AE4685" w14:textId="77777777" w:rsidR="00000000" w:rsidRDefault="00D6065B">
            <w:pPr>
              <w:jc w:val="center"/>
              <w:rPr>
                <w:rFonts w:eastAsia="Times New Roman"/>
                <w:sz w:val="20"/>
                <w:szCs w:val="20"/>
              </w:rPr>
            </w:pPr>
            <w:r>
              <w:rPr>
                <w:rFonts w:eastAsia="Times New Roman"/>
                <w:sz w:val="20"/>
                <w:szCs w:val="20"/>
              </w:rPr>
              <w:t>December 31, 2020</w:t>
            </w:r>
          </w:p>
        </w:tc>
        <w:tc>
          <w:tcPr>
            <w:tcW w:w="0" w:type="auto"/>
            <w:vAlign w:val="bottom"/>
            <w:hideMark/>
          </w:tcPr>
          <w:p w14:paraId="40D42812" w14:textId="77777777" w:rsidR="00000000" w:rsidRDefault="00D6065B">
            <w:pPr>
              <w:rPr>
                <w:rFonts w:eastAsia="Times New Roman"/>
                <w:sz w:val="20"/>
                <w:szCs w:val="20"/>
              </w:rPr>
            </w:pPr>
            <w:r>
              <w:rPr>
                <w:rFonts w:eastAsia="Times New Roman"/>
                <w:sz w:val="20"/>
                <w:szCs w:val="20"/>
              </w:rPr>
              <w:t> </w:t>
            </w:r>
          </w:p>
        </w:tc>
      </w:tr>
      <w:tr w:rsidR="00000000" w14:paraId="3AF727A4" w14:textId="77777777">
        <w:tc>
          <w:tcPr>
            <w:tcW w:w="2800" w:type="pct"/>
            <w:shd w:val="clear" w:color="auto" w:fill="CCEEFF"/>
            <w:vAlign w:val="bottom"/>
            <w:hideMark/>
          </w:tcPr>
          <w:p w14:paraId="1C90D6D7" w14:textId="77777777" w:rsidR="00000000" w:rsidRDefault="00D6065B">
            <w:pPr>
              <w:rPr>
                <w:rFonts w:eastAsia="Times New Roman"/>
                <w:sz w:val="20"/>
                <w:szCs w:val="20"/>
              </w:rPr>
            </w:pPr>
            <w:r>
              <w:rPr>
                <w:rFonts w:eastAsia="Times New Roman"/>
                <w:sz w:val="20"/>
                <w:szCs w:val="20"/>
              </w:rPr>
              <w:t xml:space="preserve">January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60,00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January 202</w:t>
            </w:r>
            <w:r>
              <w:rPr>
                <w:rStyle w:val="xdxphntrglzy2xvc3vyzsatifndsevevuxfie9gifjftefuruqguefsvfkgvfjbtlnbq1rjt04gkerldgfpbhmpichqyxjlbnrozxrpy2fskqa"/>
                <w:rFonts w:eastAsia="Times New Roman"/>
                <w:sz w:val="20"/>
                <w:szCs w:val="20"/>
              </w:rPr>
              <w:t>0</w:t>
            </w:r>
          </w:p>
        </w:tc>
        <w:tc>
          <w:tcPr>
            <w:tcW w:w="100" w:type="pct"/>
            <w:shd w:val="clear" w:color="auto" w:fill="CCEEFF"/>
            <w:vAlign w:val="bottom"/>
            <w:hideMark/>
          </w:tcPr>
          <w:p w14:paraId="7B8EA442"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4073FC" w14:textId="77777777" w:rsidR="00000000" w:rsidRDefault="00D6065B">
            <w:pPr>
              <w:rPr>
                <w:rFonts w:eastAsia="Times New Roman"/>
                <w:sz w:val="20"/>
                <w:szCs w:val="20"/>
              </w:rPr>
            </w:pPr>
            <w:r>
              <w:rPr>
                <w:rFonts w:eastAsia="Times New Roman"/>
                <w:sz w:val="20"/>
                <w:szCs w:val="20"/>
              </w:rPr>
              <w:t>$</w:t>
            </w:r>
          </w:p>
        </w:tc>
        <w:tc>
          <w:tcPr>
            <w:tcW w:w="900" w:type="pct"/>
            <w:shd w:val="clear" w:color="auto" w:fill="CCEEFF"/>
            <w:vAlign w:val="bottom"/>
            <w:hideMark/>
          </w:tcPr>
          <w:p w14:paraId="05AE55B4" w14:textId="77777777" w:rsidR="00000000" w:rsidRDefault="00D6065B">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14:paraId="0C1A94FD"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2D26308"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2E21CC" w14:textId="77777777" w:rsidR="00000000" w:rsidRDefault="00D6065B">
            <w:pPr>
              <w:rPr>
                <w:rFonts w:eastAsia="Times New Roman"/>
                <w:sz w:val="20"/>
                <w:szCs w:val="20"/>
              </w:rPr>
            </w:pPr>
            <w:r>
              <w:rPr>
                <w:rFonts w:eastAsia="Times New Roman"/>
                <w:sz w:val="20"/>
                <w:szCs w:val="20"/>
              </w:rPr>
              <w:t>$</w:t>
            </w:r>
          </w:p>
        </w:tc>
        <w:tc>
          <w:tcPr>
            <w:tcW w:w="900" w:type="pct"/>
            <w:shd w:val="clear" w:color="auto" w:fill="CCEEFF"/>
            <w:vAlign w:val="bottom"/>
            <w:hideMark/>
          </w:tcPr>
          <w:p w14:paraId="60D33432" w14:textId="77777777" w:rsidR="00000000" w:rsidRDefault="00D6065B">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14:paraId="21865EFF" w14:textId="77777777" w:rsidR="00000000" w:rsidRDefault="00D6065B">
            <w:pPr>
              <w:rPr>
                <w:rFonts w:eastAsia="Times New Roman"/>
                <w:sz w:val="20"/>
                <w:szCs w:val="20"/>
              </w:rPr>
            </w:pPr>
            <w:r>
              <w:rPr>
                <w:rFonts w:eastAsia="Times New Roman"/>
                <w:sz w:val="20"/>
                <w:szCs w:val="20"/>
              </w:rPr>
              <w:t> </w:t>
            </w:r>
          </w:p>
        </w:tc>
      </w:tr>
      <w:tr w:rsidR="00000000" w14:paraId="2FE8962B" w14:textId="77777777">
        <w:tc>
          <w:tcPr>
            <w:tcW w:w="0" w:type="auto"/>
            <w:shd w:val="clear" w:color="auto" w:fill="FFFFFF"/>
            <w:vAlign w:val="bottom"/>
            <w:hideMark/>
          </w:tcPr>
          <w:p w14:paraId="36B89199" w14:textId="77777777" w:rsidR="00000000" w:rsidRDefault="00D6065B">
            <w:pPr>
              <w:rPr>
                <w:rFonts w:eastAsia="Times New Roman"/>
                <w:sz w:val="20"/>
                <w:szCs w:val="20"/>
              </w:rPr>
            </w:pPr>
            <w:r>
              <w:rPr>
                <w:rFonts w:eastAsia="Times New Roman"/>
                <w:sz w:val="20"/>
                <w:szCs w:val="20"/>
              </w:rPr>
              <w:t xml:space="preserve">March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48,00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March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14:paraId="61B67E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893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EC4B3E" w14:textId="77777777" w:rsidR="00000000" w:rsidRDefault="00D6065B">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14:paraId="020F3C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FDB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78CA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0B522E" w14:textId="77777777" w:rsidR="00000000" w:rsidRDefault="00D6065B">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14:paraId="655CB069" w14:textId="77777777" w:rsidR="00000000" w:rsidRDefault="00D6065B">
            <w:pPr>
              <w:rPr>
                <w:rFonts w:eastAsia="Times New Roman"/>
                <w:sz w:val="20"/>
                <w:szCs w:val="20"/>
              </w:rPr>
            </w:pPr>
            <w:r>
              <w:rPr>
                <w:rFonts w:eastAsia="Times New Roman"/>
                <w:sz w:val="20"/>
                <w:szCs w:val="20"/>
              </w:rPr>
              <w:t> </w:t>
            </w:r>
          </w:p>
        </w:tc>
      </w:tr>
      <w:tr w:rsidR="00000000" w14:paraId="4789CF6E" w14:textId="77777777">
        <w:tc>
          <w:tcPr>
            <w:tcW w:w="0" w:type="auto"/>
            <w:shd w:val="clear" w:color="auto" w:fill="CCEEFF"/>
            <w:vAlign w:val="bottom"/>
            <w:hideMark/>
          </w:tcPr>
          <w:p w14:paraId="08D5CA4A" w14:textId="77777777" w:rsidR="00000000" w:rsidRDefault="00D6065B">
            <w:pPr>
              <w:rPr>
                <w:rFonts w:eastAsia="Times New Roman"/>
                <w:sz w:val="20"/>
                <w:szCs w:val="20"/>
              </w:rPr>
            </w:pPr>
            <w:r>
              <w:rPr>
                <w:rFonts w:eastAsia="Times New Roman"/>
                <w:sz w:val="20"/>
                <w:szCs w:val="20"/>
              </w:rPr>
              <w:t xml:space="preserve">April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29,00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April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vAlign w:val="bottom"/>
            <w:hideMark/>
          </w:tcPr>
          <w:p w14:paraId="0CBE241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7C655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7CD23" w14:textId="77777777" w:rsidR="00000000" w:rsidRDefault="00D6065B">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14:paraId="1D95832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5DF1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C405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9DDC71" w14:textId="77777777" w:rsidR="00000000" w:rsidRDefault="00D6065B">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14:paraId="451EBEC8" w14:textId="77777777" w:rsidR="00000000" w:rsidRDefault="00D6065B">
            <w:pPr>
              <w:rPr>
                <w:rFonts w:eastAsia="Times New Roman"/>
                <w:sz w:val="20"/>
                <w:szCs w:val="20"/>
              </w:rPr>
            </w:pPr>
            <w:r>
              <w:rPr>
                <w:rFonts w:eastAsia="Times New Roman"/>
                <w:sz w:val="20"/>
                <w:szCs w:val="20"/>
              </w:rPr>
              <w:t> </w:t>
            </w:r>
          </w:p>
        </w:tc>
      </w:tr>
      <w:tr w:rsidR="00000000" w14:paraId="59D0922F" w14:textId="77777777">
        <w:tc>
          <w:tcPr>
            <w:tcW w:w="0" w:type="auto"/>
            <w:shd w:val="clear" w:color="auto" w:fill="FFFFFF"/>
            <w:vAlign w:val="bottom"/>
            <w:hideMark/>
          </w:tcPr>
          <w:p w14:paraId="0CE78176" w14:textId="77777777" w:rsidR="00000000" w:rsidRDefault="00D6065B">
            <w:pPr>
              <w:rPr>
                <w:rFonts w:eastAsia="Times New Roman"/>
                <w:sz w:val="20"/>
                <w:szCs w:val="20"/>
              </w:rPr>
            </w:pPr>
            <w:r>
              <w:rPr>
                <w:rFonts w:eastAsia="Times New Roman"/>
                <w:sz w:val="20"/>
                <w:szCs w:val="20"/>
              </w:rPr>
              <w:t xml:space="preserve">July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July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14:paraId="285E3E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CC5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35BBC"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7FF306E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C89F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5652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576C2"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75C9CD29" w14:textId="77777777" w:rsidR="00000000" w:rsidRDefault="00D6065B">
            <w:pPr>
              <w:rPr>
                <w:rFonts w:eastAsia="Times New Roman"/>
                <w:sz w:val="20"/>
                <w:szCs w:val="20"/>
              </w:rPr>
            </w:pPr>
            <w:r>
              <w:rPr>
                <w:rFonts w:eastAsia="Times New Roman"/>
                <w:sz w:val="20"/>
                <w:szCs w:val="20"/>
              </w:rPr>
              <w:t> </w:t>
            </w:r>
          </w:p>
        </w:tc>
      </w:tr>
      <w:tr w:rsidR="00000000" w14:paraId="219BFC4F" w14:textId="77777777">
        <w:tc>
          <w:tcPr>
            <w:tcW w:w="0" w:type="auto"/>
            <w:shd w:val="clear" w:color="auto" w:fill="CCEEFF"/>
            <w:vAlign w:val="bottom"/>
            <w:hideMark/>
          </w:tcPr>
          <w:p w14:paraId="3184EB51" w14:textId="77777777" w:rsidR="00000000" w:rsidRDefault="00D6065B">
            <w:pPr>
              <w:rPr>
                <w:rFonts w:eastAsia="Times New Roman"/>
                <w:sz w:val="20"/>
                <w:szCs w:val="20"/>
              </w:rPr>
            </w:pPr>
            <w:r>
              <w:rPr>
                <w:rFonts w:eastAsia="Times New Roman"/>
                <w:sz w:val="20"/>
                <w:szCs w:val="20"/>
              </w:rPr>
              <w:t xml:space="preserve">November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November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vAlign w:val="bottom"/>
            <w:hideMark/>
          </w:tcPr>
          <w:p w14:paraId="53445EE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F909D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FBAC6F"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14:paraId="0E13200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07BBF"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5801A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43AD59"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14:paraId="0F5DEEBA" w14:textId="77777777" w:rsidR="00000000" w:rsidRDefault="00D6065B">
            <w:pPr>
              <w:rPr>
                <w:rFonts w:eastAsia="Times New Roman"/>
                <w:sz w:val="20"/>
                <w:szCs w:val="20"/>
              </w:rPr>
            </w:pPr>
            <w:r>
              <w:rPr>
                <w:rFonts w:eastAsia="Times New Roman"/>
                <w:sz w:val="20"/>
                <w:szCs w:val="20"/>
              </w:rPr>
              <w:t> </w:t>
            </w:r>
          </w:p>
        </w:tc>
      </w:tr>
      <w:tr w:rsidR="00000000" w14:paraId="784FF6B6" w14:textId="77777777">
        <w:tc>
          <w:tcPr>
            <w:tcW w:w="0" w:type="auto"/>
            <w:shd w:val="clear" w:color="auto" w:fill="FFFFFF"/>
            <w:vAlign w:val="bottom"/>
            <w:hideMark/>
          </w:tcPr>
          <w:p w14:paraId="782B39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3731E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1867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F60A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FB20E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A605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FA1D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B03E3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50D6DF" w14:textId="77777777" w:rsidR="00000000" w:rsidRDefault="00D6065B">
            <w:pPr>
              <w:rPr>
                <w:rFonts w:eastAsia="Times New Roman"/>
                <w:sz w:val="20"/>
                <w:szCs w:val="20"/>
              </w:rPr>
            </w:pPr>
            <w:r>
              <w:rPr>
                <w:rFonts w:eastAsia="Times New Roman"/>
                <w:sz w:val="20"/>
                <w:szCs w:val="20"/>
              </w:rPr>
              <w:t> </w:t>
            </w:r>
          </w:p>
        </w:tc>
      </w:tr>
      <w:tr w:rsidR="00000000" w14:paraId="5A90E1C4" w14:textId="77777777">
        <w:tc>
          <w:tcPr>
            <w:tcW w:w="0" w:type="auto"/>
            <w:shd w:val="clear" w:color="auto" w:fill="CCEEFF"/>
            <w:vAlign w:val="bottom"/>
            <w:hideMark/>
          </w:tcPr>
          <w:p w14:paraId="2EB88BD2" w14:textId="77777777" w:rsidR="00000000" w:rsidRDefault="00D6065B">
            <w:pPr>
              <w:rPr>
                <w:rFonts w:eastAsia="Times New Roman"/>
                <w:sz w:val="20"/>
                <w:szCs w:val="20"/>
              </w:rPr>
            </w:pPr>
            <w:r>
              <w:rPr>
                <w:rFonts w:eastAsia="Times New Roman"/>
                <w:sz w:val="20"/>
                <w:szCs w:val="20"/>
              </w:rPr>
              <w:t>Total Related Party Notes Payable, Net</w:t>
            </w:r>
          </w:p>
        </w:tc>
        <w:tc>
          <w:tcPr>
            <w:tcW w:w="0" w:type="auto"/>
            <w:shd w:val="clear" w:color="auto" w:fill="CCEEFF"/>
            <w:vAlign w:val="bottom"/>
            <w:hideMark/>
          </w:tcPr>
          <w:p w14:paraId="78D8B9BF"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D5AD90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440F0D" w14:textId="77777777" w:rsidR="00000000" w:rsidRDefault="00D6065B">
            <w:pPr>
              <w:jc w:val="right"/>
              <w:rPr>
                <w:rFonts w:eastAsia="Times New Roman"/>
                <w:sz w:val="20"/>
                <w:szCs w:val="20"/>
              </w:rPr>
            </w:pPr>
            <w:r>
              <w:rPr>
                <w:rFonts w:eastAsia="Times New Roman"/>
                <w:sz w:val="20"/>
                <w:szCs w:val="20"/>
              </w:rPr>
              <w:t>237,000</w:t>
            </w:r>
          </w:p>
        </w:tc>
        <w:tc>
          <w:tcPr>
            <w:tcW w:w="0" w:type="auto"/>
            <w:shd w:val="clear" w:color="auto" w:fill="CCEEFF"/>
            <w:vAlign w:val="bottom"/>
            <w:hideMark/>
          </w:tcPr>
          <w:p w14:paraId="7B0219B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1AA4C"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0EE23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109A2E3" w14:textId="77777777" w:rsidR="00000000" w:rsidRDefault="00D6065B">
            <w:pPr>
              <w:jc w:val="right"/>
              <w:rPr>
                <w:rFonts w:eastAsia="Times New Roman"/>
                <w:sz w:val="20"/>
                <w:szCs w:val="20"/>
              </w:rPr>
            </w:pPr>
            <w:r>
              <w:rPr>
                <w:rFonts w:eastAsia="Times New Roman"/>
                <w:sz w:val="20"/>
                <w:szCs w:val="20"/>
              </w:rPr>
              <w:t>237,000</w:t>
            </w:r>
          </w:p>
        </w:tc>
        <w:tc>
          <w:tcPr>
            <w:tcW w:w="0" w:type="auto"/>
            <w:shd w:val="clear" w:color="auto" w:fill="CCEEFF"/>
            <w:vAlign w:val="bottom"/>
            <w:hideMark/>
          </w:tcPr>
          <w:p w14:paraId="09BAB3D0" w14:textId="77777777" w:rsidR="00000000" w:rsidRDefault="00D6065B">
            <w:pPr>
              <w:rPr>
                <w:rFonts w:eastAsia="Times New Roman"/>
                <w:sz w:val="20"/>
                <w:szCs w:val="20"/>
              </w:rPr>
            </w:pPr>
            <w:r>
              <w:rPr>
                <w:rFonts w:eastAsia="Times New Roman"/>
                <w:sz w:val="20"/>
                <w:szCs w:val="20"/>
              </w:rPr>
              <w:t> </w:t>
            </w:r>
          </w:p>
        </w:tc>
      </w:tr>
    </w:tbl>
    <w:p w14:paraId="033206AE" w14:textId="77777777" w:rsidR="00000000" w:rsidRDefault="00D6065B">
      <w:pPr>
        <w:pStyle w:val="a3"/>
        <w:spacing w:before="0" w:beforeAutospacing="0" w:after="0" w:afterAutospacing="0"/>
        <w:jc w:val="both"/>
        <w:rPr>
          <w:sz w:val="20"/>
          <w:szCs w:val="20"/>
        </w:rPr>
      </w:pPr>
      <w:r>
        <w:rPr>
          <w:sz w:val="20"/>
          <w:szCs w:val="20"/>
        </w:rPr>
        <w:t> </w:t>
      </w:r>
    </w:p>
    <w:p w14:paraId="3136F8F5" w14:textId="77777777" w:rsidR="00000000" w:rsidRDefault="00D6065B">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w:t>
      </w:r>
      <w:r>
        <w:rPr>
          <w:sz w:val="20"/>
          <w:szCs w:val="20"/>
        </w:rPr>
        <w:t>$</w:t>
      </w:r>
      <w:r>
        <w:rPr>
          <w:sz w:val="20"/>
          <w:szCs w:val="20"/>
        </w:rPr>
        <w:t>60,00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which was to mature</w:t>
      </w:r>
      <w:r>
        <w:rPr>
          <w:sz w:val="20"/>
          <w:szCs w:val="20"/>
        </w:rPr>
        <w:t xml:space="preserve"> </w:t>
      </w:r>
      <w:r>
        <w:rPr>
          <w:sz w:val="20"/>
          <w:szCs w:val="20"/>
        </w:rPr>
        <w:t>January 24, 202</w:t>
      </w:r>
      <w:r>
        <w:rPr>
          <w:sz w:val="20"/>
          <w:szCs w:val="20"/>
        </w:rPr>
        <w:t>0</w:t>
      </w:r>
      <w:r>
        <w:rPr>
          <w:sz w:val="20"/>
          <w:szCs w:val="20"/>
        </w:rPr>
        <w:t xml:space="preserve"> and bears interest at an annual rate of</w:t>
      </w:r>
      <w:r>
        <w:rPr>
          <w:sz w:val="20"/>
          <w:szCs w:val="20"/>
        </w:rPr>
        <w:t xml:space="preserve"> </w:t>
      </w:r>
      <w:r>
        <w:rPr>
          <w:sz w:val="20"/>
          <w:szCs w:val="20"/>
        </w:rPr>
        <w:t>8.0</w:t>
      </w:r>
      <w:r>
        <w:rPr>
          <w:sz w:val="20"/>
          <w:szCs w:val="20"/>
        </w:rPr>
        <w:t>0</w:t>
      </w:r>
      <w:r>
        <w:rPr>
          <w:sz w:val="20"/>
          <w:szCs w:val="20"/>
        </w:rPr>
        <w:t xml:space="preserve">%. </w:t>
      </w:r>
      <w:r>
        <w:rPr>
          <w:sz w:val="20"/>
          <w:szCs w:val="20"/>
        </w:rPr>
        <w:t>The Company is in default of this note.</w:t>
      </w:r>
    </w:p>
    <w:p w14:paraId="24F9AE3E" w14:textId="77777777" w:rsidR="00000000" w:rsidRDefault="00D6065B">
      <w:pPr>
        <w:pStyle w:val="a3"/>
        <w:spacing w:before="0" w:beforeAutospacing="0" w:after="0" w:afterAutospacing="0"/>
        <w:jc w:val="both"/>
        <w:rPr>
          <w:sz w:val="20"/>
          <w:szCs w:val="20"/>
        </w:rPr>
      </w:pPr>
      <w:r>
        <w:rPr>
          <w:sz w:val="20"/>
          <w:szCs w:val="20"/>
        </w:rPr>
        <w:t> </w:t>
      </w:r>
    </w:p>
    <w:p w14:paraId="199E45D6" w14:textId="77777777" w:rsidR="00000000" w:rsidRDefault="00D6065B">
      <w:pPr>
        <w:pStyle w:val="a3"/>
        <w:spacing w:before="0" w:beforeAutospacing="0" w:after="0" w:afterAutospacing="0"/>
        <w:jc w:val="both"/>
        <w:rPr>
          <w:sz w:val="20"/>
          <w:szCs w:val="20"/>
        </w:rPr>
      </w:pPr>
      <w:r>
        <w:rPr>
          <w:sz w:val="20"/>
          <w:szCs w:val="20"/>
        </w:rPr>
        <w:t xml:space="preserve">On March 27, 2019 the Company entered into a note payable with a trust related to one of our directors in the amount of </w:t>
      </w:r>
      <w:r>
        <w:rPr>
          <w:sz w:val="20"/>
          <w:szCs w:val="20"/>
        </w:rPr>
        <w:t>$</w:t>
      </w:r>
      <w:r>
        <w:rPr>
          <w:sz w:val="20"/>
          <w:szCs w:val="20"/>
        </w:rPr>
        <w:t>48,00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maturing</w:t>
      </w:r>
      <w:r>
        <w:rPr>
          <w:sz w:val="20"/>
          <w:szCs w:val="20"/>
        </w:rPr>
        <w:t xml:space="preserve"> </w:t>
      </w:r>
      <w:r>
        <w:rPr>
          <w:sz w:val="20"/>
          <w:szCs w:val="20"/>
        </w:rPr>
        <w:t>March 27, 202</w:t>
      </w:r>
      <w:r>
        <w:rPr>
          <w:sz w:val="20"/>
          <w:szCs w:val="20"/>
        </w:rPr>
        <w:t>0</w:t>
      </w:r>
      <w:r>
        <w:rPr>
          <w:sz w:val="20"/>
          <w:szCs w:val="20"/>
        </w:rPr>
        <w:t xml:space="preserve"> and bears interest at an an</w:t>
      </w:r>
      <w:r>
        <w:rPr>
          <w:sz w:val="20"/>
          <w:szCs w:val="20"/>
        </w:rPr>
        <w:t>nual rate of</w:t>
      </w:r>
      <w:r>
        <w:rPr>
          <w:sz w:val="20"/>
          <w:szCs w:val="20"/>
        </w:rPr>
        <w:t xml:space="preserve"> </w:t>
      </w:r>
      <w:r>
        <w:rPr>
          <w:sz w:val="20"/>
          <w:szCs w:val="20"/>
        </w:rPr>
        <w:t>8</w:t>
      </w:r>
      <w:r>
        <w:rPr>
          <w:sz w:val="20"/>
          <w:szCs w:val="20"/>
        </w:rPr>
        <w:t xml:space="preserve">%. The Company is in default of this note. On April 29, 2019 the Company entered into a note payable with a trust related to one of our directors in the amount of </w:t>
      </w:r>
      <w:r>
        <w:rPr>
          <w:sz w:val="20"/>
          <w:szCs w:val="20"/>
        </w:rPr>
        <w:t>$</w:t>
      </w:r>
      <w:r>
        <w:rPr>
          <w:sz w:val="20"/>
          <w:szCs w:val="20"/>
        </w:rPr>
        <w:t>29,00</w:t>
      </w:r>
      <w:r>
        <w:rPr>
          <w:sz w:val="20"/>
          <w:szCs w:val="20"/>
        </w:rPr>
        <w:t>0</w:t>
      </w:r>
      <w:r>
        <w:rPr>
          <w:sz w:val="20"/>
          <w:szCs w:val="20"/>
        </w:rPr>
        <w:t>. The Company is in default of this note. On July 5, 2019 the Company en</w:t>
      </w:r>
      <w:r>
        <w:rPr>
          <w:sz w:val="20"/>
          <w:szCs w:val="20"/>
        </w:rPr>
        <w:t xml:space="preserve">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maturing</w:t>
      </w:r>
      <w:r>
        <w:rPr>
          <w:sz w:val="20"/>
          <w:szCs w:val="20"/>
        </w:rPr>
        <w:t xml:space="preserve"> </w:t>
      </w:r>
      <w:r>
        <w:rPr>
          <w:sz w:val="20"/>
          <w:szCs w:val="20"/>
        </w:rPr>
        <w:t>July 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The Company is in default of this note. On November 25, 201</w:t>
      </w:r>
      <w:r>
        <w:rPr>
          <w:sz w:val="20"/>
          <w:szCs w:val="20"/>
        </w:rPr>
        <w:t xml:space="preserve">9 the Company entered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maturing</w:t>
      </w:r>
      <w:r>
        <w:rPr>
          <w:sz w:val="20"/>
          <w:szCs w:val="20"/>
        </w:rPr>
        <w:t xml:space="preserve"> </w:t>
      </w:r>
      <w:r>
        <w:rPr>
          <w:sz w:val="20"/>
          <w:szCs w:val="20"/>
        </w:rPr>
        <w:t>November 25,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The Company is in default of this note</w:t>
      </w:r>
      <w:r>
        <w:rPr>
          <w:sz w:val="20"/>
          <w:szCs w:val="20"/>
        </w:rPr>
        <w:t xml:space="preserve">. Interest expense for these notes for the six months ended June 30, 2021 and 2020 was </w:t>
      </w:r>
      <w:r>
        <w:rPr>
          <w:sz w:val="20"/>
          <w:szCs w:val="20"/>
        </w:rPr>
        <w:t>$</w:t>
      </w:r>
      <w:r>
        <w:rPr>
          <w:sz w:val="20"/>
          <w:szCs w:val="20"/>
        </w:rPr>
        <w:t>9,37</w:t>
      </w:r>
      <w:r>
        <w:rPr>
          <w:sz w:val="20"/>
          <w:szCs w:val="20"/>
        </w:rPr>
        <w:t>6</w:t>
      </w:r>
      <w:r>
        <w:rPr>
          <w:sz w:val="20"/>
          <w:szCs w:val="20"/>
        </w:rPr>
        <w:t xml:space="preserve"> and </w:t>
      </w:r>
      <w:r>
        <w:rPr>
          <w:sz w:val="20"/>
          <w:szCs w:val="20"/>
        </w:rPr>
        <w:t>$</w:t>
      </w:r>
      <w:r>
        <w:rPr>
          <w:sz w:val="20"/>
          <w:szCs w:val="20"/>
        </w:rPr>
        <w:t>9,42</w:t>
      </w:r>
      <w:r>
        <w:rPr>
          <w:sz w:val="20"/>
          <w:szCs w:val="20"/>
        </w:rPr>
        <w:t>9</w:t>
      </w:r>
      <w:r>
        <w:rPr>
          <w:sz w:val="20"/>
          <w:szCs w:val="20"/>
        </w:rPr>
        <w:t xml:space="preserve">, respectively and accrued interest at June 30, 2021 is </w:t>
      </w:r>
      <w:r>
        <w:rPr>
          <w:sz w:val="20"/>
          <w:szCs w:val="20"/>
        </w:rPr>
        <w:t>$</w:t>
      </w:r>
      <w:r>
        <w:rPr>
          <w:sz w:val="20"/>
          <w:szCs w:val="20"/>
        </w:rPr>
        <w:t>39,94</w:t>
      </w:r>
      <w:r>
        <w:rPr>
          <w:sz w:val="20"/>
          <w:szCs w:val="20"/>
        </w:rPr>
        <w:t>3</w:t>
      </w:r>
      <w:r>
        <w:rPr>
          <w:sz w:val="20"/>
          <w:szCs w:val="20"/>
        </w:rPr>
        <w:t>.</w:t>
      </w:r>
    </w:p>
    <w:p w14:paraId="67E9D6E4" w14:textId="77777777" w:rsidR="00000000" w:rsidRDefault="00D6065B">
      <w:pPr>
        <w:pStyle w:val="a3"/>
        <w:spacing w:before="0" w:beforeAutospacing="0" w:after="0" w:afterAutospacing="0"/>
        <w:jc w:val="both"/>
        <w:rPr>
          <w:sz w:val="20"/>
          <w:szCs w:val="20"/>
        </w:rPr>
      </w:pPr>
      <w:r>
        <w:rPr>
          <w:sz w:val="20"/>
          <w:szCs w:val="20"/>
        </w:rPr>
        <w:t> </w:t>
      </w:r>
    </w:p>
    <w:p w14:paraId="10E5D2DB" w14:textId="77777777" w:rsidR="00000000" w:rsidRDefault="00D6065B">
      <w:pPr>
        <w:pStyle w:val="a3"/>
        <w:spacing w:before="0" w:beforeAutospacing="0" w:after="0" w:afterAutospacing="0"/>
        <w:jc w:val="both"/>
        <w:rPr>
          <w:sz w:val="20"/>
          <w:szCs w:val="20"/>
        </w:rPr>
      </w:pPr>
      <w:r>
        <w:rPr>
          <w:sz w:val="20"/>
          <w:szCs w:val="20"/>
        </w:rPr>
        <w:t xml:space="preserve">The Company borrowed </w:t>
      </w:r>
      <w:r>
        <w:rPr>
          <w:sz w:val="20"/>
          <w:szCs w:val="20"/>
        </w:rPr>
        <w:t>$</w:t>
      </w:r>
      <w:r>
        <w:rPr>
          <w:sz w:val="20"/>
          <w:szCs w:val="20"/>
        </w:rPr>
        <w:t>15,00</w:t>
      </w:r>
      <w:r>
        <w:rPr>
          <w:sz w:val="20"/>
          <w:szCs w:val="20"/>
        </w:rPr>
        <w:t>0</w:t>
      </w:r>
      <w:r>
        <w:rPr>
          <w:sz w:val="20"/>
          <w:szCs w:val="20"/>
        </w:rPr>
        <w:t xml:space="preserve"> in March 2020 from its CEO and repaid this amount in Apr</w:t>
      </w:r>
      <w:r>
        <w:rPr>
          <w:sz w:val="20"/>
          <w:szCs w:val="20"/>
        </w:rPr>
        <w:t>il 2020.</w:t>
      </w:r>
    </w:p>
    <w:p w14:paraId="5BD6CFDB" w14:textId="77777777" w:rsidR="00000000" w:rsidRDefault="00D6065B">
      <w:pPr>
        <w:pStyle w:val="a3"/>
        <w:spacing w:before="0" w:beforeAutospacing="0" w:after="0" w:afterAutospacing="0"/>
        <w:jc w:val="both"/>
        <w:rPr>
          <w:sz w:val="20"/>
          <w:szCs w:val="20"/>
        </w:rPr>
      </w:pPr>
      <w:r>
        <w:rPr>
          <w:sz w:val="20"/>
          <w:szCs w:val="20"/>
        </w:rPr>
        <w:t> </w:t>
      </w:r>
    </w:p>
    <w:p w14:paraId="5AF0FC84" w14:textId="77777777" w:rsidR="00000000" w:rsidRDefault="00D6065B">
      <w:pPr>
        <w:pStyle w:val="a3"/>
        <w:spacing w:before="0" w:beforeAutospacing="0" w:after="0" w:afterAutospacing="0"/>
        <w:jc w:val="both"/>
        <w:rPr>
          <w:sz w:val="20"/>
          <w:szCs w:val="20"/>
        </w:rPr>
      </w:pPr>
      <w:r>
        <w:rPr>
          <w:b/>
          <w:bCs/>
          <w:sz w:val="20"/>
          <w:szCs w:val="20"/>
        </w:rPr>
        <w:t>Related Party Payables</w:t>
      </w:r>
    </w:p>
    <w:p w14:paraId="6A144CBC" w14:textId="77777777" w:rsidR="00000000" w:rsidRDefault="00D6065B">
      <w:pPr>
        <w:pStyle w:val="a3"/>
        <w:spacing w:before="0" w:beforeAutospacing="0" w:after="0" w:afterAutospacing="0"/>
        <w:jc w:val="both"/>
        <w:rPr>
          <w:sz w:val="20"/>
          <w:szCs w:val="20"/>
        </w:rPr>
      </w:pPr>
      <w:r>
        <w:rPr>
          <w:sz w:val="20"/>
          <w:szCs w:val="20"/>
        </w:rPr>
        <w:t> </w:t>
      </w:r>
    </w:p>
    <w:p w14:paraId="27D0C102" w14:textId="77777777" w:rsidR="00000000" w:rsidRDefault="00D6065B">
      <w:pPr>
        <w:pStyle w:val="a3"/>
        <w:spacing w:before="0" w:beforeAutospacing="0" w:after="0" w:afterAutospacing="0"/>
        <w:jc w:val="both"/>
        <w:rPr>
          <w:sz w:val="20"/>
          <w:szCs w:val="20"/>
        </w:rPr>
      </w:pPr>
      <w:r>
        <w:rPr>
          <w:sz w:val="20"/>
          <w:szCs w:val="20"/>
        </w:rPr>
        <w:t xml:space="preserve">The Company periodically receives advances for operating funds from related parties or has related parties make payments on the Company’s behalf. As a result of these activities the Company had related party payables of </w:t>
      </w:r>
      <w:r>
        <w:rPr>
          <w:sz w:val="20"/>
          <w:szCs w:val="20"/>
        </w:rPr>
        <w:t>$</w:t>
      </w:r>
      <w:r>
        <w:rPr>
          <w:sz w:val="20"/>
          <w:szCs w:val="20"/>
        </w:rPr>
        <w:t>32,11</w:t>
      </w:r>
      <w:r>
        <w:rPr>
          <w:sz w:val="20"/>
          <w:szCs w:val="20"/>
        </w:rPr>
        <w:t>0</w:t>
      </w:r>
      <w:r>
        <w:rPr>
          <w:sz w:val="20"/>
          <w:szCs w:val="20"/>
        </w:rPr>
        <w:t xml:space="preserve"> and </w:t>
      </w:r>
      <w:r>
        <w:rPr>
          <w:sz w:val="20"/>
          <w:szCs w:val="20"/>
        </w:rPr>
        <w:t>$</w:t>
      </w:r>
      <w:r>
        <w:rPr>
          <w:sz w:val="20"/>
          <w:szCs w:val="20"/>
        </w:rPr>
        <w:t>32,11</w:t>
      </w:r>
      <w:r>
        <w:rPr>
          <w:sz w:val="20"/>
          <w:szCs w:val="20"/>
        </w:rPr>
        <w:t>0</w:t>
      </w:r>
      <w:r>
        <w:rPr>
          <w:sz w:val="20"/>
          <w:szCs w:val="20"/>
        </w:rPr>
        <w:t xml:space="preserve"> as of June 30, 2021 and December 31, 2020, respectively.</w:t>
      </w:r>
    </w:p>
    <w:p w14:paraId="0E89351C" w14:textId="77777777" w:rsidR="00000000" w:rsidRDefault="00D6065B">
      <w:pPr>
        <w:pStyle w:val="a3"/>
        <w:spacing w:before="0" w:beforeAutospacing="0" w:after="0" w:afterAutospacing="0"/>
        <w:jc w:val="both"/>
        <w:rPr>
          <w:sz w:val="20"/>
          <w:szCs w:val="20"/>
        </w:rPr>
      </w:pPr>
      <w:r>
        <w:rPr>
          <w:sz w:val="20"/>
          <w:szCs w:val="20"/>
        </w:rPr>
        <w:t> </w:t>
      </w:r>
    </w:p>
    <w:p w14:paraId="40C71C4F" w14:textId="77777777" w:rsidR="00000000" w:rsidRDefault="00D6065B">
      <w:pPr>
        <w:pStyle w:val="a3"/>
        <w:spacing w:before="0" w:beforeAutospacing="0" w:after="0" w:afterAutospacing="0"/>
        <w:jc w:val="both"/>
        <w:rPr>
          <w:sz w:val="20"/>
          <w:szCs w:val="20"/>
        </w:rPr>
      </w:pPr>
      <w:r>
        <w:rPr>
          <w:b/>
          <w:bCs/>
          <w:sz w:val="20"/>
          <w:szCs w:val="20"/>
        </w:rPr>
        <w:t>Preferred and Common Shares Issued to Officers and Directors</w:t>
      </w:r>
    </w:p>
    <w:p w14:paraId="3195D1D3" w14:textId="77777777" w:rsidR="00000000" w:rsidRDefault="00D6065B">
      <w:pPr>
        <w:pStyle w:val="a3"/>
        <w:spacing w:before="0" w:beforeAutospacing="0" w:after="0" w:afterAutospacing="0"/>
        <w:jc w:val="both"/>
        <w:rPr>
          <w:sz w:val="20"/>
          <w:szCs w:val="20"/>
        </w:rPr>
      </w:pPr>
      <w:r>
        <w:rPr>
          <w:sz w:val="20"/>
          <w:szCs w:val="20"/>
        </w:rPr>
        <w:t> </w:t>
      </w:r>
    </w:p>
    <w:p w14:paraId="5B9F5E4C" w14:textId="77777777" w:rsidR="00000000" w:rsidRDefault="00D6065B">
      <w:pPr>
        <w:pStyle w:val="a3"/>
        <w:spacing w:before="0" w:beforeAutospacing="0" w:after="0" w:afterAutospacing="0"/>
        <w:jc w:val="both"/>
        <w:rPr>
          <w:sz w:val="20"/>
          <w:szCs w:val="20"/>
        </w:rPr>
      </w:pPr>
      <w:r>
        <w:rPr>
          <w:sz w:val="20"/>
          <w:szCs w:val="20"/>
        </w:rPr>
        <w:t>The Company’s Chairman converted the Series B Convertible Preferred Shares into Series C Convertible Preferred Sha</w:t>
      </w:r>
      <w:r>
        <w:rPr>
          <w:sz w:val="20"/>
          <w:szCs w:val="20"/>
        </w:rPr>
        <w:t>res and as of April 2020, the</w:t>
      </w:r>
      <w:r>
        <w:rPr>
          <w:sz w:val="20"/>
          <w:szCs w:val="20"/>
        </w:rPr>
        <w:t xml:space="preserve"> </w:t>
      </w:r>
      <w:r>
        <w:rPr>
          <w:sz w:val="20"/>
          <w:szCs w:val="20"/>
        </w:rPr>
        <w:t>385,30</w:t>
      </w:r>
      <w:r>
        <w:rPr>
          <w:sz w:val="20"/>
          <w:szCs w:val="20"/>
        </w:rPr>
        <w:t>2</w:t>
      </w:r>
      <w:r>
        <w:rPr>
          <w:sz w:val="20"/>
          <w:szCs w:val="20"/>
        </w:rPr>
        <w:t xml:space="preserve"> shares that are issued in the Series C Convertible Preferred Stock are all to the Chairman.</w:t>
      </w:r>
    </w:p>
    <w:p w14:paraId="0BF170DD" w14:textId="77777777" w:rsidR="00000000" w:rsidRDefault="00D6065B">
      <w:pPr>
        <w:pStyle w:val="a3"/>
        <w:spacing w:before="0" w:beforeAutospacing="0" w:after="0" w:afterAutospacing="0"/>
        <w:jc w:val="both"/>
        <w:rPr>
          <w:sz w:val="20"/>
          <w:szCs w:val="20"/>
        </w:rPr>
      </w:pPr>
      <w:r>
        <w:rPr>
          <w:sz w:val="20"/>
          <w:szCs w:val="20"/>
        </w:rPr>
        <w:t> </w:t>
      </w:r>
    </w:p>
    <w:p w14:paraId="48838D4D" w14:textId="77777777" w:rsidR="00000000" w:rsidRDefault="00D6065B">
      <w:pPr>
        <w:pStyle w:val="a3"/>
        <w:spacing w:before="0" w:beforeAutospacing="0" w:after="0" w:afterAutospacing="0"/>
        <w:jc w:val="both"/>
        <w:rPr>
          <w:sz w:val="20"/>
          <w:szCs w:val="20"/>
        </w:rPr>
      </w:pPr>
      <w:r>
        <w:rPr>
          <w:sz w:val="20"/>
          <w:szCs w:val="20"/>
        </w:rPr>
        <w:t xml:space="preserve">In </w:t>
      </w:r>
      <w:r>
        <w:rPr>
          <w:sz w:val="20"/>
          <w:szCs w:val="20"/>
        </w:rPr>
        <w:t xml:space="preserve">April 2020, effective March 31, 2020, the Company converted the </w:t>
      </w:r>
      <w:r>
        <w:rPr>
          <w:sz w:val="20"/>
          <w:szCs w:val="20"/>
        </w:rPr>
        <w:t>$</w:t>
      </w:r>
      <w:r>
        <w:rPr>
          <w:sz w:val="20"/>
          <w:szCs w:val="20"/>
        </w:rPr>
        <w:t>15,00</w:t>
      </w:r>
      <w:r>
        <w:rPr>
          <w:sz w:val="20"/>
          <w:szCs w:val="20"/>
        </w:rPr>
        <w:t>0</w:t>
      </w:r>
      <w:r>
        <w:rPr>
          <w:sz w:val="20"/>
          <w:szCs w:val="20"/>
        </w:rPr>
        <w:t xml:space="preserve"> convertible note payable along with </w:t>
      </w:r>
      <w:r>
        <w:rPr>
          <w:sz w:val="20"/>
          <w:szCs w:val="20"/>
        </w:rPr>
        <w:t>$</w:t>
      </w:r>
      <w:r>
        <w:rPr>
          <w:sz w:val="20"/>
          <w:szCs w:val="20"/>
        </w:rPr>
        <w:t>61</w:t>
      </w:r>
      <w:r>
        <w:rPr>
          <w:sz w:val="20"/>
          <w:szCs w:val="20"/>
        </w:rPr>
        <w:t>9</w:t>
      </w:r>
      <w:r>
        <w:rPr>
          <w:sz w:val="20"/>
          <w:szCs w:val="20"/>
        </w:rPr>
        <w:t xml:space="preserve"> in accrued interest and an exchange premium of </w:t>
      </w:r>
      <w:r>
        <w:rPr>
          <w:sz w:val="20"/>
          <w:szCs w:val="20"/>
        </w:rPr>
        <w:t>$</w:t>
      </w:r>
      <w:r>
        <w:rPr>
          <w:sz w:val="20"/>
          <w:szCs w:val="20"/>
        </w:rPr>
        <w:t>3,12</w:t>
      </w:r>
      <w:r>
        <w:rPr>
          <w:sz w:val="20"/>
          <w:szCs w:val="20"/>
        </w:rPr>
        <w:t>4</w:t>
      </w:r>
      <w:r>
        <w:rPr>
          <w:sz w:val="20"/>
          <w:szCs w:val="20"/>
        </w:rPr>
        <w:t xml:space="preserve"> into</w:t>
      </w:r>
      <w:r>
        <w:rPr>
          <w:sz w:val="20"/>
          <w:szCs w:val="20"/>
        </w:rPr>
        <w:t xml:space="preserve"> </w:t>
      </w:r>
      <w:r>
        <w:rPr>
          <w:sz w:val="20"/>
          <w:szCs w:val="20"/>
        </w:rPr>
        <w:t>694,17</w:t>
      </w:r>
      <w:r>
        <w:rPr>
          <w:sz w:val="20"/>
          <w:szCs w:val="20"/>
        </w:rPr>
        <w:t>8</w:t>
      </w:r>
      <w:r>
        <w:rPr>
          <w:sz w:val="20"/>
          <w:szCs w:val="20"/>
        </w:rPr>
        <w:t xml:space="preserve"> shares of common stock. This was part of the Regulation A+. These shares wer</w:t>
      </w:r>
      <w:r>
        <w:rPr>
          <w:sz w:val="20"/>
          <w:szCs w:val="20"/>
        </w:rPr>
        <w:t>e issued on June 10, 2020 following the qualification of the Regulation A+.</w:t>
      </w:r>
    </w:p>
    <w:p w14:paraId="79D09398" w14:textId="77777777" w:rsidR="00000000" w:rsidRDefault="00D6065B">
      <w:pPr>
        <w:pStyle w:val="a3"/>
        <w:spacing w:before="0" w:beforeAutospacing="0" w:after="0" w:afterAutospacing="0"/>
        <w:jc w:val="both"/>
        <w:rPr>
          <w:sz w:val="20"/>
          <w:szCs w:val="20"/>
        </w:rPr>
      </w:pPr>
      <w:r>
        <w:rPr>
          <w:sz w:val="20"/>
          <w:szCs w:val="20"/>
        </w:rPr>
        <w:t> </w:t>
      </w:r>
    </w:p>
    <w:p w14:paraId="51BB1924" w14:textId="77777777" w:rsidR="00000000" w:rsidRDefault="00D6065B">
      <w:pPr>
        <w:pStyle w:val="a3"/>
        <w:spacing w:before="0" w:beforeAutospacing="0" w:after="0" w:afterAutospacing="0"/>
        <w:jc w:val="both"/>
        <w:rPr>
          <w:sz w:val="20"/>
          <w:szCs w:val="20"/>
        </w:rPr>
      </w:pPr>
      <w:r>
        <w:rPr>
          <w:sz w:val="20"/>
          <w:szCs w:val="20"/>
        </w:rPr>
        <w:t>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w:t>
      </w:r>
      <w:r>
        <w:rPr>
          <w:sz w:val="20"/>
          <w:szCs w:val="20"/>
        </w:rPr>
        <w:t>$</w:t>
      </w:r>
      <w:r>
        <w:rPr>
          <w:sz w:val="20"/>
          <w:szCs w:val="20"/>
        </w:rPr>
        <w:t>60,00</w:t>
      </w:r>
      <w:r>
        <w:rPr>
          <w:sz w:val="20"/>
          <w:szCs w:val="20"/>
        </w:rPr>
        <w:t>0</w:t>
      </w:r>
      <w:r>
        <w:rPr>
          <w:sz w:val="20"/>
          <w:szCs w:val="20"/>
        </w:rPr>
        <w:t xml:space="preserve"> in December 2020. In addition, in June 2021, the Company’s Chief Executive Officer exercised</w:t>
      </w:r>
      <w:r>
        <w:rPr>
          <w:sz w:val="20"/>
          <w:szCs w:val="20"/>
        </w:rPr>
        <w:t xml:space="preserve"> </w:t>
      </w:r>
      <w:r>
        <w:rPr>
          <w:sz w:val="20"/>
          <w:szCs w:val="20"/>
        </w:rPr>
        <w:t>2</w:t>
      </w:r>
      <w:r>
        <w:rPr>
          <w:sz w:val="20"/>
          <w:szCs w:val="20"/>
        </w:rPr>
        <w:t>,500,00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w:t>
      </w:r>
      <w:r>
        <w:rPr>
          <w:sz w:val="20"/>
          <w:szCs w:val="20"/>
        </w:rPr>
        <w:t>0</w:t>
      </w:r>
      <w:r>
        <w:rPr>
          <w:sz w:val="20"/>
          <w:szCs w:val="20"/>
        </w:rPr>
        <w:t xml:space="preserve"> 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2021 rescinded</w:t>
      </w:r>
      <w:r>
        <w:rPr>
          <w:sz w:val="20"/>
          <w:szCs w:val="20"/>
        </w:rPr>
        <w:t xml:space="preserve"> </w:t>
      </w:r>
      <w:r>
        <w:rPr>
          <w:sz w:val="20"/>
          <w:szCs w:val="20"/>
        </w:rPr>
        <w:t>8,120,15</w:t>
      </w:r>
      <w:r>
        <w:rPr>
          <w:sz w:val="20"/>
          <w:szCs w:val="20"/>
        </w:rPr>
        <w:t>2</w:t>
      </w:r>
      <w:r>
        <w:rPr>
          <w:sz w:val="20"/>
          <w:szCs w:val="20"/>
        </w:rPr>
        <w:t xml:space="preserve"> stock options and in June 2021 resci</w:t>
      </w:r>
      <w:r>
        <w:rPr>
          <w:sz w:val="20"/>
          <w:szCs w:val="20"/>
        </w:rPr>
        <w:t>nded</w:t>
      </w:r>
      <w:r>
        <w:rPr>
          <w:sz w:val="20"/>
          <w:szCs w:val="20"/>
        </w:rPr>
        <w:t xml:space="preserve"> </w:t>
      </w:r>
      <w:r>
        <w:rPr>
          <w:sz w:val="20"/>
          <w:szCs w:val="20"/>
        </w:rPr>
        <w:t>16,000,00</w:t>
      </w:r>
      <w:r>
        <w:rPr>
          <w:sz w:val="20"/>
          <w:szCs w:val="20"/>
        </w:rPr>
        <w:t>0</w:t>
      </w:r>
      <w:r>
        <w:rPr>
          <w:sz w:val="20"/>
          <w:szCs w:val="20"/>
        </w:rPr>
        <w:t xml:space="preserve"> stock options.</w:t>
      </w:r>
    </w:p>
    <w:p w14:paraId="11C05BB6"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3BAF404" w14:textId="77777777">
        <w:trPr>
          <w:divId w:val="1906797976"/>
        </w:trPr>
        <w:tc>
          <w:tcPr>
            <w:tcW w:w="5000" w:type="pct"/>
            <w:hideMark/>
          </w:tcPr>
          <w:p w14:paraId="1B8B2298"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C53DCEE" w14:textId="77777777">
        <w:tc>
          <w:tcPr>
            <w:tcW w:w="5000" w:type="pct"/>
            <w:hideMark/>
          </w:tcPr>
          <w:p w14:paraId="76300C46" w14:textId="77777777" w:rsidR="00000000" w:rsidRDefault="00D6065B">
            <w:pPr>
              <w:jc w:val="center"/>
              <w:rPr>
                <w:rFonts w:eastAsia="Times New Roman"/>
                <w:sz w:val="20"/>
                <w:szCs w:val="20"/>
              </w:rPr>
            </w:pPr>
            <w:r>
              <w:rPr>
                <w:rFonts w:eastAsia="Times New Roman"/>
                <w:sz w:val="20"/>
                <w:szCs w:val="20"/>
              </w:rPr>
              <w:t> </w:t>
            </w:r>
          </w:p>
        </w:tc>
      </w:tr>
    </w:tbl>
    <w:p w14:paraId="284F67E9" w14:textId="77777777" w:rsidR="00000000" w:rsidRDefault="00D6065B">
      <w:pPr>
        <w:pStyle w:val="a3"/>
        <w:spacing w:before="0" w:beforeAutospacing="0" w:after="0" w:afterAutospacing="0"/>
        <w:rPr>
          <w:sz w:val="20"/>
          <w:szCs w:val="20"/>
        </w:rPr>
      </w:pPr>
      <w:r>
        <w:rPr>
          <w:sz w:val="20"/>
          <w:szCs w:val="20"/>
        </w:rPr>
        <w:t> </w:t>
      </w:r>
    </w:p>
    <w:p w14:paraId="09521A22" w14:textId="77777777" w:rsidR="00000000" w:rsidRDefault="00D6065B">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14:paraId="2DC13E94" w14:textId="77777777" w:rsidR="00000000" w:rsidRDefault="00D6065B">
      <w:pPr>
        <w:pStyle w:val="a3"/>
        <w:spacing w:before="0" w:beforeAutospacing="0" w:after="0" w:afterAutospacing="0"/>
        <w:jc w:val="both"/>
        <w:rPr>
          <w:sz w:val="20"/>
          <w:szCs w:val="20"/>
        </w:rPr>
      </w:pPr>
      <w:r>
        <w:rPr>
          <w:sz w:val="20"/>
          <w:szCs w:val="20"/>
        </w:rPr>
        <w:t> </w:t>
      </w:r>
    </w:p>
    <w:p w14:paraId="698A7E64" w14:textId="77777777" w:rsidR="00000000" w:rsidRDefault="00D6065B">
      <w:pPr>
        <w:pStyle w:val="a3"/>
        <w:spacing w:before="0" w:beforeAutospacing="0" w:after="0" w:afterAutospacing="0"/>
        <w:jc w:val="both"/>
        <w:rPr>
          <w:sz w:val="20"/>
          <w:szCs w:val="20"/>
        </w:rPr>
      </w:pPr>
      <w:r>
        <w:rPr>
          <w:sz w:val="20"/>
          <w:szCs w:val="20"/>
        </w:rPr>
        <w:t>As of June 30, 2021 and December 31, 2020, the Company had the following convertible notes outstanding. All prior notes that have been converted into common stock or repaid prio</w:t>
      </w:r>
      <w:r>
        <w:rPr>
          <w:sz w:val="20"/>
          <w:szCs w:val="20"/>
        </w:rPr>
        <w:t>r to December 31, 2020 have been excluded from the chart:</w:t>
      </w:r>
    </w:p>
    <w:p w14:paraId="011FBF3D" w14:textId="77777777" w:rsidR="00000000" w:rsidRDefault="00D6065B">
      <w:pPr>
        <w:pStyle w:val="a3"/>
        <w:spacing w:before="0" w:beforeAutospacing="0" w:after="0" w:afterAutospacing="0"/>
        <w:jc w:val="both"/>
        <w:rPr>
          <w:sz w:val="20"/>
          <w:szCs w:val="20"/>
        </w:rPr>
      </w:pPr>
      <w:r>
        <w:rPr>
          <w:sz w:val="20"/>
          <w:szCs w:val="20"/>
        </w:rPr>
        <w:t> </w:t>
      </w:r>
      <w:r>
        <w:rPr>
          <w:vanish/>
          <w:sz w:val="20"/>
          <w:szCs w:val="20"/>
        </w:rPr>
        <w:t>SCHEDULE OF CONVERTIBLE NOTES PAYABL</w:t>
      </w:r>
      <w:r>
        <w:rPr>
          <w:vanish/>
          <w:sz w:val="20"/>
          <w:szCs w:val="20"/>
        </w:rPr>
        <w:t>E</w:t>
      </w:r>
    </w:p>
    <w:tbl>
      <w:tblPr>
        <w:tblW w:w="4000" w:type="pct"/>
        <w:tblCellMar>
          <w:left w:w="0" w:type="dxa"/>
          <w:right w:w="0" w:type="dxa"/>
        </w:tblCellMar>
        <w:tblLook w:val="04A0" w:firstRow="1" w:lastRow="0" w:firstColumn="1" w:lastColumn="0" w:noHBand="0" w:noVBand="1"/>
      </w:tblPr>
      <w:tblGrid>
        <w:gridCol w:w="3711"/>
        <w:gridCol w:w="123"/>
        <w:gridCol w:w="100"/>
        <w:gridCol w:w="1186"/>
        <w:gridCol w:w="57"/>
        <w:gridCol w:w="124"/>
        <w:gridCol w:w="100"/>
        <w:gridCol w:w="1187"/>
        <w:gridCol w:w="57"/>
      </w:tblGrid>
      <w:tr w:rsidR="00000000" w14:paraId="121C67A9" w14:textId="77777777">
        <w:tc>
          <w:tcPr>
            <w:tcW w:w="0" w:type="auto"/>
            <w:vAlign w:val="bottom"/>
            <w:hideMark/>
          </w:tcPr>
          <w:p w14:paraId="39F832C5"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1C07E7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0C08ACC" w14:textId="77777777" w:rsidR="00000000" w:rsidRDefault="00D6065B">
            <w:pPr>
              <w:jc w:val="center"/>
              <w:rPr>
                <w:rFonts w:eastAsia="Times New Roman"/>
                <w:sz w:val="20"/>
                <w:szCs w:val="20"/>
              </w:rPr>
            </w:pPr>
            <w:r>
              <w:rPr>
                <w:rFonts w:eastAsia="Times New Roman"/>
                <w:sz w:val="20"/>
                <w:szCs w:val="20"/>
              </w:rPr>
              <w:t>2021</w:t>
            </w:r>
          </w:p>
        </w:tc>
        <w:tc>
          <w:tcPr>
            <w:tcW w:w="0" w:type="auto"/>
            <w:vAlign w:val="bottom"/>
            <w:hideMark/>
          </w:tcPr>
          <w:p w14:paraId="05999FB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190CD4D"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B20E80D" w14:textId="77777777" w:rsidR="00000000" w:rsidRDefault="00D6065B">
            <w:pPr>
              <w:jc w:val="center"/>
              <w:rPr>
                <w:rFonts w:eastAsia="Times New Roman"/>
                <w:sz w:val="20"/>
                <w:szCs w:val="20"/>
              </w:rPr>
            </w:pPr>
            <w:r>
              <w:rPr>
                <w:rFonts w:eastAsia="Times New Roman"/>
                <w:sz w:val="20"/>
                <w:szCs w:val="20"/>
              </w:rPr>
              <w:t>2020</w:t>
            </w:r>
          </w:p>
        </w:tc>
        <w:tc>
          <w:tcPr>
            <w:tcW w:w="0" w:type="auto"/>
            <w:vAlign w:val="bottom"/>
            <w:hideMark/>
          </w:tcPr>
          <w:p w14:paraId="187315EA" w14:textId="77777777" w:rsidR="00000000" w:rsidRDefault="00D6065B">
            <w:pPr>
              <w:jc w:val="center"/>
              <w:rPr>
                <w:rFonts w:eastAsia="Times New Roman"/>
                <w:sz w:val="20"/>
                <w:szCs w:val="20"/>
              </w:rPr>
            </w:pPr>
            <w:r>
              <w:rPr>
                <w:rFonts w:eastAsia="Times New Roman"/>
                <w:sz w:val="20"/>
                <w:szCs w:val="20"/>
              </w:rPr>
              <w:t> </w:t>
            </w:r>
          </w:p>
        </w:tc>
      </w:tr>
      <w:tr w:rsidR="00000000" w14:paraId="03551DC5" w14:textId="77777777">
        <w:tc>
          <w:tcPr>
            <w:tcW w:w="2800" w:type="pct"/>
            <w:shd w:val="clear" w:color="auto" w:fill="CCEEFF"/>
            <w:vAlign w:val="bottom"/>
            <w:hideMark/>
          </w:tcPr>
          <w:p w14:paraId="66C173F7" w14:textId="77777777" w:rsidR="00000000" w:rsidRDefault="00D6065B">
            <w:pPr>
              <w:rPr>
                <w:rFonts w:eastAsia="Times New Roman"/>
                <w:sz w:val="20"/>
                <w:szCs w:val="20"/>
              </w:rPr>
            </w:pPr>
            <w:r>
              <w:rPr>
                <w:rFonts w:eastAsia="Times New Roman"/>
                <w:sz w:val="20"/>
                <w:szCs w:val="20"/>
              </w:rPr>
              <w:t xml:space="preserve">July and August 2012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1,060,00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Notes convertible into common stock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4.6</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per share,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1</w:t>
            </w:r>
            <w:r>
              <w:rPr>
                <w:rStyle w:val="xdxphntrglzy2xvc3vyzsatifndsevevuxfie9gienptlzfulrjqkxfie5pvevtifbbwufcteugkerldgfpbhmpichqyxjlbnrozxrpy2fskqa"/>
                <w:rFonts w:eastAsia="Times New Roman"/>
                <w:sz w:val="20"/>
                <w:szCs w:val="20"/>
              </w:rPr>
              <w:t>2</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December 201</w:t>
            </w:r>
            <w:r>
              <w:rPr>
                <w:rStyle w:val="xdxphntrglzy2xvc3vyzsatifndsevevuxfie9gienptlzfulrjqkxfie5pvevtifbbwufcteugkerldgfpbhmpichqyxjlbnrozxrpy2fskqa"/>
                <w:rFonts w:eastAsia="Times New Roman"/>
                <w:sz w:val="20"/>
                <w:szCs w:val="20"/>
              </w:rPr>
              <w:t>3</w:t>
            </w:r>
            <w:r>
              <w:rPr>
                <w:rFonts w:eastAsia="Times New Roman"/>
                <w:sz w:val="20"/>
                <w:szCs w:val="20"/>
              </w:rPr>
              <w:t xml:space="preserve"> and</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January 201</w:t>
            </w:r>
            <w:r>
              <w:rPr>
                <w:rStyle w:val="xdxphntrglzy2xvc3vyzsatifndsevevuxfie9gienptlzfulrjqkxfie5pvevtifbbwufcteugkerldgfpbhmpichqyxjlbnrozxrpy2fskqa"/>
                <w:rFonts w:eastAsia="Times New Roman"/>
                <w:sz w:val="20"/>
                <w:szCs w:val="20"/>
              </w:rPr>
              <w:t>4</w:t>
            </w:r>
          </w:p>
        </w:tc>
        <w:tc>
          <w:tcPr>
            <w:tcW w:w="100" w:type="pct"/>
            <w:shd w:val="clear" w:color="auto" w:fill="CCEEFF"/>
            <w:vAlign w:val="bottom"/>
            <w:hideMark/>
          </w:tcPr>
          <w:p w14:paraId="268AC610"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DD2CE7" w14:textId="77777777" w:rsidR="00000000" w:rsidRDefault="00D6065B">
            <w:pPr>
              <w:rPr>
                <w:rFonts w:eastAsia="Times New Roman"/>
                <w:sz w:val="20"/>
                <w:szCs w:val="20"/>
              </w:rPr>
            </w:pPr>
            <w:r>
              <w:rPr>
                <w:rFonts w:eastAsia="Times New Roman"/>
                <w:sz w:val="20"/>
                <w:szCs w:val="20"/>
              </w:rPr>
              <w:t>$</w:t>
            </w:r>
          </w:p>
        </w:tc>
        <w:tc>
          <w:tcPr>
            <w:tcW w:w="900" w:type="pct"/>
            <w:shd w:val="clear" w:color="auto" w:fill="CCEEFF"/>
            <w:vAlign w:val="bottom"/>
            <w:hideMark/>
          </w:tcPr>
          <w:p w14:paraId="241072A3" w14:textId="77777777" w:rsidR="00000000" w:rsidRDefault="00D6065B">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14:paraId="260A8D17"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DD375D5"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5C5B59" w14:textId="77777777" w:rsidR="00000000" w:rsidRDefault="00D6065B">
            <w:pPr>
              <w:rPr>
                <w:rFonts w:eastAsia="Times New Roman"/>
                <w:sz w:val="20"/>
                <w:szCs w:val="20"/>
              </w:rPr>
            </w:pPr>
            <w:r>
              <w:rPr>
                <w:rFonts w:eastAsia="Times New Roman"/>
                <w:sz w:val="20"/>
                <w:szCs w:val="20"/>
              </w:rPr>
              <w:t>$</w:t>
            </w:r>
          </w:p>
        </w:tc>
        <w:tc>
          <w:tcPr>
            <w:tcW w:w="900" w:type="pct"/>
            <w:shd w:val="clear" w:color="auto" w:fill="CCEEFF"/>
            <w:vAlign w:val="bottom"/>
            <w:hideMark/>
          </w:tcPr>
          <w:p w14:paraId="56293F9F" w14:textId="77777777" w:rsidR="00000000" w:rsidRDefault="00D6065B">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14:paraId="077A8BE2" w14:textId="77777777" w:rsidR="00000000" w:rsidRDefault="00D6065B">
            <w:pPr>
              <w:rPr>
                <w:rFonts w:eastAsia="Times New Roman"/>
                <w:sz w:val="20"/>
                <w:szCs w:val="20"/>
              </w:rPr>
            </w:pPr>
            <w:r>
              <w:rPr>
                <w:rFonts w:eastAsia="Times New Roman"/>
                <w:sz w:val="20"/>
                <w:szCs w:val="20"/>
              </w:rPr>
              <w:t> </w:t>
            </w:r>
          </w:p>
        </w:tc>
      </w:tr>
      <w:tr w:rsidR="00000000" w14:paraId="1442E3C2" w14:textId="77777777">
        <w:tc>
          <w:tcPr>
            <w:tcW w:w="0" w:type="auto"/>
            <w:shd w:val="clear" w:color="auto" w:fill="FFFFFF"/>
            <w:vAlign w:val="bottom"/>
            <w:hideMark/>
          </w:tcPr>
          <w:p w14:paraId="7363B8AC" w14:textId="77777777" w:rsidR="00000000" w:rsidRDefault="00D6065B">
            <w:pPr>
              <w:rPr>
                <w:rFonts w:eastAsia="Times New Roman"/>
                <w:sz w:val="20"/>
                <w:szCs w:val="20"/>
              </w:rPr>
            </w:pPr>
            <w:r>
              <w:rPr>
                <w:rFonts w:eastAsia="Times New Roman"/>
                <w:sz w:val="20"/>
                <w:szCs w:val="20"/>
              </w:rPr>
              <w:t xml:space="preserve">November 2020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50,00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Note convertible into common shares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0.0</w:t>
            </w:r>
            <w:r>
              <w:rPr>
                <w:rStyle w:val="xdxphntrglzy2xvc3vyzsatifndsevevuxfie9gienptlzfulrjqkxfie5pvevtifbbwufcteugkerldgfpbhmpichqyxjlbnrozxrpy2fskqa"/>
                <w:rFonts w:eastAsia="Times New Roman"/>
                <w:sz w:val="20"/>
                <w:szCs w:val="20"/>
              </w:rPr>
              <w:t>4</w:t>
            </w:r>
            <w:r>
              <w:rPr>
                <w:rFonts w:eastAsia="Times New Roman"/>
                <w:sz w:val="20"/>
                <w:szCs w:val="20"/>
              </w:rPr>
              <w:t>,</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6</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May 30, 202</w:t>
            </w:r>
            <w:r>
              <w:rPr>
                <w:rStyle w:val="xdxphntrglzy2xvc3vyzsatifndsevevuxfie9gienptlzfulrjqkxfie5pvevtifbbwufcteugkerldgfpbhmpichqyxjlbnrozxrpy2fskqa"/>
                <w:rFonts w:eastAsia="Times New Roman"/>
                <w:sz w:val="20"/>
                <w:szCs w:val="20"/>
              </w:rPr>
              <w:t>1</w:t>
            </w:r>
          </w:p>
        </w:tc>
        <w:tc>
          <w:tcPr>
            <w:tcW w:w="0" w:type="auto"/>
            <w:shd w:val="clear" w:color="auto" w:fill="FFFFFF"/>
            <w:vAlign w:val="bottom"/>
            <w:hideMark/>
          </w:tcPr>
          <w:p w14:paraId="53B0A1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3D692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8ECC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9FF9F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6302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15E4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B4A33" w14:textId="77777777" w:rsidR="00000000" w:rsidRDefault="00D6065B">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2ADA502F" w14:textId="77777777" w:rsidR="00000000" w:rsidRDefault="00D6065B">
            <w:pPr>
              <w:rPr>
                <w:rFonts w:eastAsia="Times New Roman"/>
                <w:sz w:val="20"/>
                <w:szCs w:val="20"/>
              </w:rPr>
            </w:pPr>
            <w:r>
              <w:rPr>
                <w:rFonts w:eastAsia="Times New Roman"/>
                <w:sz w:val="20"/>
                <w:szCs w:val="20"/>
              </w:rPr>
              <w:t> </w:t>
            </w:r>
          </w:p>
        </w:tc>
      </w:tr>
      <w:tr w:rsidR="00000000" w14:paraId="6B61C438" w14:textId="77777777">
        <w:tc>
          <w:tcPr>
            <w:tcW w:w="0" w:type="auto"/>
            <w:shd w:val="clear" w:color="auto" w:fill="CCEEFF"/>
            <w:vAlign w:val="bottom"/>
            <w:hideMark/>
          </w:tcPr>
          <w:p w14:paraId="6528444B" w14:textId="77777777" w:rsidR="00000000" w:rsidRDefault="00D6065B">
            <w:pPr>
              <w:rPr>
                <w:rFonts w:eastAsia="Times New Roman"/>
                <w:sz w:val="20"/>
                <w:szCs w:val="20"/>
              </w:rPr>
            </w:pPr>
            <w:r>
              <w:rPr>
                <w:rFonts w:eastAsia="Times New Roman"/>
                <w:sz w:val="20"/>
                <w:szCs w:val="20"/>
              </w:rPr>
              <w:t>Penalties on notes in default</w:t>
            </w:r>
          </w:p>
        </w:tc>
        <w:tc>
          <w:tcPr>
            <w:tcW w:w="0" w:type="auto"/>
            <w:shd w:val="clear" w:color="auto" w:fill="CCEEFF"/>
            <w:vAlign w:val="bottom"/>
            <w:hideMark/>
          </w:tcPr>
          <w:p w14:paraId="54D0E1A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6D15BC"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E7C03D" w14:textId="77777777" w:rsidR="00000000" w:rsidRDefault="00D6065B">
            <w:pPr>
              <w:jc w:val="right"/>
              <w:rPr>
                <w:rFonts w:eastAsia="Times New Roman"/>
                <w:sz w:val="20"/>
                <w:szCs w:val="20"/>
              </w:rPr>
            </w:pPr>
            <w:r>
              <w:rPr>
                <w:rFonts w:eastAsia="Times New Roman"/>
                <w:sz w:val="20"/>
                <w:szCs w:val="20"/>
              </w:rPr>
              <w:t>13,308</w:t>
            </w:r>
          </w:p>
        </w:tc>
        <w:tc>
          <w:tcPr>
            <w:tcW w:w="0" w:type="auto"/>
            <w:shd w:val="clear" w:color="auto" w:fill="CCEEFF"/>
            <w:vAlign w:val="bottom"/>
            <w:hideMark/>
          </w:tcPr>
          <w:p w14:paraId="68C6B03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2EF7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899EF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A54C4A" w14:textId="77777777" w:rsidR="00000000" w:rsidRDefault="00D6065B">
            <w:pPr>
              <w:jc w:val="right"/>
              <w:rPr>
                <w:rFonts w:eastAsia="Times New Roman"/>
                <w:sz w:val="20"/>
                <w:szCs w:val="20"/>
              </w:rPr>
            </w:pPr>
            <w:r>
              <w:rPr>
                <w:rFonts w:eastAsia="Times New Roman"/>
                <w:sz w:val="20"/>
                <w:szCs w:val="20"/>
              </w:rPr>
              <w:t>12,418</w:t>
            </w:r>
          </w:p>
        </w:tc>
        <w:tc>
          <w:tcPr>
            <w:tcW w:w="0" w:type="auto"/>
            <w:shd w:val="clear" w:color="auto" w:fill="CCEEFF"/>
            <w:vAlign w:val="bottom"/>
            <w:hideMark/>
          </w:tcPr>
          <w:p w14:paraId="1D6CA0CE" w14:textId="77777777" w:rsidR="00000000" w:rsidRDefault="00D6065B">
            <w:pPr>
              <w:rPr>
                <w:rFonts w:eastAsia="Times New Roman"/>
                <w:sz w:val="20"/>
                <w:szCs w:val="20"/>
              </w:rPr>
            </w:pPr>
            <w:r>
              <w:rPr>
                <w:rFonts w:eastAsia="Times New Roman"/>
                <w:sz w:val="20"/>
                <w:szCs w:val="20"/>
              </w:rPr>
              <w:t> </w:t>
            </w:r>
          </w:p>
        </w:tc>
      </w:tr>
      <w:tr w:rsidR="00000000" w14:paraId="64C45BEA" w14:textId="77777777">
        <w:tc>
          <w:tcPr>
            <w:tcW w:w="0" w:type="auto"/>
            <w:shd w:val="clear" w:color="auto" w:fill="FFFFFF"/>
            <w:vAlign w:val="bottom"/>
            <w:hideMark/>
          </w:tcPr>
          <w:p w14:paraId="20B179D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9B79A1"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95F77F"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A448D18" w14:textId="77777777" w:rsidR="00000000" w:rsidRDefault="00D6065B">
            <w:pPr>
              <w:jc w:val="right"/>
              <w:rPr>
                <w:rFonts w:eastAsia="Times New Roman"/>
                <w:sz w:val="20"/>
                <w:szCs w:val="20"/>
              </w:rPr>
            </w:pPr>
            <w:r>
              <w:rPr>
                <w:rFonts w:eastAsia="Times New Roman"/>
                <w:sz w:val="20"/>
                <w:szCs w:val="20"/>
              </w:rPr>
              <w:t>58,308</w:t>
            </w:r>
          </w:p>
        </w:tc>
        <w:tc>
          <w:tcPr>
            <w:tcW w:w="0" w:type="auto"/>
            <w:shd w:val="clear" w:color="auto" w:fill="FFFFFF"/>
            <w:vAlign w:val="bottom"/>
            <w:hideMark/>
          </w:tcPr>
          <w:p w14:paraId="22E58FE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EAE5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3033180"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8EB292" w14:textId="77777777" w:rsidR="00000000" w:rsidRDefault="00D6065B">
            <w:pPr>
              <w:jc w:val="right"/>
              <w:rPr>
                <w:rFonts w:eastAsia="Times New Roman"/>
                <w:sz w:val="20"/>
                <w:szCs w:val="20"/>
              </w:rPr>
            </w:pPr>
            <w:r>
              <w:rPr>
                <w:rFonts w:eastAsia="Times New Roman"/>
                <w:sz w:val="20"/>
                <w:szCs w:val="20"/>
              </w:rPr>
              <w:t>107,418</w:t>
            </w:r>
          </w:p>
        </w:tc>
        <w:tc>
          <w:tcPr>
            <w:tcW w:w="0" w:type="auto"/>
            <w:shd w:val="clear" w:color="auto" w:fill="FFFFFF"/>
            <w:vAlign w:val="bottom"/>
            <w:hideMark/>
          </w:tcPr>
          <w:p w14:paraId="1965784A" w14:textId="77777777" w:rsidR="00000000" w:rsidRDefault="00D6065B">
            <w:pPr>
              <w:rPr>
                <w:rFonts w:eastAsia="Times New Roman"/>
                <w:sz w:val="20"/>
                <w:szCs w:val="20"/>
              </w:rPr>
            </w:pPr>
            <w:r>
              <w:rPr>
                <w:rFonts w:eastAsia="Times New Roman"/>
                <w:sz w:val="20"/>
                <w:szCs w:val="20"/>
              </w:rPr>
              <w:t> </w:t>
            </w:r>
          </w:p>
        </w:tc>
      </w:tr>
    </w:tbl>
    <w:p w14:paraId="5C070037" w14:textId="77777777" w:rsidR="00000000" w:rsidRDefault="00D6065B">
      <w:pPr>
        <w:pStyle w:val="a3"/>
        <w:spacing w:before="0" w:beforeAutospacing="0" w:after="0" w:afterAutospacing="0"/>
        <w:jc w:val="both"/>
        <w:rPr>
          <w:sz w:val="20"/>
          <w:szCs w:val="20"/>
        </w:rPr>
      </w:pPr>
      <w:r>
        <w:rPr>
          <w:sz w:val="20"/>
          <w:szCs w:val="20"/>
        </w:rPr>
        <w:t> </w:t>
      </w:r>
    </w:p>
    <w:p w14:paraId="13A02084"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 xml:space="preserve">Company entered into a </w:t>
      </w:r>
      <w:r>
        <w:rPr>
          <w:sz w:val="20"/>
          <w:szCs w:val="20"/>
        </w:rPr>
        <w:t>$</w:t>
      </w:r>
      <w:r>
        <w:rPr>
          <w:sz w:val="20"/>
          <w:szCs w:val="20"/>
        </w:rPr>
        <w:t>50,00</w:t>
      </w:r>
      <w:r>
        <w:rPr>
          <w:sz w:val="20"/>
          <w:szCs w:val="20"/>
        </w:rPr>
        <w:t>0</w:t>
      </w:r>
      <w:r>
        <w:rPr>
          <w:sz w:val="20"/>
          <w:szCs w:val="20"/>
        </w:rPr>
        <w:t xml:space="preserve"> convertible promissory note on November 30, 2020, that matures</w:t>
      </w:r>
      <w:r>
        <w:rPr>
          <w:sz w:val="20"/>
          <w:szCs w:val="20"/>
        </w:rPr>
        <w:t xml:space="preserve"> </w:t>
      </w:r>
      <w:r>
        <w:rPr>
          <w:sz w:val="20"/>
          <w:szCs w:val="20"/>
        </w:rPr>
        <w:t>May 30, 202</w:t>
      </w:r>
      <w:r>
        <w:rPr>
          <w:sz w:val="20"/>
          <w:szCs w:val="20"/>
        </w:rPr>
        <w:t>1</w:t>
      </w:r>
      <w:r>
        <w:rPr>
          <w:sz w:val="20"/>
          <w:szCs w:val="20"/>
        </w:rPr>
        <w:t>. The convertible promissory notes bear interest at a rate of</w:t>
      </w:r>
      <w:r>
        <w:rPr>
          <w:sz w:val="20"/>
          <w:szCs w:val="20"/>
        </w:rPr>
        <w:t xml:space="preserve"> </w:t>
      </w:r>
      <w:r>
        <w:rPr>
          <w:sz w:val="20"/>
          <w:szCs w:val="20"/>
        </w:rPr>
        <w:t>6</w:t>
      </w:r>
      <w:r>
        <w:rPr>
          <w:sz w:val="20"/>
          <w:szCs w:val="20"/>
        </w:rPr>
        <w:t>%, The convertible promissory note is convertible into shares of common stock at a pric</w:t>
      </w:r>
      <w:r>
        <w:rPr>
          <w:sz w:val="20"/>
          <w:szCs w:val="20"/>
        </w:rPr>
        <w:t xml:space="preserve">e of </w:t>
      </w:r>
      <w:r>
        <w:rPr>
          <w:sz w:val="20"/>
          <w:szCs w:val="20"/>
        </w:rPr>
        <w:t>$</w:t>
      </w:r>
      <w:r>
        <w:rPr>
          <w:sz w:val="20"/>
          <w:szCs w:val="20"/>
        </w:rPr>
        <w:t>0.0</w:t>
      </w:r>
      <w:r>
        <w:rPr>
          <w:sz w:val="20"/>
          <w:szCs w:val="20"/>
        </w:rPr>
        <w:t>4</w:t>
      </w:r>
      <w:r>
        <w:rPr>
          <w:sz w:val="20"/>
          <w:szCs w:val="20"/>
        </w:rPr>
        <w:t xml:space="preserve"> per share. Upon the closing of an equity financing pursuant to an effective registration statement with gross proceeds to the Company totaling at least </w:t>
      </w:r>
      <w:r>
        <w:rPr>
          <w:sz w:val="20"/>
          <w:szCs w:val="20"/>
        </w:rPr>
        <w:t>$</w:t>
      </w:r>
      <w:r>
        <w:rPr>
          <w:sz w:val="20"/>
          <w:szCs w:val="20"/>
        </w:rPr>
        <w:t>350,00</w:t>
      </w:r>
      <w:r>
        <w:rPr>
          <w:sz w:val="20"/>
          <w:szCs w:val="20"/>
        </w:rPr>
        <w:t>0</w:t>
      </w:r>
      <w:r>
        <w:rPr>
          <w:sz w:val="20"/>
          <w:szCs w:val="20"/>
        </w:rPr>
        <w:t xml:space="preserve"> exclusive of any exchanges (“Qualified Financing”), the outstanding principal amount</w:t>
      </w:r>
      <w:r>
        <w:rPr>
          <w:sz w:val="20"/>
          <w:szCs w:val="20"/>
        </w:rPr>
        <w:t xml:space="preserve"> of this convertible promissory notes together with all accrued and unpaid interest shall be exchanged into such securities as are issued in the Qualified Financing at a rate of</w:t>
      </w:r>
      <w:r>
        <w:rPr>
          <w:sz w:val="20"/>
          <w:szCs w:val="20"/>
        </w:rPr>
        <w:t xml:space="preserve"> </w:t>
      </w:r>
      <w:r>
        <w:rPr>
          <w:sz w:val="20"/>
          <w:szCs w:val="20"/>
        </w:rPr>
        <w:t>1.2</w:t>
      </w:r>
      <w:r>
        <w:rPr>
          <w:sz w:val="20"/>
          <w:szCs w:val="20"/>
        </w:rPr>
        <w:t>0</w:t>
      </w:r>
      <w:r>
        <w:rPr>
          <w:sz w:val="20"/>
          <w:szCs w:val="20"/>
        </w:rPr>
        <w:t>. Upon an exchange, the Payee shall be granted all rights afforded to an i</w:t>
      </w:r>
      <w:r>
        <w:rPr>
          <w:sz w:val="20"/>
          <w:szCs w:val="20"/>
        </w:rPr>
        <w:t>nvestor in the Qualified Financing. The Company along with the noteholder agreed to exchange</w:t>
      </w:r>
      <w:r>
        <w:rPr>
          <w:sz w:val="20"/>
          <w:szCs w:val="20"/>
        </w:rPr>
        <w:t xml:space="preserve"> </w:t>
      </w:r>
      <w:r>
        <w:rPr>
          <w:sz w:val="20"/>
          <w:szCs w:val="20"/>
        </w:rPr>
        <w:t>1,867,50</w:t>
      </w:r>
      <w:r>
        <w:rPr>
          <w:sz w:val="20"/>
          <w:szCs w:val="20"/>
        </w:rPr>
        <w:t>0</w:t>
      </w:r>
      <w:r>
        <w:rPr>
          <w:sz w:val="20"/>
          <w:szCs w:val="20"/>
        </w:rPr>
        <w:t xml:space="preserve"> warrants into</w:t>
      </w:r>
      <w:r>
        <w:rPr>
          <w:sz w:val="20"/>
          <w:szCs w:val="20"/>
        </w:rPr>
        <w:t xml:space="preserve"> </w:t>
      </w:r>
      <w:r>
        <w:rPr>
          <w:sz w:val="20"/>
          <w:szCs w:val="20"/>
        </w:rPr>
        <w:t>933,75</w:t>
      </w:r>
      <w:r>
        <w:rPr>
          <w:sz w:val="20"/>
          <w:szCs w:val="20"/>
        </w:rPr>
        <w:t>0</w:t>
      </w:r>
      <w:r>
        <w:rPr>
          <w:sz w:val="20"/>
          <w:szCs w:val="20"/>
        </w:rPr>
        <w:t xml:space="preserve"> common shares. These shares were issued in December 2020. The convertible note was converted into shares of common stock in January</w:t>
      </w:r>
      <w:r>
        <w:rPr>
          <w:sz w:val="20"/>
          <w:szCs w:val="20"/>
        </w:rPr>
        <w:t xml:space="preserve"> 2021.</w:t>
      </w:r>
    </w:p>
    <w:p w14:paraId="010C15F7" w14:textId="77777777" w:rsidR="00000000" w:rsidRDefault="00D6065B">
      <w:pPr>
        <w:pStyle w:val="a3"/>
        <w:spacing w:before="0" w:beforeAutospacing="0" w:after="0" w:afterAutospacing="0"/>
        <w:jc w:val="both"/>
        <w:rPr>
          <w:sz w:val="20"/>
          <w:szCs w:val="20"/>
        </w:rPr>
      </w:pPr>
      <w:r>
        <w:rPr>
          <w:sz w:val="20"/>
          <w:szCs w:val="20"/>
        </w:rPr>
        <w:t> </w:t>
      </w:r>
    </w:p>
    <w:p w14:paraId="47B34613" w14:textId="77777777" w:rsidR="00000000" w:rsidRDefault="00D6065B">
      <w:pPr>
        <w:pStyle w:val="a3"/>
        <w:spacing w:before="0" w:beforeAutospacing="0" w:after="0" w:afterAutospacing="0"/>
        <w:jc w:val="both"/>
        <w:rPr>
          <w:sz w:val="20"/>
          <w:szCs w:val="20"/>
        </w:rPr>
      </w:pPr>
      <w:r>
        <w:rPr>
          <w:sz w:val="20"/>
          <w:szCs w:val="20"/>
        </w:rPr>
        <w:t xml:space="preserve">Interest expense for the six months ended June 30, 2021 and 2020 on the convertible notes payable amounted to </w:t>
      </w:r>
      <w:r>
        <w:rPr>
          <w:sz w:val="20"/>
          <w:szCs w:val="20"/>
        </w:rPr>
        <w:t>$</w:t>
      </w:r>
      <w:r>
        <w:rPr>
          <w:sz w:val="20"/>
          <w:szCs w:val="20"/>
        </w:rPr>
        <w:t>2,78</w:t>
      </w:r>
      <w:r>
        <w:rPr>
          <w:sz w:val="20"/>
          <w:szCs w:val="20"/>
        </w:rPr>
        <w:t>6</w:t>
      </w:r>
      <w:r>
        <w:rPr>
          <w:sz w:val="20"/>
          <w:szCs w:val="20"/>
        </w:rPr>
        <w:t xml:space="preserve"> and </w:t>
      </w:r>
      <w:r>
        <w:rPr>
          <w:sz w:val="20"/>
          <w:szCs w:val="20"/>
        </w:rPr>
        <w:t>$</w:t>
      </w:r>
      <w:r>
        <w:rPr>
          <w:sz w:val="20"/>
          <w:szCs w:val="20"/>
        </w:rPr>
        <w:t>18,42</w:t>
      </w:r>
      <w:r>
        <w:rPr>
          <w:sz w:val="20"/>
          <w:szCs w:val="20"/>
        </w:rPr>
        <w:t>5</w:t>
      </w:r>
      <w:r>
        <w:rPr>
          <w:sz w:val="20"/>
          <w:szCs w:val="20"/>
        </w:rPr>
        <w:t>, respectively.</w:t>
      </w:r>
    </w:p>
    <w:p w14:paraId="43941A39"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CDA57C7" w14:textId="77777777">
        <w:trPr>
          <w:divId w:val="995760910"/>
        </w:trPr>
        <w:tc>
          <w:tcPr>
            <w:tcW w:w="5000" w:type="pct"/>
            <w:hideMark/>
          </w:tcPr>
          <w:p w14:paraId="23BEE16A"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42239E2" w14:textId="77777777">
        <w:tc>
          <w:tcPr>
            <w:tcW w:w="5000" w:type="pct"/>
            <w:hideMark/>
          </w:tcPr>
          <w:p w14:paraId="0F6656F2" w14:textId="77777777" w:rsidR="00000000" w:rsidRDefault="00D6065B">
            <w:pPr>
              <w:jc w:val="center"/>
              <w:rPr>
                <w:rFonts w:eastAsia="Times New Roman"/>
                <w:sz w:val="20"/>
                <w:szCs w:val="20"/>
              </w:rPr>
            </w:pPr>
            <w:r>
              <w:rPr>
                <w:rFonts w:eastAsia="Times New Roman"/>
                <w:sz w:val="20"/>
                <w:szCs w:val="20"/>
              </w:rPr>
              <w:t> </w:t>
            </w:r>
          </w:p>
        </w:tc>
      </w:tr>
    </w:tbl>
    <w:p w14:paraId="1013873E" w14:textId="77777777" w:rsidR="00000000" w:rsidRDefault="00D6065B">
      <w:pPr>
        <w:pStyle w:val="a3"/>
        <w:spacing w:before="0" w:beforeAutospacing="0" w:after="0" w:afterAutospacing="0"/>
        <w:rPr>
          <w:sz w:val="20"/>
          <w:szCs w:val="20"/>
        </w:rPr>
      </w:pPr>
      <w:r>
        <w:rPr>
          <w:sz w:val="20"/>
          <w:szCs w:val="20"/>
        </w:rPr>
        <w:t> </w:t>
      </w:r>
    </w:p>
    <w:p w14:paraId="58381DD4" w14:textId="77777777" w:rsidR="00000000" w:rsidRDefault="00D6065B">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PROMISSORY NOTES PAYABL</w:t>
      </w:r>
      <w:r>
        <w:rPr>
          <w:b/>
          <w:bCs/>
          <w:sz w:val="20"/>
          <w:szCs w:val="20"/>
        </w:rPr>
        <w:t>E</w:t>
      </w:r>
    </w:p>
    <w:p w14:paraId="7BDD32B7" w14:textId="77777777" w:rsidR="00000000" w:rsidRDefault="00D6065B">
      <w:pPr>
        <w:pStyle w:val="a3"/>
        <w:spacing w:before="0" w:beforeAutospacing="0" w:after="0" w:afterAutospacing="0"/>
        <w:jc w:val="both"/>
        <w:rPr>
          <w:sz w:val="20"/>
          <w:szCs w:val="20"/>
        </w:rPr>
      </w:pPr>
      <w:r>
        <w:rPr>
          <w:sz w:val="20"/>
          <w:szCs w:val="20"/>
        </w:rPr>
        <w:t> </w:t>
      </w:r>
    </w:p>
    <w:p w14:paraId="6FEF9B7A"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 xml:space="preserve">Company issued two separate promissory notes on February 20, 2019 at </w:t>
      </w:r>
      <w:r>
        <w:rPr>
          <w:sz w:val="20"/>
          <w:szCs w:val="20"/>
        </w:rPr>
        <w:t>$</w:t>
      </w:r>
      <w:r>
        <w:rPr>
          <w:sz w:val="20"/>
          <w:szCs w:val="20"/>
        </w:rPr>
        <w:t>50,00</w:t>
      </w:r>
      <w:r>
        <w:rPr>
          <w:sz w:val="20"/>
          <w:szCs w:val="20"/>
        </w:rPr>
        <w:t>0</w:t>
      </w:r>
      <w:r>
        <w:rPr>
          <w:sz w:val="20"/>
          <w:szCs w:val="20"/>
        </w:rPr>
        <w:t xml:space="preserve"> each (total of </w:t>
      </w:r>
      <w:r>
        <w:rPr>
          <w:sz w:val="20"/>
          <w:szCs w:val="20"/>
        </w:rPr>
        <w:t>$</w:t>
      </w:r>
      <w:r>
        <w:rPr>
          <w:sz w:val="20"/>
          <w:szCs w:val="20"/>
        </w:rPr>
        <w:t>100,00</w:t>
      </w:r>
      <w:r>
        <w:rPr>
          <w:sz w:val="20"/>
          <w:szCs w:val="20"/>
        </w:rPr>
        <w:t>0</w:t>
      </w:r>
      <w:r>
        <w:rPr>
          <w:sz w:val="20"/>
          <w:szCs w:val="20"/>
        </w:rPr>
        <w:t>) that were to mature on</w:t>
      </w:r>
      <w:r>
        <w:rPr>
          <w:sz w:val="20"/>
          <w:szCs w:val="20"/>
        </w:rPr>
        <w:t xml:space="preserve"> </w:t>
      </w:r>
      <w:r>
        <w:rPr>
          <w:sz w:val="20"/>
          <w:szCs w:val="20"/>
        </w:rPr>
        <w:t>August 20, 201</w:t>
      </w:r>
      <w:r>
        <w:rPr>
          <w:sz w:val="20"/>
          <w:szCs w:val="20"/>
        </w:rPr>
        <w:t>9</w:t>
      </w:r>
      <w:r>
        <w:rPr>
          <w:sz w:val="20"/>
          <w:szCs w:val="20"/>
        </w:rPr>
        <w:t xml:space="preserve"> and accrued interest at</w:t>
      </w:r>
      <w:r>
        <w:rPr>
          <w:sz w:val="20"/>
          <w:szCs w:val="20"/>
        </w:rPr>
        <w:t xml:space="preserve"> </w:t>
      </w:r>
      <w:r>
        <w:rPr>
          <w:sz w:val="20"/>
          <w:szCs w:val="20"/>
        </w:rPr>
        <w:t>8.0</w:t>
      </w:r>
      <w:r>
        <w:rPr>
          <w:sz w:val="20"/>
          <w:szCs w:val="20"/>
        </w:rPr>
        <w:t>0</w:t>
      </w:r>
      <w:r>
        <w:rPr>
          <w:sz w:val="20"/>
          <w:szCs w:val="20"/>
        </w:rPr>
        <w:t>% per annum. In connection with the promissory notes, the Company issued warrants to pu</w:t>
      </w:r>
      <w:r>
        <w:rPr>
          <w:sz w:val="20"/>
          <w:szCs w:val="20"/>
        </w:rPr>
        <w:t>rchase</w:t>
      </w:r>
      <w:r>
        <w:rPr>
          <w:sz w:val="20"/>
          <w:szCs w:val="20"/>
        </w:rPr>
        <w:t xml:space="preserve"> </w:t>
      </w:r>
      <w:r>
        <w:rPr>
          <w:sz w:val="20"/>
          <w:szCs w:val="20"/>
        </w:rPr>
        <w:t>1,250,00</w:t>
      </w:r>
      <w:r>
        <w:rPr>
          <w:sz w:val="20"/>
          <w:szCs w:val="20"/>
        </w:rPr>
        <w:t>0</w:t>
      </w:r>
      <w:r>
        <w:rPr>
          <w:sz w:val="20"/>
          <w:szCs w:val="20"/>
        </w:rPr>
        <w:t xml:space="preserve"> shares of common stock. The Company recorded the relative fair value of the warrants as a debt discount of </w:t>
      </w:r>
      <w:r>
        <w:rPr>
          <w:sz w:val="20"/>
          <w:szCs w:val="20"/>
        </w:rPr>
        <w:t>$</w:t>
      </w:r>
      <w:r>
        <w:rPr>
          <w:sz w:val="20"/>
          <w:szCs w:val="20"/>
        </w:rPr>
        <w:t>28,72</w:t>
      </w:r>
      <w:r>
        <w:rPr>
          <w:sz w:val="20"/>
          <w:szCs w:val="20"/>
        </w:rPr>
        <w:t>1</w:t>
      </w:r>
      <w:r>
        <w:rPr>
          <w:sz w:val="20"/>
          <w:szCs w:val="20"/>
        </w:rPr>
        <w:t xml:space="preserve"> and amortized the discount over the life of the note (6 months).</w:t>
      </w:r>
    </w:p>
    <w:p w14:paraId="562C810B" w14:textId="77777777" w:rsidR="00000000" w:rsidRDefault="00D6065B">
      <w:pPr>
        <w:pStyle w:val="a3"/>
        <w:spacing w:before="0" w:beforeAutospacing="0" w:after="0" w:afterAutospacing="0"/>
        <w:rPr>
          <w:sz w:val="20"/>
          <w:szCs w:val="20"/>
        </w:rPr>
      </w:pPr>
      <w:r>
        <w:rPr>
          <w:sz w:val="20"/>
          <w:szCs w:val="20"/>
        </w:rPr>
        <w:t> </w:t>
      </w:r>
    </w:p>
    <w:p w14:paraId="045F683A" w14:textId="77777777" w:rsidR="00000000" w:rsidRDefault="00D6065B">
      <w:pPr>
        <w:pStyle w:val="a3"/>
        <w:spacing w:before="0" w:beforeAutospacing="0" w:after="0" w:afterAutospacing="0"/>
        <w:jc w:val="both"/>
        <w:rPr>
          <w:sz w:val="20"/>
          <w:szCs w:val="20"/>
        </w:rPr>
      </w:pPr>
      <w:r>
        <w:rPr>
          <w:sz w:val="20"/>
          <w:szCs w:val="20"/>
        </w:rPr>
        <w:t xml:space="preserve">On August 20, 2019, the two noteholders agreed to extend </w:t>
      </w:r>
      <w:r>
        <w:rPr>
          <w:sz w:val="20"/>
          <w:szCs w:val="20"/>
        </w:rPr>
        <w:t>these notes another six-months to February 20, 2020, then amended again for six-months and the notes were to mature</w:t>
      </w:r>
      <w:r>
        <w:rPr>
          <w:sz w:val="20"/>
          <w:szCs w:val="20"/>
        </w:rPr>
        <w:t xml:space="preserve"> </w:t>
      </w:r>
      <w:r>
        <w:rPr>
          <w:sz w:val="20"/>
          <w:szCs w:val="20"/>
        </w:rPr>
        <w:t>August 20, 202</w:t>
      </w:r>
      <w:r>
        <w:rPr>
          <w:sz w:val="20"/>
          <w:szCs w:val="20"/>
        </w:rPr>
        <w:t>0</w:t>
      </w:r>
      <w:r>
        <w:rPr>
          <w:sz w:val="20"/>
          <w:szCs w:val="20"/>
        </w:rPr>
        <w:t>. In consideration for the extension, the note holders received</w:t>
      </w:r>
      <w:r>
        <w:rPr>
          <w:sz w:val="20"/>
          <w:szCs w:val="20"/>
        </w:rPr>
        <w:t xml:space="preserve"> </w:t>
      </w:r>
      <w:r>
        <w:rPr>
          <w:sz w:val="20"/>
          <w:szCs w:val="20"/>
        </w:rPr>
        <w:t>750,00</w:t>
      </w:r>
      <w:r>
        <w:rPr>
          <w:sz w:val="20"/>
          <w:szCs w:val="20"/>
        </w:rPr>
        <w:t>0</w:t>
      </w:r>
      <w:r>
        <w:rPr>
          <w:sz w:val="20"/>
          <w:szCs w:val="20"/>
        </w:rPr>
        <w:t xml:space="preserve"> warrants </w:t>
      </w:r>
      <w:r>
        <w:rPr>
          <w:sz w:val="20"/>
          <w:szCs w:val="20"/>
        </w:rPr>
        <w:t>(</w:t>
      </w:r>
      <w:r>
        <w:rPr>
          <w:sz w:val="20"/>
          <w:szCs w:val="20"/>
        </w:rPr>
        <w:t>375,00</w:t>
      </w:r>
      <w:r>
        <w:rPr>
          <w:sz w:val="20"/>
          <w:szCs w:val="20"/>
        </w:rPr>
        <w:t>0</w:t>
      </w:r>
      <w:r>
        <w:rPr>
          <w:sz w:val="20"/>
          <w:szCs w:val="20"/>
        </w:rPr>
        <w:t xml:space="preserve"> each) and the interest rate on the </w:t>
      </w:r>
      <w:r>
        <w:rPr>
          <w:sz w:val="20"/>
          <w:szCs w:val="20"/>
        </w:rPr>
        <w:t>notes increased from</w:t>
      </w:r>
      <w:r>
        <w:rPr>
          <w:sz w:val="20"/>
          <w:szCs w:val="20"/>
        </w:rPr>
        <w:t xml:space="preserve"> </w:t>
      </w:r>
      <w:r>
        <w:rPr>
          <w:sz w:val="20"/>
          <w:szCs w:val="20"/>
        </w:rPr>
        <w:t>8</w:t>
      </w:r>
      <w:r>
        <w:rPr>
          <w:sz w:val="20"/>
          <w:szCs w:val="20"/>
        </w:rPr>
        <w:t>% to</w:t>
      </w:r>
      <w:r>
        <w:rPr>
          <w:sz w:val="20"/>
          <w:szCs w:val="20"/>
        </w:rPr>
        <w:t xml:space="preserve"> </w:t>
      </w:r>
      <w:r>
        <w:rPr>
          <w:sz w:val="20"/>
          <w:szCs w:val="20"/>
        </w:rPr>
        <w:t>1</w:t>
      </w:r>
      <w:r>
        <w:rPr>
          <w:sz w:val="20"/>
          <w:szCs w:val="20"/>
        </w:rPr>
        <w:t>5</w:t>
      </w:r>
      <w:r>
        <w:rPr>
          <w:sz w:val="20"/>
          <w:szCs w:val="20"/>
        </w:rPr>
        <w:t>% per annum.</w:t>
      </w:r>
    </w:p>
    <w:p w14:paraId="5B2E3BC1" w14:textId="77777777" w:rsidR="00000000" w:rsidRDefault="00D6065B">
      <w:pPr>
        <w:pStyle w:val="a3"/>
        <w:spacing w:before="0" w:beforeAutospacing="0" w:after="0" w:afterAutospacing="0"/>
        <w:jc w:val="both"/>
        <w:rPr>
          <w:sz w:val="20"/>
          <w:szCs w:val="20"/>
        </w:rPr>
      </w:pPr>
      <w:r>
        <w:rPr>
          <w:sz w:val="20"/>
          <w:szCs w:val="20"/>
        </w:rPr>
        <w:t> </w:t>
      </w:r>
    </w:p>
    <w:p w14:paraId="17B74E48" w14:textId="77777777" w:rsidR="00000000" w:rsidRDefault="00D6065B">
      <w:pPr>
        <w:pStyle w:val="a3"/>
        <w:spacing w:before="0" w:beforeAutospacing="0" w:after="0" w:afterAutospacing="0"/>
        <w:jc w:val="both"/>
        <w:rPr>
          <w:sz w:val="20"/>
          <w:szCs w:val="20"/>
        </w:rPr>
      </w:pPr>
      <w:r>
        <w:rPr>
          <w:sz w:val="20"/>
          <w:szCs w:val="20"/>
        </w:rPr>
        <w:t xml:space="preserve">The interest expense on these notes for the six months ended June 30, 2021 and 2020 amounted to </w:t>
      </w:r>
      <w:r>
        <w:rPr>
          <w:sz w:val="20"/>
          <w:szCs w:val="20"/>
        </w:rPr>
        <w:t>$</w:t>
      </w:r>
      <w:r>
        <w:rPr>
          <w:sz w:val="20"/>
          <w:szCs w:val="20"/>
        </w:rPr>
        <w:t>0</w:t>
      </w:r>
      <w:r>
        <w:rPr>
          <w:sz w:val="20"/>
          <w:szCs w:val="20"/>
        </w:rPr>
        <w:t xml:space="preserve"> and </w:t>
      </w:r>
      <w:r>
        <w:rPr>
          <w:sz w:val="20"/>
          <w:szCs w:val="20"/>
        </w:rPr>
        <w:t>$</w:t>
      </w:r>
      <w:r>
        <w:rPr>
          <w:sz w:val="20"/>
          <w:szCs w:val="20"/>
        </w:rPr>
        <w:t>7,46</w:t>
      </w:r>
      <w:r>
        <w:rPr>
          <w:sz w:val="20"/>
          <w:szCs w:val="20"/>
        </w:rPr>
        <w:t>0</w:t>
      </w:r>
      <w:r>
        <w:rPr>
          <w:sz w:val="20"/>
          <w:szCs w:val="20"/>
        </w:rPr>
        <w:t>.</w:t>
      </w:r>
    </w:p>
    <w:p w14:paraId="6E42DA99" w14:textId="77777777" w:rsidR="00000000" w:rsidRDefault="00D6065B">
      <w:pPr>
        <w:pStyle w:val="a3"/>
        <w:spacing w:before="0" w:beforeAutospacing="0" w:after="0" w:afterAutospacing="0"/>
        <w:jc w:val="both"/>
        <w:rPr>
          <w:sz w:val="20"/>
          <w:szCs w:val="20"/>
        </w:rPr>
      </w:pPr>
      <w:r>
        <w:rPr>
          <w:sz w:val="20"/>
          <w:szCs w:val="20"/>
        </w:rPr>
        <w:t> </w:t>
      </w:r>
    </w:p>
    <w:p w14:paraId="15C91380" w14:textId="77777777" w:rsidR="00000000" w:rsidRDefault="00D6065B">
      <w:pPr>
        <w:pStyle w:val="a3"/>
        <w:spacing w:before="0" w:beforeAutospacing="0" w:after="0" w:afterAutospacing="0"/>
        <w:jc w:val="both"/>
        <w:rPr>
          <w:sz w:val="20"/>
          <w:szCs w:val="20"/>
        </w:rPr>
      </w:pPr>
      <w:r>
        <w:rPr>
          <w:sz w:val="20"/>
          <w:szCs w:val="20"/>
        </w:rPr>
        <w:t xml:space="preserve">The Company repaid </w:t>
      </w:r>
      <w:r>
        <w:rPr>
          <w:sz w:val="20"/>
          <w:szCs w:val="20"/>
        </w:rPr>
        <w:t>$</w:t>
      </w:r>
      <w:r>
        <w:rPr>
          <w:sz w:val="20"/>
          <w:szCs w:val="20"/>
        </w:rPr>
        <w:t>50,00</w:t>
      </w:r>
      <w:r>
        <w:rPr>
          <w:sz w:val="20"/>
          <w:szCs w:val="20"/>
        </w:rPr>
        <w:t>0</w:t>
      </w:r>
      <w:r>
        <w:rPr>
          <w:sz w:val="20"/>
          <w:szCs w:val="20"/>
        </w:rPr>
        <w:t xml:space="preserve"> of these notes plus </w:t>
      </w:r>
      <w:r>
        <w:rPr>
          <w:sz w:val="20"/>
          <w:szCs w:val="20"/>
        </w:rPr>
        <w:t>$</w:t>
      </w:r>
      <w:r>
        <w:rPr>
          <w:sz w:val="20"/>
          <w:szCs w:val="20"/>
        </w:rPr>
        <w:t>13,44</w:t>
      </w:r>
      <w:r>
        <w:rPr>
          <w:sz w:val="20"/>
          <w:szCs w:val="20"/>
        </w:rPr>
        <w:t>2</w:t>
      </w:r>
      <w:r>
        <w:rPr>
          <w:sz w:val="20"/>
          <w:szCs w:val="20"/>
        </w:rPr>
        <w:t xml:space="preserve"> in accrued interest in July 2020 and settled</w:t>
      </w:r>
      <w:r>
        <w:rPr>
          <w:sz w:val="20"/>
          <w:szCs w:val="20"/>
        </w:rPr>
        <w:t xml:space="preserve"> the remaining </w:t>
      </w:r>
      <w:r>
        <w:rPr>
          <w:sz w:val="20"/>
          <w:szCs w:val="20"/>
        </w:rPr>
        <w:t>$</w:t>
      </w:r>
      <w:r>
        <w:rPr>
          <w:sz w:val="20"/>
          <w:szCs w:val="20"/>
        </w:rPr>
        <w:t>50,00</w:t>
      </w:r>
      <w:r>
        <w:rPr>
          <w:sz w:val="20"/>
          <w:szCs w:val="20"/>
        </w:rPr>
        <w:t>0</w:t>
      </w:r>
      <w:r>
        <w:rPr>
          <w:sz w:val="20"/>
          <w:szCs w:val="20"/>
        </w:rPr>
        <w:t xml:space="preserve"> into</w:t>
      </w:r>
      <w:r>
        <w:rPr>
          <w:sz w:val="20"/>
          <w:szCs w:val="20"/>
        </w:rPr>
        <w:t xml:space="preserve"> </w:t>
      </w:r>
      <w:r>
        <w:rPr>
          <w:sz w:val="20"/>
          <w:szCs w:val="20"/>
        </w:rPr>
        <w:t>1,851,85</w:t>
      </w:r>
      <w:r>
        <w:rPr>
          <w:sz w:val="20"/>
          <w:szCs w:val="20"/>
        </w:rPr>
        <w:t>2</w:t>
      </w:r>
      <w:r>
        <w:rPr>
          <w:sz w:val="20"/>
          <w:szCs w:val="20"/>
        </w:rPr>
        <w:t xml:space="preserve"> shares of common stock effective July 14, 2020.</w:t>
      </w:r>
    </w:p>
    <w:p w14:paraId="5DFDC8F9" w14:textId="77777777" w:rsidR="00000000" w:rsidRDefault="00D6065B">
      <w:pPr>
        <w:pStyle w:val="a3"/>
        <w:spacing w:before="0" w:beforeAutospacing="0" w:after="0" w:afterAutospacing="0"/>
        <w:jc w:val="both"/>
        <w:rPr>
          <w:sz w:val="20"/>
          <w:szCs w:val="20"/>
        </w:rPr>
      </w:pPr>
      <w:r>
        <w:rPr>
          <w:sz w:val="20"/>
          <w:szCs w:val="20"/>
        </w:rPr>
        <w:t> </w:t>
      </w:r>
    </w:p>
    <w:p w14:paraId="6C13F07D" w14:textId="77777777" w:rsidR="00000000" w:rsidRDefault="00D6065B">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STOCKHOLDERS’ DEFICI</w:t>
      </w:r>
      <w:r>
        <w:rPr>
          <w:b/>
          <w:bCs/>
          <w:sz w:val="20"/>
          <w:szCs w:val="20"/>
        </w:rPr>
        <w:t>T</w:t>
      </w:r>
    </w:p>
    <w:p w14:paraId="53FDEB29" w14:textId="77777777" w:rsidR="00000000" w:rsidRDefault="00D6065B">
      <w:pPr>
        <w:pStyle w:val="a3"/>
        <w:spacing w:before="0" w:beforeAutospacing="0" w:after="0" w:afterAutospacing="0"/>
        <w:ind w:firstLine="720"/>
        <w:jc w:val="both"/>
        <w:rPr>
          <w:sz w:val="20"/>
          <w:szCs w:val="20"/>
        </w:rPr>
      </w:pPr>
      <w:r>
        <w:rPr>
          <w:sz w:val="20"/>
          <w:szCs w:val="20"/>
        </w:rPr>
        <w:t> </w:t>
      </w:r>
    </w:p>
    <w:p w14:paraId="4F33788F" w14:textId="77777777" w:rsidR="00000000" w:rsidRDefault="00D6065B">
      <w:pPr>
        <w:pStyle w:val="a3"/>
        <w:spacing w:before="0" w:beforeAutospacing="0" w:after="0" w:afterAutospacing="0"/>
        <w:jc w:val="both"/>
        <w:rPr>
          <w:sz w:val="20"/>
          <w:szCs w:val="20"/>
        </w:rPr>
      </w:pPr>
      <w:r>
        <w:rPr>
          <w:b/>
          <w:bCs/>
          <w:sz w:val="20"/>
          <w:szCs w:val="20"/>
        </w:rPr>
        <w:t>Common Stock</w:t>
      </w:r>
    </w:p>
    <w:p w14:paraId="04A4D8AD" w14:textId="77777777" w:rsidR="00000000" w:rsidRDefault="00D6065B">
      <w:pPr>
        <w:pStyle w:val="a3"/>
        <w:spacing w:before="0" w:beforeAutospacing="0" w:after="0" w:afterAutospacing="0"/>
        <w:jc w:val="both"/>
        <w:rPr>
          <w:sz w:val="20"/>
          <w:szCs w:val="20"/>
        </w:rPr>
      </w:pPr>
      <w:r>
        <w:rPr>
          <w:sz w:val="20"/>
          <w:szCs w:val="20"/>
        </w:rPr>
        <w:t> </w:t>
      </w:r>
    </w:p>
    <w:p w14:paraId="43190657" w14:textId="77777777" w:rsidR="00000000" w:rsidRDefault="00D6065B">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shares of common stock authorized, with a par value of </w:t>
      </w:r>
      <w:r>
        <w:rPr>
          <w:sz w:val="20"/>
          <w:szCs w:val="20"/>
        </w:rPr>
        <w:t>$</w:t>
      </w:r>
      <w:r>
        <w:rPr>
          <w:sz w:val="20"/>
          <w:szCs w:val="20"/>
        </w:rPr>
        <w:t>0.00</w:t>
      </w:r>
      <w:r>
        <w:rPr>
          <w:sz w:val="20"/>
          <w:szCs w:val="20"/>
        </w:rPr>
        <w:t>1</w:t>
      </w:r>
      <w:r>
        <w:rPr>
          <w:sz w:val="20"/>
          <w:szCs w:val="20"/>
        </w:rPr>
        <w:t>, and as of June 30, 2021 and De</w:t>
      </w:r>
      <w:r>
        <w:rPr>
          <w:sz w:val="20"/>
          <w:szCs w:val="20"/>
        </w:rPr>
        <w:t>cember 31, 2020, the Company has</w:t>
      </w:r>
      <w:r>
        <w:rPr>
          <w:sz w:val="20"/>
          <w:szCs w:val="20"/>
        </w:rPr>
        <w:t xml:space="preserve"> </w:t>
      </w:r>
      <w:r>
        <w:rPr>
          <w:sz w:val="20"/>
          <w:szCs w:val="20"/>
        </w:rPr>
        <w:t>334,937,19</w:t>
      </w:r>
      <w:r>
        <w:rPr>
          <w:sz w:val="20"/>
          <w:szCs w:val="20"/>
        </w:rPr>
        <w:t>4</w:t>
      </w:r>
      <w:r>
        <w:rPr>
          <w:sz w:val="20"/>
          <w:szCs w:val="20"/>
        </w:rPr>
        <w:t xml:space="preserve"> and</w:t>
      </w:r>
      <w:r>
        <w:rPr>
          <w:sz w:val="20"/>
          <w:szCs w:val="20"/>
        </w:rPr>
        <w:t xml:space="preserve"> </w:t>
      </w:r>
      <w:r>
        <w:rPr>
          <w:sz w:val="20"/>
          <w:szCs w:val="20"/>
        </w:rPr>
        <w:t>292,278,59</w:t>
      </w:r>
      <w:r>
        <w:rPr>
          <w:sz w:val="20"/>
          <w:szCs w:val="20"/>
        </w:rPr>
        <w:t>1</w:t>
      </w:r>
      <w:r>
        <w:rPr>
          <w:sz w:val="20"/>
          <w:szCs w:val="20"/>
        </w:rPr>
        <w:t xml:space="preserve"> shares issued and outstanding, respectively.</w:t>
      </w:r>
    </w:p>
    <w:p w14:paraId="321518DD" w14:textId="77777777" w:rsidR="00000000" w:rsidRDefault="00D6065B">
      <w:pPr>
        <w:pStyle w:val="a3"/>
        <w:spacing w:before="0" w:beforeAutospacing="0" w:after="0" w:afterAutospacing="0"/>
        <w:jc w:val="both"/>
        <w:rPr>
          <w:sz w:val="20"/>
          <w:szCs w:val="20"/>
        </w:rPr>
      </w:pPr>
      <w:r>
        <w:rPr>
          <w:sz w:val="20"/>
          <w:szCs w:val="20"/>
        </w:rPr>
        <w:t> </w:t>
      </w:r>
    </w:p>
    <w:p w14:paraId="6E67A748" w14:textId="77777777" w:rsidR="00000000" w:rsidRDefault="00D6065B">
      <w:pPr>
        <w:pStyle w:val="a3"/>
        <w:spacing w:before="0" w:beforeAutospacing="0" w:after="0" w:afterAutospacing="0"/>
        <w:jc w:val="both"/>
        <w:rPr>
          <w:sz w:val="20"/>
          <w:szCs w:val="20"/>
        </w:rPr>
      </w:pPr>
      <w:r>
        <w:rPr>
          <w:sz w:val="20"/>
          <w:szCs w:val="20"/>
        </w:rPr>
        <w:t>On March 28, 2019, the Company’s board of directors approved a</w:t>
      </w:r>
      <w:r>
        <w:rPr>
          <w:sz w:val="20"/>
          <w:szCs w:val="20"/>
        </w:rPr>
        <w:t xml:space="preserve"> </w:t>
      </w:r>
      <w:r>
        <w:rPr>
          <w:sz w:val="20"/>
          <w:szCs w:val="20"/>
        </w:rPr>
        <w:t>reverse 1-for-8 stock spli</w:t>
      </w:r>
      <w:r>
        <w:rPr>
          <w:sz w:val="20"/>
          <w:szCs w:val="20"/>
        </w:rPr>
        <w:t>t</w:t>
      </w:r>
      <w:r>
        <w:rPr>
          <w:sz w:val="20"/>
          <w:szCs w:val="20"/>
        </w:rPr>
        <w:t>, and a decrease in the authorized shares from</w:t>
      </w:r>
      <w:r>
        <w:rPr>
          <w:sz w:val="20"/>
          <w:szCs w:val="20"/>
        </w:rPr>
        <w:t xml:space="preserve"> </w:t>
      </w:r>
      <w:r>
        <w:rPr>
          <w:sz w:val="20"/>
          <w:szCs w:val="20"/>
        </w:rPr>
        <w:t>2,000,000,0</w:t>
      </w:r>
      <w:r>
        <w:rPr>
          <w:sz w:val="20"/>
          <w:szCs w:val="20"/>
        </w:rPr>
        <w:t>0</w:t>
      </w:r>
      <w:r>
        <w:rPr>
          <w:sz w:val="20"/>
          <w:szCs w:val="20"/>
        </w:rPr>
        <w:t>0</w:t>
      </w:r>
      <w:r>
        <w:rPr>
          <w:sz w:val="20"/>
          <w:szCs w:val="20"/>
        </w:rPr>
        <w:t xml:space="preserve"> to</w:t>
      </w:r>
      <w:r>
        <w:rPr>
          <w:sz w:val="20"/>
          <w:szCs w:val="20"/>
        </w:rPr>
        <w:t xml:space="preserve"> </w:t>
      </w:r>
      <w:r>
        <w:rPr>
          <w:sz w:val="20"/>
          <w:szCs w:val="20"/>
        </w:rPr>
        <w:t>950,000,00</w:t>
      </w:r>
      <w:r>
        <w:rPr>
          <w:sz w:val="20"/>
          <w:szCs w:val="20"/>
        </w:rPr>
        <w:t>0</w:t>
      </w:r>
      <w:r>
        <w:rPr>
          <w:sz w:val="20"/>
          <w:szCs w:val="20"/>
        </w:rPr>
        <w:t>. The reverse stock split went effective by FINRA on June 28, 2019.</w:t>
      </w:r>
    </w:p>
    <w:p w14:paraId="19895C8F"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4FFB44D" w14:textId="77777777">
        <w:trPr>
          <w:divId w:val="1845046660"/>
        </w:trPr>
        <w:tc>
          <w:tcPr>
            <w:tcW w:w="5000" w:type="pct"/>
            <w:hideMark/>
          </w:tcPr>
          <w:p w14:paraId="45B0A6E7"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2F4EABAC" w14:textId="77777777">
        <w:tc>
          <w:tcPr>
            <w:tcW w:w="5000" w:type="pct"/>
            <w:hideMark/>
          </w:tcPr>
          <w:p w14:paraId="00B4B349" w14:textId="77777777" w:rsidR="00000000" w:rsidRDefault="00D6065B">
            <w:pPr>
              <w:jc w:val="center"/>
              <w:rPr>
                <w:rFonts w:eastAsia="Times New Roman"/>
                <w:sz w:val="20"/>
                <w:szCs w:val="20"/>
              </w:rPr>
            </w:pPr>
            <w:r>
              <w:rPr>
                <w:rFonts w:eastAsia="Times New Roman"/>
                <w:sz w:val="20"/>
                <w:szCs w:val="20"/>
              </w:rPr>
              <w:t> </w:t>
            </w:r>
          </w:p>
        </w:tc>
      </w:tr>
    </w:tbl>
    <w:p w14:paraId="781CA925" w14:textId="77777777" w:rsidR="00000000" w:rsidRDefault="00D6065B">
      <w:pPr>
        <w:pStyle w:val="a3"/>
        <w:spacing w:before="0" w:beforeAutospacing="0" w:after="0" w:afterAutospacing="0"/>
        <w:rPr>
          <w:sz w:val="20"/>
          <w:szCs w:val="20"/>
        </w:rPr>
      </w:pPr>
      <w:r>
        <w:rPr>
          <w:sz w:val="20"/>
          <w:szCs w:val="20"/>
        </w:rPr>
        <w:t> </w:t>
      </w:r>
    </w:p>
    <w:p w14:paraId="7E91D69A" w14:textId="77777777" w:rsidR="00000000" w:rsidRDefault="00D6065B">
      <w:pPr>
        <w:pStyle w:val="a3"/>
        <w:spacing w:before="0" w:beforeAutospacing="0" w:after="0" w:afterAutospacing="0"/>
        <w:jc w:val="both"/>
        <w:rPr>
          <w:sz w:val="20"/>
          <w:szCs w:val="20"/>
        </w:rPr>
      </w:pPr>
      <w:r>
        <w:rPr>
          <w:b/>
          <w:bCs/>
          <w:sz w:val="20"/>
          <w:szCs w:val="20"/>
        </w:rPr>
        <w:t>Preferred Stock</w:t>
      </w:r>
    </w:p>
    <w:p w14:paraId="3BE2D898" w14:textId="77777777" w:rsidR="00000000" w:rsidRDefault="00D6065B">
      <w:pPr>
        <w:pStyle w:val="a3"/>
        <w:spacing w:before="0" w:beforeAutospacing="0" w:after="0" w:afterAutospacing="0"/>
        <w:jc w:val="both"/>
        <w:rPr>
          <w:sz w:val="20"/>
          <w:szCs w:val="20"/>
        </w:rPr>
      </w:pPr>
      <w:r>
        <w:rPr>
          <w:sz w:val="20"/>
          <w:szCs w:val="20"/>
        </w:rPr>
        <w:t> </w:t>
      </w:r>
    </w:p>
    <w:p w14:paraId="089C026F" w14:textId="77777777" w:rsidR="00000000" w:rsidRDefault="00D6065B">
      <w:pPr>
        <w:pStyle w:val="a3"/>
        <w:spacing w:before="0" w:beforeAutospacing="0" w:after="0" w:afterAutospacing="0"/>
        <w:jc w:val="both"/>
        <w:rPr>
          <w:sz w:val="20"/>
          <w:szCs w:val="20"/>
        </w:rPr>
      </w:pPr>
      <w:r>
        <w:rPr>
          <w:sz w:val="20"/>
          <w:szCs w:val="20"/>
        </w:rPr>
        <w:t>As of June 30, 2021 and December 31, 2020, the Company has</w:t>
      </w:r>
      <w:r>
        <w:rPr>
          <w:sz w:val="20"/>
          <w:szCs w:val="20"/>
        </w:rPr>
        <w:t xml:space="preserve"> </w:t>
      </w:r>
      <w:r>
        <w:rPr>
          <w:sz w:val="20"/>
          <w:szCs w:val="20"/>
        </w:rPr>
        <w:t>20,000,00</w:t>
      </w:r>
      <w:r>
        <w:rPr>
          <w:sz w:val="20"/>
          <w:szCs w:val="20"/>
        </w:rPr>
        <w:t>0</w:t>
      </w:r>
      <w:r>
        <w:rPr>
          <w:sz w:val="20"/>
          <w:szCs w:val="20"/>
        </w:rPr>
        <w:t xml:space="preserve"> </w:t>
      </w:r>
      <w:r>
        <w:rPr>
          <w:sz w:val="20"/>
          <w:szCs w:val="20"/>
        </w:rPr>
        <w:t xml:space="preserve">shares of Preferred stock authorized with a par value of </w:t>
      </w:r>
      <w:r>
        <w:rPr>
          <w:sz w:val="20"/>
          <w:szCs w:val="20"/>
        </w:rPr>
        <w:t>$</w:t>
      </w:r>
      <w:r>
        <w:rPr>
          <w:sz w:val="20"/>
          <w:szCs w:val="20"/>
        </w:rPr>
        <w:t>0.00</w:t>
      </w:r>
      <w:r>
        <w:rPr>
          <w:sz w:val="20"/>
          <w:szCs w:val="20"/>
        </w:rPr>
        <w:t>1</w:t>
      </w:r>
      <w:r>
        <w:rPr>
          <w:sz w:val="20"/>
          <w:szCs w:val="20"/>
        </w:rPr>
        <w:t>. The Company’s Board of Directors is authorized to provide for the issuance of shares of preferred stock in one or more series, fix or alter the designations, preferences, rights, qualificatio</w:t>
      </w:r>
      <w:r>
        <w:rPr>
          <w:sz w:val="20"/>
          <w:szCs w:val="20"/>
        </w:rPr>
        <w:t>ns, limitations or restrictions of the shares of each series, including the dividend rights, dividend rates, conversion rights, voting rights, term of redemption including sinking fund provisions, redemption price or prices, liquidation preferences and the</w:t>
      </w:r>
      <w:r>
        <w:rPr>
          <w:sz w:val="20"/>
          <w:szCs w:val="20"/>
        </w:rPr>
        <w:t xml:space="preserve"> number of shares constituting any series or designations of such series without further vote or action by the shareholders. The issuance of preferred stock may have the effect of delaying, deferring or preventing a change in control of management without </w:t>
      </w:r>
      <w:r>
        <w:rPr>
          <w:sz w:val="20"/>
          <w:szCs w:val="20"/>
        </w:rPr>
        <w:t xml:space="preserve">further action by the shareholders and may adversely affect the voting and other rights of the holders of common stock. The issuance of preferred stock with voting and conversion rights may adversely affect the voting power of the holders of common stock, </w:t>
      </w:r>
      <w:r>
        <w:rPr>
          <w:sz w:val="20"/>
          <w:szCs w:val="20"/>
        </w:rPr>
        <w:t>including the loss of voting control to others.</w:t>
      </w:r>
    </w:p>
    <w:p w14:paraId="64160D2D" w14:textId="77777777" w:rsidR="00000000" w:rsidRDefault="00D6065B">
      <w:pPr>
        <w:pStyle w:val="a3"/>
        <w:spacing w:before="0" w:beforeAutospacing="0" w:after="0" w:afterAutospacing="0"/>
        <w:jc w:val="both"/>
        <w:rPr>
          <w:sz w:val="20"/>
          <w:szCs w:val="20"/>
        </w:rPr>
      </w:pPr>
      <w:r>
        <w:rPr>
          <w:sz w:val="20"/>
          <w:szCs w:val="20"/>
        </w:rPr>
        <w:t> </w:t>
      </w:r>
    </w:p>
    <w:p w14:paraId="3D0461AC" w14:textId="77777777" w:rsidR="00000000" w:rsidRDefault="00D6065B">
      <w:pPr>
        <w:pStyle w:val="a3"/>
        <w:spacing w:before="0" w:beforeAutospacing="0" w:after="0" w:afterAutospacing="0"/>
        <w:jc w:val="both"/>
        <w:rPr>
          <w:sz w:val="20"/>
          <w:szCs w:val="20"/>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series o</w:t>
      </w:r>
      <w:r>
        <w:rPr>
          <w:sz w:val="20"/>
          <w:szCs w:val="20"/>
        </w:rPr>
        <w:t xml:space="preserve">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14:paraId="6C23D3A8" w14:textId="77777777" w:rsidR="00000000" w:rsidRDefault="00D6065B">
      <w:pPr>
        <w:pStyle w:val="a3"/>
        <w:spacing w:before="0" w:beforeAutospacing="0" w:after="0" w:afterAutospacing="0"/>
        <w:jc w:val="both"/>
        <w:rPr>
          <w:sz w:val="20"/>
          <w:szCs w:val="20"/>
        </w:rPr>
      </w:pPr>
      <w:r>
        <w:rPr>
          <w:sz w:val="20"/>
          <w:szCs w:val="20"/>
        </w:rPr>
        <w:t> </w:t>
      </w:r>
    </w:p>
    <w:p w14:paraId="357BBB82" w14:textId="77777777" w:rsidR="00000000" w:rsidRDefault="00D6065B">
      <w:pPr>
        <w:pStyle w:val="a3"/>
        <w:spacing w:before="0" w:beforeAutospacing="0" w:after="0" w:afterAutospacing="0"/>
        <w:jc w:val="both"/>
        <w:rPr>
          <w:sz w:val="20"/>
          <w:szCs w:val="20"/>
        </w:rPr>
      </w:pPr>
      <w:r>
        <w:rPr>
          <w:sz w:val="20"/>
          <w:szCs w:val="20"/>
        </w:rPr>
        <w:t xml:space="preserve">On March 27, 2019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w:t>
      </w:r>
      <w:r>
        <w:rPr>
          <w:sz w:val="20"/>
          <w:szCs w:val="20"/>
        </w:rPr>
        <w:t xml:space="preserve">s authorized in Article IV of the Company’s Certificate of Incorporation, a series of Preferred Stock of the Company, to be named “Series C Convertible Preferred Stock,” consisting of Five Million </w:t>
      </w:r>
      <w:r>
        <w:rPr>
          <w:sz w:val="20"/>
          <w:szCs w:val="20"/>
        </w:rPr>
        <w:t>(</w:t>
      </w:r>
      <w:r>
        <w:rPr>
          <w:sz w:val="20"/>
          <w:szCs w:val="20"/>
        </w:rPr>
        <w:t>5,000,00</w:t>
      </w:r>
      <w:r>
        <w:rPr>
          <w:sz w:val="20"/>
          <w:szCs w:val="20"/>
        </w:rPr>
        <w:t>0</w:t>
      </w:r>
      <w:r>
        <w:rPr>
          <w:sz w:val="20"/>
          <w:szCs w:val="20"/>
        </w:rPr>
        <w:t>) shares.</w:t>
      </w:r>
    </w:p>
    <w:p w14:paraId="66D53E38" w14:textId="77777777" w:rsidR="00000000" w:rsidRDefault="00D6065B">
      <w:pPr>
        <w:pStyle w:val="a3"/>
        <w:spacing w:before="0" w:beforeAutospacing="0" w:after="0" w:afterAutospacing="0"/>
        <w:jc w:val="both"/>
        <w:rPr>
          <w:sz w:val="20"/>
          <w:szCs w:val="20"/>
        </w:rPr>
      </w:pPr>
      <w:r>
        <w:rPr>
          <w:sz w:val="20"/>
          <w:szCs w:val="20"/>
        </w:rPr>
        <w:t> </w:t>
      </w:r>
    </w:p>
    <w:p w14:paraId="1DC0DBF0" w14:textId="77777777" w:rsidR="00000000" w:rsidRDefault="00D6065B">
      <w:pPr>
        <w:pStyle w:val="a3"/>
        <w:spacing w:before="0" w:beforeAutospacing="0" w:after="0" w:afterAutospacing="0"/>
        <w:jc w:val="both"/>
        <w:rPr>
          <w:sz w:val="20"/>
          <w:szCs w:val="20"/>
        </w:rPr>
      </w:pPr>
      <w:r>
        <w:rPr>
          <w:i/>
          <w:iCs/>
          <w:sz w:val="20"/>
          <w:szCs w:val="20"/>
        </w:rPr>
        <w:t xml:space="preserve">Series A Convertible Preferred Stock </w:t>
      </w:r>
      <w:r>
        <w:rPr>
          <w:i/>
          <w:iCs/>
          <w:sz w:val="20"/>
          <w:szCs w:val="20"/>
        </w:rPr>
        <w:t>(“Series A Convertible Preferred”)</w:t>
      </w:r>
    </w:p>
    <w:p w14:paraId="0AC247C1" w14:textId="77777777" w:rsidR="00000000" w:rsidRDefault="00D6065B">
      <w:pPr>
        <w:pStyle w:val="a3"/>
        <w:spacing w:before="0" w:beforeAutospacing="0" w:after="0" w:afterAutospacing="0"/>
        <w:jc w:val="both"/>
        <w:rPr>
          <w:sz w:val="20"/>
          <w:szCs w:val="20"/>
        </w:rPr>
      </w:pPr>
      <w:r>
        <w:rPr>
          <w:sz w:val="20"/>
          <w:szCs w:val="20"/>
        </w:rPr>
        <w:t> </w:t>
      </w:r>
    </w:p>
    <w:p w14:paraId="5A47681D" w14:textId="77777777" w:rsidR="00000000" w:rsidRDefault="00D6065B">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preferred stock as Series A Convertible Preferred. Effective March 31, 2016, th</w:t>
      </w:r>
      <w:r>
        <w:rPr>
          <w:sz w:val="20"/>
          <w:szCs w:val="20"/>
        </w:rPr>
        <w:t>e Company amended the Certificate of Designations, Preferences and Rights of Series A Convertible Preferred of the Registrant, increasing the maximum number of shares of Series A Convertible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followin</w:t>
      </w:r>
      <w:r>
        <w:rPr>
          <w:sz w:val="20"/>
          <w:szCs w:val="20"/>
        </w:rPr>
        <w:t>g summarizes the current rights and preferences of the Series A Convertible Preferred:</w:t>
      </w:r>
    </w:p>
    <w:p w14:paraId="007218CD" w14:textId="77777777" w:rsidR="00000000" w:rsidRDefault="00D6065B">
      <w:pPr>
        <w:pStyle w:val="a3"/>
        <w:spacing w:before="0" w:beforeAutospacing="0" w:after="0" w:afterAutospacing="0"/>
        <w:jc w:val="both"/>
        <w:rPr>
          <w:sz w:val="20"/>
          <w:szCs w:val="20"/>
        </w:rPr>
      </w:pPr>
      <w:r>
        <w:rPr>
          <w:sz w:val="20"/>
          <w:szCs w:val="20"/>
        </w:rPr>
        <w:t> </w:t>
      </w:r>
    </w:p>
    <w:p w14:paraId="342E120B" w14:textId="77777777" w:rsidR="00000000" w:rsidRDefault="00D6065B">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14:paraId="6676F1DB" w14:textId="77777777" w:rsidR="00000000" w:rsidRDefault="00D6065B">
      <w:pPr>
        <w:pStyle w:val="a3"/>
        <w:spacing w:before="0" w:beforeAutospacing="0" w:after="0" w:afterAutospacing="0"/>
        <w:jc w:val="both"/>
        <w:rPr>
          <w:sz w:val="20"/>
          <w:szCs w:val="20"/>
        </w:rPr>
      </w:pPr>
      <w:r>
        <w:rPr>
          <w:sz w:val="20"/>
          <w:szCs w:val="20"/>
        </w:rPr>
        <w:t> </w:t>
      </w:r>
    </w:p>
    <w:p w14:paraId="7C295D4C" w14:textId="77777777" w:rsidR="00000000" w:rsidRDefault="00D6065B">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A Convertible Preferred do not have any separate dividend rights.</w:t>
      </w:r>
    </w:p>
    <w:p w14:paraId="59ED22FF" w14:textId="77777777" w:rsidR="00000000" w:rsidRDefault="00D6065B">
      <w:pPr>
        <w:pStyle w:val="a3"/>
        <w:spacing w:before="0" w:beforeAutospacing="0" w:after="0" w:afterAutospacing="0"/>
        <w:jc w:val="both"/>
        <w:rPr>
          <w:sz w:val="20"/>
          <w:szCs w:val="20"/>
        </w:rPr>
      </w:pPr>
      <w:r>
        <w:rPr>
          <w:sz w:val="20"/>
          <w:szCs w:val="20"/>
        </w:rPr>
        <w:t> </w:t>
      </w:r>
    </w:p>
    <w:p w14:paraId="79646A2C" w14:textId="77777777" w:rsidR="00000000" w:rsidRDefault="00D6065B">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w:t>
      </w:r>
      <w:r>
        <w:rPr>
          <w:sz w:val="20"/>
          <w:szCs w:val="20"/>
        </w:rPr>
        <w:t xml:space="preserve">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14:paraId="1C4A1C83" w14:textId="77777777" w:rsidR="00000000" w:rsidRDefault="00D6065B">
      <w:pPr>
        <w:pStyle w:val="a3"/>
        <w:spacing w:before="0" w:beforeAutospacing="0" w:after="0" w:afterAutospacing="0"/>
        <w:jc w:val="both"/>
        <w:rPr>
          <w:sz w:val="20"/>
          <w:szCs w:val="20"/>
        </w:rPr>
      </w:pPr>
      <w:r>
        <w:rPr>
          <w:sz w:val="20"/>
          <w:szCs w:val="20"/>
        </w:rPr>
        <w:t> </w:t>
      </w:r>
    </w:p>
    <w:p w14:paraId="62349140" w14:textId="77777777" w:rsidR="00000000" w:rsidRDefault="00D6065B">
      <w:pPr>
        <w:pStyle w:val="a3"/>
        <w:spacing w:before="0" w:beforeAutospacing="0" w:after="0" w:afterAutospacing="0"/>
        <w:jc w:val="both"/>
        <w:rPr>
          <w:sz w:val="20"/>
          <w:szCs w:val="20"/>
        </w:rPr>
      </w:pPr>
      <w:r>
        <w:rPr>
          <w:sz w:val="20"/>
          <w:szCs w:val="20"/>
        </w:rPr>
        <w:t>In the event the Company completes an equity or equity-based public offering, registered with the</w:t>
      </w:r>
      <w:r>
        <w:rPr>
          <w:sz w:val="20"/>
          <w:szCs w:val="20"/>
        </w:rPr>
        <w:t xml:space="preserv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 at that time will automatically convert into Series A Conversion Shares.</w:t>
      </w:r>
    </w:p>
    <w:p w14:paraId="15B51EEB" w14:textId="77777777" w:rsidR="00000000" w:rsidRDefault="00D6065B">
      <w:pPr>
        <w:pStyle w:val="a3"/>
        <w:spacing w:before="0" w:beforeAutospacing="0" w:after="0" w:afterAutospacing="0"/>
        <w:jc w:val="both"/>
        <w:rPr>
          <w:sz w:val="20"/>
          <w:szCs w:val="20"/>
        </w:rPr>
      </w:pPr>
      <w:r>
        <w:rPr>
          <w:sz w:val="20"/>
          <w:szCs w:val="20"/>
        </w:rPr>
        <w:t> </w:t>
      </w:r>
    </w:p>
    <w:p w14:paraId="606FC89A" w14:textId="77777777" w:rsidR="00000000" w:rsidRDefault="00D6065B">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w:t>
      </w:r>
      <w:r>
        <w:rPr>
          <w:sz w:val="20"/>
          <w:szCs w:val="20"/>
        </w:rPr>
        <w:t>onditions set forth in the Series A Certificate of Designation, in the event of a Change of Control (defined in the Series A Certificate of Designation as the time at which as a third party not affiliated with the Company or any holders of the Series A Con</w:t>
      </w:r>
      <w:r>
        <w:rPr>
          <w:sz w:val="20"/>
          <w:szCs w:val="20"/>
        </w:rPr>
        <w:t>vertible Preferred shall have acquired, in one or a series of related transactions, equity securities of the Company representing more than fifty percent 50% of the outstanding voting securities of the Company), the Company, at its option, will have the ri</w:t>
      </w:r>
      <w:r>
        <w:rPr>
          <w:sz w:val="20"/>
          <w:szCs w:val="20"/>
        </w:rPr>
        <w:t>ght to redeem all or a portion of the outstanding Series A Convertible Preferred in cash at a price per share of Series A Convertible Preferred equal to</w:t>
      </w:r>
      <w:r>
        <w:rPr>
          <w:sz w:val="20"/>
          <w:szCs w:val="20"/>
        </w:rPr>
        <w:t xml:space="preserve"> </w:t>
      </w:r>
      <w:r>
        <w:rPr>
          <w:sz w:val="20"/>
          <w:szCs w:val="20"/>
        </w:rPr>
        <w:t>10</w:t>
      </w:r>
      <w:r>
        <w:rPr>
          <w:sz w:val="20"/>
          <w:szCs w:val="20"/>
        </w:rPr>
        <w:t>0</w:t>
      </w:r>
      <w:r>
        <w:rPr>
          <w:sz w:val="20"/>
          <w:szCs w:val="20"/>
        </w:rPr>
        <w:t>% of the Liquidation Preference</w:t>
      </w:r>
      <w:r>
        <w:rPr>
          <w:sz w:val="20"/>
          <w:szCs w:val="20"/>
        </w:rPr>
        <w:t>.</w:t>
      </w:r>
    </w:p>
    <w:p w14:paraId="3B6FB4BB"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7966188" w14:textId="77777777">
        <w:trPr>
          <w:divId w:val="644549297"/>
        </w:trPr>
        <w:tc>
          <w:tcPr>
            <w:tcW w:w="5000" w:type="pct"/>
            <w:hideMark/>
          </w:tcPr>
          <w:p w14:paraId="47753C48"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2CCEA44" w14:textId="77777777">
        <w:tc>
          <w:tcPr>
            <w:tcW w:w="5000" w:type="pct"/>
            <w:hideMark/>
          </w:tcPr>
          <w:p w14:paraId="5F289444" w14:textId="77777777" w:rsidR="00000000" w:rsidRDefault="00D6065B">
            <w:pPr>
              <w:jc w:val="center"/>
              <w:rPr>
                <w:rFonts w:eastAsia="Times New Roman"/>
                <w:sz w:val="20"/>
                <w:szCs w:val="20"/>
              </w:rPr>
            </w:pPr>
            <w:r>
              <w:rPr>
                <w:rFonts w:eastAsia="Times New Roman"/>
                <w:sz w:val="20"/>
                <w:szCs w:val="20"/>
              </w:rPr>
              <w:t> </w:t>
            </w:r>
          </w:p>
        </w:tc>
      </w:tr>
    </w:tbl>
    <w:p w14:paraId="7A440C50" w14:textId="77777777" w:rsidR="00000000" w:rsidRDefault="00D6065B">
      <w:pPr>
        <w:pStyle w:val="a3"/>
        <w:spacing w:before="0" w:beforeAutospacing="0" w:after="0" w:afterAutospacing="0"/>
        <w:rPr>
          <w:sz w:val="20"/>
          <w:szCs w:val="20"/>
        </w:rPr>
      </w:pPr>
      <w:r>
        <w:rPr>
          <w:sz w:val="20"/>
          <w:szCs w:val="20"/>
        </w:rPr>
        <w:t> </w:t>
      </w:r>
    </w:p>
    <w:p w14:paraId="1F99628F" w14:textId="77777777" w:rsidR="00000000" w:rsidRDefault="00D6065B">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Preferre</w:t>
      </w:r>
      <w:r>
        <w:rPr>
          <w:sz w:val="20"/>
          <w:szCs w:val="20"/>
        </w:rPr>
        <w:t xml:space="preserve">d are entitled to vote on all matters, together with the holders of common stock, and have the equivalent of five (5) votes for every Series A Conversion Share issuable upon conversion of such holder’s outstanding shares of Series A Convertible Preferred. </w:t>
      </w:r>
      <w:r>
        <w:rPr>
          <w:sz w:val="20"/>
          <w:szCs w:val="20"/>
        </w:rPr>
        <w:t>However, the Series A Conversion Shares, when issued, will have all the same voting rights as other issued and outstanding common stock of the Company, and none of the rights of the Series A Convertible Preferred.</w:t>
      </w:r>
    </w:p>
    <w:p w14:paraId="5A66C76A" w14:textId="77777777" w:rsidR="00000000" w:rsidRDefault="00D6065B">
      <w:pPr>
        <w:pStyle w:val="a3"/>
        <w:spacing w:before="0" w:beforeAutospacing="0" w:after="0" w:afterAutospacing="0"/>
        <w:jc w:val="both"/>
        <w:rPr>
          <w:sz w:val="20"/>
          <w:szCs w:val="20"/>
        </w:rPr>
      </w:pPr>
      <w:r>
        <w:rPr>
          <w:sz w:val="20"/>
          <w:szCs w:val="20"/>
        </w:rPr>
        <w:t> </w:t>
      </w:r>
    </w:p>
    <w:p w14:paraId="33FD0194" w14:textId="77777777" w:rsidR="00000000" w:rsidRDefault="00D6065B">
      <w:pPr>
        <w:pStyle w:val="a3"/>
        <w:spacing w:before="0" w:beforeAutospacing="0" w:after="0" w:afterAutospacing="0"/>
        <w:jc w:val="both"/>
        <w:rPr>
          <w:sz w:val="20"/>
          <w:szCs w:val="20"/>
        </w:rPr>
      </w:pPr>
      <w:r>
        <w:rPr>
          <w:sz w:val="20"/>
          <w:szCs w:val="20"/>
          <w:u w:val="single"/>
        </w:rPr>
        <w:t>Liquidation</w:t>
      </w:r>
      <w:r>
        <w:rPr>
          <w:sz w:val="20"/>
          <w:szCs w:val="20"/>
        </w:rPr>
        <w:t>. Upon any liquidation, disso</w:t>
      </w:r>
      <w:r>
        <w:rPr>
          <w:sz w:val="20"/>
          <w:szCs w:val="20"/>
        </w:rPr>
        <w:t>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liquid</w:t>
      </w:r>
      <w:r>
        <w:rPr>
          <w:sz w:val="20"/>
          <w:szCs w:val="20"/>
        </w:rPr>
        <w:t>ation preference of the Series A Convertible Preferred before any distribution or payment shall be made to the holders of any junior securities, and if the assets of the Company is insufficient to pay in full such amounts, then the entire assets to be dist</w:t>
      </w:r>
      <w:r>
        <w:rPr>
          <w:sz w:val="20"/>
          <w:szCs w:val="20"/>
        </w:rPr>
        <w:t>ributed to the holders of the Series A Convertible Preferred shall be ratably distributed among the holders in accordance with the respective amounts that would be payable on such shares if all amounts payable thereon were paid in full.</w:t>
      </w:r>
    </w:p>
    <w:p w14:paraId="0C325CF7" w14:textId="77777777" w:rsidR="00000000" w:rsidRDefault="00D6065B">
      <w:pPr>
        <w:pStyle w:val="a3"/>
        <w:spacing w:before="0" w:beforeAutospacing="0" w:after="0" w:afterAutospacing="0"/>
        <w:jc w:val="both"/>
        <w:rPr>
          <w:sz w:val="20"/>
          <w:szCs w:val="20"/>
        </w:rPr>
      </w:pPr>
      <w:r>
        <w:rPr>
          <w:sz w:val="20"/>
          <w:szCs w:val="20"/>
        </w:rPr>
        <w:t> </w:t>
      </w:r>
    </w:p>
    <w:p w14:paraId="03252D2D" w14:textId="77777777" w:rsidR="00000000" w:rsidRDefault="00D6065B">
      <w:pPr>
        <w:pStyle w:val="a3"/>
        <w:spacing w:before="0" w:beforeAutospacing="0" w:after="0" w:afterAutospacing="0"/>
        <w:jc w:val="both"/>
        <w:rPr>
          <w:sz w:val="20"/>
          <w:szCs w:val="20"/>
        </w:rPr>
      </w:pPr>
      <w:r>
        <w:rPr>
          <w:sz w:val="20"/>
          <w:szCs w:val="20"/>
          <w:u w:val="single"/>
        </w:rPr>
        <w:t>Certain Price and</w:t>
      </w:r>
      <w:r>
        <w:rPr>
          <w:sz w:val="20"/>
          <w:szCs w:val="20"/>
          <w:u w:val="single"/>
        </w:rPr>
        <w:t xml:space="preserve"> Share Adjustments</w:t>
      </w:r>
      <w:r>
        <w:rPr>
          <w:sz w:val="20"/>
          <w:szCs w:val="20"/>
        </w:rPr>
        <w:t>.</w:t>
      </w:r>
    </w:p>
    <w:p w14:paraId="4442C8BA" w14:textId="77777777" w:rsidR="00000000" w:rsidRDefault="00D6065B">
      <w:pPr>
        <w:pStyle w:val="a3"/>
        <w:spacing w:before="0" w:beforeAutospacing="0" w:after="0" w:afterAutospacing="0"/>
        <w:jc w:val="both"/>
        <w:rPr>
          <w:sz w:val="20"/>
          <w:szCs w:val="20"/>
        </w:rPr>
      </w:pPr>
      <w:r>
        <w:rPr>
          <w:sz w:val="20"/>
          <w:szCs w:val="20"/>
        </w:rPr>
        <w:t> </w:t>
      </w:r>
    </w:p>
    <w:p w14:paraId="511B55F2" w14:textId="77777777" w:rsidR="00000000" w:rsidRDefault="00D6065B">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w:t>
      </w:r>
      <w:r>
        <w:rPr>
          <w:sz w:val="20"/>
          <w:szCs w:val="20"/>
        </w:rPr>
        <w:t>ubdivides outstanding shares of common stock into a larger number of shares; (iii) combines (including by way of a reverse stock split) outstanding shares of common stock into a smaller number of shares; or (iv) issues, in the event of a reclassification o</w:t>
      </w:r>
      <w:r>
        <w:rPr>
          <w:sz w:val="20"/>
          <w:szCs w:val="20"/>
        </w:rPr>
        <w:t>f shares of the common stock, any shares of capital stock of the Company, then the conversion price shall be adjusted accordingly.</w:t>
      </w:r>
    </w:p>
    <w:p w14:paraId="20BD159C" w14:textId="77777777" w:rsidR="00000000" w:rsidRDefault="00D6065B">
      <w:pPr>
        <w:pStyle w:val="a3"/>
        <w:spacing w:before="0" w:beforeAutospacing="0" w:after="0" w:afterAutospacing="0"/>
        <w:jc w:val="both"/>
        <w:rPr>
          <w:sz w:val="20"/>
          <w:szCs w:val="20"/>
        </w:rPr>
      </w:pPr>
      <w:r>
        <w:rPr>
          <w:sz w:val="20"/>
          <w:szCs w:val="20"/>
        </w:rPr>
        <w:t> </w:t>
      </w:r>
    </w:p>
    <w:p w14:paraId="10F2BC58" w14:textId="77777777" w:rsidR="00000000" w:rsidRDefault="00D6065B">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A Preferred shall be c</w:t>
      </w:r>
      <w:r>
        <w:rPr>
          <w:sz w:val="20"/>
          <w:szCs w:val="20"/>
        </w:rPr>
        <w:t>onvertible into the kind and amount of securities, cash or other property that a holder of the number of shares of common stock issuable upon conversion of one share of Series A Convertible Preferred prior to any such merger or reorganization would have be</w:t>
      </w:r>
      <w:r>
        <w:rPr>
          <w:sz w:val="20"/>
          <w:szCs w:val="20"/>
        </w:rPr>
        <w:t>en entitled to receive pursuant to such transaction.</w:t>
      </w:r>
    </w:p>
    <w:p w14:paraId="4B303810" w14:textId="77777777" w:rsidR="00000000" w:rsidRDefault="00D6065B">
      <w:pPr>
        <w:pStyle w:val="a3"/>
        <w:spacing w:before="0" w:beforeAutospacing="0" w:after="0" w:afterAutospacing="0"/>
        <w:ind w:firstLine="720"/>
        <w:jc w:val="both"/>
        <w:rPr>
          <w:sz w:val="20"/>
          <w:szCs w:val="20"/>
        </w:rPr>
      </w:pPr>
      <w:r>
        <w:rPr>
          <w:sz w:val="20"/>
          <w:szCs w:val="20"/>
        </w:rPr>
        <w:t> </w:t>
      </w:r>
    </w:p>
    <w:p w14:paraId="13E38B37" w14:textId="77777777" w:rsidR="00000000" w:rsidRDefault="00D6065B">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by the Chief Executive Officer.</w:t>
      </w:r>
    </w:p>
    <w:p w14:paraId="1B6088CF" w14:textId="77777777" w:rsidR="00000000" w:rsidRDefault="00D6065B">
      <w:pPr>
        <w:pStyle w:val="a3"/>
        <w:spacing w:before="0" w:beforeAutospacing="0" w:after="0" w:afterAutospacing="0"/>
        <w:jc w:val="center"/>
        <w:rPr>
          <w:sz w:val="20"/>
          <w:szCs w:val="20"/>
        </w:rPr>
      </w:pPr>
      <w:r>
        <w:rPr>
          <w:sz w:val="20"/>
          <w:szCs w:val="20"/>
        </w:rPr>
        <w:t> </w:t>
      </w:r>
    </w:p>
    <w:p w14:paraId="616D4025" w14:textId="77777777" w:rsidR="00000000" w:rsidRDefault="00D6065B">
      <w:pPr>
        <w:pStyle w:val="a3"/>
        <w:spacing w:before="0" w:beforeAutospacing="0" w:after="0" w:afterAutospacing="0"/>
        <w:jc w:val="both"/>
        <w:rPr>
          <w:sz w:val="20"/>
          <w:szCs w:val="20"/>
        </w:rPr>
      </w:pPr>
      <w:r>
        <w:rPr>
          <w:i/>
          <w:iCs/>
          <w:sz w:val="20"/>
          <w:szCs w:val="20"/>
        </w:rPr>
        <w:t xml:space="preserve">Series B Convertible Preferred Stock </w:t>
      </w:r>
      <w:r>
        <w:rPr>
          <w:i/>
          <w:iCs/>
          <w:sz w:val="20"/>
          <w:szCs w:val="20"/>
        </w:rPr>
        <w:t>(“Series B Convertible Preferred”)</w:t>
      </w:r>
    </w:p>
    <w:p w14:paraId="3742A834" w14:textId="77777777" w:rsidR="00000000" w:rsidRDefault="00D6065B">
      <w:pPr>
        <w:pStyle w:val="a3"/>
        <w:spacing w:before="0" w:beforeAutospacing="0" w:after="0" w:afterAutospacing="0"/>
        <w:jc w:val="both"/>
        <w:rPr>
          <w:sz w:val="20"/>
          <w:szCs w:val="20"/>
        </w:rPr>
      </w:pPr>
      <w:r>
        <w:rPr>
          <w:sz w:val="20"/>
          <w:szCs w:val="20"/>
        </w:rPr>
        <w:t> </w:t>
      </w:r>
    </w:p>
    <w:p w14:paraId="133BA7CA" w14:textId="77777777" w:rsidR="00000000" w:rsidRDefault="00D6065B">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Preferred. The following summarizes </w:t>
      </w:r>
      <w:r>
        <w:rPr>
          <w:sz w:val="20"/>
          <w:szCs w:val="20"/>
        </w:rPr>
        <w:t>the current rights and preferences of the Series B Convertible Preferred:</w:t>
      </w:r>
    </w:p>
    <w:p w14:paraId="72A09C23" w14:textId="77777777" w:rsidR="00000000" w:rsidRDefault="00D6065B">
      <w:pPr>
        <w:pStyle w:val="a3"/>
        <w:spacing w:before="0" w:beforeAutospacing="0" w:after="0" w:afterAutospacing="0"/>
        <w:ind w:firstLine="720"/>
        <w:jc w:val="both"/>
        <w:rPr>
          <w:sz w:val="20"/>
          <w:szCs w:val="20"/>
        </w:rPr>
      </w:pPr>
      <w:r>
        <w:rPr>
          <w:sz w:val="20"/>
          <w:szCs w:val="20"/>
        </w:rPr>
        <w:t> </w:t>
      </w:r>
    </w:p>
    <w:p w14:paraId="1692EDEB" w14:textId="77777777" w:rsidR="00000000" w:rsidRDefault="00D6065B">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14:paraId="1DBE05F2" w14:textId="77777777" w:rsidR="00000000" w:rsidRDefault="00D6065B">
      <w:pPr>
        <w:pStyle w:val="a3"/>
        <w:spacing w:before="0" w:beforeAutospacing="0" w:after="0" w:afterAutospacing="0"/>
        <w:jc w:val="both"/>
        <w:rPr>
          <w:sz w:val="20"/>
          <w:szCs w:val="20"/>
        </w:rPr>
      </w:pPr>
      <w:r>
        <w:rPr>
          <w:sz w:val="20"/>
          <w:szCs w:val="20"/>
        </w:rPr>
        <w:t> </w:t>
      </w:r>
    </w:p>
    <w:p w14:paraId="1DF6E9E3" w14:textId="77777777" w:rsidR="00000000" w:rsidRDefault="00D6065B">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w:t>
      </w:r>
      <w:r>
        <w:rPr>
          <w:sz w:val="20"/>
          <w:szCs w:val="20"/>
        </w:rPr>
        <w:t>parate dividend rights.</w:t>
      </w:r>
    </w:p>
    <w:p w14:paraId="24775C31" w14:textId="77777777" w:rsidR="00000000" w:rsidRDefault="00D6065B">
      <w:pPr>
        <w:pStyle w:val="a3"/>
        <w:spacing w:before="0" w:beforeAutospacing="0" w:after="0" w:afterAutospacing="0"/>
        <w:jc w:val="both"/>
        <w:rPr>
          <w:sz w:val="20"/>
          <w:szCs w:val="20"/>
        </w:rPr>
      </w:pPr>
      <w:r>
        <w:rPr>
          <w:sz w:val="20"/>
          <w:szCs w:val="20"/>
        </w:rPr>
        <w:t> </w:t>
      </w:r>
    </w:p>
    <w:p w14:paraId="12189C85" w14:textId="77777777" w:rsidR="00000000" w:rsidRDefault="00D6065B">
      <w:pPr>
        <w:pStyle w:val="a3"/>
        <w:spacing w:before="0" w:beforeAutospacing="0" w:after="0" w:afterAutospacing="0"/>
        <w:jc w:val="both"/>
        <w:rPr>
          <w:sz w:val="20"/>
          <w:szCs w:val="20"/>
        </w:rPr>
      </w:pPr>
      <w:r>
        <w:rPr>
          <w:sz w:val="20"/>
          <w:szCs w:val="20"/>
          <w:u w:val="single"/>
        </w:rPr>
        <w:t>Conversion</w:t>
      </w:r>
      <w:r>
        <w:rPr>
          <w:sz w:val="20"/>
          <w:szCs w:val="20"/>
        </w:rPr>
        <w:t xml:space="preserve">. Subject to certain limitations set forth in the Series B Certificate of Designation, each share of Series B Convertible Preferred is convertible, at the option of the holder, into that number of shares of common stock </w:t>
      </w:r>
      <w:r>
        <w:rPr>
          <w:sz w:val="20"/>
          <w:szCs w:val="20"/>
        </w:rPr>
        <w:t>(the “</w:t>
      </w:r>
      <w:r>
        <w:rPr>
          <w:i/>
          <w:iCs/>
          <w:sz w:val="20"/>
          <w:szCs w:val="20"/>
        </w:rPr>
        <w:t>Series B Conversion Shares</w:t>
      </w:r>
      <w:r>
        <w:rPr>
          <w:sz w:val="20"/>
          <w:szCs w:val="20"/>
        </w:rPr>
        <w:t xml:space="preserve">”) equal to the liquidation preference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14:paraId="55395030" w14:textId="77777777" w:rsidR="00000000" w:rsidRDefault="00D6065B">
      <w:pPr>
        <w:pStyle w:val="a3"/>
        <w:spacing w:before="0" w:beforeAutospacing="0" w:after="0" w:afterAutospacing="0"/>
        <w:jc w:val="both"/>
        <w:rPr>
          <w:sz w:val="20"/>
          <w:szCs w:val="20"/>
        </w:rPr>
      </w:pPr>
      <w:r>
        <w:rPr>
          <w:sz w:val="20"/>
          <w:szCs w:val="20"/>
        </w:rPr>
        <w:t> </w:t>
      </w:r>
    </w:p>
    <w:p w14:paraId="12C63248" w14:textId="77777777" w:rsidR="00000000" w:rsidRDefault="00D6065B">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 xml:space="preserve">Subject to certain conditions set forth in the </w:t>
      </w:r>
      <w:r>
        <w:rPr>
          <w:sz w:val="20"/>
          <w:szCs w:val="20"/>
        </w:rPr>
        <w:t>Series B Certificate of Designation, in the event of a Change of Control (defined in the Series B Certificate of Designation as the time at which as a third party not affiliated with the Company or any holders of the Series B Convertible Preferred shall ha</w:t>
      </w:r>
      <w:r>
        <w:rPr>
          <w:sz w:val="20"/>
          <w:szCs w:val="20"/>
        </w:rPr>
        <w:t>ve acquired, in one or a series of related transactions, equity securities of the Company representing more than fifty percent 50% of the outstanding voting securities of the Company), the Company, at its option, will have the right to redeem all or a port</w:t>
      </w:r>
      <w:r>
        <w:rPr>
          <w:sz w:val="20"/>
          <w:szCs w:val="20"/>
        </w:rPr>
        <w:t>ion of the outstanding Series B Convertible Preferred in cash at a price per share of Series B Convertible Preferred equal to</w:t>
      </w:r>
      <w:r>
        <w:rPr>
          <w:sz w:val="20"/>
          <w:szCs w:val="20"/>
        </w:rPr>
        <w:t xml:space="preserve"> </w:t>
      </w:r>
      <w:r>
        <w:rPr>
          <w:sz w:val="20"/>
          <w:szCs w:val="20"/>
        </w:rPr>
        <w:t>10</w:t>
      </w:r>
      <w:r>
        <w:rPr>
          <w:sz w:val="20"/>
          <w:szCs w:val="20"/>
        </w:rPr>
        <w:t>0</w:t>
      </w:r>
      <w:r>
        <w:rPr>
          <w:sz w:val="20"/>
          <w:szCs w:val="20"/>
        </w:rPr>
        <w:t>% of the Liquidation Preference</w:t>
      </w:r>
      <w:r>
        <w:rPr>
          <w:sz w:val="20"/>
          <w:szCs w:val="20"/>
        </w:rPr>
        <w:t>.</w:t>
      </w:r>
    </w:p>
    <w:p w14:paraId="5883BCC3" w14:textId="77777777" w:rsidR="00000000" w:rsidRDefault="00D6065B">
      <w:pPr>
        <w:pStyle w:val="a3"/>
        <w:spacing w:before="0" w:beforeAutospacing="0" w:after="0" w:afterAutospacing="0"/>
        <w:jc w:val="both"/>
        <w:rPr>
          <w:sz w:val="20"/>
          <w:szCs w:val="20"/>
        </w:rPr>
      </w:pPr>
      <w:r>
        <w:rPr>
          <w:sz w:val="20"/>
          <w:szCs w:val="20"/>
        </w:rPr>
        <w:t> </w:t>
      </w:r>
    </w:p>
    <w:p w14:paraId="50ED5F0E" w14:textId="77777777" w:rsidR="00000000" w:rsidRDefault="00D6065B">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w:t>
      </w:r>
      <w:r>
        <w:rPr>
          <w:sz w:val="20"/>
          <w:szCs w:val="20"/>
        </w:rPr>
        <w:t>, together with the holders of common stock, and have the equivalent of two (2) votes for every Series B Conversion Share issuable upon conversion of such holder’s outstanding shares of Series B Convertible Preferred. However, the Series B Conversion Share</w:t>
      </w:r>
      <w:r>
        <w:rPr>
          <w:sz w:val="20"/>
          <w:szCs w:val="20"/>
        </w:rPr>
        <w:t>s, when issued, will have all the same voting rights as other issued and outstanding common stock of the Company, and none of the rights of the Series A Convertible Preferred.</w:t>
      </w:r>
    </w:p>
    <w:p w14:paraId="3D646A3D"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EAF9604" w14:textId="77777777">
        <w:trPr>
          <w:divId w:val="465778466"/>
        </w:trPr>
        <w:tc>
          <w:tcPr>
            <w:tcW w:w="5000" w:type="pct"/>
            <w:hideMark/>
          </w:tcPr>
          <w:p w14:paraId="504C6AF2" w14:textId="77777777" w:rsidR="00000000" w:rsidRDefault="00D6065B">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0CE7B2A0" w14:textId="77777777">
        <w:tc>
          <w:tcPr>
            <w:tcW w:w="5000" w:type="pct"/>
            <w:hideMark/>
          </w:tcPr>
          <w:p w14:paraId="511AD199" w14:textId="77777777" w:rsidR="00000000" w:rsidRDefault="00D6065B">
            <w:pPr>
              <w:jc w:val="center"/>
              <w:rPr>
                <w:rFonts w:eastAsia="Times New Roman"/>
                <w:sz w:val="20"/>
                <w:szCs w:val="20"/>
              </w:rPr>
            </w:pPr>
            <w:r>
              <w:rPr>
                <w:rFonts w:eastAsia="Times New Roman"/>
                <w:sz w:val="20"/>
                <w:szCs w:val="20"/>
              </w:rPr>
              <w:t> </w:t>
            </w:r>
          </w:p>
        </w:tc>
      </w:tr>
    </w:tbl>
    <w:p w14:paraId="2FBC6803" w14:textId="77777777" w:rsidR="00000000" w:rsidRDefault="00D6065B">
      <w:pPr>
        <w:pStyle w:val="a3"/>
        <w:spacing w:before="0" w:beforeAutospacing="0" w:after="0" w:afterAutospacing="0"/>
        <w:rPr>
          <w:sz w:val="20"/>
          <w:szCs w:val="20"/>
        </w:rPr>
      </w:pPr>
      <w:r>
        <w:rPr>
          <w:sz w:val="20"/>
          <w:szCs w:val="20"/>
        </w:rPr>
        <w:t> </w:t>
      </w:r>
    </w:p>
    <w:p w14:paraId="69EF044B" w14:textId="77777777" w:rsidR="00000000" w:rsidRDefault="00D6065B">
      <w:pPr>
        <w:pStyle w:val="a3"/>
        <w:spacing w:before="0" w:beforeAutospacing="0" w:after="0" w:afterAutospacing="0"/>
        <w:jc w:val="both"/>
        <w:rPr>
          <w:sz w:val="20"/>
          <w:szCs w:val="20"/>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B Convertible Preferred shall be entitled to receive out of the assets, whether capital or surplus, of the Company an</w:t>
      </w:r>
      <w:r>
        <w:rPr>
          <w:sz w:val="20"/>
          <w:szCs w:val="20"/>
        </w:rPr>
        <w:t xml:space="preserve"> amount equal to the liquidation preference of the Series B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B Convertible Preferred shall be ratably distributed among the holders in accordance with the respective amounts that would be payable on such shares if all amounts payable thereon were paid i</w:t>
      </w:r>
      <w:r>
        <w:rPr>
          <w:sz w:val="20"/>
          <w:szCs w:val="20"/>
        </w:rPr>
        <w:t>n full.</w:t>
      </w:r>
    </w:p>
    <w:p w14:paraId="11849CD9" w14:textId="77777777" w:rsidR="00000000" w:rsidRDefault="00D6065B">
      <w:pPr>
        <w:pStyle w:val="a3"/>
        <w:spacing w:before="0" w:beforeAutospacing="0" w:after="0" w:afterAutospacing="0"/>
        <w:jc w:val="both"/>
        <w:rPr>
          <w:sz w:val="20"/>
          <w:szCs w:val="20"/>
        </w:rPr>
      </w:pPr>
      <w:r>
        <w:rPr>
          <w:sz w:val="20"/>
          <w:szCs w:val="20"/>
        </w:rPr>
        <w:t> </w:t>
      </w:r>
    </w:p>
    <w:p w14:paraId="2781DE04" w14:textId="77777777" w:rsidR="00000000" w:rsidRDefault="00D6065B">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3C2F073C" w14:textId="77777777" w:rsidR="00000000" w:rsidRDefault="00D6065B">
      <w:pPr>
        <w:pStyle w:val="a3"/>
        <w:spacing w:before="0" w:beforeAutospacing="0" w:after="0" w:afterAutospacing="0"/>
        <w:jc w:val="both"/>
        <w:rPr>
          <w:sz w:val="20"/>
          <w:szCs w:val="20"/>
        </w:rPr>
      </w:pPr>
      <w:r>
        <w:rPr>
          <w:sz w:val="20"/>
          <w:szCs w:val="20"/>
        </w:rPr>
        <w:t> </w:t>
      </w:r>
    </w:p>
    <w:p w14:paraId="73356315" w14:textId="77777777" w:rsidR="00000000" w:rsidRDefault="00D6065B">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14:paraId="6227181C" w14:textId="77777777" w:rsidR="00000000" w:rsidRDefault="00D6065B">
      <w:pPr>
        <w:pStyle w:val="a3"/>
        <w:spacing w:before="0" w:beforeAutospacing="0" w:after="0" w:afterAutospacing="0"/>
        <w:jc w:val="both"/>
        <w:rPr>
          <w:sz w:val="20"/>
          <w:szCs w:val="20"/>
        </w:rPr>
      </w:pPr>
      <w:r>
        <w:rPr>
          <w:sz w:val="20"/>
          <w:szCs w:val="20"/>
        </w:rPr>
        <w:t> </w:t>
      </w:r>
    </w:p>
    <w:p w14:paraId="10D4D134" w14:textId="77777777" w:rsidR="00000000" w:rsidRDefault="00D6065B">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B Convertible Preferred shall be convertible into the kind and amount of securities, cash o</w:t>
      </w:r>
      <w:r>
        <w:rPr>
          <w:sz w:val="20"/>
          <w:szCs w:val="20"/>
        </w:rPr>
        <w:t>r other property that a holder of the number of shares of common stock issuable upon conversion of one share of Series B Convertible Preferred prior to any such merger or reorganization would have been entitled to receive pursuant to such transaction.</w:t>
      </w:r>
    </w:p>
    <w:p w14:paraId="4F6A6200" w14:textId="77777777" w:rsidR="00000000" w:rsidRDefault="00D6065B">
      <w:pPr>
        <w:pStyle w:val="a3"/>
        <w:spacing w:before="0" w:beforeAutospacing="0" w:after="0" w:afterAutospacing="0"/>
        <w:ind w:firstLine="720"/>
        <w:jc w:val="both"/>
        <w:rPr>
          <w:sz w:val="20"/>
          <w:szCs w:val="20"/>
        </w:rPr>
      </w:pPr>
      <w:r>
        <w:rPr>
          <w:sz w:val="20"/>
          <w:szCs w:val="20"/>
        </w:rPr>
        <w:t> </w:t>
      </w:r>
    </w:p>
    <w:p w14:paraId="3F3E76FD" w14:textId="77777777" w:rsidR="00000000" w:rsidRDefault="00D6065B">
      <w:pPr>
        <w:pStyle w:val="a3"/>
        <w:spacing w:before="0" w:beforeAutospacing="0" w:after="0" w:afterAutospacing="0"/>
        <w:jc w:val="both"/>
        <w:rPr>
          <w:sz w:val="20"/>
          <w:szCs w:val="20"/>
        </w:rPr>
      </w:pPr>
      <w:r>
        <w:rPr>
          <w:i/>
          <w:iCs/>
          <w:sz w:val="20"/>
          <w:szCs w:val="20"/>
        </w:rPr>
        <w:t>Se</w:t>
      </w:r>
      <w:r>
        <w:rPr>
          <w:i/>
          <w:iCs/>
          <w:sz w:val="20"/>
          <w:szCs w:val="20"/>
        </w:rPr>
        <w:t>ries C Convertible Preferred Stock (“Series C Convertible Preferred”)</w:t>
      </w:r>
    </w:p>
    <w:p w14:paraId="5A678B58" w14:textId="77777777" w:rsidR="00000000" w:rsidRDefault="00D6065B">
      <w:pPr>
        <w:pStyle w:val="a3"/>
        <w:spacing w:before="0" w:beforeAutospacing="0" w:after="0" w:afterAutospacing="0"/>
        <w:jc w:val="both"/>
        <w:rPr>
          <w:sz w:val="20"/>
          <w:szCs w:val="20"/>
        </w:rPr>
      </w:pPr>
      <w:r>
        <w:rPr>
          <w:sz w:val="20"/>
          <w:szCs w:val="20"/>
        </w:rPr>
        <w:t> </w:t>
      </w:r>
    </w:p>
    <w:p w14:paraId="51599B17" w14:textId="77777777" w:rsidR="00000000" w:rsidRDefault="00D6065B">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Pre</w:t>
      </w:r>
      <w:r>
        <w:rPr>
          <w:sz w:val="20"/>
          <w:szCs w:val="20"/>
        </w:rPr>
        <w:t>ferred. The following summarizes the current rights and preferences of the Series C Convertible Preferred:</w:t>
      </w:r>
    </w:p>
    <w:p w14:paraId="759F9F50" w14:textId="77777777" w:rsidR="00000000" w:rsidRDefault="00D6065B">
      <w:pPr>
        <w:pStyle w:val="a3"/>
        <w:spacing w:before="0" w:beforeAutospacing="0" w:after="0" w:afterAutospacing="0"/>
        <w:jc w:val="center"/>
        <w:rPr>
          <w:sz w:val="20"/>
          <w:szCs w:val="20"/>
        </w:rPr>
      </w:pPr>
      <w:r>
        <w:rPr>
          <w:sz w:val="20"/>
          <w:szCs w:val="20"/>
        </w:rPr>
        <w:t> </w:t>
      </w:r>
    </w:p>
    <w:p w14:paraId="07AFB7BA" w14:textId="77777777" w:rsidR="00000000" w:rsidRDefault="00D6065B">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14:paraId="7B281131" w14:textId="77777777" w:rsidR="00000000" w:rsidRDefault="00D6065B">
      <w:pPr>
        <w:pStyle w:val="a3"/>
        <w:spacing w:before="0" w:beforeAutospacing="0" w:after="0" w:afterAutospacing="0"/>
        <w:jc w:val="both"/>
        <w:rPr>
          <w:sz w:val="20"/>
          <w:szCs w:val="20"/>
        </w:rPr>
      </w:pPr>
      <w:r>
        <w:rPr>
          <w:sz w:val="20"/>
          <w:szCs w:val="20"/>
        </w:rPr>
        <w:t> </w:t>
      </w:r>
    </w:p>
    <w:p w14:paraId="4B286E99" w14:textId="77777777" w:rsidR="00000000" w:rsidRDefault="00D6065B">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C Convertible Preferred do not have any separate dividend rights.</w:t>
      </w:r>
    </w:p>
    <w:p w14:paraId="6927CFB4" w14:textId="77777777" w:rsidR="00000000" w:rsidRDefault="00D6065B">
      <w:pPr>
        <w:pStyle w:val="a3"/>
        <w:spacing w:before="0" w:beforeAutospacing="0" w:after="0" w:afterAutospacing="0"/>
        <w:jc w:val="both"/>
        <w:rPr>
          <w:sz w:val="20"/>
          <w:szCs w:val="20"/>
        </w:rPr>
      </w:pPr>
      <w:r>
        <w:rPr>
          <w:sz w:val="20"/>
          <w:szCs w:val="20"/>
        </w:rPr>
        <w:t> </w:t>
      </w:r>
    </w:p>
    <w:p w14:paraId="37580A5A" w14:textId="77777777" w:rsidR="00000000" w:rsidRDefault="00D6065B">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Certificate of Designation, each share of Series C Convertible Preferred is convertible, at the option</w:t>
      </w:r>
      <w:r>
        <w:rPr>
          <w:sz w:val="20"/>
          <w:szCs w:val="20"/>
        </w:rPr>
        <w:t xml:space="preserve"> of the holder, into that number of shares of common stock (the “</w:t>
      </w:r>
      <w:r>
        <w:rPr>
          <w:i/>
          <w:iCs/>
          <w:sz w:val="20"/>
          <w:szCs w:val="20"/>
        </w:rPr>
        <w:t>Series C Conversion Shares</w:t>
      </w:r>
      <w:r>
        <w:rPr>
          <w:sz w:val="20"/>
          <w:szCs w:val="20"/>
        </w:rPr>
        <w:t xml:space="preserve">”) equal to the liquidation preference thereof,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14:paraId="4791EFFE" w14:textId="77777777" w:rsidR="00000000" w:rsidRDefault="00D6065B">
      <w:pPr>
        <w:pStyle w:val="a3"/>
        <w:spacing w:before="0" w:beforeAutospacing="0" w:after="0" w:afterAutospacing="0"/>
        <w:jc w:val="both"/>
        <w:rPr>
          <w:sz w:val="20"/>
          <w:szCs w:val="20"/>
        </w:rPr>
      </w:pPr>
      <w:r>
        <w:rPr>
          <w:sz w:val="20"/>
          <w:szCs w:val="20"/>
        </w:rPr>
        <w:t> </w:t>
      </w:r>
    </w:p>
    <w:p w14:paraId="44B0C02F" w14:textId="77777777" w:rsidR="00000000" w:rsidRDefault="00D6065B">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Certificate of Incorporation to increase the number of shares of common stock authorized for issuance thereunder or effect a reve</w:t>
      </w:r>
      <w:r>
        <w:rPr>
          <w:sz w:val="20"/>
          <w:szCs w:val="20"/>
        </w:rPr>
        <w:t>rse stock split of the outstanding shares of common stock by a sufficient amount to permit the conversion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w:t>
      </w:r>
      <w:r>
        <w:rPr>
          <w:sz w:val="20"/>
          <w:szCs w:val="20"/>
        </w:rPr>
        <w:t>hare of Series C Convertible Preferred shall be convertible into validly issued, fully paid and non-assessable shares of Common Stock on the terms and conditions set forth in the Series C Certificate of Designation under the definition “</w:t>
      </w:r>
      <w:r>
        <w:rPr>
          <w:i/>
          <w:iCs/>
          <w:sz w:val="20"/>
          <w:szCs w:val="20"/>
        </w:rPr>
        <w:t>Conversion Rights</w:t>
      </w:r>
      <w:r>
        <w:rPr>
          <w:sz w:val="20"/>
          <w:szCs w:val="20"/>
        </w:rPr>
        <w:t>”.</w:t>
      </w:r>
    </w:p>
    <w:p w14:paraId="4BC9ADE7" w14:textId="77777777" w:rsidR="00000000" w:rsidRDefault="00D6065B">
      <w:pPr>
        <w:pStyle w:val="a3"/>
        <w:spacing w:before="0" w:beforeAutospacing="0" w:after="0" w:afterAutospacing="0"/>
        <w:jc w:val="both"/>
        <w:rPr>
          <w:sz w:val="20"/>
          <w:szCs w:val="20"/>
        </w:rPr>
      </w:pPr>
      <w:r>
        <w:rPr>
          <w:sz w:val="20"/>
          <w:szCs w:val="20"/>
        </w:rPr>
        <w:t> </w:t>
      </w:r>
    </w:p>
    <w:p w14:paraId="1321672A" w14:textId="77777777" w:rsidR="00000000" w:rsidRDefault="00D6065B">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 the event of a Change of Control (defined in the Series C Certificate of Designation as the time at which as a third party not affiliated with the Company</w:t>
      </w:r>
      <w:r>
        <w:rPr>
          <w:sz w:val="20"/>
          <w:szCs w:val="20"/>
        </w:rPr>
        <w:t xml:space="preserve"> or any holders of the Series C Convertible Preferred shall have acquired, in one or a series of related transactions, equity securities of the Company representing more than fifty percent 50% of the outstanding voting securities of the Company), the Compa</w:t>
      </w:r>
      <w:r>
        <w:rPr>
          <w:sz w:val="20"/>
          <w:szCs w:val="20"/>
        </w:rPr>
        <w:t>ny, at its option, will have the right to redeem all or a portion of the outstanding Series C Convertible Preferred in cash at a price per share of Series C Convertible Preferred equal to</w:t>
      </w:r>
      <w:r>
        <w:rPr>
          <w:sz w:val="20"/>
          <w:szCs w:val="20"/>
        </w:rPr>
        <w:t xml:space="preserve"> </w:t>
      </w:r>
      <w:r>
        <w:rPr>
          <w:sz w:val="20"/>
          <w:szCs w:val="20"/>
        </w:rPr>
        <w:t>10</w:t>
      </w:r>
      <w:r>
        <w:rPr>
          <w:sz w:val="20"/>
          <w:szCs w:val="20"/>
        </w:rPr>
        <w:t>0</w:t>
      </w:r>
      <w:r>
        <w:rPr>
          <w:sz w:val="20"/>
          <w:szCs w:val="20"/>
        </w:rPr>
        <w:t>% of the Liquidation Preference</w:t>
      </w:r>
      <w:r>
        <w:rPr>
          <w:sz w:val="20"/>
          <w:szCs w:val="20"/>
        </w:rPr>
        <w:t>.</w:t>
      </w:r>
    </w:p>
    <w:p w14:paraId="037F6D7C"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EF30C04" w14:textId="77777777">
        <w:trPr>
          <w:divId w:val="620116512"/>
        </w:trPr>
        <w:tc>
          <w:tcPr>
            <w:tcW w:w="5000" w:type="pct"/>
            <w:hideMark/>
          </w:tcPr>
          <w:p w14:paraId="4A97DC81"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3FCE55A2" w14:textId="77777777">
        <w:tc>
          <w:tcPr>
            <w:tcW w:w="5000" w:type="pct"/>
            <w:hideMark/>
          </w:tcPr>
          <w:p w14:paraId="0D20D66A" w14:textId="77777777" w:rsidR="00000000" w:rsidRDefault="00D6065B">
            <w:pPr>
              <w:jc w:val="center"/>
              <w:rPr>
                <w:rFonts w:eastAsia="Times New Roman"/>
                <w:sz w:val="20"/>
                <w:szCs w:val="20"/>
              </w:rPr>
            </w:pPr>
            <w:r>
              <w:rPr>
                <w:rFonts w:eastAsia="Times New Roman"/>
                <w:sz w:val="20"/>
                <w:szCs w:val="20"/>
              </w:rPr>
              <w:t> </w:t>
            </w:r>
          </w:p>
        </w:tc>
      </w:tr>
    </w:tbl>
    <w:p w14:paraId="69B7F95F" w14:textId="77777777" w:rsidR="00000000" w:rsidRDefault="00D6065B">
      <w:pPr>
        <w:pStyle w:val="a3"/>
        <w:spacing w:before="0" w:beforeAutospacing="0" w:after="0" w:afterAutospacing="0"/>
        <w:rPr>
          <w:sz w:val="20"/>
          <w:szCs w:val="20"/>
        </w:rPr>
      </w:pPr>
      <w:r>
        <w:rPr>
          <w:sz w:val="20"/>
          <w:szCs w:val="20"/>
        </w:rPr>
        <w:t> </w:t>
      </w:r>
    </w:p>
    <w:p w14:paraId="51E6A354" w14:textId="77777777" w:rsidR="00000000" w:rsidRDefault="00D6065B">
      <w:pPr>
        <w:pStyle w:val="a3"/>
        <w:spacing w:before="0" w:beforeAutospacing="0" w:after="0" w:afterAutospacing="0"/>
        <w:jc w:val="both"/>
        <w:rPr>
          <w:sz w:val="20"/>
          <w:szCs w:val="20"/>
        </w:rPr>
      </w:pPr>
      <w:r>
        <w:rPr>
          <w:sz w:val="20"/>
          <w:szCs w:val="20"/>
          <w:u w:val="single"/>
        </w:rPr>
        <w:t>Voting Rights</w:t>
      </w:r>
      <w:r>
        <w:rPr>
          <w:sz w:val="20"/>
          <w:szCs w:val="20"/>
        </w:rPr>
        <w:t>. Holde</w:t>
      </w:r>
      <w:r>
        <w:rPr>
          <w:sz w:val="20"/>
          <w:szCs w:val="20"/>
        </w:rPr>
        <w:t xml:space="preserve">rs of Series C Convertible Preferred are entitled to vote on all matters, together with the holders of common stock, and have the equivalent of thirty-two (32) votes for every Series C Conversion Share issuable upon conversion of such holder’s outstanding </w:t>
      </w:r>
      <w:r>
        <w:rPr>
          <w:sz w:val="20"/>
          <w:szCs w:val="20"/>
        </w:rPr>
        <w:t>shares of Series C Convertible Preferred. However, the Series C Conversion Shares, when issued, will have all the same voting rights as other issued and outstanding common stock of the Company, and none of the rights of the Series C Convertible Preferred.</w:t>
      </w:r>
    </w:p>
    <w:p w14:paraId="1814A3FC" w14:textId="77777777" w:rsidR="00000000" w:rsidRDefault="00D6065B">
      <w:pPr>
        <w:pStyle w:val="a3"/>
        <w:spacing w:before="0" w:beforeAutospacing="0" w:after="0" w:afterAutospacing="0"/>
        <w:jc w:val="both"/>
        <w:rPr>
          <w:sz w:val="20"/>
          <w:szCs w:val="20"/>
        </w:rPr>
      </w:pPr>
      <w:r>
        <w:rPr>
          <w:sz w:val="20"/>
          <w:szCs w:val="20"/>
        </w:rPr>
        <w:t> </w:t>
      </w:r>
    </w:p>
    <w:p w14:paraId="6AE3C58C" w14:textId="77777777" w:rsidR="00000000" w:rsidRDefault="00D6065B">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surplus, of</w:t>
      </w:r>
      <w:r>
        <w:rPr>
          <w:sz w:val="20"/>
          <w:szCs w:val="20"/>
        </w:rPr>
        <w:t xml:space="preserve"> the Company an amount equal to the liquidation preference of the Series C Convertible Preferred before any distribution or payment shall be made to the holders of any junior securities, and if the assets of the Company is insufficient to pay in full such </w:t>
      </w:r>
      <w:r>
        <w:rPr>
          <w:sz w:val="20"/>
          <w:szCs w:val="20"/>
        </w:rPr>
        <w:t>amounts, then the entire assets to be distributed to the holders of the Series C Convertible Preferred shall be ratably distributed among the holders in accordance with the respective amounts that would be payable on such shares if all amounts payable ther</w:t>
      </w:r>
      <w:r>
        <w:rPr>
          <w:sz w:val="20"/>
          <w:szCs w:val="20"/>
        </w:rPr>
        <w:t>eon were paid in full.</w:t>
      </w:r>
    </w:p>
    <w:p w14:paraId="3F1E853E" w14:textId="77777777" w:rsidR="00000000" w:rsidRDefault="00D6065B">
      <w:pPr>
        <w:pStyle w:val="a3"/>
        <w:spacing w:before="0" w:beforeAutospacing="0" w:after="0" w:afterAutospacing="0"/>
        <w:jc w:val="both"/>
        <w:rPr>
          <w:sz w:val="20"/>
          <w:szCs w:val="20"/>
        </w:rPr>
      </w:pPr>
      <w:r>
        <w:rPr>
          <w:sz w:val="20"/>
          <w:szCs w:val="20"/>
        </w:rPr>
        <w:t> </w:t>
      </w:r>
    </w:p>
    <w:p w14:paraId="10EA7F42" w14:textId="77777777" w:rsidR="00000000" w:rsidRDefault="00D6065B">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0F20B164" w14:textId="77777777" w:rsidR="00000000" w:rsidRDefault="00D6065B">
      <w:pPr>
        <w:pStyle w:val="a3"/>
        <w:spacing w:before="0" w:beforeAutospacing="0" w:after="0" w:afterAutospacing="0"/>
        <w:jc w:val="both"/>
        <w:rPr>
          <w:sz w:val="20"/>
          <w:szCs w:val="20"/>
        </w:rPr>
      </w:pPr>
      <w:r>
        <w:rPr>
          <w:sz w:val="20"/>
          <w:szCs w:val="20"/>
        </w:rPr>
        <w:t> </w:t>
      </w:r>
    </w:p>
    <w:p w14:paraId="7441F575" w14:textId="77777777" w:rsidR="00000000" w:rsidRDefault="00D6065B">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14:paraId="2172892F" w14:textId="77777777" w:rsidR="00000000" w:rsidRDefault="00D6065B">
      <w:pPr>
        <w:pStyle w:val="a3"/>
        <w:spacing w:before="0" w:beforeAutospacing="0" w:after="0" w:afterAutospacing="0"/>
        <w:jc w:val="both"/>
        <w:rPr>
          <w:sz w:val="20"/>
          <w:szCs w:val="20"/>
        </w:rPr>
      </w:pPr>
      <w:r>
        <w:rPr>
          <w:sz w:val="20"/>
          <w:szCs w:val="20"/>
        </w:rPr>
        <w:t> </w:t>
      </w:r>
    </w:p>
    <w:p w14:paraId="42059755" w14:textId="77777777" w:rsidR="00000000" w:rsidRDefault="00D6065B">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C Convertible Preferred shall be convertible into the kind and amount of securities, cash or other property that a holder of the number of shares of common stock issuable upon</w:t>
      </w:r>
      <w:r>
        <w:rPr>
          <w:sz w:val="20"/>
          <w:szCs w:val="20"/>
        </w:rPr>
        <w:t xml:space="preserve"> conversion of one share of Series C Convertible Preferred prior to any such merger or reorganization would have been entitled to receive pursuant to such transaction.</w:t>
      </w:r>
    </w:p>
    <w:p w14:paraId="6B8B67C0" w14:textId="77777777" w:rsidR="00000000" w:rsidRDefault="00D6065B">
      <w:pPr>
        <w:pStyle w:val="a3"/>
        <w:spacing w:before="0" w:beforeAutospacing="0" w:after="0" w:afterAutospacing="0"/>
        <w:ind w:firstLine="720"/>
        <w:jc w:val="both"/>
        <w:rPr>
          <w:sz w:val="20"/>
          <w:szCs w:val="20"/>
        </w:rPr>
      </w:pPr>
      <w:r>
        <w:rPr>
          <w:sz w:val="20"/>
          <w:szCs w:val="20"/>
        </w:rPr>
        <w:t> </w:t>
      </w:r>
    </w:p>
    <w:p w14:paraId="5E1822B7" w14:textId="77777777" w:rsidR="00000000" w:rsidRDefault="00D6065B">
      <w:pPr>
        <w:pStyle w:val="a3"/>
        <w:spacing w:before="0" w:beforeAutospacing="0" w:after="0" w:afterAutospacing="0"/>
        <w:jc w:val="both"/>
        <w:rPr>
          <w:sz w:val="20"/>
          <w:szCs w:val="20"/>
        </w:rPr>
      </w:pPr>
      <w:r>
        <w:rPr>
          <w:b/>
          <w:bCs/>
          <w:i/>
          <w:iCs/>
          <w:sz w:val="20"/>
          <w:szCs w:val="20"/>
        </w:rPr>
        <w:t>Common and Preferred Stock Issuances - 2021</w:t>
      </w:r>
    </w:p>
    <w:p w14:paraId="5EF8AAF5" w14:textId="77777777" w:rsidR="00000000" w:rsidRDefault="00D6065B">
      <w:pPr>
        <w:pStyle w:val="a3"/>
        <w:spacing w:before="0" w:beforeAutospacing="0" w:after="0" w:afterAutospacing="0"/>
        <w:jc w:val="both"/>
        <w:rPr>
          <w:sz w:val="20"/>
          <w:szCs w:val="20"/>
        </w:rPr>
      </w:pPr>
      <w:r>
        <w:rPr>
          <w:sz w:val="20"/>
          <w:szCs w:val="20"/>
        </w:rPr>
        <w:t> </w:t>
      </w:r>
    </w:p>
    <w:p w14:paraId="04C3691A" w14:textId="77777777" w:rsidR="00000000" w:rsidRDefault="00D6065B">
      <w:pPr>
        <w:pStyle w:val="a3"/>
        <w:spacing w:before="0" w:beforeAutospacing="0" w:after="0" w:afterAutospacing="0"/>
        <w:jc w:val="both"/>
        <w:rPr>
          <w:sz w:val="20"/>
          <w:szCs w:val="20"/>
        </w:rPr>
      </w:pPr>
      <w:r>
        <w:rPr>
          <w:sz w:val="20"/>
          <w:szCs w:val="20"/>
        </w:rPr>
        <w:t xml:space="preserve">In </w:t>
      </w:r>
      <w:r>
        <w:rPr>
          <w:sz w:val="20"/>
          <w:szCs w:val="20"/>
        </w:rPr>
        <w:t>January 2021, the Company issued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shares of common stock in a settlement of accounts payable valued at </w:t>
      </w:r>
      <w:r>
        <w:rPr>
          <w:sz w:val="20"/>
          <w:szCs w:val="20"/>
        </w:rPr>
        <w:t>$</w:t>
      </w:r>
      <w:r>
        <w:rPr>
          <w:sz w:val="20"/>
          <w:szCs w:val="20"/>
        </w:rPr>
        <w:t>40,00</w:t>
      </w:r>
      <w:r>
        <w:rPr>
          <w:sz w:val="20"/>
          <w:szCs w:val="20"/>
        </w:rPr>
        <w:t>0</w:t>
      </w:r>
      <w:r>
        <w:rPr>
          <w:sz w:val="20"/>
          <w:szCs w:val="20"/>
        </w:rPr>
        <w:t>.</w:t>
      </w:r>
    </w:p>
    <w:p w14:paraId="57A3B3BB" w14:textId="77777777" w:rsidR="00000000" w:rsidRDefault="00D6065B">
      <w:pPr>
        <w:pStyle w:val="a3"/>
        <w:spacing w:before="0" w:beforeAutospacing="0" w:after="0" w:afterAutospacing="0"/>
        <w:jc w:val="both"/>
        <w:rPr>
          <w:sz w:val="20"/>
          <w:szCs w:val="20"/>
        </w:rPr>
      </w:pPr>
      <w:r>
        <w:rPr>
          <w:sz w:val="20"/>
          <w:szCs w:val="20"/>
        </w:rPr>
        <w:t> </w:t>
      </w:r>
    </w:p>
    <w:p w14:paraId="3E32E9FF" w14:textId="77777777" w:rsidR="00000000" w:rsidRDefault="00D6065B">
      <w:pPr>
        <w:pStyle w:val="a3"/>
        <w:spacing w:before="0" w:beforeAutospacing="0" w:after="0" w:afterAutospacing="0"/>
        <w:jc w:val="both"/>
        <w:rPr>
          <w:sz w:val="20"/>
          <w:szCs w:val="20"/>
        </w:rPr>
      </w:pPr>
      <w:r>
        <w:rPr>
          <w:sz w:val="20"/>
          <w:szCs w:val="20"/>
        </w:rPr>
        <w:t xml:space="preserve">In January 2021, </w:t>
      </w:r>
      <w:r>
        <w:rPr>
          <w:sz w:val="20"/>
          <w:szCs w:val="20"/>
        </w:rPr>
        <w:t>the Company issued</w:t>
      </w:r>
      <w:r>
        <w:rPr>
          <w:sz w:val="20"/>
          <w:szCs w:val="20"/>
        </w:rPr>
        <w:t xml:space="preserve"> </w:t>
      </w:r>
      <w:r>
        <w:rPr>
          <w:sz w:val="20"/>
          <w:szCs w:val="20"/>
        </w:rPr>
        <w:t>1,259,250</w:t>
      </w:r>
      <w:r>
        <w:rPr>
          <w:sz w:val="20"/>
          <w:szCs w:val="20"/>
        </w:rPr>
        <w:t xml:space="preserve"> </w:t>
      </w:r>
      <w:r>
        <w:rPr>
          <w:sz w:val="20"/>
          <w:szCs w:val="20"/>
        </w:rPr>
        <w:t xml:space="preserve">shares of common stock in conversion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176,295</w:t>
      </w:r>
      <w:r>
        <w:rPr>
          <w:sz w:val="20"/>
          <w:szCs w:val="20"/>
        </w:rPr>
        <w:t xml:space="preserve"> </w:t>
      </w:r>
      <w:r>
        <w:rPr>
          <w:sz w:val="20"/>
          <w:szCs w:val="20"/>
        </w:rPr>
        <w:t>that is reflected in the Condensed Statement of Operations for the six mo</w:t>
      </w:r>
      <w:r>
        <w:rPr>
          <w:sz w:val="20"/>
          <w:szCs w:val="20"/>
        </w:rPr>
        <w:t>nths ended June 30, 2021.</w:t>
      </w:r>
    </w:p>
    <w:p w14:paraId="4247A60A" w14:textId="77777777" w:rsidR="00000000" w:rsidRDefault="00D6065B">
      <w:pPr>
        <w:pStyle w:val="a3"/>
        <w:spacing w:before="0" w:beforeAutospacing="0" w:after="0" w:afterAutospacing="0"/>
        <w:jc w:val="both"/>
        <w:rPr>
          <w:sz w:val="20"/>
          <w:szCs w:val="20"/>
        </w:rPr>
      </w:pPr>
      <w:r>
        <w:rPr>
          <w:sz w:val="20"/>
          <w:szCs w:val="20"/>
        </w:rPr>
        <w:t> </w:t>
      </w:r>
    </w:p>
    <w:p w14:paraId="51B9B5A2" w14:textId="77777777" w:rsidR="00000000" w:rsidRDefault="00D6065B">
      <w:pPr>
        <w:pStyle w:val="a3"/>
        <w:spacing w:before="0" w:beforeAutospacing="0" w:after="0" w:afterAutospacing="0"/>
        <w:jc w:val="both"/>
        <w:rPr>
          <w:sz w:val="20"/>
          <w:szCs w:val="20"/>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14:paraId="5C79E62F" w14:textId="77777777" w:rsidR="00000000" w:rsidRDefault="00D6065B">
      <w:pPr>
        <w:pStyle w:val="a3"/>
        <w:spacing w:before="0" w:beforeAutospacing="0" w:after="0" w:afterAutospacing="0"/>
        <w:jc w:val="both"/>
        <w:rPr>
          <w:sz w:val="20"/>
          <w:szCs w:val="20"/>
        </w:rPr>
      </w:pPr>
      <w:r>
        <w:rPr>
          <w:sz w:val="20"/>
          <w:szCs w:val="20"/>
        </w:rPr>
        <w:t> </w:t>
      </w:r>
    </w:p>
    <w:p w14:paraId="4B808D36" w14:textId="77777777" w:rsidR="00000000" w:rsidRDefault="00D6065B">
      <w:pPr>
        <w:pStyle w:val="a3"/>
        <w:spacing w:before="0" w:beforeAutospacing="0" w:after="0" w:afterAutospacing="0"/>
        <w:jc w:val="both"/>
        <w:rPr>
          <w:sz w:val="20"/>
          <w:szCs w:val="20"/>
        </w:rPr>
      </w:pPr>
      <w:r>
        <w:rPr>
          <w:sz w:val="20"/>
          <w:szCs w:val="20"/>
        </w:rPr>
        <w:t>Betwe</w:t>
      </w:r>
      <w:r>
        <w:rPr>
          <w:sz w:val="20"/>
          <w:szCs w:val="20"/>
        </w:rPr>
        <w:t>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14:paraId="1DB63F4A" w14:textId="77777777" w:rsidR="00000000" w:rsidRDefault="00D6065B">
      <w:pPr>
        <w:pStyle w:val="a3"/>
        <w:spacing w:before="0" w:beforeAutospacing="0" w:after="0" w:afterAutospacing="0"/>
        <w:jc w:val="both"/>
        <w:rPr>
          <w:sz w:val="20"/>
          <w:szCs w:val="20"/>
        </w:rPr>
      </w:pPr>
      <w:r>
        <w:rPr>
          <w:sz w:val="20"/>
          <w:szCs w:val="20"/>
        </w:rPr>
        <w:t> </w:t>
      </w:r>
    </w:p>
    <w:p w14:paraId="73A6B838" w14:textId="77777777" w:rsidR="00000000" w:rsidRDefault="00D6065B">
      <w:pPr>
        <w:pStyle w:val="a3"/>
        <w:spacing w:before="0" w:beforeAutospacing="0" w:after="0" w:afterAutospacing="0"/>
        <w:jc w:val="both"/>
        <w:rPr>
          <w:sz w:val="20"/>
          <w:szCs w:val="20"/>
        </w:rPr>
      </w:pPr>
      <w:r>
        <w:rPr>
          <w:sz w:val="20"/>
          <w:szCs w:val="20"/>
        </w:rPr>
        <w:t>On June 28, 2021, the Company issued</w:t>
      </w:r>
      <w:r>
        <w:rPr>
          <w:sz w:val="20"/>
          <w:szCs w:val="20"/>
        </w:rPr>
        <w:t xml:space="preserve"> </w:t>
      </w:r>
      <w:r>
        <w:rPr>
          <w:sz w:val="20"/>
          <w:szCs w:val="20"/>
        </w:rPr>
        <w:t>2,500,00</w:t>
      </w:r>
      <w:r>
        <w:rPr>
          <w:sz w:val="20"/>
          <w:szCs w:val="20"/>
        </w:rPr>
        <w:t>0</w:t>
      </w:r>
      <w:r>
        <w:rPr>
          <w:sz w:val="20"/>
          <w:szCs w:val="20"/>
        </w:rPr>
        <w:t xml:space="preserve"> shares of common stock for the exercise of</w:t>
      </w:r>
      <w:r>
        <w:rPr>
          <w:sz w:val="20"/>
          <w:szCs w:val="20"/>
        </w:rPr>
        <w:t xml:space="preserve"> </w:t>
      </w:r>
      <w:r>
        <w:rPr>
          <w:sz w:val="20"/>
          <w:szCs w:val="20"/>
        </w:rPr>
        <w:t>2,500,00</w:t>
      </w:r>
      <w:r>
        <w:rPr>
          <w:sz w:val="20"/>
          <w:szCs w:val="20"/>
        </w:rPr>
        <w:t>0</w:t>
      </w:r>
      <w:r>
        <w:rPr>
          <w:sz w:val="20"/>
          <w:szCs w:val="20"/>
        </w:rPr>
        <w:t xml:space="preserve"> stock options</w:t>
      </w:r>
      <w:r>
        <w:rPr>
          <w:sz w:val="20"/>
          <w:szCs w:val="20"/>
        </w:rPr>
        <w:t xml:space="preserve"> to the Chief Executive Officer. In this transaction, the Company canceled</w:t>
      </w:r>
      <w:r>
        <w:rPr>
          <w:sz w:val="20"/>
          <w:szCs w:val="20"/>
        </w:rPr>
        <w:t xml:space="preserve"> </w:t>
      </w:r>
      <w:r>
        <w:rPr>
          <w:sz w:val="20"/>
          <w:szCs w:val="20"/>
        </w:rPr>
        <w:t>375,00</w:t>
      </w:r>
      <w:r>
        <w:rPr>
          <w:sz w:val="20"/>
          <w:szCs w:val="20"/>
        </w:rPr>
        <w:t>0</w:t>
      </w:r>
      <w:r>
        <w:rPr>
          <w:sz w:val="20"/>
          <w:szCs w:val="20"/>
        </w:rPr>
        <w:t xml:space="preserve"> shares of common stock as partial payment for the exercise of the stock options.</w:t>
      </w:r>
    </w:p>
    <w:p w14:paraId="5DF64157"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EECBAB" w14:textId="77777777">
        <w:trPr>
          <w:divId w:val="1620912609"/>
        </w:trPr>
        <w:tc>
          <w:tcPr>
            <w:tcW w:w="5000" w:type="pct"/>
            <w:hideMark/>
          </w:tcPr>
          <w:p w14:paraId="4B359054"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0BBA38D1" w14:textId="77777777">
        <w:tc>
          <w:tcPr>
            <w:tcW w:w="5000" w:type="pct"/>
            <w:hideMark/>
          </w:tcPr>
          <w:p w14:paraId="44084134" w14:textId="77777777" w:rsidR="00000000" w:rsidRDefault="00D6065B">
            <w:pPr>
              <w:jc w:val="center"/>
              <w:rPr>
                <w:rFonts w:eastAsia="Times New Roman"/>
                <w:sz w:val="20"/>
                <w:szCs w:val="20"/>
              </w:rPr>
            </w:pPr>
            <w:r>
              <w:rPr>
                <w:rFonts w:eastAsia="Times New Roman"/>
                <w:sz w:val="20"/>
                <w:szCs w:val="20"/>
              </w:rPr>
              <w:t> </w:t>
            </w:r>
          </w:p>
        </w:tc>
      </w:tr>
    </w:tbl>
    <w:p w14:paraId="02226400" w14:textId="77777777" w:rsidR="00000000" w:rsidRDefault="00D6065B">
      <w:pPr>
        <w:pStyle w:val="a3"/>
        <w:spacing w:before="0" w:beforeAutospacing="0" w:after="0" w:afterAutospacing="0"/>
        <w:rPr>
          <w:sz w:val="20"/>
          <w:szCs w:val="20"/>
        </w:rPr>
      </w:pPr>
      <w:r>
        <w:rPr>
          <w:sz w:val="20"/>
          <w:szCs w:val="20"/>
        </w:rPr>
        <w:t> </w:t>
      </w:r>
    </w:p>
    <w:p w14:paraId="7C62FEB5" w14:textId="77777777" w:rsidR="00000000" w:rsidRDefault="00D6065B">
      <w:pPr>
        <w:pStyle w:val="a3"/>
        <w:spacing w:before="0" w:beforeAutospacing="0" w:after="0" w:afterAutospacing="0"/>
        <w:jc w:val="both"/>
        <w:rPr>
          <w:sz w:val="20"/>
          <w:szCs w:val="20"/>
        </w:rPr>
      </w:pPr>
      <w:r>
        <w:rPr>
          <w:b/>
          <w:bCs/>
          <w:i/>
          <w:iCs/>
          <w:sz w:val="20"/>
          <w:szCs w:val="20"/>
        </w:rPr>
        <w:t>Common and Preferred Stock Issuances - 2020</w:t>
      </w:r>
    </w:p>
    <w:p w14:paraId="7CD2541F" w14:textId="77777777" w:rsidR="00000000" w:rsidRDefault="00D6065B">
      <w:pPr>
        <w:pStyle w:val="a3"/>
        <w:spacing w:before="0" w:beforeAutospacing="0" w:after="0" w:afterAutospacing="0"/>
        <w:jc w:val="both"/>
        <w:rPr>
          <w:sz w:val="20"/>
          <w:szCs w:val="20"/>
        </w:rPr>
      </w:pPr>
      <w:r>
        <w:rPr>
          <w:sz w:val="20"/>
          <w:szCs w:val="20"/>
        </w:rPr>
        <w:t> </w:t>
      </w:r>
    </w:p>
    <w:p w14:paraId="2BF22F76"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 xml:space="preserve">Company in January 2020 paid </w:t>
      </w:r>
      <w:r>
        <w:rPr>
          <w:sz w:val="20"/>
          <w:szCs w:val="20"/>
        </w:rPr>
        <w:t>$</w:t>
      </w:r>
      <w:r>
        <w:rPr>
          <w:sz w:val="20"/>
          <w:szCs w:val="20"/>
        </w:rPr>
        <w:t>50,00</w:t>
      </w:r>
      <w:r>
        <w:rPr>
          <w:sz w:val="20"/>
          <w:szCs w:val="20"/>
        </w:rPr>
        <w:t>0</w:t>
      </w:r>
      <w:r>
        <w:rPr>
          <w:sz w:val="20"/>
          <w:szCs w:val="20"/>
        </w:rPr>
        <w:t xml:space="preserve"> to redeem</w:t>
      </w:r>
      <w:r>
        <w:rPr>
          <w:sz w:val="20"/>
          <w:szCs w:val="20"/>
        </w:rPr>
        <w:t xml:space="preserve"> </w:t>
      </w:r>
      <w:r>
        <w:rPr>
          <w:sz w:val="20"/>
          <w:szCs w:val="20"/>
        </w:rPr>
        <w:t>100,00</w:t>
      </w:r>
      <w:r>
        <w:rPr>
          <w:sz w:val="20"/>
          <w:szCs w:val="20"/>
        </w:rPr>
        <w:t>0</w:t>
      </w:r>
      <w:r>
        <w:rPr>
          <w:sz w:val="20"/>
          <w:szCs w:val="20"/>
        </w:rPr>
        <w:t xml:space="preserve"> shares of Series B Convertible Preferred Stock. The redemption price was agreed to by the investor.</w:t>
      </w:r>
    </w:p>
    <w:p w14:paraId="051381A3" w14:textId="77777777" w:rsidR="00000000" w:rsidRDefault="00D6065B">
      <w:pPr>
        <w:pStyle w:val="a3"/>
        <w:spacing w:before="0" w:beforeAutospacing="0" w:after="0" w:afterAutospacing="0"/>
        <w:jc w:val="both"/>
        <w:rPr>
          <w:sz w:val="20"/>
          <w:szCs w:val="20"/>
        </w:rPr>
      </w:pPr>
      <w:r>
        <w:rPr>
          <w:sz w:val="20"/>
          <w:szCs w:val="20"/>
        </w:rPr>
        <w:t> </w:t>
      </w:r>
    </w:p>
    <w:p w14:paraId="5860ED6E" w14:textId="77777777" w:rsidR="00000000" w:rsidRDefault="00D6065B">
      <w:pPr>
        <w:pStyle w:val="a3"/>
        <w:spacing w:before="0" w:beforeAutospacing="0" w:after="0" w:afterAutospacing="0"/>
        <w:jc w:val="both"/>
        <w:rPr>
          <w:sz w:val="20"/>
          <w:szCs w:val="20"/>
        </w:rPr>
      </w:pPr>
      <w:r>
        <w:rPr>
          <w:sz w:val="20"/>
          <w:szCs w:val="20"/>
        </w:rPr>
        <w:t>In January 2020, the Company converted</w:t>
      </w:r>
      <w:r>
        <w:rPr>
          <w:sz w:val="20"/>
          <w:szCs w:val="20"/>
        </w:rPr>
        <w:t xml:space="preserve"> </w:t>
      </w:r>
      <w:r>
        <w:rPr>
          <w:sz w:val="20"/>
          <w:szCs w:val="20"/>
        </w:rPr>
        <w:t>435,99</w:t>
      </w:r>
      <w:r>
        <w:rPr>
          <w:sz w:val="20"/>
          <w:szCs w:val="20"/>
        </w:rPr>
        <w:t>0</w:t>
      </w:r>
      <w:r>
        <w:rPr>
          <w:sz w:val="20"/>
          <w:szCs w:val="20"/>
        </w:rPr>
        <w:t xml:space="preserve"> shares of Series C Convertible Preferred stock into</w:t>
      </w:r>
      <w:r>
        <w:rPr>
          <w:sz w:val="20"/>
          <w:szCs w:val="20"/>
        </w:rPr>
        <w:t xml:space="preserve"> </w:t>
      </w:r>
      <w:r>
        <w:rPr>
          <w:sz w:val="20"/>
          <w:szCs w:val="20"/>
        </w:rPr>
        <w:t>5,449,87</w:t>
      </w:r>
      <w:r>
        <w:rPr>
          <w:sz w:val="20"/>
          <w:szCs w:val="20"/>
        </w:rPr>
        <w:t>5</w:t>
      </w:r>
      <w:r>
        <w:rPr>
          <w:sz w:val="20"/>
          <w:szCs w:val="20"/>
        </w:rPr>
        <w:t xml:space="preserve"> shares of common stock.</w:t>
      </w:r>
    </w:p>
    <w:p w14:paraId="19817D0A" w14:textId="77777777" w:rsidR="00000000" w:rsidRDefault="00D6065B">
      <w:pPr>
        <w:pStyle w:val="a3"/>
        <w:spacing w:before="0" w:beforeAutospacing="0" w:after="0" w:afterAutospacing="0"/>
        <w:jc w:val="both"/>
        <w:rPr>
          <w:sz w:val="20"/>
          <w:szCs w:val="20"/>
        </w:rPr>
      </w:pPr>
      <w:r>
        <w:rPr>
          <w:sz w:val="20"/>
          <w:szCs w:val="20"/>
        </w:rPr>
        <w:t> </w:t>
      </w:r>
    </w:p>
    <w:p w14:paraId="17A6A793" w14:textId="77777777" w:rsidR="00000000" w:rsidRDefault="00D6065B">
      <w:pPr>
        <w:pStyle w:val="a3"/>
        <w:spacing w:before="0" w:beforeAutospacing="0" w:after="0" w:afterAutospacing="0"/>
        <w:jc w:val="both"/>
        <w:rPr>
          <w:sz w:val="20"/>
          <w:szCs w:val="20"/>
        </w:rPr>
      </w:pPr>
      <w:r>
        <w:rPr>
          <w:sz w:val="20"/>
          <w:szCs w:val="20"/>
        </w:rPr>
        <w:t>In March 2020, the Company entered into agreements to issue</w:t>
      </w:r>
      <w:r>
        <w:rPr>
          <w:sz w:val="20"/>
          <w:szCs w:val="20"/>
        </w:rPr>
        <w:t xml:space="preserve"> </w:t>
      </w:r>
      <w:r>
        <w:rPr>
          <w:sz w:val="20"/>
          <w:szCs w:val="20"/>
        </w:rPr>
        <w:t>4,640,00</w:t>
      </w:r>
      <w:r>
        <w:rPr>
          <w:sz w:val="20"/>
          <w:szCs w:val="20"/>
        </w:rPr>
        <w:t>0</w:t>
      </w:r>
      <w:r>
        <w:rPr>
          <w:sz w:val="20"/>
          <w:szCs w:val="20"/>
        </w:rPr>
        <w:t xml:space="preserve"> shares of common stock conditioned upon the qualification of the offer and sale of such shares under Regulation A+ for </w:t>
      </w:r>
      <w:r>
        <w:rPr>
          <w:sz w:val="20"/>
          <w:szCs w:val="20"/>
        </w:rPr>
        <w:t>$</w:t>
      </w:r>
      <w:r>
        <w:rPr>
          <w:sz w:val="20"/>
          <w:szCs w:val="20"/>
        </w:rPr>
        <w:t>125,28</w:t>
      </w:r>
      <w:r>
        <w:rPr>
          <w:sz w:val="20"/>
          <w:szCs w:val="20"/>
        </w:rPr>
        <w:t>0</w:t>
      </w:r>
      <w:r>
        <w:rPr>
          <w:sz w:val="20"/>
          <w:szCs w:val="20"/>
        </w:rPr>
        <w:t>. Additionally, the Com</w:t>
      </w:r>
      <w:r>
        <w:rPr>
          <w:sz w:val="20"/>
          <w:szCs w:val="20"/>
        </w:rPr>
        <w:t>pany agreed to issue</w:t>
      </w:r>
      <w:r>
        <w:rPr>
          <w:sz w:val="20"/>
          <w:szCs w:val="20"/>
        </w:rPr>
        <w:t xml:space="preserve"> </w:t>
      </w:r>
      <w:r>
        <w:rPr>
          <w:sz w:val="20"/>
          <w:szCs w:val="20"/>
        </w:rPr>
        <w:t>2,320,00</w:t>
      </w:r>
      <w:r>
        <w:rPr>
          <w:sz w:val="20"/>
          <w:szCs w:val="20"/>
        </w:rPr>
        <w:t>0</w:t>
      </w:r>
      <w:r>
        <w:rPr>
          <w:sz w:val="20"/>
          <w:szCs w:val="20"/>
        </w:rPr>
        <w:t xml:space="preserve"> warrants with a term of</w:t>
      </w:r>
      <w:r>
        <w:rPr>
          <w:sz w:val="20"/>
          <w:szCs w:val="20"/>
        </w:rPr>
        <w:t xml:space="preserve"> </w:t>
      </w:r>
      <w:r>
        <w:rPr>
          <w:sz w:val="20"/>
          <w:szCs w:val="20"/>
        </w:rPr>
        <w:t>tw</w:t>
      </w:r>
      <w:r>
        <w:rPr>
          <w:sz w:val="20"/>
          <w:szCs w:val="20"/>
        </w:rPr>
        <w:t>o</w:t>
      </w:r>
      <w:r>
        <w:rPr>
          <w:sz w:val="20"/>
          <w:szCs w:val="20"/>
        </w:rPr>
        <w:t xml:space="preserve"> years and an exercise price of </w:t>
      </w:r>
      <w:r>
        <w:rPr>
          <w:sz w:val="20"/>
          <w:szCs w:val="20"/>
        </w:rPr>
        <w:t>$</w:t>
      </w:r>
      <w:r>
        <w:rPr>
          <w:sz w:val="20"/>
          <w:szCs w:val="20"/>
        </w:rPr>
        <w:t>.04</w:t>
      </w:r>
      <w:r>
        <w:rPr>
          <w:sz w:val="20"/>
          <w:szCs w:val="20"/>
        </w:rPr>
        <w:t>5</w:t>
      </w:r>
      <w:r>
        <w:rPr>
          <w:sz w:val="20"/>
          <w:szCs w:val="20"/>
        </w:rPr>
        <w:t xml:space="preserve"> for a purchase price of </w:t>
      </w:r>
      <w:r>
        <w:rPr>
          <w:sz w:val="20"/>
          <w:szCs w:val="20"/>
        </w:rPr>
        <w:t>$</w:t>
      </w:r>
      <w:r>
        <w:rPr>
          <w:sz w:val="20"/>
          <w:szCs w:val="20"/>
        </w:rPr>
        <w:t>1,24</w:t>
      </w:r>
      <w:r>
        <w:rPr>
          <w:sz w:val="20"/>
          <w:szCs w:val="20"/>
        </w:rPr>
        <w:t>3</w:t>
      </w:r>
      <w:r>
        <w:rPr>
          <w:sz w:val="20"/>
          <w:szCs w:val="20"/>
        </w:rPr>
        <w:t>. These shares were issued on June 10, 2020 following the qualification of the Regulation A+ and are reflected as shares to be iss</w:t>
      </w:r>
      <w:r>
        <w:rPr>
          <w:sz w:val="20"/>
          <w:szCs w:val="20"/>
        </w:rPr>
        <w:t>ued as of March 31, 2020.</w:t>
      </w:r>
    </w:p>
    <w:p w14:paraId="6F777C0E" w14:textId="77777777" w:rsidR="00000000" w:rsidRDefault="00D6065B">
      <w:pPr>
        <w:pStyle w:val="a3"/>
        <w:spacing w:before="0" w:beforeAutospacing="0" w:after="0" w:afterAutospacing="0"/>
        <w:ind w:firstLine="720"/>
        <w:jc w:val="both"/>
        <w:rPr>
          <w:sz w:val="20"/>
          <w:szCs w:val="20"/>
        </w:rPr>
      </w:pPr>
      <w:r>
        <w:rPr>
          <w:sz w:val="20"/>
          <w:szCs w:val="20"/>
        </w:rPr>
        <w:t> </w:t>
      </w:r>
    </w:p>
    <w:p w14:paraId="55DF1421" w14:textId="77777777" w:rsidR="00000000" w:rsidRDefault="00D6065B">
      <w:pPr>
        <w:pStyle w:val="a3"/>
        <w:spacing w:before="0" w:beforeAutospacing="0" w:after="0" w:afterAutospacing="0"/>
        <w:jc w:val="both"/>
        <w:rPr>
          <w:sz w:val="20"/>
          <w:szCs w:val="20"/>
        </w:rPr>
      </w:pPr>
      <w:r>
        <w:rPr>
          <w:sz w:val="20"/>
          <w:szCs w:val="20"/>
        </w:rPr>
        <w:t xml:space="preserve">In March 2020, certain holders of convertible promissory notes entered into agreements to exchange certain notes totaling </w:t>
      </w:r>
      <w:r>
        <w:rPr>
          <w:sz w:val="20"/>
          <w:szCs w:val="20"/>
        </w:rPr>
        <w:t>$</w:t>
      </w:r>
      <w:r>
        <w:rPr>
          <w:sz w:val="20"/>
          <w:szCs w:val="20"/>
        </w:rPr>
        <w:t>526,11</w:t>
      </w:r>
      <w:r>
        <w:rPr>
          <w:sz w:val="20"/>
          <w:szCs w:val="20"/>
        </w:rPr>
        <w:t>3</w:t>
      </w:r>
      <w:r>
        <w:rPr>
          <w:sz w:val="20"/>
          <w:szCs w:val="20"/>
        </w:rPr>
        <w:t xml:space="preserve">, including </w:t>
      </w:r>
      <w:r>
        <w:rPr>
          <w:sz w:val="20"/>
          <w:szCs w:val="20"/>
        </w:rPr>
        <w:t>$</w:t>
      </w:r>
      <w:r>
        <w:rPr>
          <w:sz w:val="20"/>
          <w:szCs w:val="20"/>
        </w:rPr>
        <w:t>425,00</w:t>
      </w:r>
      <w:r>
        <w:rPr>
          <w:sz w:val="20"/>
          <w:szCs w:val="20"/>
        </w:rPr>
        <w:t>0</w:t>
      </w:r>
      <w:r>
        <w:rPr>
          <w:sz w:val="20"/>
          <w:szCs w:val="20"/>
        </w:rPr>
        <w:t xml:space="preserve"> in principal amount, </w:t>
      </w:r>
      <w:r>
        <w:rPr>
          <w:sz w:val="20"/>
          <w:szCs w:val="20"/>
        </w:rPr>
        <w:t>$</w:t>
      </w:r>
      <w:r>
        <w:rPr>
          <w:sz w:val="20"/>
          <w:szCs w:val="20"/>
        </w:rPr>
        <w:t>23,43</w:t>
      </w:r>
      <w:r>
        <w:rPr>
          <w:sz w:val="20"/>
          <w:szCs w:val="20"/>
        </w:rPr>
        <w:t>0</w:t>
      </w:r>
      <w:r>
        <w:rPr>
          <w:sz w:val="20"/>
          <w:szCs w:val="20"/>
        </w:rPr>
        <w:t xml:space="preserve"> in accrued interest and an exchange premium as p</w:t>
      </w:r>
      <w:r>
        <w:rPr>
          <w:sz w:val="20"/>
          <w:szCs w:val="20"/>
        </w:rPr>
        <w:t xml:space="preserve">rovided for in the note agreements of </w:t>
      </w:r>
      <w:r>
        <w:rPr>
          <w:sz w:val="20"/>
          <w:szCs w:val="20"/>
        </w:rPr>
        <w:t>$</w:t>
      </w:r>
      <w:r>
        <w:rPr>
          <w:sz w:val="20"/>
          <w:szCs w:val="20"/>
        </w:rPr>
        <w:t>77,68</w:t>
      </w:r>
      <w:r>
        <w:rPr>
          <w:sz w:val="20"/>
          <w:szCs w:val="20"/>
        </w:rPr>
        <w:t>3</w:t>
      </w:r>
      <w:r>
        <w:rPr>
          <w:sz w:val="20"/>
          <w:szCs w:val="20"/>
        </w:rPr>
        <w:t xml:space="preserve"> into</w:t>
      </w:r>
      <w:r>
        <w:rPr>
          <w:sz w:val="20"/>
          <w:szCs w:val="20"/>
        </w:rPr>
        <w:t xml:space="preserve"> </w:t>
      </w:r>
      <w:r>
        <w:rPr>
          <w:sz w:val="20"/>
          <w:szCs w:val="20"/>
        </w:rPr>
        <w:t>19,485,66</w:t>
      </w:r>
      <w:r>
        <w:rPr>
          <w:sz w:val="20"/>
          <w:szCs w:val="20"/>
        </w:rPr>
        <w:t>8</w:t>
      </w:r>
      <w:r>
        <w:rPr>
          <w:sz w:val="20"/>
          <w:szCs w:val="20"/>
        </w:rPr>
        <w:t xml:space="preserve"> shares of common stock effective upon the qualification of the offer and sale of such shares under Regulation A+. In connection with the holder’s agreement to enter into the exchange, the Compan</w:t>
      </w:r>
      <w:r>
        <w:rPr>
          <w:sz w:val="20"/>
          <w:szCs w:val="20"/>
        </w:rPr>
        <w:t>y intends to issue</w:t>
      </w:r>
      <w:r>
        <w:rPr>
          <w:sz w:val="20"/>
          <w:szCs w:val="20"/>
        </w:rPr>
        <w:t xml:space="preserve"> </w:t>
      </w:r>
      <w:r>
        <w:rPr>
          <w:sz w:val="20"/>
          <w:szCs w:val="20"/>
        </w:rPr>
        <w:t>2,200,00</w:t>
      </w:r>
      <w:r>
        <w:rPr>
          <w:sz w:val="20"/>
          <w:szCs w:val="20"/>
        </w:rPr>
        <w:t>0</w:t>
      </w:r>
      <w:r>
        <w:rPr>
          <w:sz w:val="20"/>
          <w:szCs w:val="20"/>
        </w:rPr>
        <w:t xml:space="preserve"> warrants with a</w:t>
      </w:r>
      <w:r>
        <w:rPr>
          <w:sz w:val="20"/>
          <w:szCs w:val="20"/>
        </w:rPr>
        <w:t xml:space="preserve"> </w:t>
      </w:r>
      <w:r>
        <w:rPr>
          <w:sz w:val="20"/>
          <w:szCs w:val="20"/>
        </w:rPr>
        <w:t>tw</w:t>
      </w:r>
      <w:r>
        <w:rPr>
          <w:sz w:val="20"/>
          <w:szCs w:val="20"/>
        </w:rPr>
        <w:t>o</w:t>
      </w:r>
      <w:r>
        <w:rPr>
          <w:sz w:val="20"/>
          <w:szCs w:val="20"/>
        </w:rPr>
        <w:t xml:space="preserve">-year term and an exercise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 </w:t>
      </w:r>
      <w:r>
        <w:rPr>
          <w:sz w:val="20"/>
          <w:szCs w:val="20"/>
        </w:rPr>
        <w:t>$</w:t>
      </w:r>
      <w:r>
        <w:rPr>
          <w:sz w:val="20"/>
          <w:szCs w:val="20"/>
        </w:rPr>
        <w:t>.04</w:t>
      </w:r>
      <w:r>
        <w:rPr>
          <w:sz w:val="20"/>
          <w:szCs w:val="20"/>
        </w:rPr>
        <w:t>5</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xml:space="preserve">. These shares were issued on </w:t>
      </w:r>
      <w:r>
        <w:rPr>
          <w:sz w:val="20"/>
          <w:szCs w:val="20"/>
        </w:rPr>
        <w:t>June 10, 2020 following the qualification of the Regulation A+ and are reflected as shares to be issued as of March 31, 2020.</w:t>
      </w:r>
    </w:p>
    <w:p w14:paraId="6A141751" w14:textId="77777777" w:rsidR="00000000" w:rsidRDefault="00D6065B">
      <w:pPr>
        <w:pStyle w:val="a3"/>
        <w:spacing w:before="0" w:beforeAutospacing="0" w:after="0" w:afterAutospacing="0"/>
        <w:jc w:val="both"/>
        <w:rPr>
          <w:sz w:val="20"/>
          <w:szCs w:val="20"/>
        </w:rPr>
      </w:pPr>
      <w:r>
        <w:rPr>
          <w:sz w:val="20"/>
          <w:szCs w:val="20"/>
        </w:rPr>
        <w:t> </w:t>
      </w:r>
    </w:p>
    <w:p w14:paraId="1FCF7CC2" w14:textId="77777777" w:rsidR="00000000" w:rsidRDefault="00D6065B">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COMMON STOCK OPTIONS, WARRANTS AND RESTRICTED STOCK UNIT</w:t>
      </w:r>
      <w:r>
        <w:rPr>
          <w:b/>
          <w:bCs/>
          <w:sz w:val="20"/>
          <w:szCs w:val="20"/>
        </w:rPr>
        <w:t>S</w:t>
      </w:r>
    </w:p>
    <w:p w14:paraId="75F1DB64" w14:textId="77777777" w:rsidR="00000000" w:rsidRDefault="00D6065B">
      <w:pPr>
        <w:pStyle w:val="a3"/>
        <w:spacing w:before="0" w:beforeAutospacing="0" w:after="0" w:afterAutospacing="0"/>
        <w:ind w:firstLine="720"/>
        <w:jc w:val="both"/>
        <w:rPr>
          <w:sz w:val="20"/>
          <w:szCs w:val="20"/>
        </w:rPr>
      </w:pPr>
      <w:r>
        <w:rPr>
          <w:sz w:val="20"/>
          <w:szCs w:val="20"/>
        </w:rPr>
        <w:t> </w:t>
      </w:r>
    </w:p>
    <w:p w14:paraId="5A7A7F04" w14:textId="77777777" w:rsidR="00000000" w:rsidRDefault="00D6065B">
      <w:pPr>
        <w:pStyle w:val="a3"/>
        <w:spacing w:before="0" w:beforeAutospacing="0" w:after="0" w:afterAutospacing="0"/>
        <w:jc w:val="both"/>
        <w:rPr>
          <w:sz w:val="20"/>
          <w:szCs w:val="20"/>
        </w:rPr>
      </w:pPr>
      <w:r>
        <w:rPr>
          <w:b/>
          <w:bCs/>
          <w:sz w:val="20"/>
          <w:szCs w:val="20"/>
        </w:rPr>
        <w:t>Common Stock Options</w:t>
      </w:r>
    </w:p>
    <w:p w14:paraId="2867A7AD" w14:textId="77777777" w:rsidR="00000000" w:rsidRDefault="00D6065B">
      <w:pPr>
        <w:pStyle w:val="a3"/>
        <w:spacing w:before="0" w:beforeAutospacing="0" w:after="0" w:afterAutospacing="0"/>
        <w:ind w:firstLine="720"/>
        <w:jc w:val="both"/>
        <w:rPr>
          <w:sz w:val="20"/>
          <w:szCs w:val="20"/>
        </w:rPr>
      </w:pPr>
      <w:r>
        <w:rPr>
          <w:sz w:val="20"/>
          <w:szCs w:val="20"/>
        </w:rPr>
        <w:t> </w:t>
      </w:r>
    </w:p>
    <w:p w14:paraId="2B986EEA" w14:textId="77777777" w:rsidR="00000000" w:rsidRDefault="00D6065B">
      <w:pPr>
        <w:pStyle w:val="a3"/>
        <w:spacing w:before="0" w:beforeAutospacing="0" w:after="0" w:afterAutospacing="0"/>
        <w:jc w:val="both"/>
        <w:rPr>
          <w:sz w:val="20"/>
          <w:szCs w:val="20"/>
        </w:rPr>
      </w:pPr>
      <w:r>
        <w:rPr>
          <w:sz w:val="20"/>
          <w:szCs w:val="20"/>
        </w:rPr>
        <w:t>The Company recognizes in the financi</w:t>
      </w:r>
      <w:r>
        <w:rPr>
          <w:sz w:val="20"/>
          <w:szCs w:val="20"/>
        </w:rPr>
        <w:t>al statements compensation related to all stock-based awards, including stock options and warrants, based on their estimated grant-date fair value. The Company has estimated expected forfeitures and is recognizing compensation expense only for those awards</w:t>
      </w:r>
      <w:r>
        <w:rPr>
          <w:sz w:val="20"/>
          <w:szCs w:val="20"/>
        </w:rPr>
        <w:t xml:space="preserve"> expected to vest. All compensation is recognized by the time the award vests.</w:t>
      </w:r>
    </w:p>
    <w:p w14:paraId="11E3E366" w14:textId="77777777" w:rsidR="00000000" w:rsidRDefault="00D6065B">
      <w:pPr>
        <w:pStyle w:val="a3"/>
        <w:spacing w:before="0" w:beforeAutospacing="0" w:after="0" w:afterAutospacing="0"/>
        <w:jc w:val="both"/>
        <w:rPr>
          <w:sz w:val="20"/>
          <w:szCs w:val="20"/>
        </w:rPr>
      </w:pPr>
      <w:r>
        <w:rPr>
          <w:sz w:val="20"/>
          <w:szCs w:val="20"/>
        </w:rPr>
        <w:t> </w:t>
      </w:r>
    </w:p>
    <w:p w14:paraId="6E97721B" w14:textId="77777777" w:rsidR="00000000" w:rsidRDefault="00D6065B">
      <w:pPr>
        <w:pStyle w:val="a3"/>
        <w:spacing w:before="0" w:beforeAutospacing="0" w:after="0" w:afterAutospacing="0"/>
        <w:jc w:val="both"/>
        <w:rPr>
          <w:sz w:val="20"/>
          <w:szCs w:val="20"/>
        </w:rPr>
      </w:pPr>
      <w:r>
        <w:rPr>
          <w:sz w:val="20"/>
          <w:szCs w:val="20"/>
        </w:rPr>
        <w:t>The following schedule summarizes the changes in the Company’s stock options:</w:t>
      </w:r>
    </w:p>
    <w:p w14:paraId="43015C89" w14:textId="77777777" w:rsidR="00000000" w:rsidRDefault="00D6065B">
      <w:pPr>
        <w:pStyle w:val="a3"/>
        <w:spacing w:before="0" w:beforeAutospacing="0" w:after="0" w:afterAutospacing="0"/>
        <w:jc w:val="both"/>
        <w:rPr>
          <w:sz w:val="20"/>
          <w:szCs w:val="20"/>
        </w:rPr>
      </w:pPr>
      <w:r>
        <w:rPr>
          <w:sz w:val="20"/>
          <w:szCs w:val="20"/>
        </w:rPr>
        <w:t> </w:t>
      </w:r>
    </w:p>
    <w:p w14:paraId="2647CECF" w14:textId="77777777" w:rsidR="00000000" w:rsidRDefault="00D6065B">
      <w:pPr>
        <w:pStyle w:val="a3"/>
        <w:spacing w:before="0" w:beforeAutospacing="0" w:after="0" w:afterAutospacing="0"/>
        <w:rPr>
          <w:vanish/>
          <w:sz w:val="20"/>
          <w:szCs w:val="20"/>
        </w:rPr>
      </w:pPr>
      <w:r>
        <w:rPr>
          <w:vanish/>
          <w:sz w:val="20"/>
          <w:szCs w:val="20"/>
        </w:rPr>
        <w:t> </w:t>
      </w: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2796"/>
        <w:gridCol w:w="55"/>
        <w:gridCol w:w="55"/>
        <w:gridCol w:w="967"/>
        <w:gridCol w:w="67"/>
        <w:gridCol w:w="50"/>
        <w:gridCol w:w="141"/>
        <w:gridCol w:w="1128"/>
        <w:gridCol w:w="55"/>
        <w:gridCol w:w="56"/>
        <w:gridCol w:w="94"/>
        <w:gridCol w:w="840"/>
        <w:gridCol w:w="56"/>
        <w:gridCol w:w="56"/>
        <w:gridCol w:w="100"/>
        <w:gridCol w:w="800"/>
        <w:gridCol w:w="56"/>
        <w:gridCol w:w="56"/>
        <w:gridCol w:w="101"/>
        <w:gridCol w:w="721"/>
        <w:gridCol w:w="56"/>
      </w:tblGrid>
      <w:tr w:rsidR="00000000" w14:paraId="0A82040F" w14:textId="77777777">
        <w:tc>
          <w:tcPr>
            <w:tcW w:w="0" w:type="auto"/>
            <w:vAlign w:val="bottom"/>
            <w:hideMark/>
          </w:tcPr>
          <w:p w14:paraId="2BD5A947"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3ECBC69C"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2A8F22E5"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03A64F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6B400CED"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133CDEF4"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2141FE0D"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BBBF02B"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73F98B58" w14:textId="77777777" w:rsidR="00000000" w:rsidRDefault="00D6065B">
            <w:pPr>
              <w:jc w:val="center"/>
              <w:rPr>
                <w:rFonts w:eastAsia="Times New Roman"/>
                <w:sz w:val="20"/>
                <w:szCs w:val="20"/>
              </w:rPr>
            </w:pPr>
            <w:r>
              <w:rPr>
                <w:rFonts w:eastAsia="Times New Roman"/>
                <w:sz w:val="20"/>
                <w:szCs w:val="20"/>
              </w:rPr>
              <w:t>Weighted</w:t>
            </w:r>
          </w:p>
        </w:tc>
        <w:tc>
          <w:tcPr>
            <w:tcW w:w="0" w:type="auto"/>
            <w:vAlign w:val="bottom"/>
            <w:hideMark/>
          </w:tcPr>
          <w:p w14:paraId="47639432"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2392B4A"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763E89A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833A85A"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0CE790F"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1C0711AA" w14:textId="77777777" w:rsidR="00000000" w:rsidRDefault="00D6065B">
            <w:pPr>
              <w:jc w:val="center"/>
              <w:rPr>
                <w:rFonts w:eastAsia="Times New Roman"/>
                <w:sz w:val="20"/>
                <w:szCs w:val="20"/>
              </w:rPr>
            </w:pPr>
            <w:r>
              <w:rPr>
                <w:rFonts w:eastAsia="Times New Roman"/>
                <w:sz w:val="20"/>
                <w:szCs w:val="20"/>
              </w:rPr>
              <w:t>Weighted</w:t>
            </w:r>
          </w:p>
        </w:tc>
        <w:tc>
          <w:tcPr>
            <w:tcW w:w="0" w:type="auto"/>
            <w:vAlign w:val="bottom"/>
            <w:hideMark/>
          </w:tcPr>
          <w:p w14:paraId="563D58BC" w14:textId="77777777" w:rsidR="00000000" w:rsidRDefault="00D6065B">
            <w:pPr>
              <w:jc w:val="center"/>
              <w:rPr>
                <w:rFonts w:eastAsia="Times New Roman"/>
                <w:sz w:val="20"/>
                <w:szCs w:val="20"/>
              </w:rPr>
            </w:pPr>
            <w:r>
              <w:rPr>
                <w:rFonts w:eastAsia="Times New Roman"/>
                <w:sz w:val="20"/>
                <w:szCs w:val="20"/>
              </w:rPr>
              <w:t> </w:t>
            </w:r>
          </w:p>
        </w:tc>
      </w:tr>
      <w:tr w:rsidR="00000000" w14:paraId="0D30295A" w14:textId="77777777">
        <w:tc>
          <w:tcPr>
            <w:tcW w:w="0" w:type="auto"/>
            <w:vAlign w:val="bottom"/>
            <w:hideMark/>
          </w:tcPr>
          <w:p w14:paraId="38E26C2C"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615C9AB7" w14:textId="77777777" w:rsidR="00000000" w:rsidRDefault="00D6065B">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8A84A4E" w14:textId="77777777" w:rsidR="00000000" w:rsidRDefault="00D6065B">
            <w:pPr>
              <w:jc w:val="center"/>
              <w:rPr>
                <w:rFonts w:eastAsia="Times New Roman"/>
                <w:sz w:val="20"/>
                <w:szCs w:val="20"/>
              </w:rPr>
            </w:pPr>
            <w:r>
              <w:rPr>
                <w:rFonts w:eastAsia="Times New Roman"/>
                <w:sz w:val="20"/>
                <w:szCs w:val="20"/>
              </w:rPr>
              <w:t>Options Outstanding</w:t>
            </w:r>
          </w:p>
        </w:tc>
        <w:tc>
          <w:tcPr>
            <w:tcW w:w="0" w:type="auto"/>
            <w:vAlign w:val="bottom"/>
            <w:hideMark/>
          </w:tcPr>
          <w:p w14:paraId="2B37546D"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4AE9505"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389795DE" w14:textId="77777777" w:rsidR="00000000" w:rsidRDefault="00D6065B">
            <w:pPr>
              <w:jc w:val="center"/>
              <w:rPr>
                <w:rFonts w:eastAsia="Times New Roman"/>
                <w:sz w:val="20"/>
                <w:szCs w:val="20"/>
              </w:rPr>
            </w:pPr>
            <w:r>
              <w:rPr>
                <w:rFonts w:eastAsia="Times New Roman"/>
                <w:sz w:val="20"/>
                <w:szCs w:val="20"/>
              </w:rPr>
              <w:t>Average</w:t>
            </w:r>
          </w:p>
        </w:tc>
        <w:tc>
          <w:tcPr>
            <w:tcW w:w="0" w:type="auto"/>
            <w:vAlign w:val="bottom"/>
            <w:hideMark/>
          </w:tcPr>
          <w:p w14:paraId="2A5D3034"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40F0A77"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60114D52"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12D037AE"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8F4CF7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42C836D0" w14:textId="77777777" w:rsidR="00000000" w:rsidRDefault="00D6065B">
            <w:pPr>
              <w:jc w:val="center"/>
              <w:rPr>
                <w:rFonts w:eastAsia="Times New Roman"/>
                <w:sz w:val="20"/>
                <w:szCs w:val="20"/>
              </w:rPr>
            </w:pPr>
            <w:r>
              <w:rPr>
                <w:rFonts w:eastAsia="Times New Roman"/>
                <w:sz w:val="20"/>
                <w:szCs w:val="20"/>
              </w:rPr>
              <w:t>Average</w:t>
            </w:r>
          </w:p>
        </w:tc>
        <w:tc>
          <w:tcPr>
            <w:tcW w:w="0" w:type="auto"/>
            <w:vAlign w:val="bottom"/>
            <w:hideMark/>
          </w:tcPr>
          <w:p w14:paraId="15EBABF2" w14:textId="77777777" w:rsidR="00000000" w:rsidRDefault="00D6065B">
            <w:pPr>
              <w:jc w:val="center"/>
              <w:rPr>
                <w:rFonts w:eastAsia="Times New Roman"/>
                <w:sz w:val="20"/>
                <w:szCs w:val="20"/>
              </w:rPr>
            </w:pPr>
            <w:r>
              <w:rPr>
                <w:rFonts w:eastAsia="Times New Roman"/>
                <w:sz w:val="20"/>
                <w:szCs w:val="20"/>
              </w:rPr>
              <w:t> </w:t>
            </w:r>
          </w:p>
        </w:tc>
      </w:tr>
      <w:tr w:rsidR="00000000" w14:paraId="33D7F1FF" w14:textId="77777777">
        <w:tc>
          <w:tcPr>
            <w:tcW w:w="0" w:type="auto"/>
            <w:vAlign w:val="bottom"/>
            <w:hideMark/>
          </w:tcPr>
          <w:p w14:paraId="0BAF0B49"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5509BBA"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10730EDB" w14:textId="77777777" w:rsidR="00000000" w:rsidRDefault="00D6065B">
            <w:pPr>
              <w:jc w:val="center"/>
              <w:rPr>
                <w:rFonts w:eastAsia="Times New Roman"/>
                <w:sz w:val="20"/>
                <w:szCs w:val="20"/>
              </w:rPr>
            </w:pPr>
            <w:r>
              <w:rPr>
                <w:rFonts w:eastAsia="Times New Roman"/>
                <w:sz w:val="20"/>
                <w:szCs w:val="20"/>
              </w:rPr>
              <w:t>Number</w:t>
            </w:r>
          </w:p>
        </w:tc>
        <w:tc>
          <w:tcPr>
            <w:tcW w:w="0" w:type="auto"/>
            <w:vAlign w:val="bottom"/>
            <w:hideMark/>
          </w:tcPr>
          <w:p w14:paraId="290DAAB2"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C5A3EEA"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7D2C5F16" w14:textId="77777777" w:rsidR="00000000" w:rsidRDefault="00D6065B">
            <w:pPr>
              <w:jc w:val="center"/>
              <w:rPr>
                <w:rFonts w:eastAsia="Times New Roman"/>
                <w:sz w:val="20"/>
                <w:szCs w:val="20"/>
              </w:rPr>
            </w:pPr>
            <w:r>
              <w:rPr>
                <w:rFonts w:eastAsia="Times New Roman"/>
                <w:sz w:val="20"/>
                <w:szCs w:val="20"/>
              </w:rPr>
              <w:t>Exercise</w:t>
            </w:r>
          </w:p>
        </w:tc>
        <w:tc>
          <w:tcPr>
            <w:tcW w:w="0" w:type="auto"/>
            <w:vAlign w:val="bottom"/>
            <w:hideMark/>
          </w:tcPr>
          <w:p w14:paraId="2A48C528"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44C0543E"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216C97A8" w14:textId="77777777" w:rsidR="00000000" w:rsidRDefault="00D6065B">
            <w:pPr>
              <w:jc w:val="center"/>
              <w:rPr>
                <w:rFonts w:eastAsia="Times New Roman"/>
                <w:sz w:val="20"/>
                <w:szCs w:val="20"/>
              </w:rPr>
            </w:pPr>
            <w:r>
              <w:rPr>
                <w:rFonts w:eastAsia="Times New Roman"/>
                <w:sz w:val="20"/>
                <w:szCs w:val="20"/>
              </w:rPr>
              <w:t>Remaining</w:t>
            </w:r>
          </w:p>
        </w:tc>
        <w:tc>
          <w:tcPr>
            <w:tcW w:w="0" w:type="auto"/>
            <w:vAlign w:val="bottom"/>
            <w:hideMark/>
          </w:tcPr>
          <w:p w14:paraId="5E02C64C"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2B7E2947"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22025034" w14:textId="77777777" w:rsidR="00000000" w:rsidRDefault="00D6065B">
            <w:pPr>
              <w:jc w:val="center"/>
              <w:rPr>
                <w:rFonts w:eastAsia="Times New Roman"/>
                <w:sz w:val="20"/>
                <w:szCs w:val="20"/>
              </w:rPr>
            </w:pPr>
            <w:r>
              <w:rPr>
                <w:rFonts w:eastAsia="Times New Roman"/>
                <w:sz w:val="20"/>
                <w:szCs w:val="20"/>
              </w:rPr>
              <w:t>Aggregate</w:t>
            </w:r>
          </w:p>
        </w:tc>
        <w:tc>
          <w:tcPr>
            <w:tcW w:w="0" w:type="auto"/>
            <w:vAlign w:val="bottom"/>
            <w:hideMark/>
          </w:tcPr>
          <w:p w14:paraId="4DCB925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15B9D6F8"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1578A6E3" w14:textId="77777777" w:rsidR="00000000" w:rsidRDefault="00D6065B">
            <w:pPr>
              <w:jc w:val="center"/>
              <w:rPr>
                <w:rFonts w:eastAsia="Times New Roman"/>
                <w:sz w:val="20"/>
                <w:szCs w:val="20"/>
              </w:rPr>
            </w:pPr>
            <w:r>
              <w:rPr>
                <w:rFonts w:eastAsia="Times New Roman"/>
                <w:sz w:val="20"/>
                <w:szCs w:val="20"/>
              </w:rPr>
              <w:t>Exercise</w:t>
            </w:r>
          </w:p>
        </w:tc>
        <w:tc>
          <w:tcPr>
            <w:tcW w:w="0" w:type="auto"/>
            <w:vAlign w:val="bottom"/>
            <w:hideMark/>
          </w:tcPr>
          <w:p w14:paraId="50A70E2F" w14:textId="77777777" w:rsidR="00000000" w:rsidRDefault="00D6065B">
            <w:pPr>
              <w:jc w:val="center"/>
              <w:rPr>
                <w:rFonts w:eastAsia="Times New Roman"/>
                <w:sz w:val="20"/>
                <w:szCs w:val="20"/>
              </w:rPr>
            </w:pPr>
            <w:r>
              <w:rPr>
                <w:rFonts w:eastAsia="Times New Roman"/>
                <w:sz w:val="20"/>
                <w:szCs w:val="20"/>
              </w:rPr>
              <w:t> </w:t>
            </w:r>
          </w:p>
        </w:tc>
      </w:tr>
      <w:tr w:rsidR="00000000" w14:paraId="338DC07D" w14:textId="77777777">
        <w:tc>
          <w:tcPr>
            <w:tcW w:w="0" w:type="auto"/>
            <w:vAlign w:val="bottom"/>
            <w:hideMark/>
          </w:tcPr>
          <w:p w14:paraId="7E6BA411"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282179E"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53D0AA31" w14:textId="77777777" w:rsidR="00000000" w:rsidRDefault="00D6065B">
            <w:pPr>
              <w:jc w:val="center"/>
              <w:rPr>
                <w:rFonts w:eastAsia="Times New Roman"/>
                <w:sz w:val="20"/>
                <w:szCs w:val="20"/>
              </w:rPr>
            </w:pPr>
            <w:r>
              <w:rPr>
                <w:rFonts w:eastAsia="Times New Roman"/>
                <w:sz w:val="20"/>
                <w:szCs w:val="20"/>
              </w:rPr>
              <w:t>Of</w:t>
            </w:r>
          </w:p>
        </w:tc>
        <w:tc>
          <w:tcPr>
            <w:tcW w:w="0" w:type="auto"/>
            <w:vAlign w:val="bottom"/>
            <w:hideMark/>
          </w:tcPr>
          <w:p w14:paraId="071DF09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22A2E88F"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5EC06F6B" w14:textId="77777777" w:rsidR="00000000" w:rsidRDefault="00D6065B">
            <w:pPr>
              <w:jc w:val="center"/>
              <w:rPr>
                <w:rFonts w:eastAsia="Times New Roman"/>
                <w:sz w:val="20"/>
                <w:szCs w:val="20"/>
              </w:rPr>
            </w:pPr>
            <w:r>
              <w:rPr>
                <w:rFonts w:eastAsia="Times New Roman"/>
                <w:sz w:val="20"/>
                <w:szCs w:val="20"/>
              </w:rPr>
              <w:t>Price</w:t>
            </w:r>
          </w:p>
        </w:tc>
        <w:tc>
          <w:tcPr>
            <w:tcW w:w="0" w:type="auto"/>
            <w:vAlign w:val="bottom"/>
            <w:hideMark/>
          </w:tcPr>
          <w:p w14:paraId="177F41ED"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810E3B6"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0AFC82F4" w14:textId="77777777" w:rsidR="00000000" w:rsidRDefault="00D6065B">
            <w:pPr>
              <w:jc w:val="center"/>
              <w:rPr>
                <w:rFonts w:eastAsia="Times New Roman"/>
                <w:sz w:val="20"/>
                <w:szCs w:val="20"/>
              </w:rPr>
            </w:pPr>
            <w:r>
              <w:rPr>
                <w:rFonts w:eastAsia="Times New Roman"/>
                <w:sz w:val="20"/>
                <w:szCs w:val="20"/>
              </w:rPr>
              <w:t>Contractual</w:t>
            </w:r>
          </w:p>
        </w:tc>
        <w:tc>
          <w:tcPr>
            <w:tcW w:w="0" w:type="auto"/>
            <w:vAlign w:val="bottom"/>
            <w:hideMark/>
          </w:tcPr>
          <w:p w14:paraId="14388935"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7F4836E"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5A62F03F" w14:textId="77777777" w:rsidR="00000000" w:rsidRDefault="00D6065B">
            <w:pPr>
              <w:jc w:val="center"/>
              <w:rPr>
                <w:rFonts w:eastAsia="Times New Roman"/>
                <w:sz w:val="20"/>
                <w:szCs w:val="20"/>
              </w:rPr>
            </w:pPr>
            <w:r>
              <w:rPr>
                <w:rFonts w:eastAsia="Times New Roman"/>
                <w:sz w:val="20"/>
                <w:szCs w:val="20"/>
              </w:rPr>
              <w:t>Intrinsic</w:t>
            </w:r>
          </w:p>
        </w:tc>
        <w:tc>
          <w:tcPr>
            <w:tcW w:w="0" w:type="auto"/>
            <w:vAlign w:val="bottom"/>
            <w:hideMark/>
          </w:tcPr>
          <w:p w14:paraId="20A7803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4EDD9CD"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43C96CEE" w14:textId="77777777" w:rsidR="00000000" w:rsidRDefault="00D6065B">
            <w:pPr>
              <w:jc w:val="center"/>
              <w:rPr>
                <w:rFonts w:eastAsia="Times New Roman"/>
                <w:sz w:val="20"/>
                <w:szCs w:val="20"/>
              </w:rPr>
            </w:pPr>
            <w:r>
              <w:rPr>
                <w:rFonts w:eastAsia="Times New Roman"/>
                <w:sz w:val="20"/>
                <w:szCs w:val="20"/>
              </w:rPr>
              <w:t>Price</w:t>
            </w:r>
          </w:p>
        </w:tc>
        <w:tc>
          <w:tcPr>
            <w:tcW w:w="0" w:type="auto"/>
            <w:vAlign w:val="bottom"/>
            <w:hideMark/>
          </w:tcPr>
          <w:p w14:paraId="2164D009" w14:textId="77777777" w:rsidR="00000000" w:rsidRDefault="00D6065B">
            <w:pPr>
              <w:jc w:val="center"/>
              <w:rPr>
                <w:rFonts w:eastAsia="Times New Roman"/>
                <w:sz w:val="20"/>
                <w:szCs w:val="20"/>
              </w:rPr>
            </w:pPr>
            <w:r>
              <w:rPr>
                <w:rFonts w:eastAsia="Times New Roman"/>
                <w:sz w:val="20"/>
                <w:szCs w:val="20"/>
              </w:rPr>
              <w:t> </w:t>
            </w:r>
          </w:p>
        </w:tc>
      </w:tr>
      <w:tr w:rsidR="00000000" w14:paraId="7B1B00E6" w14:textId="77777777">
        <w:tc>
          <w:tcPr>
            <w:tcW w:w="0" w:type="auto"/>
            <w:vAlign w:val="bottom"/>
            <w:hideMark/>
          </w:tcPr>
          <w:p w14:paraId="601E3F5E"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371EFB0"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504F40D" w14:textId="77777777" w:rsidR="00000000" w:rsidRDefault="00D6065B">
            <w:pPr>
              <w:jc w:val="center"/>
              <w:rPr>
                <w:rFonts w:eastAsia="Times New Roman"/>
                <w:sz w:val="20"/>
                <w:szCs w:val="20"/>
              </w:rPr>
            </w:pPr>
            <w:r>
              <w:rPr>
                <w:rFonts w:eastAsia="Times New Roman"/>
                <w:sz w:val="20"/>
                <w:szCs w:val="20"/>
              </w:rPr>
              <w:t>Shares</w:t>
            </w:r>
          </w:p>
        </w:tc>
        <w:tc>
          <w:tcPr>
            <w:tcW w:w="0" w:type="auto"/>
            <w:vAlign w:val="bottom"/>
            <w:hideMark/>
          </w:tcPr>
          <w:p w14:paraId="6A136AA4"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5EF0034"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CE79093" w14:textId="77777777" w:rsidR="00000000" w:rsidRDefault="00D6065B">
            <w:pPr>
              <w:jc w:val="center"/>
              <w:rPr>
                <w:rFonts w:eastAsia="Times New Roman"/>
                <w:sz w:val="20"/>
                <w:szCs w:val="20"/>
              </w:rPr>
            </w:pPr>
            <w:r>
              <w:rPr>
                <w:rFonts w:eastAsia="Times New Roman"/>
                <w:sz w:val="20"/>
                <w:szCs w:val="20"/>
              </w:rPr>
              <w:t>Per Share</w:t>
            </w:r>
          </w:p>
        </w:tc>
        <w:tc>
          <w:tcPr>
            <w:tcW w:w="0" w:type="auto"/>
            <w:vAlign w:val="bottom"/>
            <w:hideMark/>
          </w:tcPr>
          <w:p w14:paraId="1AA22E6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ADAAE1C"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25644B6" w14:textId="77777777" w:rsidR="00000000" w:rsidRDefault="00D6065B">
            <w:pPr>
              <w:jc w:val="center"/>
              <w:rPr>
                <w:rFonts w:eastAsia="Times New Roman"/>
                <w:sz w:val="20"/>
                <w:szCs w:val="20"/>
              </w:rPr>
            </w:pPr>
            <w:r>
              <w:rPr>
                <w:rFonts w:eastAsia="Times New Roman"/>
                <w:sz w:val="20"/>
                <w:szCs w:val="20"/>
              </w:rPr>
              <w:t>Life</w:t>
            </w:r>
          </w:p>
        </w:tc>
        <w:tc>
          <w:tcPr>
            <w:tcW w:w="0" w:type="auto"/>
            <w:vAlign w:val="bottom"/>
            <w:hideMark/>
          </w:tcPr>
          <w:p w14:paraId="1296BA1C"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3B6E7C4B"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8A324F6" w14:textId="77777777" w:rsidR="00000000" w:rsidRDefault="00D6065B">
            <w:pPr>
              <w:jc w:val="center"/>
              <w:rPr>
                <w:rFonts w:eastAsia="Times New Roman"/>
                <w:sz w:val="20"/>
                <w:szCs w:val="20"/>
              </w:rPr>
            </w:pPr>
            <w:r>
              <w:rPr>
                <w:rFonts w:eastAsia="Times New Roman"/>
                <w:sz w:val="20"/>
                <w:szCs w:val="20"/>
              </w:rPr>
              <w:t>Value</w:t>
            </w:r>
          </w:p>
        </w:tc>
        <w:tc>
          <w:tcPr>
            <w:tcW w:w="0" w:type="auto"/>
            <w:vAlign w:val="bottom"/>
            <w:hideMark/>
          </w:tcPr>
          <w:p w14:paraId="45CDB16E"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F1CAE6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A5BF01A" w14:textId="77777777" w:rsidR="00000000" w:rsidRDefault="00D6065B">
            <w:pPr>
              <w:jc w:val="center"/>
              <w:rPr>
                <w:rFonts w:eastAsia="Times New Roman"/>
                <w:sz w:val="20"/>
                <w:szCs w:val="20"/>
              </w:rPr>
            </w:pPr>
            <w:r>
              <w:rPr>
                <w:rFonts w:eastAsia="Times New Roman"/>
                <w:sz w:val="20"/>
                <w:szCs w:val="20"/>
              </w:rPr>
              <w:t>Per Share</w:t>
            </w:r>
          </w:p>
        </w:tc>
        <w:tc>
          <w:tcPr>
            <w:tcW w:w="0" w:type="auto"/>
            <w:vAlign w:val="bottom"/>
            <w:hideMark/>
          </w:tcPr>
          <w:p w14:paraId="0416D5F6" w14:textId="77777777" w:rsidR="00000000" w:rsidRDefault="00D6065B">
            <w:pPr>
              <w:jc w:val="center"/>
              <w:rPr>
                <w:rFonts w:eastAsia="Times New Roman"/>
                <w:sz w:val="20"/>
                <w:szCs w:val="20"/>
              </w:rPr>
            </w:pPr>
            <w:r>
              <w:rPr>
                <w:rFonts w:eastAsia="Times New Roman"/>
                <w:sz w:val="20"/>
                <w:szCs w:val="20"/>
              </w:rPr>
              <w:t> </w:t>
            </w:r>
          </w:p>
        </w:tc>
      </w:tr>
      <w:tr w:rsidR="00000000" w14:paraId="423B78F0" w14:textId="77777777">
        <w:tc>
          <w:tcPr>
            <w:tcW w:w="0" w:type="auto"/>
            <w:vAlign w:val="bottom"/>
            <w:hideMark/>
          </w:tcPr>
          <w:p w14:paraId="55FE8325"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1FFA0B91"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569A8D72"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2312B1B"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334F525F"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0517DCC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F7CCB93"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719AC315"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593AE00F"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42B27AC9"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41D5AF8"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0537AFCB"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445FAE1A"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25A6ED7E"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0FF1D0A5"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4ADE0390" w14:textId="77777777" w:rsidR="00000000" w:rsidRDefault="00D6065B">
            <w:pPr>
              <w:rPr>
                <w:rFonts w:eastAsia="Times New Roman"/>
                <w:sz w:val="20"/>
                <w:szCs w:val="20"/>
              </w:rPr>
            </w:pPr>
            <w:r>
              <w:rPr>
                <w:rFonts w:eastAsia="Times New Roman"/>
                <w:sz w:val="20"/>
                <w:szCs w:val="20"/>
              </w:rPr>
              <w:t> </w:t>
            </w:r>
          </w:p>
        </w:tc>
      </w:tr>
      <w:tr w:rsidR="00000000" w14:paraId="17707EF6" w14:textId="77777777">
        <w:tc>
          <w:tcPr>
            <w:tcW w:w="1700" w:type="pct"/>
            <w:shd w:val="clear" w:color="auto" w:fill="CCEEFF"/>
            <w:vAlign w:val="bottom"/>
            <w:hideMark/>
          </w:tcPr>
          <w:p w14:paraId="7E9B6FEB" w14:textId="77777777" w:rsidR="00000000" w:rsidRDefault="00D6065B">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14:paraId="2C217752"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B3C77"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D7B5322" w14:textId="77777777" w:rsidR="00000000" w:rsidRDefault="00D6065B">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14:paraId="0F311825"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780048"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AFB6E1" w14:textId="77777777" w:rsidR="00000000" w:rsidRDefault="00D6065B">
            <w:pPr>
              <w:rPr>
                <w:rFonts w:eastAsia="Times New Roman"/>
                <w:sz w:val="20"/>
                <w:szCs w:val="20"/>
              </w:rPr>
            </w:pPr>
            <w:r>
              <w:rPr>
                <w:rFonts w:eastAsia="Times New Roman"/>
                <w:sz w:val="20"/>
                <w:szCs w:val="20"/>
              </w:rPr>
              <w:t>$</w:t>
            </w:r>
            <w:r>
              <w:rPr>
                <w:rFonts w:eastAsia="Times New Roman"/>
                <w:sz w:val="20"/>
                <w:szCs w:val="20"/>
              </w:rPr>
              <w:t> </w:t>
            </w:r>
          </w:p>
        </w:tc>
        <w:tc>
          <w:tcPr>
            <w:tcW w:w="700" w:type="pct"/>
            <w:shd w:val="clear" w:color="auto" w:fill="CCEEFF"/>
            <w:vAlign w:val="bottom"/>
            <w:hideMark/>
          </w:tcPr>
          <w:p w14:paraId="5F079EB8" w14:textId="77777777" w:rsidR="00000000" w:rsidRDefault="00D6065B">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120.0</w:t>
            </w:r>
            <w:r>
              <w:rPr>
                <w:rFonts w:eastAsia="Times New Roman"/>
                <w:sz w:val="20"/>
                <w:szCs w:val="20"/>
              </w:rPr>
              <w:t>0</w:t>
            </w:r>
          </w:p>
        </w:tc>
        <w:tc>
          <w:tcPr>
            <w:tcW w:w="50" w:type="pct"/>
            <w:shd w:val="clear" w:color="auto" w:fill="CCEEFF"/>
            <w:vAlign w:val="bottom"/>
            <w:hideMark/>
          </w:tcPr>
          <w:p w14:paraId="4260CF89"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069AAE"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68CBDE" w14:textId="77777777" w:rsidR="00000000" w:rsidRDefault="00D6065B">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661E881" w14:textId="77777777" w:rsidR="00000000" w:rsidRDefault="00D6065B">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w:t>
            </w:r>
            <w:r>
              <w:rPr>
                <w:rFonts w:eastAsia="Times New Roman"/>
                <w:sz w:val="20"/>
                <w:szCs w:val="20"/>
              </w:rPr>
              <w:t>s</w:t>
            </w:r>
          </w:p>
        </w:tc>
        <w:tc>
          <w:tcPr>
            <w:tcW w:w="50" w:type="pct"/>
            <w:shd w:val="clear" w:color="auto" w:fill="CCEEFF"/>
            <w:vAlign w:val="bottom"/>
            <w:hideMark/>
          </w:tcPr>
          <w:p w14:paraId="45216339"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E84AB0"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8618A1" w14:textId="77777777" w:rsidR="00000000" w:rsidRDefault="00D6065B">
            <w:pPr>
              <w:rPr>
                <w:rFonts w:eastAsia="Times New Roman"/>
                <w:sz w:val="20"/>
                <w:szCs w:val="20"/>
              </w:rPr>
            </w:pPr>
            <w:r>
              <w:rPr>
                <w:rFonts w:eastAsia="Times New Roman"/>
                <w:sz w:val="20"/>
                <w:szCs w:val="20"/>
              </w:rPr>
              <w:t>$</w:t>
            </w:r>
          </w:p>
        </w:tc>
        <w:tc>
          <w:tcPr>
            <w:tcW w:w="450" w:type="pct"/>
            <w:shd w:val="clear" w:color="auto" w:fill="CCEEFF"/>
            <w:vAlign w:val="bottom"/>
            <w:hideMark/>
          </w:tcPr>
          <w:p w14:paraId="416BB866" w14:textId="77777777" w:rsidR="00000000" w:rsidRDefault="00D6065B">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14:paraId="5C8DE7B6"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FF15F8"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FAB7AA" w14:textId="77777777" w:rsidR="00000000" w:rsidRDefault="00D6065B">
            <w:pPr>
              <w:rPr>
                <w:rFonts w:eastAsia="Times New Roman"/>
                <w:sz w:val="20"/>
                <w:szCs w:val="20"/>
              </w:rPr>
            </w:pPr>
            <w:r>
              <w:rPr>
                <w:rFonts w:eastAsia="Times New Roman"/>
                <w:sz w:val="20"/>
                <w:szCs w:val="20"/>
              </w:rPr>
              <w:t>$</w:t>
            </w:r>
          </w:p>
        </w:tc>
        <w:tc>
          <w:tcPr>
            <w:tcW w:w="450" w:type="pct"/>
            <w:shd w:val="clear" w:color="auto" w:fill="CCEEFF"/>
            <w:vAlign w:val="bottom"/>
            <w:hideMark/>
          </w:tcPr>
          <w:p w14:paraId="4B64D62A" w14:textId="77777777" w:rsidR="00000000" w:rsidRDefault="00D6065B">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14:paraId="7678E830" w14:textId="77777777" w:rsidR="00000000" w:rsidRDefault="00D6065B">
            <w:pPr>
              <w:rPr>
                <w:rFonts w:eastAsia="Times New Roman"/>
                <w:sz w:val="20"/>
                <w:szCs w:val="20"/>
              </w:rPr>
            </w:pPr>
            <w:r>
              <w:rPr>
                <w:rFonts w:eastAsia="Times New Roman"/>
                <w:sz w:val="20"/>
                <w:szCs w:val="20"/>
              </w:rPr>
              <w:t> </w:t>
            </w:r>
          </w:p>
        </w:tc>
      </w:tr>
      <w:tr w:rsidR="00000000" w14:paraId="4D0615EB" w14:textId="77777777">
        <w:tc>
          <w:tcPr>
            <w:tcW w:w="0" w:type="auto"/>
            <w:shd w:val="clear" w:color="auto" w:fill="FFFFFF"/>
            <w:vAlign w:val="bottom"/>
            <w:hideMark/>
          </w:tcPr>
          <w:p w14:paraId="51C3713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DB409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4ACD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CF53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E73EE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65FA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639B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0BA2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017AF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78D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57A3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338F9E"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19775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32CE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D6E0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30EE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EED6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98BA2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9422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CAF6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421AAC" w14:textId="77777777" w:rsidR="00000000" w:rsidRDefault="00D6065B">
            <w:pPr>
              <w:rPr>
                <w:rFonts w:eastAsia="Times New Roman"/>
                <w:sz w:val="20"/>
                <w:szCs w:val="20"/>
              </w:rPr>
            </w:pPr>
            <w:r>
              <w:rPr>
                <w:rFonts w:eastAsia="Times New Roman"/>
                <w:sz w:val="20"/>
                <w:szCs w:val="20"/>
              </w:rPr>
              <w:t> </w:t>
            </w:r>
          </w:p>
        </w:tc>
      </w:tr>
      <w:tr w:rsidR="00000000" w14:paraId="6FC8AD7D" w14:textId="77777777">
        <w:tc>
          <w:tcPr>
            <w:tcW w:w="0" w:type="auto"/>
            <w:shd w:val="clear" w:color="auto" w:fill="CCEEFF"/>
            <w:vAlign w:val="bottom"/>
            <w:hideMark/>
          </w:tcPr>
          <w:p w14:paraId="7D83C59D" w14:textId="77777777" w:rsidR="00000000" w:rsidRDefault="00D6065B">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14:paraId="434111C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4790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3EB0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A4CD53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D9A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B6EC4"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24515B8"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F5EF66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ECC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6DA4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40C8F6"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36A3FC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EDC1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F1E4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A3AD3" w14:textId="77777777" w:rsidR="00000000" w:rsidRDefault="00D6065B">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65F9C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462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7303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7580B2DF"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5B0481" w14:textId="77777777" w:rsidR="00000000" w:rsidRDefault="00D6065B">
            <w:pPr>
              <w:rPr>
                <w:rFonts w:eastAsia="Times New Roman"/>
                <w:sz w:val="20"/>
                <w:szCs w:val="20"/>
              </w:rPr>
            </w:pPr>
            <w:r>
              <w:rPr>
                <w:rFonts w:eastAsia="Times New Roman"/>
                <w:sz w:val="20"/>
                <w:szCs w:val="20"/>
              </w:rPr>
              <w:t> </w:t>
            </w:r>
          </w:p>
        </w:tc>
      </w:tr>
      <w:tr w:rsidR="00000000" w14:paraId="1B80937D" w14:textId="77777777">
        <w:tc>
          <w:tcPr>
            <w:tcW w:w="0" w:type="auto"/>
            <w:shd w:val="clear" w:color="auto" w:fill="FFFFFF"/>
            <w:vAlign w:val="bottom"/>
            <w:hideMark/>
          </w:tcPr>
          <w:p w14:paraId="00B49272" w14:textId="77777777" w:rsidR="00000000" w:rsidRDefault="00D6065B">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14:paraId="2A62C09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83E60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1D9412" w14:textId="77777777" w:rsidR="00000000" w:rsidRDefault="00D6065B">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14:paraId="3DC644BA"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7A476E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79841A"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4DCDA918"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DCDAC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1F50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E3287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3A21D"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2BF006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EA53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5F5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1590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C16E0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718D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7124E9"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0EA1BD96"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F2ED25" w14:textId="77777777" w:rsidR="00000000" w:rsidRDefault="00D6065B">
            <w:pPr>
              <w:rPr>
                <w:rFonts w:eastAsia="Times New Roman"/>
                <w:sz w:val="20"/>
                <w:szCs w:val="20"/>
              </w:rPr>
            </w:pPr>
            <w:r>
              <w:rPr>
                <w:rFonts w:eastAsia="Times New Roman"/>
                <w:sz w:val="20"/>
                <w:szCs w:val="20"/>
              </w:rPr>
              <w:t> </w:t>
            </w:r>
          </w:p>
        </w:tc>
      </w:tr>
      <w:tr w:rsidR="00000000" w14:paraId="11011BCF" w14:textId="77777777">
        <w:tc>
          <w:tcPr>
            <w:tcW w:w="0" w:type="auto"/>
            <w:shd w:val="clear" w:color="auto" w:fill="CCEEFF"/>
            <w:vAlign w:val="bottom"/>
            <w:hideMark/>
          </w:tcPr>
          <w:p w14:paraId="2EA6DD61" w14:textId="77777777" w:rsidR="00000000" w:rsidRDefault="00D6065B">
            <w:pPr>
              <w:rPr>
                <w:rFonts w:eastAsia="Times New Roman"/>
                <w:sz w:val="20"/>
                <w:szCs w:val="20"/>
              </w:rPr>
            </w:pPr>
            <w:r>
              <w:rPr>
                <w:rFonts w:eastAsia="Times New Roman"/>
                <w:sz w:val="20"/>
                <w:szCs w:val="20"/>
              </w:rPr>
              <w:t>Options expired/canceled</w:t>
            </w:r>
          </w:p>
        </w:tc>
        <w:tc>
          <w:tcPr>
            <w:tcW w:w="0" w:type="auto"/>
            <w:shd w:val="clear" w:color="auto" w:fill="CCEEFF"/>
            <w:vAlign w:val="bottom"/>
            <w:hideMark/>
          </w:tcPr>
          <w:p w14:paraId="5287AA3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99702C"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71154F" w14:textId="77777777" w:rsidR="00000000" w:rsidRDefault="00D6065B">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14:paraId="634B62EB" w14:textId="77777777" w:rsidR="00000000" w:rsidRDefault="00D6065B">
            <w:pPr>
              <w:rPr>
                <w:rFonts w:eastAsia="Times New Roman"/>
                <w:sz w:val="20"/>
                <w:szCs w:val="20"/>
              </w:rPr>
            </w:pPr>
            <w:r>
              <w:rPr>
                <w:rFonts w:eastAsia="Times New Roman"/>
                <w:sz w:val="20"/>
                <w:szCs w:val="20"/>
              </w:rPr>
              <w:t xml:space="preserve">) </w:t>
            </w:r>
          </w:p>
        </w:tc>
        <w:tc>
          <w:tcPr>
            <w:tcW w:w="0" w:type="auto"/>
            <w:shd w:val="clear" w:color="auto" w:fill="CCEEFF"/>
            <w:vAlign w:val="bottom"/>
            <w:hideMark/>
          </w:tcPr>
          <w:p w14:paraId="5E1ECEC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06ADC"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48405256"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6A393F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06C0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E428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C29E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05FBD5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E635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6663D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1EBE8"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93D5D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8023B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E66E8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6F2A3AF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22498A7" w14:textId="77777777" w:rsidR="00000000" w:rsidRDefault="00D6065B">
            <w:pPr>
              <w:rPr>
                <w:rFonts w:eastAsia="Times New Roman"/>
                <w:sz w:val="20"/>
                <w:szCs w:val="20"/>
              </w:rPr>
            </w:pPr>
            <w:r>
              <w:rPr>
                <w:rFonts w:eastAsia="Times New Roman"/>
                <w:sz w:val="20"/>
                <w:szCs w:val="20"/>
              </w:rPr>
              <w:t> </w:t>
            </w:r>
          </w:p>
        </w:tc>
      </w:tr>
      <w:tr w:rsidR="00000000" w14:paraId="1D29C07F" w14:textId="77777777">
        <w:tc>
          <w:tcPr>
            <w:tcW w:w="0" w:type="auto"/>
            <w:shd w:val="clear" w:color="auto" w:fill="FFFFFF"/>
            <w:vAlign w:val="bottom"/>
            <w:hideMark/>
          </w:tcPr>
          <w:p w14:paraId="72947F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0F82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C0F2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FD82F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95072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F63F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E9DE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E5FE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B335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0557C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0472A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EA3CB"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CE6E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7B03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02CF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A94D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EBE48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AAD74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1176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F0C0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ACB85E" w14:textId="77777777" w:rsidR="00000000" w:rsidRDefault="00D6065B">
            <w:pPr>
              <w:rPr>
                <w:rFonts w:eastAsia="Times New Roman"/>
                <w:sz w:val="20"/>
                <w:szCs w:val="20"/>
              </w:rPr>
            </w:pPr>
            <w:r>
              <w:rPr>
                <w:rFonts w:eastAsia="Times New Roman"/>
                <w:sz w:val="20"/>
                <w:szCs w:val="20"/>
              </w:rPr>
              <w:t> </w:t>
            </w:r>
          </w:p>
        </w:tc>
      </w:tr>
      <w:tr w:rsidR="00000000" w14:paraId="2BBED1CF" w14:textId="77777777">
        <w:tc>
          <w:tcPr>
            <w:tcW w:w="0" w:type="auto"/>
            <w:shd w:val="clear" w:color="auto" w:fill="CCEEFF"/>
            <w:vAlign w:val="bottom"/>
            <w:hideMark/>
          </w:tcPr>
          <w:p w14:paraId="65CA9383" w14:textId="77777777" w:rsidR="00000000" w:rsidRDefault="00D6065B">
            <w:pPr>
              <w:rPr>
                <w:rFonts w:eastAsia="Times New Roman"/>
                <w:sz w:val="20"/>
                <w:szCs w:val="20"/>
              </w:rPr>
            </w:pPr>
            <w:r>
              <w:rPr>
                <w:rFonts w:eastAsia="Times New Roman"/>
                <w:sz w:val="20"/>
                <w:szCs w:val="20"/>
              </w:rPr>
              <w:t>Balance at June 30, 2021</w:t>
            </w:r>
          </w:p>
        </w:tc>
        <w:tc>
          <w:tcPr>
            <w:tcW w:w="0" w:type="auto"/>
            <w:shd w:val="clear" w:color="auto" w:fill="CCEEFF"/>
            <w:vAlign w:val="bottom"/>
            <w:hideMark/>
          </w:tcPr>
          <w:p w14:paraId="2789FE7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F37743"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333E59" w14:textId="77777777" w:rsidR="00000000" w:rsidRDefault="00D6065B">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6EEBC3A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DF06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B85E4" w14:textId="77777777" w:rsidR="00000000" w:rsidRDefault="00D6065B">
            <w:pPr>
              <w:rPr>
                <w:rFonts w:eastAsia="Times New Roman"/>
                <w:sz w:val="20"/>
                <w:szCs w:val="20"/>
              </w:rPr>
            </w:pPr>
            <w:r>
              <w:rPr>
                <w:rFonts w:eastAsia="Times New Roman"/>
                <w:sz w:val="20"/>
                <w:szCs w:val="20"/>
              </w:rPr>
              <w:t>$</w:t>
            </w:r>
            <w:r>
              <w:rPr>
                <w:rFonts w:eastAsia="Times New Roman"/>
                <w:sz w:val="20"/>
                <w:szCs w:val="20"/>
              </w:rPr>
              <w:t> </w:t>
            </w:r>
          </w:p>
        </w:tc>
        <w:tc>
          <w:tcPr>
            <w:tcW w:w="0" w:type="auto"/>
            <w:shd w:val="clear" w:color="auto" w:fill="CCEEFF"/>
            <w:vAlign w:val="bottom"/>
            <w:hideMark/>
          </w:tcPr>
          <w:p w14:paraId="2F0C4EB3" w14:textId="77777777" w:rsidR="00000000" w:rsidRDefault="00D6065B">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14:paraId="0633FED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3974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05D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FCEFD" w14:textId="77777777" w:rsidR="00000000" w:rsidRDefault="00D6065B">
            <w:pPr>
              <w:jc w:val="right"/>
              <w:rPr>
                <w:rFonts w:eastAsia="Times New Roman"/>
                <w:sz w:val="20"/>
                <w:szCs w:val="20"/>
              </w:rPr>
            </w:pPr>
            <w:r>
              <w:rPr>
                <w:rFonts w:eastAsia="Times New Roman"/>
                <w:sz w:val="20"/>
                <w:szCs w:val="20"/>
              </w:rPr>
              <w:t>8.2</w:t>
            </w:r>
            <w:r>
              <w:rPr>
                <w:rFonts w:eastAsia="Times New Roman"/>
                <w:sz w:val="20"/>
                <w:szCs w:val="20"/>
              </w:rPr>
              <w:t>0</w:t>
            </w:r>
            <w:r>
              <w:rPr>
                <w:rFonts w:eastAsia="Times New Roman"/>
                <w:sz w:val="20"/>
                <w:szCs w:val="20"/>
              </w:rPr>
              <w:t xml:space="preserve"> years</w:t>
            </w:r>
          </w:p>
        </w:tc>
        <w:tc>
          <w:tcPr>
            <w:tcW w:w="0" w:type="auto"/>
            <w:shd w:val="clear" w:color="auto" w:fill="CCEEFF"/>
            <w:vAlign w:val="bottom"/>
            <w:hideMark/>
          </w:tcPr>
          <w:p w14:paraId="52C48A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F87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12795"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10C871C6" w14:textId="77777777" w:rsidR="00000000" w:rsidRDefault="00D6065B">
            <w:pPr>
              <w:jc w:val="right"/>
              <w:rPr>
                <w:rFonts w:eastAsia="Times New Roman"/>
                <w:sz w:val="20"/>
                <w:szCs w:val="20"/>
              </w:rPr>
            </w:pPr>
            <w:r>
              <w:rPr>
                <w:rFonts w:eastAsia="Times New Roman"/>
                <w:sz w:val="20"/>
                <w:szCs w:val="20"/>
              </w:rPr>
              <w:t>177,333</w:t>
            </w:r>
          </w:p>
        </w:tc>
        <w:tc>
          <w:tcPr>
            <w:tcW w:w="0" w:type="auto"/>
            <w:shd w:val="clear" w:color="auto" w:fill="CCEEFF"/>
            <w:vAlign w:val="bottom"/>
            <w:hideMark/>
          </w:tcPr>
          <w:p w14:paraId="74C169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A292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93F7E"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63459073" w14:textId="77777777" w:rsidR="00000000" w:rsidRDefault="00D6065B">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7EC37725" w14:textId="77777777" w:rsidR="00000000" w:rsidRDefault="00D6065B">
            <w:pPr>
              <w:rPr>
                <w:rFonts w:eastAsia="Times New Roman"/>
                <w:sz w:val="20"/>
                <w:szCs w:val="20"/>
              </w:rPr>
            </w:pPr>
            <w:r>
              <w:rPr>
                <w:rFonts w:eastAsia="Times New Roman"/>
                <w:sz w:val="20"/>
                <w:szCs w:val="20"/>
              </w:rPr>
              <w:t> </w:t>
            </w:r>
          </w:p>
        </w:tc>
      </w:tr>
      <w:tr w:rsidR="00000000" w14:paraId="4A4DDF51" w14:textId="77777777">
        <w:tc>
          <w:tcPr>
            <w:tcW w:w="0" w:type="auto"/>
            <w:shd w:val="clear" w:color="auto" w:fill="FFFFFF"/>
            <w:vAlign w:val="bottom"/>
            <w:hideMark/>
          </w:tcPr>
          <w:p w14:paraId="5283C65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CF7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1B3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E386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85F8D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755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3097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FAA1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FC4E1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4C316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10C9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E0A6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82C95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3155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06019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78FCE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8A7F4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41DFC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36B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B5B7B7"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55BD59" w14:textId="77777777" w:rsidR="00000000" w:rsidRDefault="00D6065B">
            <w:pPr>
              <w:rPr>
                <w:rFonts w:eastAsia="Times New Roman"/>
                <w:sz w:val="20"/>
                <w:szCs w:val="20"/>
              </w:rPr>
            </w:pPr>
            <w:r>
              <w:rPr>
                <w:rFonts w:eastAsia="Times New Roman"/>
                <w:sz w:val="20"/>
                <w:szCs w:val="20"/>
              </w:rPr>
              <w:t> </w:t>
            </w:r>
          </w:p>
        </w:tc>
      </w:tr>
      <w:tr w:rsidR="00000000" w14:paraId="13A3D3A2" w14:textId="77777777">
        <w:tc>
          <w:tcPr>
            <w:tcW w:w="0" w:type="auto"/>
            <w:shd w:val="clear" w:color="auto" w:fill="CCEEFF"/>
            <w:vAlign w:val="bottom"/>
            <w:hideMark/>
          </w:tcPr>
          <w:p w14:paraId="287CF40E" w14:textId="77777777" w:rsidR="00000000" w:rsidRDefault="00D6065B">
            <w:pPr>
              <w:rPr>
                <w:rFonts w:eastAsia="Times New Roman"/>
                <w:sz w:val="20"/>
                <w:szCs w:val="20"/>
              </w:rPr>
            </w:pPr>
            <w:r>
              <w:rPr>
                <w:rFonts w:eastAsia="Times New Roman"/>
                <w:sz w:val="20"/>
                <w:szCs w:val="20"/>
              </w:rPr>
              <w:t>Exercisable at June 30, 2021</w:t>
            </w:r>
          </w:p>
        </w:tc>
        <w:tc>
          <w:tcPr>
            <w:tcW w:w="0" w:type="auto"/>
            <w:shd w:val="clear" w:color="auto" w:fill="CCEEFF"/>
            <w:vAlign w:val="bottom"/>
            <w:hideMark/>
          </w:tcPr>
          <w:p w14:paraId="5CAB777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128A1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7484BE1" w14:textId="77777777" w:rsidR="00000000" w:rsidRDefault="00D6065B">
            <w:pPr>
              <w:jc w:val="right"/>
              <w:rPr>
                <w:rFonts w:eastAsia="Times New Roman"/>
                <w:sz w:val="20"/>
                <w:szCs w:val="20"/>
              </w:rPr>
            </w:pPr>
            <w:r>
              <w:rPr>
                <w:rFonts w:eastAsia="Times New Roman"/>
                <w:sz w:val="20"/>
                <w:szCs w:val="20"/>
              </w:rPr>
              <w:t>2,157,184</w:t>
            </w:r>
          </w:p>
        </w:tc>
        <w:tc>
          <w:tcPr>
            <w:tcW w:w="0" w:type="auto"/>
            <w:shd w:val="clear" w:color="auto" w:fill="CCEEFF"/>
            <w:vAlign w:val="bottom"/>
            <w:hideMark/>
          </w:tcPr>
          <w:p w14:paraId="4B93C11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28A3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CF5B6"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7A4B14AA" w14:textId="77777777" w:rsidR="00000000" w:rsidRDefault="00D6065B">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14:paraId="2D64BD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5785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5A6D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FA4FB" w14:textId="77777777" w:rsidR="00000000" w:rsidRDefault="00D6065B">
            <w:pPr>
              <w:jc w:val="right"/>
              <w:rPr>
                <w:rFonts w:eastAsia="Times New Roman"/>
                <w:sz w:val="20"/>
                <w:szCs w:val="20"/>
              </w:rPr>
            </w:pPr>
            <w:r>
              <w:rPr>
                <w:rFonts w:eastAsia="Times New Roman"/>
                <w:sz w:val="20"/>
                <w:szCs w:val="20"/>
              </w:rPr>
              <w:t>8.2</w:t>
            </w:r>
            <w:r>
              <w:rPr>
                <w:rFonts w:eastAsia="Times New Roman"/>
                <w:sz w:val="20"/>
                <w:szCs w:val="20"/>
              </w:rPr>
              <w:t>1</w:t>
            </w:r>
            <w:r>
              <w:rPr>
                <w:rFonts w:eastAsia="Times New Roman"/>
                <w:sz w:val="20"/>
                <w:szCs w:val="20"/>
              </w:rPr>
              <w:t xml:space="preserve"> years</w:t>
            </w:r>
          </w:p>
        </w:tc>
        <w:tc>
          <w:tcPr>
            <w:tcW w:w="0" w:type="auto"/>
            <w:shd w:val="clear" w:color="auto" w:fill="CCEEFF"/>
            <w:vAlign w:val="bottom"/>
            <w:hideMark/>
          </w:tcPr>
          <w:p w14:paraId="01B927A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2C57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DA4D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938E72E" w14:textId="77777777" w:rsidR="00000000" w:rsidRDefault="00D6065B">
            <w:pPr>
              <w:jc w:val="right"/>
              <w:rPr>
                <w:rFonts w:eastAsia="Times New Roman"/>
                <w:sz w:val="20"/>
                <w:szCs w:val="20"/>
              </w:rPr>
            </w:pPr>
            <w:r>
              <w:rPr>
                <w:rFonts w:eastAsia="Times New Roman"/>
                <w:sz w:val="20"/>
                <w:szCs w:val="20"/>
              </w:rPr>
              <w:t>168,536</w:t>
            </w:r>
          </w:p>
        </w:tc>
        <w:tc>
          <w:tcPr>
            <w:tcW w:w="0" w:type="auto"/>
            <w:shd w:val="clear" w:color="auto" w:fill="CCEEFF"/>
            <w:vAlign w:val="bottom"/>
            <w:hideMark/>
          </w:tcPr>
          <w:p w14:paraId="57098FD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0644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72E515"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05CB3DCF" w14:textId="77777777" w:rsidR="00000000" w:rsidRDefault="00D6065B">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610EE63E" w14:textId="77777777" w:rsidR="00000000" w:rsidRDefault="00D6065B">
            <w:pPr>
              <w:rPr>
                <w:rFonts w:eastAsia="Times New Roman"/>
                <w:sz w:val="20"/>
                <w:szCs w:val="20"/>
              </w:rPr>
            </w:pPr>
            <w:r>
              <w:rPr>
                <w:rFonts w:eastAsia="Times New Roman"/>
                <w:sz w:val="20"/>
                <w:szCs w:val="20"/>
              </w:rPr>
              <w:t> </w:t>
            </w:r>
          </w:p>
        </w:tc>
      </w:tr>
    </w:tbl>
    <w:p w14:paraId="0EFAB20A" w14:textId="77777777" w:rsidR="00000000" w:rsidRDefault="00D6065B">
      <w:pPr>
        <w:pStyle w:val="a3"/>
        <w:spacing w:before="0" w:beforeAutospacing="0" w:after="0" w:afterAutospacing="0"/>
        <w:jc w:val="both"/>
        <w:rPr>
          <w:sz w:val="20"/>
          <w:szCs w:val="20"/>
        </w:rPr>
      </w:pPr>
      <w:r>
        <w:rPr>
          <w:sz w:val="20"/>
          <w:szCs w:val="20"/>
        </w:rPr>
        <w:t> </w:t>
      </w:r>
    </w:p>
    <w:p w14:paraId="428CE859" w14:textId="77777777" w:rsidR="00000000" w:rsidRDefault="00D6065B">
      <w:pPr>
        <w:pStyle w:val="a3"/>
        <w:spacing w:before="0" w:beforeAutospacing="0" w:after="0" w:afterAutospacing="0"/>
        <w:jc w:val="both"/>
        <w:rPr>
          <w:sz w:val="20"/>
          <w:szCs w:val="20"/>
        </w:rPr>
      </w:pPr>
      <w:r>
        <w:rPr>
          <w:sz w:val="20"/>
          <w:szCs w:val="20"/>
        </w:rPr>
        <w:t xml:space="preserve">During </w:t>
      </w:r>
      <w:r>
        <w:rPr>
          <w:sz w:val="20"/>
          <w:szCs w:val="20"/>
        </w:rPr>
        <w:t>the six months ended June 30,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14:paraId="32BA7972" w14:textId="77777777" w:rsidR="00000000" w:rsidRDefault="00D6065B">
      <w:pPr>
        <w:pStyle w:val="a3"/>
        <w:spacing w:before="0" w:beforeAutospacing="0" w:after="0" w:afterAutospacing="0"/>
        <w:jc w:val="both"/>
        <w:rPr>
          <w:sz w:val="20"/>
          <w:szCs w:val="20"/>
        </w:rPr>
      </w:pPr>
      <w:r>
        <w:rPr>
          <w:sz w:val="20"/>
          <w:szCs w:val="20"/>
        </w:rPr>
        <w:t> </w:t>
      </w:r>
    </w:p>
    <w:p w14:paraId="36D1DF75" w14:textId="77777777" w:rsidR="00000000" w:rsidRDefault="00D6065B">
      <w:pPr>
        <w:pStyle w:val="a3"/>
        <w:spacing w:before="0" w:beforeAutospacing="0" w:after="0" w:afterAutospacing="0"/>
        <w:jc w:val="both"/>
        <w:rPr>
          <w:sz w:val="20"/>
          <w:szCs w:val="20"/>
        </w:rPr>
      </w:pPr>
      <w:r>
        <w:rPr>
          <w:sz w:val="20"/>
          <w:szCs w:val="20"/>
        </w:rPr>
        <w:t xml:space="preserve">During the six months ended June 30, 2021 and 2020, the Company recognized </w:t>
      </w:r>
      <w:r>
        <w:rPr>
          <w:sz w:val="20"/>
          <w:szCs w:val="20"/>
        </w:rPr>
        <w:t>$</w:t>
      </w:r>
      <w:r>
        <w:rPr>
          <w:sz w:val="20"/>
          <w:szCs w:val="20"/>
        </w:rPr>
        <w:t>0</w:t>
      </w:r>
      <w:r>
        <w:rPr>
          <w:sz w:val="20"/>
          <w:szCs w:val="20"/>
        </w:rPr>
        <w:t xml:space="preserve"> and </w:t>
      </w:r>
      <w:r>
        <w:rPr>
          <w:sz w:val="20"/>
          <w:szCs w:val="20"/>
        </w:rPr>
        <w:t>$</w:t>
      </w:r>
      <w:r>
        <w:rPr>
          <w:sz w:val="20"/>
          <w:szCs w:val="20"/>
        </w:rPr>
        <w:t>2,17</w:t>
      </w:r>
      <w:r>
        <w:rPr>
          <w:sz w:val="20"/>
          <w:szCs w:val="20"/>
        </w:rPr>
        <w:t>6</w:t>
      </w:r>
      <w:r>
        <w:rPr>
          <w:sz w:val="20"/>
          <w:szCs w:val="20"/>
        </w:rPr>
        <w:t>, respectively, worth of stock based compensation related to the vesting of it stock options.</w:t>
      </w:r>
    </w:p>
    <w:p w14:paraId="2C766B90"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186BE5" w14:textId="77777777">
        <w:trPr>
          <w:divId w:val="1356612177"/>
        </w:trPr>
        <w:tc>
          <w:tcPr>
            <w:tcW w:w="5000" w:type="pct"/>
            <w:hideMark/>
          </w:tcPr>
          <w:p w14:paraId="560947E8"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4CE9472B" w14:textId="77777777">
        <w:tc>
          <w:tcPr>
            <w:tcW w:w="5000" w:type="pct"/>
            <w:hideMark/>
          </w:tcPr>
          <w:p w14:paraId="6CEFF725" w14:textId="77777777" w:rsidR="00000000" w:rsidRDefault="00D6065B">
            <w:pPr>
              <w:jc w:val="center"/>
              <w:rPr>
                <w:rFonts w:eastAsia="Times New Roman"/>
                <w:sz w:val="20"/>
                <w:szCs w:val="20"/>
              </w:rPr>
            </w:pPr>
            <w:r>
              <w:rPr>
                <w:rFonts w:eastAsia="Times New Roman"/>
                <w:sz w:val="20"/>
                <w:szCs w:val="20"/>
              </w:rPr>
              <w:t> </w:t>
            </w:r>
          </w:p>
        </w:tc>
      </w:tr>
    </w:tbl>
    <w:p w14:paraId="2C5C18DC" w14:textId="77777777" w:rsidR="00000000" w:rsidRDefault="00D6065B">
      <w:pPr>
        <w:pStyle w:val="a3"/>
        <w:spacing w:before="0" w:beforeAutospacing="0" w:after="0" w:afterAutospacing="0"/>
        <w:rPr>
          <w:sz w:val="20"/>
          <w:szCs w:val="20"/>
        </w:rPr>
      </w:pPr>
      <w:r>
        <w:rPr>
          <w:sz w:val="20"/>
          <w:szCs w:val="20"/>
        </w:rPr>
        <w:t> </w:t>
      </w:r>
    </w:p>
    <w:p w14:paraId="64327A66" w14:textId="77777777" w:rsidR="00000000" w:rsidRDefault="00D6065B">
      <w:pPr>
        <w:pStyle w:val="a3"/>
        <w:spacing w:before="0" w:beforeAutospacing="0" w:after="0" w:afterAutospacing="0"/>
        <w:jc w:val="both"/>
        <w:rPr>
          <w:sz w:val="20"/>
          <w:szCs w:val="20"/>
        </w:rPr>
      </w:pPr>
      <w:r>
        <w:rPr>
          <w:b/>
          <w:bCs/>
          <w:sz w:val="20"/>
          <w:szCs w:val="20"/>
        </w:rPr>
        <w:t>Common Stock Warrants</w:t>
      </w:r>
    </w:p>
    <w:p w14:paraId="7F8E8A05" w14:textId="77777777" w:rsidR="00000000" w:rsidRDefault="00D6065B">
      <w:pPr>
        <w:pStyle w:val="a3"/>
        <w:spacing w:before="0" w:beforeAutospacing="0" w:after="0" w:afterAutospacing="0"/>
        <w:ind w:firstLine="720"/>
        <w:jc w:val="both"/>
        <w:rPr>
          <w:sz w:val="20"/>
          <w:szCs w:val="20"/>
        </w:rPr>
      </w:pPr>
      <w:r>
        <w:rPr>
          <w:sz w:val="20"/>
          <w:szCs w:val="20"/>
        </w:rPr>
        <w:t> </w:t>
      </w:r>
    </w:p>
    <w:p w14:paraId="1A51E265" w14:textId="77777777" w:rsidR="00000000" w:rsidRDefault="00D6065B">
      <w:pPr>
        <w:pStyle w:val="a3"/>
        <w:spacing w:before="0" w:beforeAutospacing="0" w:after="0" w:afterAutospacing="0"/>
        <w:jc w:val="both"/>
        <w:rPr>
          <w:sz w:val="20"/>
          <w:szCs w:val="20"/>
        </w:rPr>
      </w:pPr>
      <w:r>
        <w:rPr>
          <w:sz w:val="20"/>
          <w:szCs w:val="20"/>
        </w:rPr>
        <w:t>The following schedule summarizes the changes in the Company’s stock warrants:</w:t>
      </w:r>
    </w:p>
    <w:p w14:paraId="52670AD7" w14:textId="77777777" w:rsidR="00000000" w:rsidRDefault="00D6065B">
      <w:pPr>
        <w:pStyle w:val="a3"/>
        <w:spacing w:before="0" w:beforeAutospacing="0" w:after="0" w:afterAutospacing="0"/>
        <w:jc w:val="both"/>
        <w:rPr>
          <w:sz w:val="20"/>
          <w:szCs w:val="20"/>
        </w:rPr>
      </w:pPr>
      <w:r>
        <w:rPr>
          <w:sz w:val="20"/>
          <w:szCs w:val="20"/>
        </w:rPr>
        <w:t> </w:t>
      </w:r>
    </w:p>
    <w:p w14:paraId="5617C540" w14:textId="77777777" w:rsidR="00000000" w:rsidRDefault="00D6065B">
      <w:pPr>
        <w:pStyle w:val="a3"/>
        <w:spacing w:before="0" w:beforeAutospacing="0" w:after="0" w:afterAutospacing="0"/>
        <w:jc w:val="both"/>
        <w:rPr>
          <w:vanish/>
          <w:sz w:val="20"/>
          <w:szCs w:val="20"/>
        </w:rPr>
      </w:pPr>
      <w:r>
        <w:rPr>
          <w:vanish/>
          <w:sz w:val="20"/>
          <w:szCs w:val="20"/>
        </w:rPr>
        <w:t> </w:t>
      </w:r>
      <w:r>
        <w:rPr>
          <w:vanish/>
          <w:sz w:val="20"/>
          <w:szCs w:val="20"/>
        </w:rPr>
        <w:t>SCHEDULE OF CHANGES IN COMMON STOCK WARRANT</w:t>
      </w:r>
      <w:r>
        <w:rPr>
          <w:vanish/>
          <w:sz w:val="20"/>
          <w:szCs w:val="20"/>
        </w:rPr>
        <w:t>S</w:t>
      </w:r>
    </w:p>
    <w:tbl>
      <w:tblPr>
        <w:tblW w:w="5000" w:type="pct"/>
        <w:tblCellMar>
          <w:left w:w="0" w:type="dxa"/>
          <w:right w:w="0" w:type="dxa"/>
        </w:tblCellMar>
        <w:tblLook w:val="04A0" w:firstRow="1" w:lastRow="0" w:firstColumn="1" w:lastColumn="0" w:noHBand="0" w:noVBand="1"/>
      </w:tblPr>
      <w:tblGrid>
        <w:gridCol w:w="2804"/>
        <w:gridCol w:w="63"/>
        <w:gridCol w:w="63"/>
        <w:gridCol w:w="900"/>
        <w:gridCol w:w="67"/>
        <w:gridCol w:w="59"/>
        <w:gridCol w:w="100"/>
        <w:gridCol w:w="1143"/>
        <w:gridCol w:w="63"/>
        <w:gridCol w:w="63"/>
        <w:gridCol w:w="94"/>
        <w:gridCol w:w="841"/>
        <w:gridCol w:w="63"/>
        <w:gridCol w:w="63"/>
        <w:gridCol w:w="100"/>
        <w:gridCol w:w="800"/>
        <w:gridCol w:w="63"/>
        <w:gridCol w:w="63"/>
        <w:gridCol w:w="101"/>
        <w:gridCol w:w="729"/>
        <w:gridCol w:w="64"/>
      </w:tblGrid>
      <w:tr w:rsidR="00000000" w14:paraId="17AB5874" w14:textId="77777777">
        <w:tc>
          <w:tcPr>
            <w:tcW w:w="0" w:type="auto"/>
            <w:vAlign w:val="bottom"/>
            <w:hideMark/>
          </w:tcPr>
          <w:p w14:paraId="68F71EB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6B620C9F" w14:textId="77777777" w:rsidR="00000000" w:rsidRDefault="00D6065B">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B8B2E2B" w14:textId="77777777" w:rsidR="00000000" w:rsidRDefault="00D6065B">
            <w:pPr>
              <w:jc w:val="center"/>
              <w:rPr>
                <w:rFonts w:eastAsia="Times New Roman"/>
                <w:sz w:val="20"/>
                <w:szCs w:val="20"/>
              </w:rPr>
            </w:pPr>
            <w:r>
              <w:rPr>
                <w:rFonts w:eastAsia="Times New Roman"/>
                <w:sz w:val="20"/>
                <w:szCs w:val="20"/>
              </w:rPr>
              <w:t>Warrants Outstanding</w:t>
            </w:r>
          </w:p>
        </w:tc>
        <w:tc>
          <w:tcPr>
            <w:tcW w:w="0" w:type="auto"/>
            <w:vAlign w:val="bottom"/>
            <w:hideMark/>
          </w:tcPr>
          <w:p w14:paraId="1576EB95"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E38834E"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29120873" w14:textId="77777777" w:rsidR="00000000" w:rsidRDefault="00D6065B">
            <w:pPr>
              <w:jc w:val="center"/>
              <w:rPr>
                <w:rFonts w:eastAsia="Times New Roman"/>
                <w:sz w:val="20"/>
                <w:szCs w:val="20"/>
              </w:rPr>
            </w:pPr>
            <w:r>
              <w:rPr>
                <w:rFonts w:eastAsia="Times New Roman"/>
                <w:sz w:val="20"/>
                <w:szCs w:val="20"/>
              </w:rPr>
              <w:t>Weighted Average Remaining</w:t>
            </w:r>
          </w:p>
        </w:tc>
        <w:tc>
          <w:tcPr>
            <w:tcW w:w="0" w:type="auto"/>
            <w:vAlign w:val="bottom"/>
            <w:hideMark/>
          </w:tcPr>
          <w:p w14:paraId="33DAF7B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25D524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012AA692" w14:textId="77777777" w:rsidR="00000000" w:rsidRDefault="00D6065B">
            <w:pPr>
              <w:jc w:val="center"/>
              <w:rPr>
                <w:rFonts w:eastAsia="Times New Roman"/>
                <w:sz w:val="20"/>
                <w:szCs w:val="20"/>
              </w:rPr>
            </w:pPr>
            <w:r>
              <w:rPr>
                <w:rFonts w:eastAsia="Times New Roman"/>
                <w:sz w:val="20"/>
                <w:szCs w:val="20"/>
              </w:rPr>
              <w:t>Aggregate</w:t>
            </w:r>
          </w:p>
        </w:tc>
        <w:tc>
          <w:tcPr>
            <w:tcW w:w="0" w:type="auto"/>
            <w:vAlign w:val="bottom"/>
            <w:hideMark/>
          </w:tcPr>
          <w:p w14:paraId="5C44DFD1"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94B3848"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35BB01EA" w14:textId="77777777" w:rsidR="00000000" w:rsidRDefault="00D6065B">
            <w:pPr>
              <w:jc w:val="center"/>
              <w:rPr>
                <w:rFonts w:eastAsia="Times New Roman"/>
                <w:sz w:val="20"/>
                <w:szCs w:val="20"/>
              </w:rPr>
            </w:pPr>
            <w:r>
              <w:rPr>
                <w:rFonts w:eastAsia="Times New Roman"/>
                <w:sz w:val="20"/>
                <w:szCs w:val="20"/>
              </w:rPr>
              <w:t>Weighted Average</w:t>
            </w:r>
          </w:p>
        </w:tc>
        <w:tc>
          <w:tcPr>
            <w:tcW w:w="0" w:type="auto"/>
            <w:vAlign w:val="bottom"/>
            <w:hideMark/>
          </w:tcPr>
          <w:p w14:paraId="62454D17" w14:textId="77777777" w:rsidR="00000000" w:rsidRDefault="00D6065B">
            <w:pPr>
              <w:jc w:val="center"/>
              <w:rPr>
                <w:rFonts w:eastAsia="Times New Roman"/>
                <w:sz w:val="20"/>
                <w:szCs w:val="20"/>
              </w:rPr>
            </w:pPr>
            <w:r>
              <w:rPr>
                <w:rFonts w:eastAsia="Times New Roman"/>
                <w:sz w:val="20"/>
                <w:szCs w:val="20"/>
              </w:rPr>
              <w:t> </w:t>
            </w:r>
          </w:p>
        </w:tc>
      </w:tr>
      <w:tr w:rsidR="00000000" w14:paraId="5E642032" w14:textId="77777777">
        <w:tc>
          <w:tcPr>
            <w:tcW w:w="0" w:type="auto"/>
            <w:vAlign w:val="bottom"/>
            <w:hideMark/>
          </w:tcPr>
          <w:p w14:paraId="236D1F9A"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2C62190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A6729B0" w14:textId="77777777" w:rsidR="00000000" w:rsidRDefault="00D6065B">
            <w:pPr>
              <w:jc w:val="center"/>
              <w:rPr>
                <w:rFonts w:eastAsia="Times New Roman"/>
                <w:sz w:val="20"/>
                <w:szCs w:val="20"/>
              </w:rPr>
            </w:pPr>
            <w:r>
              <w:rPr>
                <w:rFonts w:eastAsia="Times New Roman"/>
                <w:sz w:val="20"/>
                <w:szCs w:val="20"/>
              </w:rPr>
              <w:t>Number Of Shares</w:t>
            </w:r>
          </w:p>
        </w:tc>
        <w:tc>
          <w:tcPr>
            <w:tcW w:w="0" w:type="auto"/>
            <w:vAlign w:val="bottom"/>
            <w:hideMark/>
          </w:tcPr>
          <w:p w14:paraId="72B72059"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660E73F"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E9451E5" w14:textId="77777777" w:rsidR="00000000" w:rsidRDefault="00D6065B">
            <w:pPr>
              <w:jc w:val="center"/>
              <w:rPr>
                <w:rFonts w:eastAsia="Times New Roman"/>
                <w:sz w:val="20"/>
                <w:szCs w:val="20"/>
              </w:rPr>
            </w:pPr>
            <w:r>
              <w:rPr>
                <w:rFonts w:eastAsia="Times New Roman"/>
                <w:sz w:val="20"/>
                <w:szCs w:val="20"/>
              </w:rPr>
              <w:t>Exercise Price Per Share</w:t>
            </w:r>
          </w:p>
        </w:tc>
        <w:tc>
          <w:tcPr>
            <w:tcW w:w="0" w:type="auto"/>
            <w:vAlign w:val="bottom"/>
            <w:hideMark/>
          </w:tcPr>
          <w:p w14:paraId="1B16C1B1"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31174BF"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FB8AE3C" w14:textId="77777777" w:rsidR="00000000" w:rsidRDefault="00D6065B">
            <w:pPr>
              <w:jc w:val="center"/>
              <w:rPr>
                <w:rFonts w:eastAsia="Times New Roman"/>
                <w:sz w:val="20"/>
                <w:szCs w:val="20"/>
              </w:rPr>
            </w:pPr>
            <w:r>
              <w:rPr>
                <w:rFonts w:eastAsia="Times New Roman"/>
                <w:sz w:val="20"/>
                <w:szCs w:val="20"/>
              </w:rPr>
              <w:t>Contractual Life</w:t>
            </w:r>
          </w:p>
        </w:tc>
        <w:tc>
          <w:tcPr>
            <w:tcW w:w="0" w:type="auto"/>
            <w:vAlign w:val="bottom"/>
            <w:hideMark/>
          </w:tcPr>
          <w:p w14:paraId="4B010E63"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0291B69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B16BBC3" w14:textId="77777777" w:rsidR="00000000" w:rsidRDefault="00D6065B">
            <w:pPr>
              <w:jc w:val="center"/>
              <w:rPr>
                <w:rFonts w:eastAsia="Times New Roman"/>
                <w:sz w:val="20"/>
                <w:szCs w:val="20"/>
              </w:rPr>
            </w:pPr>
            <w:r>
              <w:rPr>
                <w:rFonts w:eastAsia="Times New Roman"/>
                <w:sz w:val="20"/>
                <w:szCs w:val="20"/>
              </w:rPr>
              <w:t>Intrinsic Value</w:t>
            </w:r>
          </w:p>
        </w:tc>
        <w:tc>
          <w:tcPr>
            <w:tcW w:w="0" w:type="auto"/>
            <w:vAlign w:val="bottom"/>
            <w:hideMark/>
          </w:tcPr>
          <w:p w14:paraId="222DF9D1"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8D58677"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2945E45" w14:textId="77777777" w:rsidR="00000000" w:rsidRDefault="00D6065B">
            <w:pPr>
              <w:pStyle w:val="a3"/>
              <w:spacing w:before="0" w:beforeAutospacing="0" w:after="0" w:afterAutospacing="0"/>
              <w:jc w:val="center"/>
              <w:rPr>
                <w:sz w:val="20"/>
                <w:szCs w:val="20"/>
              </w:rPr>
            </w:pPr>
            <w:r>
              <w:rPr>
                <w:sz w:val="20"/>
                <w:szCs w:val="20"/>
              </w:rPr>
              <w:t>Exercise</w:t>
            </w:r>
          </w:p>
          <w:p w14:paraId="60F14B24" w14:textId="77777777" w:rsidR="00000000" w:rsidRDefault="00D6065B">
            <w:pPr>
              <w:pStyle w:val="a3"/>
              <w:spacing w:before="0" w:beforeAutospacing="0" w:after="0" w:afterAutospacing="0"/>
              <w:jc w:val="center"/>
              <w:rPr>
                <w:sz w:val="20"/>
                <w:szCs w:val="20"/>
              </w:rPr>
            </w:pPr>
            <w:r>
              <w:rPr>
                <w:sz w:val="20"/>
                <w:szCs w:val="20"/>
              </w:rPr>
              <w:t>Price Per Share</w:t>
            </w:r>
          </w:p>
        </w:tc>
        <w:tc>
          <w:tcPr>
            <w:tcW w:w="0" w:type="auto"/>
            <w:vAlign w:val="bottom"/>
            <w:hideMark/>
          </w:tcPr>
          <w:p w14:paraId="23DC8842" w14:textId="77777777" w:rsidR="00000000" w:rsidRDefault="00D6065B">
            <w:pPr>
              <w:jc w:val="center"/>
              <w:rPr>
                <w:rFonts w:eastAsia="Times New Roman"/>
                <w:sz w:val="20"/>
                <w:szCs w:val="20"/>
              </w:rPr>
            </w:pPr>
            <w:r>
              <w:rPr>
                <w:rFonts w:eastAsia="Times New Roman"/>
                <w:sz w:val="20"/>
                <w:szCs w:val="20"/>
              </w:rPr>
              <w:t> </w:t>
            </w:r>
          </w:p>
        </w:tc>
      </w:tr>
      <w:tr w:rsidR="00000000" w14:paraId="5A71FB18" w14:textId="77777777">
        <w:tc>
          <w:tcPr>
            <w:tcW w:w="0" w:type="auto"/>
            <w:vAlign w:val="bottom"/>
            <w:hideMark/>
          </w:tcPr>
          <w:p w14:paraId="4233FE4C"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FAF852C"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6B94C179"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44CF2CA7"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5AF0D982"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64D53E12"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63BB1D51"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1C609208"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3FCEFC12"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02A91D1A"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2CCE2AC4"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7C4B5D25"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72415145"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4ED7B595" w14:textId="77777777" w:rsidR="00000000" w:rsidRDefault="00D6065B">
            <w:pPr>
              <w:rPr>
                <w:rFonts w:eastAsia="Times New Roman"/>
                <w:sz w:val="20"/>
                <w:szCs w:val="20"/>
              </w:rPr>
            </w:pPr>
            <w:r>
              <w:rPr>
                <w:rFonts w:eastAsia="Times New Roman"/>
                <w:sz w:val="20"/>
                <w:szCs w:val="20"/>
              </w:rPr>
              <w:t> </w:t>
            </w:r>
          </w:p>
        </w:tc>
        <w:tc>
          <w:tcPr>
            <w:tcW w:w="0" w:type="auto"/>
            <w:gridSpan w:val="2"/>
            <w:vAlign w:val="bottom"/>
            <w:hideMark/>
          </w:tcPr>
          <w:p w14:paraId="445DF629" w14:textId="77777777" w:rsidR="00000000" w:rsidRDefault="00D6065B">
            <w:pPr>
              <w:rPr>
                <w:rFonts w:eastAsia="Times New Roman"/>
                <w:sz w:val="20"/>
                <w:szCs w:val="20"/>
              </w:rPr>
            </w:pPr>
            <w:r>
              <w:rPr>
                <w:rFonts w:eastAsia="Times New Roman"/>
                <w:sz w:val="20"/>
                <w:szCs w:val="20"/>
              </w:rPr>
              <w:t> </w:t>
            </w:r>
          </w:p>
        </w:tc>
        <w:tc>
          <w:tcPr>
            <w:tcW w:w="0" w:type="auto"/>
            <w:vAlign w:val="bottom"/>
            <w:hideMark/>
          </w:tcPr>
          <w:p w14:paraId="63B96559" w14:textId="77777777" w:rsidR="00000000" w:rsidRDefault="00D6065B">
            <w:pPr>
              <w:rPr>
                <w:rFonts w:eastAsia="Times New Roman"/>
                <w:sz w:val="20"/>
                <w:szCs w:val="20"/>
              </w:rPr>
            </w:pPr>
            <w:r>
              <w:rPr>
                <w:rFonts w:eastAsia="Times New Roman"/>
                <w:sz w:val="20"/>
                <w:szCs w:val="20"/>
              </w:rPr>
              <w:t> </w:t>
            </w:r>
          </w:p>
        </w:tc>
      </w:tr>
      <w:tr w:rsidR="00000000" w14:paraId="2451CB84" w14:textId="77777777">
        <w:tc>
          <w:tcPr>
            <w:tcW w:w="1700" w:type="pct"/>
            <w:shd w:val="clear" w:color="auto" w:fill="CCEEFF"/>
            <w:vAlign w:val="bottom"/>
            <w:hideMark/>
          </w:tcPr>
          <w:p w14:paraId="61BAB9E8" w14:textId="77777777" w:rsidR="00000000" w:rsidRDefault="00D6065B">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14:paraId="537AF297"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B9679E" w14:textId="77777777" w:rsidR="00000000" w:rsidRDefault="00D6065B">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9C8ED4B" w14:textId="77777777" w:rsidR="00000000" w:rsidRDefault="00D6065B">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14:paraId="4C44285E"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CD7AFB"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F3F168" w14:textId="77777777" w:rsidR="00000000" w:rsidRDefault="00D6065B">
            <w:pPr>
              <w:rPr>
                <w:rFonts w:eastAsia="Times New Roman"/>
                <w:sz w:val="20"/>
                <w:szCs w:val="20"/>
              </w:rPr>
            </w:pPr>
            <w:r>
              <w:rPr>
                <w:rFonts w:eastAsia="Times New Roman"/>
                <w:sz w:val="20"/>
                <w:szCs w:val="20"/>
              </w:rPr>
              <w:t>$</w:t>
            </w:r>
          </w:p>
        </w:tc>
        <w:tc>
          <w:tcPr>
            <w:tcW w:w="700" w:type="pct"/>
            <w:shd w:val="clear" w:color="auto" w:fill="CCEEFF"/>
            <w:vAlign w:val="bottom"/>
            <w:hideMark/>
          </w:tcPr>
          <w:p w14:paraId="6F81174B" w14:textId="77777777" w:rsidR="00000000" w:rsidRDefault="00D6065B">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14:paraId="46678378"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2B69BD"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8434A6" w14:textId="77777777" w:rsidR="00000000" w:rsidRDefault="00D6065B">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E4BEF7" w14:textId="77777777" w:rsidR="00000000" w:rsidRDefault="00D6065B">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14:paraId="1C7ECA8C"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2D14E8"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7F408" w14:textId="77777777" w:rsidR="00000000" w:rsidRDefault="00D6065B">
            <w:pPr>
              <w:rPr>
                <w:rFonts w:eastAsia="Times New Roman"/>
                <w:sz w:val="20"/>
                <w:szCs w:val="20"/>
              </w:rPr>
            </w:pPr>
            <w:r>
              <w:rPr>
                <w:rFonts w:eastAsia="Times New Roman"/>
                <w:sz w:val="20"/>
                <w:szCs w:val="20"/>
              </w:rPr>
              <w:t>$</w:t>
            </w:r>
          </w:p>
        </w:tc>
        <w:tc>
          <w:tcPr>
            <w:tcW w:w="450" w:type="pct"/>
            <w:shd w:val="clear" w:color="auto" w:fill="CCEEFF"/>
            <w:vAlign w:val="bottom"/>
            <w:hideMark/>
          </w:tcPr>
          <w:p w14:paraId="25A99207" w14:textId="77777777" w:rsidR="00000000" w:rsidRDefault="00D6065B">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14:paraId="7553D614"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48BEAB"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C77445" w14:textId="77777777" w:rsidR="00000000" w:rsidRDefault="00D6065B">
            <w:pPr>
              <w:rPr>
                <w:rFonts w:eastAsia="Times New Roman"/>
                <w:sz w:val="20"/>
                <w:szCs w:val="20"/>
              </w:rPr>
            </w:pPr>
            <w:r>
              <w:rPr>
                <w:rFonts w:eastAsia="Times New Roman"/>
                <w:sz w:val="20"/>
                <w:szCs w:val="20"/>
              </w:rPr>
              <w:t>$</w:t>
            </w:r>
          </w:p>
        </w:tc>
        <w:tc>
          <w:tcPr>
            <w:tcW w:w="450" w:type="pct"/>
            <w:shd w:val="clear" w:color="auto" w:fill="CCEEFF"/>
            <w:vAlign w:val="bottom"/>
            <w:hideMark/>
          </w:tcPr>
          <w:p w14:paraId="67C46636" w14:textId="77777777" w:rsidR="00000000" w:rsidRDefault="00D6065B">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14:paraId="74921C3A" w14:textId="77777777" w:rsidR="00000000" w:rsidRDefault="00D6065B">
            <w:pPr>
              <w:rPr>
                <w:rFonts w:eastAsia="Times New Roman"/>
                <w:sz w:val="20"/>
                <w:szCs w:val="20"/>
              </w:rPr>
            </w:pPr>
            <w:r>
              <w:rPr>
                <w:rFonts w:eastAsia="Times New Roman"/>
                <w:sz w:val="20"/>
                <w:szCs w:val="20"/>
              </w:rPr>
              <w:t> </w:t>
            </w:r>
          </w:p>
        </w:tc>
      </w:tr>
      <w:tr w:rsidR="00000000" w14:paraId="35B3CB4E" w14:textId="77777777">
        <w:tc>
          <w:tcPr>
            <w:tcW w:w="0" w:type="auto"/>
            <w:shd w:val="clear" w:color="auto" w:fill="FFFFFF"/>
            <w:vAlign w:val="bottom"/>
            <w:hideMark/>
          </w:tcPr>
          <w:p w14:paraId="70F956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7AE7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DD1D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A81C8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5BC8A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D858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7BA1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A2951"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EFEE0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B681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459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AF6C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59792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9664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25392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DC5E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6E5F7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50968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AB3AB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771F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5DCE115" w14:textId="77777777" w:rsidR="00000000" w:rsidRDefault="00D6065B">
            <w:pPr>
              <w:rPr>
                <w:rFonts w:eastAsia="Times New Roman"/>
                <w:sz w:val="20"/>
                <w:szCs w:val="20"/>
              </w:rPr>
            </w:pPr>
            <w:r>
              <w:rPr>
                <w:rFonts w:eastAsia="Times New Roman"/>
                <w:sz w:val="20"/>
                <w:szCs w:val="20"/>
              </w:rPr>
              <w:t> </w:t>
            </w:r>
          </w:p>
        </w:tc>
      </w:tr>
      <w:tr w:rsidR="00000000" w14:paraId="27953C30" w14:textId="77777777">
        <w:tc>
          <w:tcPr>
            <w:tcW w:w="0" w:type="auto"/>
            <w:shd w:val="clear" w:color="auto" w:fill="CCEEFF"/>
            <w:vAlign w:val="bottom"/>
            <w:hideMark/>
          </w:tcPr>
          <w:p w14:paraId="4D8B3FBC" w14:textId="77777777" w:rsidR="00000000" w:rsidRDefault="00D6065B">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14:paraId="7218E55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21BF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985801" w14:textId="77777777" w:rsidR="00000000" w:rsidRDefault="00D6065B">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14:paraId="2A7506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33B7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E3A20"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6EE89FEF" w14:textId="77777777" w:rsidR="00000000" w:rsidRDefault="00D6065B">
            <w:pPr>
              <w:jc w:val="right"/>
              <w:rPr>
                <w:rFonts w:eastAsia="Times New Roman"/>
                <w:sz w:val="20"/>
                <w:szCs w:val="20"/>
              </w:rPr>
            </w:pPr>
            <w:r>
              <w:rPr>
                <w:rFonts w:eastAsia="Times New Roman"/>
                <w:sz w:val="20"/>
                <w:szCs w:val="20"/>
              </w:rPr>
              <w:t>0.1</w:t>
            </w:r>
            <w:r>
              <w:rPr>
                <w:rFonts w:eastAsia="Times New Roman"/>
                <w:sz w:val="20"/>
                <w:szCs w:val="20"/>
              </w:rPr>
              <w:t>0</w:t>
            </w:r>
          </w:p>
        </w:tc>
        <w:tc>
          <w:tcPr>
            <w:tcW w:w="0" w:type="auto"/>
            <w:shd w:val="clear" w:color="auto" w:fill="CCEEFF"/>
            <w:vAlign w:val="bottom"/>
            <w:hideMark/>
          </w:tcPr>
          <w:p w14:paraId="6D4C8A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A92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8695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DADD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C438B7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942A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E90A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F3E6B" w14:textId="77777777" w:rsidR="00000000" w:rsidRDefault="00D6065B">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1A3E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628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A17F27"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D97C56C"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27D9A4D" w14:textId="77777777" w:rsidR="00000000" w:rsidRDefault="00D6065B">
            <w:pPr>
              <w:rPr>
                <w:rFonts w:eastAsia="Times New Roman"/>
                <w:sz w:val="20"/>
                <w:szCs w:val="20"/>
              </w:rPr>
            </w:pPr>
            <w:r>
              <w:rPr>
                <w:rFonts w:eastAsia="Times New Roman"/>
                <w:sz w:val="20"/>
                <w:szCs w:val="20"/>
              </w:rPr>
              <w:t> </w:t>
            </w:r>
          </w:p>
        </w:tc>
      </w:tr>
      <w:tr w:rsidR="00000000" w14:paraId="609613CF" w14:textId="77777777">
        <w:tc>
          <w:tcPr>
            <w:tcW w:w="0" w:type="auto"/>
            <w:shd w:val="clear" w:color="auto" w:fill="FFFFFF"/>
            <w:vAlign w:val="bottom"/>
            <w:hideMark/>
          </w:tcPr>
          <w:p w14:paraId="2332CA78" w14:textId="77777777" w:rsidR="00000000" w:rsidRDefault="00D6065B">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14:paraId="6E8E1D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11BB9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751D3" w14:textId="77777777" w:rsidR="00000000" w:rsidRDefault="00D6065B">
            <w:pPr>
              <w:jc w:val="right"/>
              <w:rPr>
                <w:rFonts w:eastAsia="Times New Roman"/>
                <w:sz w:val="20"/>
                <w:szCs w:val="20"/>
              </w:rPr>
            </w:pPr>
            <w:r>
              <w:rPr>
                <w:rFonts w:eastAsia="Times New Roman"/>
                <w:sz w:val="20"/>
                <w:szCs w:val="20"/>
              </w:rPr>
              <w:t>(5,430,000</w:t>
            </w:r>
          </w:p>
        </w:tc>
        <w:tc>
          <w:tcPr>
            <w:tcW w:w="0" w:type="auto"/>
            <w:shd w:val="clear" w:color="auto" w:fill="FFFFFF"/>
            <w:vAlign w:val="bottom"/>
            <w:hideMark/>
          </w:tcPr>
          <w:p w14:paraId="0CEAD2B0"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27A164E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A8F03E"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6D15842A"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7C330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E39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0B49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3DF102"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F53AAD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F225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59B6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7ADE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A7A84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F5D1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34FA4"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7EA30BF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0EBDD9" w14:textId="77777777" w:rsidR="00000000" w:rsidRDefault="00D6065B">
            <w:pPr>
              <w:rPr>
                <w:rFonts w:eastAsia="Times New Roman"/>
                <w:sz w:val="20"/>
                <w:szCs w:val="20"/>
              </w:rPr>
            </w:pPr>
            <w:r>
              <w:rPr>
                <w:rFonts w:eastAsia="Times New Roman"/>
                <w:sz w:val="20"/>
                <w:szCs w:val="20"/>
              </w:rPr>
              <w:t> </w:t>
            </w:r>
          </w:p>
        </w:tc>
      </w:tr>
      <w:tr w:rsidR="00000000" w14:paraId="1F8F8C87" w14:textId="77777777">
        <w:tc>
          <w:tcPr>
            <w:tcW w:w="0" w:type="auto"/>
            <w:shd w:val="clear" w:color="auto" w:fill="CCEEFF"/>
            <w:tcMar>
              <w:top w:w="0" w:type="dxa"/>
              <w:left w:w="0" w:type="dxa"/>
              <w:bottom w:w="30" w:type="dxa"/>
              <w:right w:w="0" w:type="dxa"/>
            </w:tcMar>
            <w:vAlign w:val="bottom"/>
            <w:hideMark/>
          </w:tcPr>
          <w:p w14:paraId="7882CE34" w14:textId="77777777" w:rsidR="00000000" w:rsidRDefault="00D6065B">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14:paraId="4D2D913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2882E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31EFC4" w14:textId="77777777" w:rsidR="00000000" w:rsidRDefault="00D6065B">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14:paraId="17C81FFA"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37F715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B2C074B"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320CFA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CCAA91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5C66B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8187B5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E410CF4"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09ABDA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B69FD9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C33635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A773C1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B4890B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E4F1A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179BCF"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7C155F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F0C2260" w14:textId="77777777" w:rsidR="00000000" w:rsidRDefault="00D6065B">
            <w:pPr>
              <w:rPr>
                <w:rFonts w:eastAsia="Times New Roman"/>
                <w:sz w:val="20"/>
                <w:szCs w:val="20"/>
              </w:rPr>
            </w:pPr>
            <w:r>
              <w:rPr>
                <w:rFonts w:eastAsia="Times New Roman"/>
                <w:sz w:val="20"/>
                <w:szCs w:val="20"/>
              </w:rPr>
              <w:t> </w:t>
            </w:r>
          </w:p>
        </w:tc>
      </w:tr>
      <w:tr w:rsidR="00000000" w14:paraId="107A0046" w14:textId="77777777">
        <w:tc>
          <w:tcPr>
            <w:tcW w:w="0" w:type="auto"/>
            <w:shd w:val="clear" w:color="auto" w:fill="FFFFFF"/>
            <w:vAlign w:val="bottom"/>
            <w:hideMark/>
          </w:tcPr>
          <w:p w14:paraId="610ECDB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F7BC6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04899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F90E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07552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A5B4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BE5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794A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EEFDA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86870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5EAD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EEA6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B4843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1B87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4E1F0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07E2F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9C199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FA49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AA236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D6089"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0D6F78" w14:textId="77777777" w:rsidR="00000000" w:rsidRDefault="00D6065B">
            <w:pPr>
              <w:rPr>
                <w:rFonts w:eastAsia="Times New Roman"/>
                <w:sz w:val="20"/>
                <w:szCs w:val="20"/>
              </w:rPr>
            </w:pPr>
            <w:r>
              <w:rPr>
                <w:rFonts w:eastAsia="Times New Roman"/>
                <w:sz w:val="20"/>
                <w:szCs w:val="20"/>
              </w:rPr>
              <w:t> </w:t>
            </w:r>
          </w:p>
        </w:tc>
      </w:tr>
      <w:tr w:rsidR="00000000" w14:paraId="7E9386B5" w14:textId="77777777">
        <w:tc>
          <w:tcPr>
            <w:tcW w:w="0" w:type="auto"/>
            <w:shd w:val="clear" w:color="auto" w:fill="CCEEFF"/>
            <w:tcMar>
              <w:top w:w="0" w:type="dxa"/>
              <w:left w:w="0" w:type="dxa"/>
              <w:bottom w:w="50" w:type="dxa"/>
              <w:right w:w="0" w:type="dxa"/>
            </w:tcMar>
            <w:vAlign w:val="bottom"/>
            <w:hideMark/>
          </w:tcPr>
          <w:p w14:paraId="33694151" w14:textId="77777777" w:rsidR="00000000" w:rsidRDefault="00D6065B">
            <w:pPr>
              <w:rPr>
                <w:rFonts w:eastAsia="Times New Roman"/>
                <w:sz w:val="20"/>
                <w:szCs w:val="20"/>
              </w:rPr>
            </w:pPr>
            <w:r>
              <w:rPr>
                <w:rFonts w:eastAsia="Times New Roman"/>
                <w:sz w:val="20"/>
                <w:szCs w:val="20"/>
              </w:rPr>
              <w:t xml:space="preserve">Balance </w:t>
            </w:r>
            <w:r>
              <w:rPr>
                <w:rFonts w:eastAsia="Times New Roman"/>
                <w:sz w:val="20"/>
                <w:szCs w:val="20"/>
              </w:rPr>
              <w:t>at June 30, 2021</w:t>
            </w:r>
          </w:p>
        </w:tc>
        <w:tc>
          <w:tcPr>
            <w:tcW w:w="0" w:type="auto"/>
            <w:shd w:val="clear" w:color="auto" w:fill="CCEEFF"/>
            <w:tcMar>
              <w:top w:w="0" w:type="dxa"/>
              <w:left w:w="0" w:type="dxa"/>
              <w:bottom w:w="50" w:type="dxa"/>
              <w:right w:w="0" w:type="dxa"/>
            </w:tcMar>
            <w:vAlign w:val="bottom"/>
            <w:hideMark/>
          </w:tcPr>
          <w:p w14:paraId="67FB89A1"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DBD11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6F10C8B" w14:textId="77777777" w:rsidR="00000000" w:rsidRDefault="00D6065B">
            <w:pPr>
              <w:jc w:val="right"/>
              <w:rPr>
                <w:rFonts w:eastAsia="Times New Roman"/>
                <w:sz w:val="20"/>
                <w:szCs w:val="20"/>
              </w:rPr>
            </w:pPr>
            <w:r>
              <w:rPr>
                <w:rFonts w:eastAsia="Times New Roman"/>
                <w:sz w:val="20"/>
                <w:szCs w:val="20"/>
              </w:rPr>
              <w:t>37,162,500</w:t>
            </w:r>
          </w:p>
        </w:tc>
        <w:tc>
          <w:tcPr>
            <w:tcW w:w="0" w:type="auto"/>
            <w:shd w:val="clear" w:color="auto" w:fill="CCEEFF"/>
            <w:tcMar>
              <w:top w:w="0" w:type="dxa"/>
              <w:left w:w="0" w:type="dxa"/>
              <w:bottom w:w="50" w:type="dxa"/>
              <w:right w:w="0" w:type="dxa"/>
            </w:tcMar>
            <w:vAlign w:val="bottom"/>
            <w:hideMark/>
          </w:tcPr>
          <w:p w14:paraId="687AD1E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AD3D84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C1DB0BA"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A11B698" w14:textId="77777777" w:rsidR="00000000" w:rsidRDefault="00D6065B">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14:paraId="7496DC0D"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A84E21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6E1B66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C1FCD3D" w14:textId="77777777" w:rsidR="00000000" w:rsidRDefault="00D6065B">
            <w:pPr>
              <w:jc w:val="right"/>
              <w:rPr>
                <w:rFonts w:eastAsia="Times New Roman"/>
                <w:sz w:val="20"/>
                <w:szCs w:val="20"/>
              </w:rPr>
            </w:pPr>
            <w:r>
              <w:rPr>
                <w:rFonts w:eastAsia="Times New Roman"/>
                <w:sz w:val="20"/>
                <w:szCs w:val="20"/>
              </w:rPr>
              <w:t>1.4</w:t>
            </w:r>
            <w:r>
              <w:rPr>
                <w:rFonts w:eastAsia="Times New Roman"/>
                <w:sz w:val="20"/>
                <w:szCs w:val="20"/>
              </w:rPr>
              <w:t>9</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14:paraId="3B1150A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24F4E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79233DA"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EDC26C9" w14:textId="77777777" w:rsidR="00000000" w:rsidRDefault="00D6065B">
            <w:pPr>
              <w:jc w:val="right"/>
              <w:rPr>
                <w:rFonts w:eastAsia="Times New Roman"/>
                <w:sz w:val="20"/>
                <w:szCs w:val="20"/>
              </w:rPr>
            </w:pPr>
            <w:r>
              <w:rPr>
                <w:rFonts w:eastAsia="Times New Roman"/>
                <w:sz w:val="20"/>
                <w:szCs w:val="20"/>
              </w:rPr>
              <w:t>1,465,225</w:t>
            </w:r>
          </w:p>
        </w:tc>
        <w:tc>
          <w:tcPr>
            <w:tcW w:w="0" w:type="auto"/>
            <w:shd w:val="clear" w:color="auto" w:fill="CCEEFF"/>
            <w:tcMar>
              <w:top w:w="0" w:type="dxa"/>
              <w:left w:w="0" w:type="dxa"/>
              <w:bottom w:w="50" w:type="dxa"/>
              <w:right w:w="0" w:type="dxa"/>
            </w:tcMar>
            <w:vAlign w:val="bottom"/>
            <w:hideMark/>
          </w:tcPr>
          <w:p w14:paraId="7EC8B8C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5654FE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AB75850"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6C3D797" w14:textId="77777777" w:rsidR="00000000" w:rsidRDefault="00D6065B">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14:paraId="5232B696" w14:textId="77777777" w:rsidR="00000000" w:rsidRDefault="00D6065B">
            <w:pPr>
              <w:rPr>
                <w:rFonts w:eastAsia="Times New Roman"/>
                <w:sz w:val="20"/>
                <w:szCs w:val="20"/>
              </w:rPr>
            </w:pPr>
            <w:r>
              <w:rPr>
                <w:rFonts w:eastAsia="Times New Roman"/>
                <w:sz w:val="20"/>
                <w:szCs w:val="20"/>
              </w:rPr>
              <w:t> </w:t>
            </w:r>
          </w:p>
        </w:tc>
      </w:tr>
      <w:tr w:rsidR="00000000" w14:paraId="634EFAB2" w14:textId="77777777">
        <w:tc>
          <w:tcPr>
            <w:tcW w:w="0" w:type="auto"/>
            <w:shd w:val="clear" w:color="auto" w:fill="FFFFFF"/>
            <w:vAlign w:val="bottom"/>
            <w:hideMark/>
          </w:tcPr>
          <w:p w14:paraId="7CA3D5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D950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AD63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9611D"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1F5A8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E16B8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E5E1A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E5E7F"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4BE2A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4353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6649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EAE82"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F972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8C80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3F22B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4974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CC913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B4EE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E17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273F13"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AB8D0D" w14:textId="77777777" w:rsidR="00000000" w:rsidRDefault="00D6065B">
            <w:pPr>
              <w:rPr>
                <w:rFonts w:eastAsia="Times New Roman"/>
                <w:sz w:val="20"/>
                <w:szCs w:val="20"/>
              </w:rPr>
            </w:pPr>
            <w:r>
              <w:rPr>
                <w:rFonts w:eastAsia="Times New Roman"/>
                <w:sz w:val="20"/>
                <w:szCs w:val="20"/>
              </w:rPr>
              <w:t> </w:t>
            </w:r>
          </w:p>
        </w:tc>
      </w:tr>
      <w:tr w:rsidR="00000000" w14:paraId="1155E521" w14:textId="77777777">
        <w:tc>
          <w:tcPr>
            <w:tcW w:w="0" w:type="auto"/>
            <w:shd w:val="clear" w:color="auto" w:fill="CCEEFF"/>
            <w:tcMar>
              <w:top w:w="0" w:type="dxa"/>
              <w:left w:w="0" w:type="dxa"/>
              <w:bottom w:w="50" w:type="dxa"/>
              <w:right w:w="0" w:type="dxa"/>
            </w:tcMar>
            <w:vAlign w:val="bottom"/>
            <w:hideMark/>
          </w:tcPr>
          <w:p w14:paraId="67F469BC" w14:textId="77777777" w:rsidR="00000000" w:rsidRDefault="00D6065B">
            <w:pPr>
              <w:rPr>
                <w:rFonts w:eastAsia="Times New Roman"/>
                <w:sz w:val="20"/>
                <w:szCs w:val="20"/>
              </w:rPr>
            </w:pPr>
            <w:r>
              <w:rPr>
                <w:rFonts w:eastAsia="Times New Roman"/>
                <w:sz w:val="20"/>
                <w:szCs w:val="20"/>
              </w:rPr>
              <w:t>Exercisable at June 30, 2021</w:t>
            </w:r>
          </w:p>
        </w:tc>
        <w:tc>
          <w:tcPr>
            <w:tcW w:w="0" w:type="auto"/>
            <w:shd w:val="clear" w:color="auto" w:fill="CCEEFF"/>
            <w:tcMar>
              <w:top w:w="0" w:type="dxa"/>
              <w:left w:w="0" w:type="dxa"/>
              <w:bottom w:w="50" w:type="dxa"/>
              <w:right w:w="0" w:type="dxa"/>
            </w:tcMar>
            <w:vAlign w:val="bottom"/>
            <w:hideMark/>
          </w:tcPr>
          <w:p w14:paraId="268940CB"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A876A02"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FACCC2" w14:textId="77777777" w:rsidR="00000000" w:rsidRDefault="00D6065B">
            <w:pPr>
              <w:jc w:val="right"/>
              <w:rPr>
                <w:rFonts w:eastAsia="Times New Roman"/>
                <w:sz w:val="20"/>
                <w:szCs w:val="20"/>
              </w:rPr>
            </w:pPr>
            <w:r>
              <w:rPr>
                <w:rFonts w:eastAsia="Times New Roman"/>
                <w:sz w:val="20"/>
                <w:szCs w:val="20"/>
              </w:rPr>
              <w:t>37,162,500</w:t>
            </w:r>
          </w:p>
        </w:tc>
        <w:tc>
          <w:tcPr>
            <w:tcW w:w="0" w:type="auto"/>
            <w:shd w:val="clear" w:color="auto" w:fill="CCEEFF"/>
            <w:tcMar>
              <w:top w:w="0" w:type="dxa"/>
              <w:left w:w="0" w:type="dxa"/>
              <w:bottom w:w="50" w:type="dxa"/>
              <w:right w:w="0" w:type="dxa"/>
            </w:tcMar>
            <w:vAlign w:val="bottom"/>
            <w:hideMark/>
          </w:tcPr>
          <w:p w14:paraId="2B8DF60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0247CA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2CEF427"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8793BB6" w14:textId="77777777" w:rsidR="00000000" w:rsidRDefault="00D6065B">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14:paraId="4DF4782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6B28E0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B000AF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BB1B72A" w14:textId="77777777" w:rsidR="00000000" w:rsidRDefault="00D6065B">
            <w:pPr>
              <w:jc w:val="right"/>
              <w:rPr>
                <w:rFonts w:eastAsia="Times New Roman"/>
                <w:sz w:val="20"/>
                <w:szCs w:val="20"/>
              </w:rPr>
            </w:pPr>
            <w:r>
              <w:rPr>
                <w:rFonts w:eastAsia="Times New Roman"/>
                <w:sz w:val="20"/>
                <w:szCs w:val="20"/>
              </w:rPr>
              <w:t>1.4</w:t>
            </w:r>
            <w:r>
              <w:rPr>
                <w:rFonts w:eastAsia="Times New Roman"/>
                <w:sz w:val="20"/>
                <w:szCs w:val="20"/>
              </w:rPr>
              <w:t>9</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14:paraId="7BCCB5D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7684B3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71BA9CB"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B4DBEF6" w14:textId="77777777" w:rsidR="00000000" w:rsidRDefault="00D6065B">
            <w:pPr>
              <w:jc w:val="right"/>
              <w:rPr>
                <w:rFonts w:eastAsia="Times New Roman"/>
                <w:sz w:val="20"/>
                <w:szCs w:val="20"/>
              </w:rPr>
            </w:pPr>
            <w:r>
              <w:rPr>
                <w:rFonts w:eastAsia="Times New Roman"/>
                <w:sz w:val="20"/>
                <w:szCs w:val="20"/>
              </w:rPr>
              <w:t>1,465,225</w:t>
            </w:r>
          </w:p>
        </w:tc>
        <w:tc>
          <w:tcPr>
            <w:tcW w:w="0" w:type="auto"/>
            <w:shd w:val="clear" w:color="auto" w:fill="CCEEFF"/>
            <w:tcMar>
              <w:top w:w="0" w:type="dxa"/>
              <w:left w:w="0" w:type="dxa"/>
              <w:bottom w:w="50" w:type="dxa"/>
              <w:right w:w="0" w:type="dxa"/>
            </w:tcMar>
            <w:vAlign w:val="bottom"/>
            <w:hideMark/>
          </w:tcPr>
          <w:p w14:paraId="70A3EB0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B7D9CD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CF74184"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4995B7E" w14:textId="77777777" w:rsidR="00000000" w:rsidRDefault="00D6065B">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14:paraId="7A57B208" w14:textId="77777777" w:rsidR="00000000" w:rsidRDefault="00D6065B">
            <w:pPr>
              <w:rPr>
                <w:rFonts w:eastAsia="Times New Roman"/>
                <w:sz w:val="20"/>
                <w:szCs w:val="20"/>
              </w:rPr>
            </w:pPr>
            <w:r>
              <w:rPr>
                <w:rFonts w:eastAsia="Times New Roman"/>
                <w:sz w:val="20"/>
                <w:szCs w:val="20"/>
              </w:rPr>
              <w:t> </w:t>
            </w:r>
          </w:p>
        </w:tc>
      </w:tr>
    </w:tbl>
    <w:p w14:paraId="2743DF28" w14:textId="77777777" w:rsidR="00000000" w:rsidRDefault="00D6065B">
      <w:pPr>
        <w:pStyle w:val="a3"/>
        <w:spacing w:before="0" w:beforeAutospacing="0" w:after="0" w:afterAutospacing="0"/>
        <w:jc w:val="both"/>
        <w:rPr>
          <w:sz w:val="20"/>
          <w:szCs w:val="20"/>
        </w:rPr>
      </w:pPr>
      <w:r>
        <w:rPr>
          <w:sz w:val="20"/>
          <w:szCs w:val="20"/>
        </w:rPr>
        <w:t> </w:t>
      </w:r>
    </w:p>
    <w:p w14:paraId="71D4D5E6" w14:textId="77777777" w:rsidR="00000000" w:rsidRDefault="00D6065B">
      <w:pPr>
        <w:pStyle w:val="a3"/>
        <w:spacing w:before="0" w:beforeAutospacing="0" w:after="0" w:afterAutospacing="0"/>
        <w:jc w:val="both"/>
        <w:rPr>
          <w:sz w:val="20"/>
          <w:szCs w:val="20"/>
        </w:rPr>
      </w:pPr>
      <w:r>
        <w:rPr>
          <w:sz w:val="20"/>
          <w:szCs w:val="20"/>
        </w:rPr>
        <w:t>Changes to these inputs could produce a significantly higher or lower fair value measurement. The fair value of each option/warrant is estimated using the Black-Scholes valuation model. The following assumptions were used for the periods as follows:</w:t>
      </w:r>
    </w:p>
    <w:p w14:paraId="0D1EC6A1" w14:textId="77777777" w:rsidR="00000000" w:rsidRDefault="00D6065B">
      <w:pPr>
        <w:pStyle w:val="a3"/>
        <w:spacing w:before="0" w:beforeAutospacing="0" w:after="0" w:afterAutospacing="0"/>
        <w:jc w:val="both"/>
        <w:rPr>
          <w:sz w:val="20"/>
          <w:szCs w:val="20"/>
        </w:rPr>
      </w:pPr>
      <w:r>
        <w:rPr>
          <w:sz w:val="20"/>
          <w:szCs w:val="20"/>
        </w:rPr>
        <w:t> </w:t>
      </w:r>
    </w:p>
    <w:p w14:paraId="70B6BB84" w14:textId="77777777" w:rsidR="00000000" w:rsidRDefault="00D6065B">
      <w:pPr>
        <w:pStyle w:val="a3"/>
        <w:spacing w:before="0" w:beforeAutospacing="0" w:after="0" w:afterAutospacing="0"/>
        <w:jc w:val="both"/>
        <w:rPr>
          <w:vanish/>
          <w:sz w:val="20"/>
          <w:szCs w:val="20"/>
        </w:rPr>
      </w:pPr>
      <w:r>
        <w:rPr>
          <w:vanish/>
          <w:sz w:val="20"/>
          <w:szCs w:val="20"/>
        </w:rPr>
        <w:t> </w:t>
      </w:r>
      <w:r>
        <w:rPr>
          <w:vanish/>
          <w:sz w:val="20"/>
          <w:szCs w:val="20"/>
        </w:rPr>
        <w:t>SCH</w:t>
      </w:r>
      <w:r>
        <w:rPr>
          <w:vanish/>
          <w:sz w:val="20"/>
          <w:szCs w:val="20"/>
        </w:rPr>
        <w:t>EDULE OF ASSUMPTIONS USED IN FAIR VALUE MEASUREMEN</w:t>
      </w:r>
      <w:r>
        <w:rPr>
          <w:vanish/>
          <w:sz w:val="20"/>
          <w:szCs w:val="20"/>
        </w:rPr>
        <w:t>T</w:t>
      </w:r>
    </w:p>
    <w:tbl>
      <w:tblPr>
        <w:tblW w:w="3500" w:type="pct"/>
        <w:tblCellMar>
          <w:left w:w="0" w:type="dxa"/>
          <w:right w:w="0" w:type="dxa"/>
        </w:tblCellMar>
        <w:tblLook w:val="04A0" w:firstRow="1" w:lastRow="0" w:firstColumn="1" w:lastColumn="0" w:noHBand="0" w:noVBand="1"/>
      </w:tblPr>
      <w:tblGrid>
        <w:gridCol w:w="3457"/>
        <w:gridCol w:w="85"/>
        <w:gridCol w:w="50"/>
        <w:gridCol w:w="876"/>
        <w:gridCol w:w="167"/>
        <w:gridCol w:w="85"/>
        <w:gridCol w:w="50"/>
        <w:gridCol w:w="877"/>
        <w:gridCol w:w="167"/>
      </w:tblGrid>
      <w:tr w:rsidR="00000000" w14:paraId="053492CA" w14:textId="77777777">
        <w:tc>
          <w:tcPr>
            <w:tcW w:w="0" w:type="auto"/>
            <w:shd w:val="clear" w:color="auto" w:fill="FFFFFF"/>
            <w:vAlign w:val="bottom"/>
            <w:hideMark/>
          </w:tcPr>
          <w:p w14:paraId="2D44BD87" w14:textId="77777777" w:rsidR="00000000" w:rsidRDefault="00D6065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4127A036" w14:textId="77777777" w:rsidR="00000000" w:rsidRDefault="00D6065B">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83A0BFD" w14:textId="77777777" w:rsidR="00000000" w:rsidRDefault="00D6065B">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5EAB09E" w14:textId="77777777" w:rsidR="00000000" w:rsidRDefault="00D6065B">
            <w:pPr>
              <w:pStyle w:val="a3"/>
              <w:spacing w:before="0" w:beforeAutospacing="0" w:after="0" w:afterAutospacing="0"/>
              <w:jc w:val="center"/>
              <w:rPr>
                <w:sz w:val="20"/>
                <w:szCs w:val="20"/>
              </w:rPr>
            </w:pPr>
            <w:r>
              <w:rPr>
                <w:b/>
                <w:bCs/>
                <w:sz w:val="20"/>
                <w:szCs w:val="20"/>
              </w:rPr>
              <w:t>Six Months</w:t>
            </w:r>
          </w:p>
          <w:p w14:paraId="278670B8" w14:textId="77777777" w:rsidR="00000000" w:rsidRDefault="00D6065B">
            <w:pPr>
              <w:pStyle w:val="a3"/>
              <w:spacing w:before="0" w:beforeAutospacing="0" w:after="0" w:afterAutospacing="0"/>
              <w:jc w:val="center"/>
              <w:rPr>
                <w:sz w:val="20"/>
                <w:szCs w:val="20"/>
              </w:rPr>
            </w:pPr>
            <w:r>
              <w:rPr>
                <w:b/>
                <w:bCs/>
                <w:sz w:val="20"/>
                <w:szCs w:val="20"/>
              </w:rPr>
              <w:t>Ended</w:t>
            </w:r>
          </w:p>
        </w:tc>
        <w:tc>
          <w:tcPr>
            <w:tcW w:w="0" w:type="auto"/>
            <w:shd w:val="clear" w:color="auto" w:fill="FFFFFF"/>
            <w:vAlign w:val="bottom"/>
            <w:hideMark/>
          </w:tcPr>
          <w:p w14:paraId="6B9F1C15" w14:textId="77777777" w:rsidR="00000000" w:rsidRDefault="00D6065B">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2053848" w14:textId="77777777" w:rsidR="00000000" w:rsidRDefault="00D6065B">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D4CF64D" w14:textId="77777777" w:rsidR="00000000" w:rsidRDefault="00D6065B">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C91C122" w14:textId="77777777" w:rsidR="00000000" w:rsidRDefault="00D6065B">
            <w:pPr>
              <w:pStyle w:val="a3"/>
              <w:spacing w:before="0" w:beforeAutospacing="0" w:after="0" w:afterAutospacing="0"/>
              <w:jc w:val="center"/>
              <w:rPr>
                <w:sz w:val="20"/>
                <w:szCs w:val="20"/>
              </w:rPr>
            </w:pPr>
            <w:r>
              <w:rPr>
                <w:b/>
                <w:bCs/>
                <w:sz w:val="20"/>
                <w:szCs w:val="20"/>
              </w:rPr>
              <w:t>Year</w:t>
            </w:r>
          </w:p>
          <w:p w14:paraId="7EAB3B65" w14:textId="77777777" w:rsidR="00000000" w:rsidRDefault="00D6065B">
            <w:pPr>
              <w:pStyle w:val="a3"/>
              <w:spacing w:before="0" w:beforeAutospacing="0" w:after="0" w:afterAutospacing="0"/>
              <w:jc w:val="center"/>
              <w:rPr>
                <w:sz w:val="20"/>
                <w:szCs w:val="20"/>
              </w:rPr>
            </w:pPr>
            <w:r>
              <w:rPr>
                <w:b/>
                <w:bCs/>
                <w:sz w:val="20"/>
                <w:szCs w:val="20"/>
              </w:rPr>
              <w:t>Ended</w:t>
            </w:r>
          </w:p>
        </w:tc>
        <w:tc>
          <w:tcPr>
            <w:tcW w:w="0" w:type="auto"/>
            <w:shd w:val="clear" w:color="auto" w:fill="FFFFFF"/>
            <w:vAlign w:val="bottom"/>
            <w:hideMark/>
          </w:tcPr>
          <w:p w14:paraId="0A129040" w14:textId="77777777" w:rsidR="00000000" w:rsidRDefault="00D6065B">
            <w:pPr>
              <w:jc w:val="center"/>
              <w:rPr>
                <w:rFonts w:eastAsia="Times New Roman"/>
                <w:sz w:val="20"/>
                <w:szCs w:val="20"/>
              </w:rPr>
            </w:pPr>
            <w:r>
              <w:rPr>
                <w:rFonts w:eastAsia="Times New Roman"/>
                <w:b/>
                <w:bCs/>
                <w:sz w:val="20"/>
                <w:szCs w:val="20"/>
              </w:rPr>
              <w:t> </w:t>
            </w:r>
          </w:p>
        </w:tc>
      </w:tr>
      <w:tr w:rsidR="00000000" w14:paraId="26759366" w14:textId="77777777">
        <w:tc>
          <w:tcPr>
            <w:tcW w:w="0" w:type="auto"/>
            <w:shd w:val="clear" w:color="auto" w:fill="FFFFFF"/>
            <w:vAlign w:val="bottom"/>
            <w:hideMark/>
          </w:tcPr>
          <w:p w14:paraId="4CEFF0F3" w14:textId="77777777" w:rsidR="00000000" w:rsidRDefault="00D6065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2BFB8281" w14:textId="77777777" w:rsidR="00000000" w:rsidRDefault="00D6065B">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CA5BBD" w14:textId="77777777" w:rsidR="00000000" w:rsidRDefault="00D6065B">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2E496F" w14:textId="77777777" w:rsidR="00000000" w:rsidRDefault="00D6065B">
            <w:pPr>
              <w:pStyle w:val="a3"/>
              <w:spacing w:before="0" w:beforeAutospacing="0" w:after="0" w:afterAutospacing="0"/>
              <w:jc w:val="center"/>
              <w:rPr>
                <w:sz w:val="20"/>
                <w:szCs w:val="20"/>
              </w:rPr>
            </w:pPr>
            <w:r>
              <w:rPr>
                <w:b/>
                <w:bCs/>
                <w:sz w:val="20"/>
                <w:szCs w:val="20"/>
              </w:rPr>
              <w:t>June 30,</w:t>
            </w:r>
          </w:p>
          <w:p w14:paraId="3AC41731" w14:textId="77777777" w:rsidR="00000000" w:rsidRDefault="00D6065B">
            <w:pPr>
              <w:pStyle w:val="a3"/>
              <w:spacing w:before="0" w:beforeAutospacing="0" w:after="0" w:afterAutospacing="0"/>
              <w:jc w:val="center"/>
              <w:rPr>
                <w:sz w:val="20"/>
                <w:szCs w:val="20"/>
              </w:rPr>
            </w:pPr>
            <w:r>
              <w:rPr>
                <w:b/>
                <w:bCs/>
                <w:sz w:val="20"/>
                <w:szCs w:val="20"/>
              </w:rPr>
              <w:t>2021</w:t>
            </w:r>
          </w:p>
        </w:tc>
        <w:tc>
          <w:tcPr>
            <w:tcW w:w="0" w:type="auto"/>
            <w:shd w:val="clear" w:color="auto" w:fill="FFFFFF"/>
            <w:vAlign w:val="bottom"/>
            <w:hideMark/>
          </w:tcPr>
          <w:p w14:paraId="0FBA93FC" w14:textId="77777777" w:rsidR="00000000" w:rsidRDefault="00D6065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03CBF494" w14:textId="77777777" w:rsidR="00000000" w:rsidRDefault="00D6065B">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7296ED" w14:textId="77777777" w:rsidR="00000000" w:rsidRDefault="00D6065B">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14CEAD" w14:textId="77777777" w:rsidR="00000000" w:rsidRDefault="00D6065B">
            <w:pPr>
              <w:pStyle w:val="a3"/>
              <w:spacing w:before="0" w:beforeAutospacing="0" w:after="0" w:afterAutospacing="0"/>
              <w:jc w:val="center"/>
              <w:rPr>
                <w:sz w:val="20"/>
                <w:szCs w:val="20"/>
              </w:rPr>
            </w:pPr>
            <w:r>
              <w:rPr>
                <w:b/>
                <w:bCs/>
                <w:sz w:val="20"/>
                <w:szCs w:val="20"/>
              </w:rPr>
              <w:t>December 31,</w:t>
            </w:r>
          </w:p>
          <w:p w14:paraId="56498EC0" w14:textId="77777777" w:rsidR="00000000" w:rsidRDefault="00D6065B">
            <w:pPr>
              <w:pStyle w:val="a3"/>
              <w:spacing w:before="0" w:beforeAutospacing="0" w:after="0" w:afterAutospacing="0"/>
              <w:jc w:val="center"/>
              <w:rPr>
                <w:sz w:val="20"/>
                <w:szCs w:val="20"/>
              </w:rPr>
            </w:pPr>
            <w:r>
              <w:rPr>
                <w:b/>
                <w:bCs/>
                <w:sz w:val="20"/>
                <w:szCs w:val="20"/>
              </w:rPr>
              <w:t>2020</w:t>
            </w:r>
          </w:p>
        </w:tc>
        <w:tc>
          <w:tcPr>
            <w:tcW w:w="0" w:type="auto"/>
            <w:shd w:val="clear" w:color="auto" w:fill="FFFFFF"/>
            <w:vAlign w:val="bottom"/>
            <w:hideMark/>
          </w:tcPr>
          <w:p w14:paraId="5EF635AA" w14:textId="77777777" w:rsidR="00000000" w:rsidRDefault="00D6065B">
            <w:pPr>
              <w:jc w:val="center"/>
              <w:rPr>
                <w:rFonts w:eastAsia="Times New Roman"/>
                <w:sz w:val="20"/>
                <w:szCs w:val="20"/>
              </w:rPr>
            </w:pPr>
            <w:r>
              <w:rPr>
                <w:rFonts w:eastAsia="Times New Roman"/>
                <w:sz w:val="20"/>
                <w:szCs w:val="20"/>
              </w:rPr>
              <w:t> </w:t>
            </w:r>
          </w:p>
        </w:tc>
      </w:tr>
      <w:tr w:rsidR="00000000" w14:paraId="658CE8A4" w14:textId="77777777">
        <w:tc>
          <w:tcPr>
            <w:tcW w:w="3000" w:type="pct"/>
            <w:shd w:val="clear" w:color="auto" w:fill="CCEEFF"/>
            <w:vAlign w:val="bottom"/>
            <w:hideMark/>
          </w:tcPr>
          <w:p w14:paraId="07A48554" w14:textId="77777777" w:rsidR="00000000" w:rsidRDefault="00D6065B">
            <w:pPr>
              <w:rPr>
                <w:rFonts w:eastAsia="Times New Roman"/>
                <w:sz w:val="20"/>
                <w:szCs w:val="20"/>
              </w:rPr>
            </w:pPr>
            <w:r>
              <w:rPr>
                <w:rFonts w:eastAsia="Times New Roman"/>
                <w:sz w:val="20"/>
                <w:szCs w:val="20"/>
              </w:rPr>
              <w:t>Expected term</w:t>
            </w:r>
          </w:p>
        </w:tc>
        <w:tc>
          <w:tcPr>
            <w:tcW w:w="100" w:type="pct"/>
            <w:shd w:val="clear" w:color="auto" w:fill="CCEEFF"/>
            <w:vAlign w:val="bottom"/>
            <w:hideMark/>
          </w:tcPr>
          <w:p w14:paraId="4D9B8FC0"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E6A758" w14:textId="77777777" w:rsidR="00000000" w:rsidRDefault="00D6065B">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2AEB8B5" w14:textId="77777777" w:rsidR="00000000" w:rsidRDefault="00D6065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3F0B426"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43BD8B7"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F5C62F" w14:textId="77777777" w:rsidR="00000000" w:rsidRDefault="00D6065B">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DC0F3E1" w14:textId="77777777" w:rsidR="00000000" w:rsidRDefault="00D6065B">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14:paraId="6E58F3C6" w14:textId="77777777" w:rsidR="00000000" w:rsidRDefault="00D6065B">
            <w:pPr>
              <w:rPr>
                <w:rFonts w:eastAsia="Times New Roman"/>
                <w:sz w:val="20"/>
                <w:szCs w:val="20"/>
              </w:rPr>
            </w:pPr>
            <w:r>
              <w:rPr>
                <w:rFonts w:eastAsia="Times New Roman"/>
                <w:sz w:val="20"/>
                <w:szCs w:val="20"/>
              </w:rPr>
              <w:t> </w:t>
            </w:r>
          </w:p>
        </w:tc>
      </w:tr>
      <w:tr w:rsidR="00000000" w14:paraId="1A79D34A" w14:textId="77777777">
        <w:tc>
          <w:tcPr>
            <w:tcW w:w="0" w:type="auto"/>
            <w:shd w:val="clear" w:color="auto" w:fill="FFFFFF"/>
            <w:vAlign w:val="bottom"/>
            <w:hideMark/>
          </w:tcPr>
          <w:p w14:paraId="69C5C334" w14:textId="77777777" w:rsidR="00000000" w:rsidRDefault="00D6065B">
            <w:pPr>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14:paraId="62DE83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118C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0040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53643F3"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7DD993D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9CC1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E85E1C" w14:textId="77777777" w:rsidR="00000000" w:rsidRDefault="00D6065B">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r>
              <w:rPr>
                <w:rFonts w:eastAsia="Times New Roman"/>
                <w:sz w:val="20"/>
                <w:szCs w:val="20"/>
              </w:rPr>
              <w:t xml:space="preserve"> </w:t>
            </w:r>
          </w:p>
        </w:tc>
        <w:tc>
          <w:tcPr>
            <w:tcW w:w="0" w:type="auto"/>
            <w:shd w:val="clear" w:color="auto" w:fill="FFFFFF"/>
            <w:vAlign w:val="bottom"/>
            <w:hideMark/>
          </w:tcPr>
          <w:p w14:paraId="4E6F2F63" w14:textId="77777777" w:rsidR="00000000" w:rsidRDefault="00D6065B">
            <w:pPr>
              <w:rPr>
                <w:rFonts w:eastAsia="Times New Roman"/>
                <w:sz w:val="20"/>
                <w:szCs w:val="20"/>
              </w:rPr>
            </w:pPr>
            <w:r>
              <w:rPr>
                <w:rFonts w:eastAsia="Times New Roman"/>
                <w:sz w:val="20"/>
                <w:szCs w:val="20"/>
              </w:rPr>
              <w:t>%</w:t>
            </w:r>
          </w:p>
        </w:tc>
      </w:tr>
      <w:tr w:rsidR="00000000" w14:paraId="7632C749" w14:textId="77777777">
        <w:tc>
          <w:tcPr>
            <w:tcW w:w="0" w:type="auto"/>
            <w:shd w:val="clear" w:color="auto" w:fill="CCEEFF"/>
            <w:vAlign w:val="bottom"/>
            <w:hideMark/>
          </w:tcPr>
          <w:p w14:paraId="4EAB8E0E" w14:textId="77777777" w:rsidR="00000000" w:rsidRDefault="00D6065B">
            <w:pPr>
              <w:rPr>
                <w:rFonts w:eastAsia="Times New Roman"/>
                <w:sz w:val="20"/>
                <w:szCs w:val="20"/>
              </w:rPr>
            </w:pPr>
            <w:r>
              <w:rPr>
                <w:rFonts w:eastAsia="Times New Roman"/>
                <w:sz w:val="20"/>
                <w:szCs w:val="20"/>
              </w:rPr>
              <w:t xml:space="preserve">Expected </w:t>
            </w:r>
            <w:r>
              <w:rPr>
                <w:rFonts w:eastAsia="Times New Roman"/>
                <w:sz w:val="20"/>
                <w:szCs w:val="20"/>
              </w:rPr>
              <w:t>dividend yield</w:t>
            </w:r>
          </w:p>
        </w:tc>
        <w:tc>
          <w:tcPr>
            <w:tcW w:w="0" w:type="auto"/>
            <w:shd w:val="clear" w:color="auto" w:fill="CCEEFF"/>
            <w:vAlign w:val="bottom"/>
            <w:hideMark/>
          </w:tcPr>
          <w:p w14:paraId="2675969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DE63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6500E"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90A152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9907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9152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C6748"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6131C56" w14:textId="77777777" w:rsidR="00000000" w:rsidRDefault="00D6065B">
            <w:pPr>
              <w:rPr>
                <w:rFonts w:eastAsia="Times New Roman"/>
                <w:sz w:val="20"/>
                <w:szCs w:val="20"/>
              </w:rPr>
            </w:pPr>
            <w:r>
              <w:rPr>
                <w:rFonts w:eastAsia="Times New Roman"/>
                <w:sz w:val="20"/>
                <w:szCs w:val="20"/>
              </w:rPr>
              <w:t> </w:t>
            </w:r>
          </w:p>
        </w:tc>
      </w:tr>
      <w:tr w:rsidR="00000000" w14:paraId="0FA719BB" w14:textId="77777777">
        <w:tc>
          <w:tcPr>
            <w:tcW w:w="0" w:type="auto"/>
            <w:shd w:val="clear" w:color="auto" w:fill="FFFFFF"/>
            <w:vAlign w:val="bottom"/>
            <w:hideMark/>
          </w:tcPr>
          <w:p w14:paraId="151436A1" w14:textId="77777777" w:rsidR="00000000" w:rsidRDefault="00D6065B">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14:paraId="438082C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4C56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70A52"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6139AD8"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19282D0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537CB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47443" w14:textId="77777777" w:rsidR="00000000" w:rsidRDefault="00D6065B">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r>
              <w:rPr>
                <w:rFonts w:eastAsia="Times New Roman"/>
                <w:sz w:val="20"/>
                <w:szCs w:val="20"/>
              </w:rPr>
              <w:t xml:space="preserve"> </w:t>
            </w:r>
          </w:p>
        </w:tc>
        <w:tc>
          <w:tcPr>
            <w:tcW w:w="0" w:type="auto"/>
            <w:shd w:val="clear" w:color="auto" w:fill="FFFFFF"/>
            <w:vAlign w:val="bottom"/>
            <w:hideMark/>
          </w:tcPr>
          <w:p w14:paraId="7D4D0ADF" w14:textId="77777777" w:rsidR="00000000" w:rsidRDefault="00D6065B">
            <w:pPr>
              <w:rPr>
                <w:rFonts w:eastAsia="Times New Roman"/>
                <w:sz w:val="20"/>
                <w:szCs w:val="20"/>
              </w:rPr>
            </w:pPr>
            <w:r>
              <w:rPr>
                <w:rFonts w:eastAsia="Times New Roman"/>
                <w:sz w:val="20"/>
                <w:szCs w:val="20"/>
              </w:rPr>
              <w:t>%</w:t>
            </w:r>
          </w:p>
        </w:tc>
      </w:tr>
    </w:tbl>
    <w:p w14:paraId="1892D335" w14:textId="77777777" w:rsidR="00000000" w:rsidRDefault="00D6065B">
      <w:pPr>
        <w:pStyle w:val="a3"/>
        <w:spacing w:before="0" w:beforeAutospacing="0" w:after="0" w:afterAutospacing="0"/>
        <w:jc w:val="both"/>
        <w:rPr>
          <w:sz w:val="20"/>
          <w:szCs w:val="20"/>
        </w:rPr>
      </w:pPr>
      <w:r>
        <w:rPr>
          <w:sz w:val="20"/>
          <w:szCs w:val="20"/>
        </w:rPr>
        <w:t> </w:t>
      </w:r>
    </w:p>
    <w:p w14:paraId="53BD5B8A" w14:textId="77777777" w:rsidR="00000000" w:rsidRDefault="00D6065B">
      <w:pPr>
        <w:pStyle w:val="a3"/>
        <w:spacing w:before="0" w:beforeAutospacing="0" w:after="0" w:afterAutospacing="0"/>
        <w:jc w:val="both"/>
        <w:rPr>
          <w:sz w:val="20"/>
          <w:szCs w:val="20"/>
        </w:rPr>
      </w:pPr>
      <w:r>
        <w:rPr>
          <w:sz w:val="20"/>
          <w:szCs w:val="20"/>
        </w:rPr>
        <w:t xml:space="preserve">The Company issued a convertible note in the amount of </w:t>
      </w:r>
      <w:r>
        <w:rPr>
          <w:sz w:val="20"/>
          <w:szCs w:val="20"/>
        </w:rPr>
        <w:t>$</w:t>
      </w:r>
      <w:r>
        <w:rPr>
          <w:sz w:val="20"/>
          <w:szCs w:val="20"/>
        </w:rPr>
        <w:t>100,00</w:t>
      </w:r>
      <w:r>
        <w:rPr>
          <w:sz w:val="20"/>
          <w:szCs w:val="20"/>
        </w:rPr>
        <w:t>0</w:t>
      </w:r>
      <w:r>
        <w:rPr>
          <w:sz w:val="20"/>
          <w:szCs w:val="20"/>
        </w:rPr>
        <w:t xml:space="preserve"> to an accredited investor. The note bears interest at</w:t>
      </w:r>
      <w:r>
        <w:rPr>
          <w:sz w:val="20"/>
          <w:szCs w:val="20"/>
        </w:rPr>
        <w:t xml:space="preserve"> </w:t>
      </w:r>
      <w:r>
        <w:rPr>
          <w:sz w:val="20"/>
          <w:szCs w:val="20"/>
        </w:rPr>
        <w:t>8</w:t>
      </w:r>
      <w:r>
        <w:rPr>
          <w:sz w:val="20"/>
          <w:szCs w:val="20"/>
        </w:rPr>
        <w:t xml:space="preserve">% per annum and matures </w:t>
      </w:r>
      <w:r>
        <w:rPr>
          <w:sz w:val="20"/>
          <w:szCs w:val="20"/>
        </w:rPr>
        <w:t>June 30, 2020. The Company granted</w:t>
      </w:r>
      <w:r>
        <w:rPr>
          <w:sz w:val="20"/>
          <w:szCs w:val="20"/>
        </w:rPr>
        <w:t xml:space="preserve"> </w:t>
      </w:r>
      <w:r>
        <w:rPr>
          <w:sz w:val="20"/>
          <w:szCs w:val="20"/>
        </w:rPr>
        <w:t>1,250,00</w:t>
      </w:r>
      <w:r>
        <w:rPr>
          <w:sz w:val="20"/>
          <w:szCs w:val="20"/>
        </w:rPr>
        <w:t>0</w:t>
      </w:r>
      <w:r>
        <w:rPr>
          <w:sz w:val="20"/>
          <w:szCs w:val="20"/>
        </w:rPr>
        <w:t xml:space="preserve"> warrants with an exercise price of </w:t>
      </w:r>
      <w:r>
        <w:rPr>
          <w:sz w:val="20"/>
          <w:szCs w:val="20"/>
        </w:rPr>
        <w:t>$</w:t>
      </w:r>
      <w:r>
        <w:rPr>
          <w:sz w:val="20"/>
          <w:szCs w:val="20"/>
        </w:rPr>
        <w:t>0.0</w:t>
      </w:r>
      <w:r>
        <w:rPr>
          <w:sz w:val="20"/>
          <w:szCs w:val="20"/>
        </w:rPr>
        <w:t>6</w:t>
      </w:r>
      <w:r>
        <w:rPr>
          <w:sz w:val="20"/>
          <w:szCs w:val="20"/>
        </w:rPr>
        <w:t xml:space="preserve"> per share and a term of</w:t>
      </w:r>
      <w:r>
        <w:rPr>
          <w:sz w:val="20"/>
          <w:szCs w:val="20"/>
        </w:rPr>
        <w:t xml:space="preserve"> </w:t>
      </w:r>
      <w:r>
        <w:rPr>
          <w:sz w:val="20"/>
          <w:szCs w:val="20"/>
        </w:rPr>
        <w:t>two year</w:t>
      </w:r>
      <w:r>
        <w:rPr>
          <w:sz w:val="20"/>
          <w:szCs w:val="20"/>
        </w:rPr>
        <w:t>s</w:t>
      </w:r>
      <w:r>
        <w:rPr>
          <w:sz w:val="20"/>
          <w:szCs w:val="20"/>
        </w:rPr>
        <w:t xml:space="preserve"> with this note and amended</w:t>
      </w:r>
      <w:r>
        <w:rPr>
          <w:sz w:val="20"/>
          <w:szCs w:val="20"/>
        </w:rPr>
        <w:t xml:space="preserve"> </w:t>
      </w:r>
      <w:r>
        <w:rPr>
          <w:sz w:val="20"/>
          <w:szCs w:val="20"/>
        </w:rPr>
        <w:t>1,312,50</w:t>
      </w:r>
      <w:r>
        <w:rPr>
          <w:sz w:val="20"/>
          <w:szCs w:val="20"/>
        </w:rPr>
        <w:t>0</w:t>
      </w:r>
      <w:r>
        <w:rPr>
          <w:sz w:val="20"/>
          <w:szCs w:val="20"/>
        </w:rPr>
        <w:t xml:space="preserve"> previously issued warrants held by the investor to provide for a </w:t>
      </w:r>
      <w:r>
        <w:rPr>
          <w:sz w:val="20"/>
          <w:szCs w:val="20"/>
        </w:rPr>
        <w:t>$</w:t>
      </w:r>
      <w:r>
        <w:rPr>
          <w:sz w:val="20"/>
          <w:szCs w:val="20"/>
        </w:rPr>
        <w:t>.0</w:t>
      </w:r>
      <w:r>
        <w:rPr>
          <w:sz w:val="20"/>
          <w:szCs w:val="20"/>
        </w:rPr>
        <w:t>6</w:t>
      </w:r>
      <w:r>
        <w:rPr>
          <w:sz w:val="20"/>
          <w:szCs w:val="20"/>
        </w:rPr>
        <w:t xml:space="preserve"> exercise price and an expirat</w:t>
      </w:r>
      <w:r>
        <w:rPr>
          <w:sz w:val="20"/>
          <w:szCs w:val="20"/>
        </w:rPr>
        <w:t>ion date of</w:t>
      </w:r>
      <w:r>
        <w:rPr>
          <w:sz w:val="20"/>
          <w:szCs w:val="20"/>
        </w:rPr>
        <w:t xml:space="preserve"> </w:t>
      </w:r>
      <w:r>
        <w:rPr>
          <w:sz w:val="20"/>
          <w:szCs w:val="20"/>
        </w:rPr>
        <w:t>March 31, 202</w:t>
      </w:r>
      <w:r>
        <w:rPr>
          <w:sz w:val="20"/>
          <w:szCs w:val="20"/>
        </w:rPr>
        <w:t>2</w:t>
      </w:r>
      <w:r>
        <w:rPr>
          <w:sz w:val="20"/>
          <w:szCs w:val="20"/>
        </w:rPr>
        <w:t xml:space="preserve">. This issuance resulted in a debt discount of </w:t>
      </w:r>
      <w:r>
        <w:rPr>
          <w:sz w:val="20"/>
          <w:szCs w:val="20"/>
        </w:rPr>
        <w:t>$</w:t>
      </w:r>
      <w:r>
        <w:rPr>
          <w:sz w:val="20"/>
          <w:szCs w:val="20"/>
        </w:rPr>
        <w:t>28,48</w:t>
      </w:r>
      <w:r>
        <w:rPr>
          <w:sz w:val="20"/>
          <w:szCs w:val="20"/>
        </w:rPr>
        <w:t>2</w:t>
      </w:r>
      <w:r>
        <w:rPr>
          <w:sz w:val="20"/>
          <w:szCs w:val="20"/>
        </w:rPr>
        <w:t>.</w:t>
      </w:r>
    </w:p>
    <w:p w14:paraId="226D9B52" w14:textId="77777777" w:rsidR="00000000" w:rsidRDefault="00D6065B">
      <w:pPr>
        <w:pStyle w:val="a3"/>
        <w:spacing w:before="0" w:beforeAutospacing="0" w:after="0" w:afterAutospacing="0"/>
        <w:jc w:val="both"/>
        <w:rPr>
          <w:sz w:val="20"/>
          <w:szCs w:val="20"/>
        </w:rPr>
      </w:pPr>
      <w:r>
        <w:rPr>
          <w:sz w:val="20"/>
          <w:szCs w:val="20"/>
        </w:rPr>
        <w:t> </w:t>
      </w:r>
    </w:p>
    <w:p w14:paraId="61EC58A0" w14:textId="77777777" w:rsidR="00000000" w:rsidRDefault="00D6065B">
      <w:pPr>
        <w:pStyle w:val="a3"/>
        <w:spacing w:before="0" w:beforeAutospacing="0" w:after="0" w:afterAutospacing="0"/>
        <w:jc w:val="both"/>
        <w:rPr>
          <w:sz w:val="20"/>
          <w:szCs w:val="20"/>
        </w:rPr>
      </w:pPr>
      <w:r>
        <w:rPr>
          <w:sz w:val="20"/>
          <w:szCs w:val="20"/>
        </w:rPr>
        <w:t>In March through June 2020, the Company entered into agreements to issue</w:t>
      </w:r>
      <w:r>
        <w:rPr>
          <w:sz w:val="20"/>
          <w:szCs w:val="20"/>
        </w:rPr>
        <w:t xml:space="preserve"> </w:t>
      </w:r>
      <w:r>
        <w:rPr>
          <w:sz w:val="20"/>
          <w:szCs w:val="20"/>
        </w:rPr>
        <w:t>18,440,00</w:t>
      </w:r>
      <w:r>
        <w:rPr>
          <w:sz w:val="20"/>
          <w:szCs w:val="20"/>
        </w:rPr>
        <w:t>0</w:t>
      </w:r>
      <w:r>
        <w:rPr>
          <w:sz w:val="20"/>
          <w:szCs w:val="20"/>
        </w:rPr>
        <w:t xml:space="preserve"> shares of common stock conditioned upon the qualification of the offer and sale of such </w:t>
      </w:r>
      <w:r>
        <w:rPr>
          <w:sz w:val="20"/>
          <w:szCs w:val="20"/>
        </w:rPr>
        <w:t xml:space="preserve">shares under Regulation A+ for </w:t>
      </w:r>
      <w:r>
        <w:rPr>
          <w:sz w:val="20"/>
          <w:szCs w:val="20"/>
        </w:rPr>
        <w:t>$</w:t>
      </w:r>
      <w:r>
        <w:rPr>
          <w:sz w:val="20"/>
          <w:szCs w:val="20"/>
        </w:rPr>
        <w:t>497,88</w:t>
      </w:r>
      <w:r>
        <w:rPr>
          <w:sz w:val="20"/>
          <w:szCs w:val="20"/>
        </w:rPr>
        <w:t>0</w:t>
      </w:r>
      <w:r>
        <w:rPr>
          <w:sz w:val="20"/>
          <w:szCs w:val="20"/>
        </w:rPr>
        <w:t>. Additionally, the Company agreed to issue</w:t>
      </w:r>
      <w:r>
        <w:rPr>
          <w:sz w:val="20"/>
          <w:szCs w:val="20"/>
        </w:rPr>
        <w:t xml:space="preserve"> </w:t>
      </w:r>
      <w:r>
        <w:rPr>
          <w:sz w:val="20"/>
          <w:szCs w:val="20"/>
        </w:rPr>
        <w:t>9,220,00</w:t>
      </w:r>
      <w:r>
        <w:rPr>
          <w:sz w:val="20"/>
          <w:szCs w:val="20"/>
        </w:rPr>
        <w:t>0</w:t>
      </w:r>
      <w:r>
        <w:rPr>
          <w:sz w:val="20"/>
          <w:szCs w:val="20"/>
        </w:rPr>
        <w:t xml:space="preserve"> warrants with a term of</w:t>
      </w:r>
      <w:r>
        <w:rPr>
          <w:sz w:val="20"/>
          <w:szCs w:val="20"/>
        </w:rPr>
        <w:t xml:space="preserve"> </w:t>
      </w:r>
      <w:r>
        <w:rPr>
          <w:sz w:val="20"/>
          <w:szCs w:val="20"/>
        </w:rPr>
        <w:t>two year</w:t>
      </w:r>
      <w:r>
        <w:rPr>
          <w:sz w:val="20"/>
          <w:szCs w:val="20"/>
        </w:rPr>
        <w:t>s</w:t>
      </w:r>
      <w:r>
        <w:rPr>
          <w:sz w:val="20"/>
          <w:szCs w:val="20"/>
        </w:rPr>
        <w:t xml:space="preserve"> and an exercise price of </w:t>
      </w:r>
      <w:r>
        <w:rPr>
          <w:sz w:val="20"/>
          <w:szCs w:val="20"/>
        </w:rPr>
        <w:t>$</w:t>
      </w:r>
      <w:r>
        <w:rPr>
          <w:sz w:val="20"/>
          <w:szCs w:val="20"/>
        </w:rPr>
        <w:t>.04</w:t>
      </w:r>
      <w:r>
        <w:rPr>
          <w:sz w:val="20"/>
          <w:szCs w:val="20"/>
        </w:rPr>
        <w:t>5</w:t>
      </w:r>
      <w:r>
        <w:rPr>
          <w:sz w:val="20"/>
          <w:szCs w:val="20"/>
        </w:rPr>
        <w:t xml:space="preserve"> for a purchase price of </w:t>
      </w:r>
      <w:r>
        <w:rPr>
          <w:sz w:val="20"/>
          <w:szCs w:val="20"/>
        </w:rPr>
        <w:t>$</w:t>
      </w:r>
      <w:r>
        <w:rPr>
          <w:sz w:val="20"/>
          <w:szCs w:val="20"/>
        </w:rPr>
        <w:t>8,14</w:t>
      </w:r>
      <w:r>
        <w:rPr>
          <w:sz w:val="20"/>
          <w:szCs w:val="20"/>
        </w:rPr>
        <w:t>3</w:t>
      </w:r>
      <w:r>
        <w:rPr>
          <w:sz w:val="20"/>
          <w:szCs w:val="20"/>
        </w:rPr>
        <w:t xml:space="preserve">. These shares were issued in June 2020 and July 2020 following the </w:t>
      </w:r>
      <w:r>
        <w:rPr>
          <w:sz w:val="20"/>
          <w:szCs w:val="20"/>
        </w:rPr>
        <w:t>qualification of the Regulation A+.</w:t>
      </w:r>
    </w:p>
    <w:p w14:paraId="4310E909" w14:textId="77777777" w:rsidR="00000000" w:rsidRDefault="00D6065B">
      <w:pPr>
        <w:pStyle w:val="a3"/>
        <w:spacing w:before="0" w:beforeAutospacing="0" w:after="0" w:afterAutospacing="0"/>
        <w:ind w:firstLine="720"/>
        <w:jc w:val="both"/>
        <w:rPr>
          <w:sz w:val="20"/>
          <w:szCs w:val="20"/>
        </w:rPr>
      </w:pPr>
      <w:r>
        <w:rPr>
          <w:sz w:val="20"/>
          <w:szCs w:val="20"/>
        </w:rPr>
        <w:t> </w:t>
      </w:r>
    </w:p>
    <w:p w14:paraId="7AC8E238" w14:textId="77777777" w:rsidR="00000000" w:rsidRDefault="00D6065B">
      <w:pPr>
        <w:pStyle w:val="a3"/>
        <w:spacing w:before="0" w:beforeAutospacing="0" w:after="0" w:afterAutospacing="0"/>
        <w:jc w:val="both"/>
        <w:rPr>
          <w:sz w:val="20"/>
          <w:szCs w:val="20"/>
        </w:rPr>
      </w:pPr>
      <w:r>
        <w:rPr>
          <w:sz w:val="20"/>
          <w:szCs w:val="20"/>
        </w:rPr>
        <w:t>In March through June 2020, certain holders of co</w:t>
      </w:r>
      <w:r>
        <w:rPr>
          <w:sz w:val="20"/>
          <w:szCs w:val="20"/>
        </w:rPr>
        <w:t xml:space="preserve">nvertible promissory notes entered into agreements to exchange certain notes totaling </w:t>
      </w:r>
      <w:r>
        <w:rPr>
          <w:sz w:val="20"/>
          <w:szCs w:val="20"/>
        </w:rPr>
        <w:t>$</w:t>
      </w:r>
      <w:r>
        <w:rPr>
          <w:sz w:val="20"/>
          <w:szCs w:val="20"/>
        </w:rPr>
        <w:t>651,04</w:t>
      </w:r>
      <w:r>
        <w:rPr>
          <w:sz w:val="20"/>
          <w:szCs w:val="20"/>
        </w:rPr>
        <w:t>4</w:t>
      </w:r>
      <w:r>
        <w:rPr>
          <w:sz w:val="20"/>
          <w:szCs w:val="20"/>
        </w:rPr>
        <w:t xml:space="preserve">, including </w:t>
      </w:r>
      <w:r>
        <w:rPr>
          <w:sz w:val="20"/>
          <w:szCs w:val="20"/>
        </w:rPr>
        <w:t>$</w:t>
      </w:r>
      <w:r>
        <w:rPr>
          <w:sz w:val="20"/>
          <w:szCs w:val="20"/>
        </w:rPr>
        <w:t>525,00</w:t>
      </w:r>
      <w:r>
        <w:rPr>
          <w:sz w:val="20"/>
          <w:szCs w:val="20"/>
        </w:rPr>
        <w:t>0</w:t>
      </w:r>
      <w:r>
        <w:rPr>
          <w:sz w:val="20"/>
          <w:szCs w:val="20"/>
        </w:rPr>
        <w:t xml:space="preserve"> in principal amount, </w:t>
      </w:r>
      <w:r>
        <w:rPr>
          <w:sz w:val="20"/>
          <w:szCs w:val="20"/>
        </w:rPr>
        <w:t>$</w:t>
      </w:r>
      <w:r>
        <w:rPr>
          <w:sz w:val="20"/>
          <w:szCs w:val="20"/>
        </w:rPr>
        <w:t>27,53</w:t>
      </w:r>
      <w:r>
        <w:rPr>
          <w:sz w:val="20"/>
          <w:szCs w:val="20"/>
        </w:rPr>
        <w:t>6</w:t>
      </w:r>
      <w:r>
        <w:rPr>
          <w:sz w:val="20"/>
          <w:szCs w:val="20"/>
        </w:rPr>
        <w:t xml:space="preserve"> in accrued interest and an exchange premium as provided for in the note agreements of </w:t>
      </w:r>
      <w:r>
        <w:rPr>
          <w:sz w:val="20"/>
          <w:szCs w:val="20"/>
        </w:rPr>
        <w:t>$</w:t>
      </w:r>
      <w:r>
        <w:rPr>
          <w:sz w:val="20"/>
          <w:szCs w:val="20"/>
        </w:rPr>
        <w:t>98,50</w:t>
      </w:r>
      <w:r>
        <w:rPr>
          <w:sz w:val="20"/>
          <w:szCs w:val="20"/>
        </w:rPr>
        <w:t>8</w:t>
      </w:r>
      <w:r>
        <w:rPr>
          <w:sz w:val="20"/>
          <w:szCs w:val="20"/>
        </w:rPr>
        <w:t xml:space="preserve"> into</w:t>
      </w:r>
      <w:r>
        <w:rPr>
          <w:sz w:val="20"/>
          <w:szCs w:val="20"/>
        </w:rPr>
        <w:t xml:space="preserve"> </w:t>
      </w:r>
      <w:r>
        <w:rPr>
          <w:sz w:val="20"/>
          <w:szCs w:val="20"/>
        </w:rPr>
        <w:t>21,770,66</w:t>
      </w:r>
      <w:r>
        <w:rPr>
          <w:sz w:val="20"/>
          <w:szCs w:val="20"/>
        </w:rPr>
        <w:t>8</w:t>
      </w:r>
      <w:r>
        <w:rPr>
          <w:sz w:val="20"/>
          <w:szCs w:val="20"/>
        </w:rPr>
        <w:t xml:space="preserve"> sh</w:t>
      </w:r>
      <w:r>
        <w:rPr>
          <w:sz w:val="20"/>
          <w:szCs w:val="20"/>
        </w:rPr>
        <w:t>ares of common stock effective upon the qualification of the offer and sale of such shares under Regulation A+. In connection with the holder’s agreement to enter into the exchange, the Company issued</w:t>
      </w:r>
      <w:r>
        <w:rPr>
          <w:sz w:val="20"/>
          <w:szCs w:val="20"/>
        </w:rPr>
        <w:t xml:space="preserve"> </w:t>
      </w:r>
      <w:r>
        <w:rPr>
          <w:sz w:val="20"/>
          <w:szCs w:val="20"/>
        </w:rPr>
        <w:t>2,200,00</w:t>
      </w:r>
      <w:r>
        <w:rPr>
          <w:sz w:val="20"/>
          <w:szCs w:val="20"/>
        </w:rPr>
        <w:t>0</w:t>
      </w:r>
      <w:r>
        <w:rPr>
          <w:sz w:val="20"/>
          <w:szCs w:val="20"/>
        </w:rPr>
        <w:t xml:space="preserve"> warrants with a</w:t>
      </w:r>
      <w:r>
        <w:rPr>
          <w:sz w:val="20"/>
          <w:szCs w:val="20"/>
        </w:rPr>
        <w:t xml:space="preserve"> </w:t>
      </w:r>
      <w:r>
        <w:rPr>
          <w:sz w:val="20"/>
          <w:szCs w:val="20"/>
        </w:rPr>
        <w:t>tw</w:t>
      </w:r>
      <w:r>
        <w:rPr>
          <w:sz w:val="20"/>
          <w:szCs w:val="20"/>
        </w:rPr>
        <w:t>o</w:t>
      </w:r>
      <w:r>
        <w:rPr>
          <w:sz w:val="20"/>
          <w:szCs w:val="20"/>
        </w:rPr>
        <w:t>-yea</w:t>
      </w:r>
      <w:r>
        <w:rPr>
          <w:sz w:val="20"/>
          <w:szCs w:val="20"/>
        </w:rPr>
        <w:t>r</w:t>
      </w:r>
      <w:r>
        <w:rPr>
          <w:sz w:val="20"/>
          <w:szCs w:val="20"/>
        </w:rPr>
        <w:t xml:space="preserve"> term and an exercise</w:t>
      </w:r>
      <w:r>
        <w:rPr>
          <w:sz w:val="20"/>
          <w:szCs w:val="20"/>
        </w:rPr>
        <w:t xml:space="preserv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 </w:t>
      </w:r>
      <w:r>
        <w:rPr>
          <w:sz w:val="20"/>
          <w:szCs w:val="20"/>
        </w:rPr>
        <w:t>$</w:t>
      </w:r>
      <w:r>
        <w:rPr>
          <w:sz w:val="20"/>
          <w:szCs w:val="20"/>
        </w:rPr>
        <w:t>.04</w:t>
      </w:r>
      <w:r>
        <w:rPr>
          <w:sz w:val="20"/>
          <w:szCs w:val="20"/>
        </w:rPr>
        <w:t>5</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These shares were issued on June 10, 2020 following the qualification of the Regulation A+. The issuan</w:t>
      </w:r>
      <w:r>
        <w:rPr>
          <w:sz w:val="20"/>
          <w:szCs w:val="20"/>
        </w:rPr>
        <w:t xml:space="preserve">ce of the warrants resulted in </w:t>
      </w:r>
      <w:r>
        <w:rPr>
          <w:sz w:val="20"/>
          <w:szCs w:val="20"/>
        </w:rPr>
        <w:t>$</w:t>
      </w:r>
      <w:r>
        <w:rPr>
          <w:sz w:val="20"/>
          <w:szCs w:val="20"/>
        </w:rPr>
        <w:t>77,88</w:t>
      </w:r>
      <w:r>
        <w:rPr>
          <w:sz w:val="20"/>
          <w:szCs w:val="20"/>
        </w:rPr>
        <w:t>3</w:t>
      </w:r>
      <w:r>
        <w:rPr>
          <w:sz w:val="20"/>
          <w:szCs w:val="20"/>
        </w:rPr>
        <w:t xml:space="preserve"> in additional warrant expense.</w:t>
      </w:r>
    </w:p>
    <w:p w14:paraId="079B8A63"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1447F64" w14:textId="77777777">
        <w:trPr>
          <w:divId w:val="1314720674"/>
        </w:trPr>
        <w:tc>
          <w:tcPr>
            <w:tcW w:w="5000" w:type="pct"/>
            <w:hideMark/>
          </w:tcPr>
          <w:p w14:paraId="7518BE2B"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8422F80" w14:textId="77777777">
        <w:tc>
          <w:tcPr>
            <w:tcW w:w="5000" w:type="pct"/>
            <w:hideMark/>
          </w:tcPr>
          <w:p w14:paraId="4BD7FE43" w14:textId="77777777" w:rsidR="00000000" w:rsidRDefault="00D6065B">
            <w:pPr>
              <w:jc w:val="center"/>
              <w:rPr>
                <w:rFonts w:eastAsia="Times New Roman"/>
                <w:sz w:val="20"/>
                <w:szCs w:val="20"/>
              </w:rPr>
            </w:pPr>
            <w:r>
              <w:rPr>
                <w:rFonts w:eastAsia="Times New Roman"/>
                <w:sz w:val="20"/>
                <w:szCs w:val="20"/>
              </w:rPr>
              <w:t> </w:t>
            </w:r>
          </w:p>
        </w:tc>
      </w:tr>
    </w:tbl>
    <w:p w14:paraId="5E250F33" w14:textId="77777777" w:rsidR="00000000" w:rsidRDefault="00D6065B">
      <w:pPr>
        <w:pStyle w:val="a3"/>
        <w:spacing w:before="0" w:beforeAutospacing="0" w:after="0" w:afterAutospacing="0"/>
        <w:rPr>
          <w:sz w:val="20"/>
          <w:szCs w:val="20"/>
        </w:rPr>
      </w:pPr>
      <w:r>
        <w:rPr>
          <w:sz w:val="20"/>
          <w:szCs w:val="20"/>
        </w:rPr>
        <w:t> </w:t>
      </w:r>
    </w:p>
    <w:p w14:paraId="4EC4FF3A" w14:textId="77777777" w:rsidR="00000000" w:rsidRDefault="00D6065B">
      <w:pPr>
        <w:pStyle w:val="a3"/>
        <w:spacing w:before="0" w:beforeAutospacing="0" w:after="0" w:afterAutospacing="0"/>
        <w:jc w:val="both"/>
        <w:rPr>
          <w:sz w:val="20"/>
          <w:szCs w:val="20"/>
        </w:rPr>
      </w:pPr>
      <w:r>
        <w:rPr>
          <w:sz w:val="20"/>
          <w:szCs w:val="20"/>
        </w:rPr>
        <w:t>Between November 30, 2020 and December 2, 2020 the Company sold</w:t>
      </w:r>
      <w:r>
        <w:rPr>
          <w:sz w:val="20"/>
          <w:szCs w:val="20"/>
        </w:rPr>
        <w:t xml:space="preserve"> </w:t>
      </w:r>
      <w:r>
        <w:rPr>
          <w:sz w:val="20"/>
          <w:szCs w:val="20"/>
        </w:rPr>
        <w:t>19,200,00</w:t>
      </w:r>
      <w:r>
        <w:rPr>
          <w:sz w:val="20"/>
          <w:szCs w:val="20"/>
        </w:rPr>
        <w:t>0</w:t>
      </w:r>
      <w:r>
        <w:rPr>
          <w:sz w:val="20"/>
          <w:szCs w:val="20"/>
        </w:rPr>
        <w:t xml:space="preserve"> warrants for </w:t>
      </w:r>
      <w:r>
        <w:rPr>
          <w:sz w:val="20"/>
          <w:szCs w:val="20"/>
        </w:rPr>
        <w:t>$</w:t>
      </w:r>
      <w:r>
        <w:rPr>
          <w:sz w:val="20"/>
          <w:szCs w:val="20"/>
        </w:rPr>
        <w:t>19,20</w:t>
      </w:r>
      <w:r>
        <w:rPr>
          <w:sz w:val="20"/>
          <w:szCs w:val="20"/>
        </w:rPr>
        <w:t>0</w:t>
      </w:r>
      <w:r>
        <w:rPr>
          <w:sz w:val="20"/>
          <w:szCs w:val="20"/>
        </w:rPr>
        <w:t>. These warrants have a</w:t>
      </w:r>
      <w:r>
        <w:rPr>
          <w:sz w:val="20"/>
          <w:szCs w:val="20"/>
        </w:rPr>
        <w:t xml:space="preserve"> </w:t>
      </w:r>
      <w:r>
        <w:rPr>
          <w:sz w:val="20"/>
          <w:szCs w:val="20"/>
        </w:rPr>
        <w:t>tw</w:t>
      </w:r>
      <w:r>
        <w:rPr>
          <w:sz w:val="20"/>
          <w:szCs w:val="20"/>
        </w:rPr>
        <w:t>o</w:t>
      </w:r>
      <w:r>
        <w:rPr>
          <w:sz w:val="20"/>
          <w:szCs w:val="20"/>
        </w:rPr>
        <w:t xml:space="preserve">-year term and have an exercise price of </w:t>
      </w:r>
      <w:r>
        <w:rPr>
          <w:sz w:val="20"/>
          <w:szCs w:val="20"/>
        </w:rPr>
        <w:t>$</w:t>
      </w:r>
      <w:r>
        <w:rPr>
          <w:sz w:val="20"/>
          <w:szCs w:val="20"/>
        </w:rPr>
        <w:t>0.0</w:t>
      </w:r>
      <w:r>
        <w:rPr>
          <w:sz w:val="20"/>
          <w:szCs w:val="20"/>
        </w:rPr>
        <w:t>6</w:t>
      </w:r>
      <w:r>
        <w:rPr>
          <w:sz w:val="20"/>
          <w:szCs w:val="20"/>
        </w:rPr>
        <w:t xml:space="preserve"> per s</w:t>
      </w:r>
      <w:r>
        <w:rPr>
          <w:sz w:val="20"/>
          <w:szCs w:val="20"/>
        </w:rPr>
        <w:t>hare.</w:t>
      </w:r>
    </w:p>
    <w:p w14:paraId="76803CE4" w14:textId="77777777" w:rsidR="00000000" w:rsidRDefault="00D6065B">
      <w:pPr>
        <w:pStyle w:val="a3"/>
        <w:spacing w:before="0" w:beforeAutospacing="0" w:after="0" w:afterAutospacing="0"/>
        <w:jc w:val="both"/>
        <w:rPr>
          <w:sz w:val="20"/>
          <w:szCs w:val="20"/>
        </w:rPr>
      </w:pPr>
      <w:r>
        <w:rPr>
          <w:sz w:val="20"/>
          <w:szCs w:val="20"/>
        </w:rPr>
        <w:t> </w:t>
      </w:r>
    </w:p>
    <w:p w14:paraId="30ACFB74" w14:textId="77777777" w:rsidR="00000000" w:rsidRDefault="00D6065B">
      <w:pPr>
        <w:pStyle w:val="a3"/>
        <w:spacing w:before="0" w:beforeAutospacing="0" w:after="0" w:afterAutospacing="0"/>
        <w:jc w:val="both"/>
        <w:rPr>
          <w:sz w:val="20"/>
          <w:szCs w:val="20"/>
        </w:rPr>
      </w:pPr>
      <w:r>
        <w:rPr>
          <w:sz w:val="20"/>
          <w:szCs w:val="20"/>
        </w:rPr>
        <w:t>On November 30, 2020, the Company exchanged</w:t>
      </w:r>
      <w:r>
        <w:rPr>
          <w:sz w:val="20"/>
          <w:szCs w:val="20"/>
        </w:rPr>
        <w:t xml:space="preserve"> </w:t>
      </w:r>
      <w:r>
        <w:rPr>
          <w:sz w:val="20"/>
          <w:szCs w:val="20"/>
        </w:rPr>
        <w:t>1,867,50</w:t>
      </w:r>
      <w:r>
        <w:rPr>
          <w:sz w:val="20"/>
          <w:szCs w:val="20"/>
        </w:rPr>
        <w:t>0</w:t>
      </w:r>
      <w:r>
        <w:rPr>
          <w:sz w:val="20"/>
          <w:szCs w:val="20"/>
        </w:rPr>
        <w:t xml:space="preserve"> warrants into</w:t>
      </w:r>
      <w:r>
        <w:rPr>
          <w:sz w:val="20"/>
          <w:szCs w:val="20"/>
        </w:rPr>
        <w:t xml:space="preserve"> </w:t>
      </w:r>
      <w:r>
        <w:rPr>
          <w:sz w:val="20"/>
          <w:szCs w:val="20"/>
        </w:rPr>
        <w:t>933,75</w:t>
      </w:r>
      <w:r>
        <w:rPr>
          <w:sz w:val="20"/>
          <w:szCs w:val="20"/>
        </w:rPr>
        <w:t>0</w:t>
      </w:r>
      <w:r>
        <w:rPr>
          <w:sz w:val="20"/>
          <w:szCs w:val="20"/>
        </w:rPr>
        <w:t xml:space="preserve"> shares of common stock, and between December 14, 2020 and December 28, 2020, there were cashless exercises of</w:t>
      </w:r>
      <w:r>
        <w:rPr>
          <w:sz w:val="20"/>
          <w:szCs w:val="20"/>
        </w:rPr>
        <w:t xml:space="preserve"> </w:t>
      </w:r>
      <w:r>
        <w:rPr>
          <w:sz w:val="20"/>
          <w:szCs w:val="20"/>
        </w:rPr>
        <w:t>6,860,00</w:t>
      </w:r>
      <w:r>
        <w:rPr>
          <w:sz w:val="20"/>
          <w:szCs w:val="20"/>
        </w:rPr>
        <w:t>0</w:t>
      </w:r>
      <w:r>
        <w:rPr>
          <w:sz w:val="20"/>
          <w:szCs w:val="20"/>
        </w:rPr>
        <w:t xml:space="preserve"> warrants into</w:t>
      </w:r>
      <w:r>
        <w:rPr>
          <w:sz w:val="20"/>
          <w:szCs w:val="20"/>
        </w:rPr>
        <w:t xml:space="preserve"> </w:t>
      </w:r>
      <w:r>
        <w:rPr>
          <w:sz w:val="20"/>
          <w:szCs w:val="20"/>
        </w:rPr>
        <w:t>4,759,43</w:t>
      </w:r>
      <w:r>
        <w:rPr>
          <w:sz w:val="20"/>
          <w:szCs w:val="20"/>
        </w:rPr>
        <w:t>5</w:t>
      </w:r>
      <w:r>
        <w:rPr>
          <w:sz w:val="20"/>
          <w:szCs w:val="20"/>
        </w:rPr>
        <w:t xml:space="preserve"> shares of common stock.</w:t>
      </w:r>
    </w:p>
    <w:p w14:paraId="77375818" w14:textId="77777777" w:rsidR="00000000" w:rsidRDefault="00D6065B">
      <w:pPr>
        <w:pStyle w:val="a3"/>
        <w:spacing w:before="0" w:beforeAutospacing="0" w:after="0" w:afterAutospacing="0"/>
        <w:jc w:val="both"/>
        <w:rPr>
          <w:sz w:val="20"/>
          <w:szCs w:val="20"/>
        </w:rPr>
      </w:pPr>
      <w:r>
        <w:rPr>
          <w:sz w:val="20"/>
          <w:szCs w:val="20"/>
        </w:rPr>
        <w:t> </w:t>
      </w:r>
    </w:p>
    <w:p w14:paraId="213B9173" w14:textId="77777777" w:rsidR="00000000" w:rsidRDefault="00D6065B">
      <w:pPr>
        <w:pStyle w:val="a3"/>
        <w:spacing w:before="0" w:beforeAutospacing="0" w:after="0" w:afterAutospacing="0"/>
        <w:jc w:val="both"/>
        <w:rPr>
          <w:sz w:val="20"/>
          <w:szCs w:val="20"/>
        </w:rPr>
      </w:pPr>
      <w:r>
        <w:rPr>
          <w:sz w:val="20"/>
          <w:szCs w:val="20"/>
        </w:rPr>
        <w:t>In</w:t>
      </w:r>
      <w:r>
        <w:rPr>
          <w:sz w:val="20"/>
          <w:szCs w:val="20"/>
        </w:rPr>
        <w:t xml:space="preserve"> the Company’s quarter ended December 31, 2020,</w:t>
      </w:r>
      <w:r>
        <w:rPr>
          <w:sz w:val="20"/>
          <w:szCs w:val="20"/>
        </w:rPr>
        <w:t xml:space="preserve"> </w:t>
      </w:r>
      <w:r>
        <w:rPr>
          <w:sz w:val="20"/>
          <w:szCs w:val="20"/>
        </w:rPr>
        <w:t>22,364,97</w:t>
      </w:r>
      <w:r>
        <w:rPr>
          <w:sz w:val="20"/>
          <w:szCs w:val="20"/>
        </w:rPr>
        <w:t>2</w:t>
      </w:r>
      <w:r>
        <w:rPr>
          <w:sz w:val="20"/>
          <w:szCs w:val="20"/>
        </w:rPr>
        <w:t xml:space="preserve"> warrants expired.</w:t>
      </w:r>
    </w:p>
    <w:p w14:paraId="05479EA8" w14:textId="77777777" w:rsidR="00000000" w:rsidRDefault="00D6065B">
      <w:pPr>
        <w:pStyle w:val="a3"/>
        <w:spacing w:before="0" w:beforeAutospacing="0" w:after="0" w:afterAutospacing="0"/>
        <w:jc w:val="both"/>
        <w:rPr>
          <w:sz w:val="20"/>
          <w:szCs w:val="20"/>
        </w:rPr>
      </w:pPr>
      <w:r>
        <w:rPr>
          <w:sz w:val="20"/>
          <w:szCs w:val="20"/>
        </w:rPr>
        <w:t> </w:t>
      </w:r>
    </w:p>
    <w:p w14:paraId="279E3726" w14:textId="77777777" w:rsidR="00000000" w:rsidRDefault="00D6065B">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14:paraId="7BB67568" w14:textId="77777777" w:rsidR="00000000" w:rsidRDefault="00D6065B">
      <w:pPr>
        <w:pStyle w:val="a3"/>
        <w:spacing w:before="0" w:beforeAutospacing="0" w:after="0" w:afterAutospacing="0"/>
        <w:jc w:val="both"/>
        <w:rPr>
          <w:sz w:val="20"/>
          <w:szCs w:val="20"/>
        </w:rPr>
      </w:pPr>
      <w:r>
        <w:rPr>
          <w:sz w:val="20"/>
          <w:szCs w:val="20"/>
        </w:rPr>
        <w:t> </w:t>
      </w:r>
    </w:p>
    <w:p w14:paraId="21C3175C" w14:textId="77777777" w:rsidR="00000000" w:rsidRDefault="00D6065B">
      <w:pPr>
        <w:pStyle w:val="a3"/>
        <w:spacing w:before="0" w:beforeAutospacing="0" w:after="0" w:afterAutospacing="0"/>
        <w:jc w:val="both"/>
        <w:rPr>
          <w:sz w:val="20"/>
          <w:szCs w:val="20"/>
        </w:rPr>
      </w:pPr>
      <w:r>
        <w:rPr>
          <w:sz w:val="20"/>
          <w:szCs w:val="20"/>
        </w:rPr>
        <w:t>In March 2021 the Company sol</w:t>
      </w:r>
      <w:r>
        <w:rPr>
          <w:sz w:val="20"/>
          <w:szCs w:val="20"/>
        </w:rPr>
        <w:t>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w:t>
      </w:r>
      <w:r>
        <w:rPr>
          <w:sz w:val="20"/>
          <w:szCs w:val="20"/>
        </w:rPr>
        <w:t>o</w:t>
      </w:r>
      <w:r>
        <w:rPr>
          <w:sz w:val="20"/>
          <w:szCs w:val="20"/>
        </w:rPr>
        <w:t xml:space="preserve">-year term and have an exercise price of </w:t>
      </w:r>
      <w:r>
        <w:rPr>
          <w:sz w:val="20"/>
          <w:szCs w:val="20"/>
        </w:rPr>
        <w:t>$</w:t>
      </w:r>
      <w:r>
        <w:rPr>
          <w:sz w:val="20"/>
          <w:szCs w:val="20"/>
        </w:rPr>
        <w:t>0.1</w:t>
      </w:r>
      <w:r>
        <w:rPr>
          <w:sz w:val="20"/>
          <w:szCs w:val="20"/>
        </w:rPr>
        <w:t>0</w:t>
      </w:r>
      <w:r>
        <w:rPr>
          <w:sz w:val="20"/>
          <w:szCs w:val="20"/>
        </w:rPr>
        <w:t xml:space="preserve"> per share.</w:t>
      </w:r>
    </w:p>
    <w:p w14:paraId="5463F292" w14:textId="77777777" w:rsidR="00000000" w:rsidRDefault="00D6065B">
      <w:pPr>
        <w:pStyle w:val="a3"/>
        <w:spacing w:before="0" w:beforeAutospacing="0" w:after="0" w:afterAutospacing="0"/>
        <w:jc w:val="both"/>
        <w:rPr>
          <w:sz w:val="20"/>
          <w:szCs w:val="20"/>
        </w:rPr>
      </w:pPr>
      <w:r>
        <w:rPr>
          <w:sz w:val="20"/>
          <w:szCs w:val="20"/>
        </w:rPr>
        <w:t> </w:t>
      </w:r>
    </w:p>
    <w:p w14:paraId="195DB630" w14:textId="77777777" w:rsidR="00000000" w:rsidRDefault="00D6065B">
      <w:pPr>
        <w:pStyle w:val="a3"/>
        <w:spacing w:before="0" w:beforeAutospacing="0" w:after="0" w:afterAutospacing="0"/>
        <w:jc w:val="both"/>
        <w:rPr>
          <w:sz w:val="20"/>
          <w:szCs w:val="20"/>
        </w:rPr>
      </w:pPr>
      <w:r>
        <w:rPr>
          <w:sz w:val="20"/>
          <w:szCs w:val="20"/>
        </w:rPr>
        <w:t>In the six months ended June 30, 2021,</w:t>
      </w:r>
      <w:r>
        <w:rPr>
          <w:sz w:val="20"/>
          <w:szCs w:val="20"/>
        </w:rPr>
        <w:t xml:space="preserve"> </w:t>
      </w:r>
      <w:r>
        <w:rPr>
          <w:sz w:val="20"/>
          <w:szCs w:val="20"/>
        </w:rPr>
        <w:t>709,37</w:t>
      </w:r>
      <w:r>
        <w:rPr>
          <w:sz w:val="20"/>
          <w:szCs w:val="20"/>
        </w:rPr>
        <w:t>5</w:t>
      </w:r>
      <w:r>
        <w:rPr>
          <w:sz w:val="20"/>
          <w:szCs w:val="20"/>
        </w:rPr>
        <w:t xml:space="preserve"> warrants expired.</w:t>
      </w:r>
    </w:p>
    <w:p w14:paraId="3B231F89" w14:textId="77777777" w:rsidR="00000000" w:rsidRDefault="00D6065B">
      <w:pPr>
        <w:pStyle w:val="a3"/>
        <w:spacing w:before="0" w:beforeAutospacing="0" w:after="0" w:afterAutospacing="0"/>
        <w:jc w:val="both"/>
        <w:rPr>
          <w:sz w:val="20"/>
          <w:szCs w:val="20"/>
        </w:rPr>
      </w:pPr>
      <w:r>
        <w:rPr>
          <w:sz w:val="20"/>
          <w:szCs w:val="20"/>
        </w:rPr>
        <w:t> </w:t>
      </w:r>
    </w:p>
    <w:p w14:paraId="4D7DAB47" w14:textId="77777777" w:rsidR="00000000" w:rsidRDefault="00D6065B">
      <w:pPr>
        <w:pStyle w:val="a3"/>
        <w:spacing w:before="0" w:beforeAutospacing="0" w:after="0" w:afterAutospacing="0"/>
        <w:jc w:val="both"/>
        <w:rPr>
          <w:sz w:val="20"/>
          <w:szCs w:val="20"/>
        </w:rPr>
      </w:pPr>
      <w:r>
        <w:rPr>
          <w:b/>
          <w:bCs/>
          <w:sz w:val="20"/>
          <w:szCs w:val="20"/>
        </w:rPr>
        <w:t>Restricted Stock Units</w:t>
      </w:r>
    </w:p>
    <w:p w14:paraId="69209AD5" w14:textId="77777777" w:rsidR="00000000" w:rsidRDefault="00D6065B">
      <w:pPr>
        <w:pStyle w:val="a3"/>
        <w:spacing w:before="0" w:beforeAutospacing="0" w:after="0" w:afterAutospacing="0"/>
        <w:jc w:val="both"/>
        <w:rPr>
          <w:sz w:val="20"/>
          <w:szCs w:val="20"/>
        </w:rPr>
      </w:pPr>
      <w:r>
        <w:rPr>
          <w:sz w:val="20"/>
          <w:szCs w:val="20"/>
        </w:rPr>
        <w:t> </w:t>
      </w:r>
    </w:p>
    <w:p w14:paraId="22E0C7A1" w14:textId="77777777" w:rsidR="00000000" w:rsidRDefault="00D6065B">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restricted stock units:</w:t>
      </w:r>
    </w:p>
    <w:p w14:paraId="245734B2" w14:textId="77777777" w:rsidR="00000000" w:rsidRDefault="00D6065B">
      <w:pPr>
        <w:pStyle w:val="a3"/>
        <w:spacing w:before="0" w:beforeAutospacing="0" w:after="0" w:afterAutospacing="0"/>
        <w:jc w:val="both"/>
        <w:rPr>
          <w:sz w:val="20"/>
          <w:szCs w:val="20"/>
        </w:rPr>
      </w:pPr>
      <w:r>
        <w:rPr>
          <w:sz w:val="20"/>
          <w:szCs w:val="20"/>
        </w:rPr>
        <w:t> </w:t>
      </w:r>
    </w:p>
    <w:p w14:paraId="408D55E6" w14:textId="77777777" w:rsidR="00000000" w:rsidRDefault="00D6065B">
      <w:pPr>
        <w:pStyle w:val="a3"/>
        <w:spacing w:before="0" w:beforeAutospacing="0" w:after="0" w:afterAutospacing="0"/>
        <w:jc w:val="both"/>
        <w:rPr>
          <w:vanish/>
          <w:sz w:val="20"/>
          <w:szCs w:val="20"/>
        </w:rPr>
      </w:pPr>
      <w:r>
        <w:rPr>
          <w:vanish/>
          <w:sz w:val="20"/>
          <w:szCs w:val="20"/>
        </w:rPr>
        <w:t> </w:t>
      </w:r>
      <w:r>
        <w:rPr>
          <w:vanish/>
          <w:sz w:val="20"/>
          <w:szCs w:val="20"/>
        </w:rPr>
        <w:t>SCHEDULE OF CHANGES IN RESTRICTED STOCK UNIT</w:t>
      </w:r>
      <w:r>
        <w:rPr>
          <w:vanish/>
          <w:sz w:val="20"/>
          <w:szCs w:val="20"/>
        </w:rPr>
        <w:t>S</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59869485" w14:textId="77777777">
        <w:tc>
          <w:tcPr>
            <w:tcW w:w="0" w:type="auto"/>
            <w:vAlign w:val="bottom"/>
            <w:hideMark/>
          </w:tcPr>
          <w:p w14:paraId="09252C1A"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219A939"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5D7DF05C"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437ACE9E"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9554B07"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382C3E42" w14:textId="77777777" w:rsidR="00000000" w:rsidRDefault="00D6065B">
            <w:pPr>
              <w:jc w:val="center"/>
              <w:rPr>
                <w:rFonts w:eastAsia="Times New Roman"/>
                <w:sz w:val="20"/>
                <w:szCs w:val="20"/>
              </w:rPr>
            </w:pPr>
            <w:r>
              <w:rPr>
                <w:rFonts w:eastAsia="Times New Roman"/>
                <w:sz w:val="20"/>
                <w:szCs w:val="20"/>
              </w:rPr>
              <w:t>Weighted</w:t>
            </w:r>
          </w:p>
        </w:tc>
        <w:tc>
          <w:tcPr>
            <w:tcW w:w="0" w:type="auto"/>
            <w:vAlign w:val="bottom"/>
            <w:hideMark/>
          </w:tcPr>
          <w:p w14:paraId="145D4757" w14:textId="77777777" w:rsidR="00000000" w:rsidRDefault="00D6065B">
            <w:pPr>
              <w:jc w:val="center"/>
              <w:rPr>
                <w:rFonts w:eastAsia="Times New Roman"/>
                <w:sz w:val="20"/>
                <w:szCs w:val="20"/>
              </w:rPr>
            </w:pPr>
            <w:r>
              <w:rPr>
                <w:rFonts w:eastAsia="Times New Roman"/>
                <w:sz w:val="20"/>
                <w:szCs w:val="20"/>
              </w:rPr>
              <w:t> </w:t>
            </w:r>
          </w:p>
        </w:tc>
      </w:tr>
      <w:tr w:rsidR="00000000" w14:paraId="684E6459" w14:textId="77777777">
        <w:tc>
          <w:tcPr>
            <w:tcW w:w="0" w:type="auto"/>
            <w:vAlign w:val="bottom"/>
            <w:hideMark/>
          </w:tcPr>
          <w:p w14:paraId="1AFC89D6"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65409036"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78E94DAB" w14:textId="77777777" w:rsidR="00000000" w:rsidRDefault="00D6065B">
            <w:pPr>
              <w:jc w:val="center"/>
              <w:rPr>
                <w:rFonts w:eastAsia="Times New Roman"/>
                <w:sz w:val="20"/>
                <w:szCs w:val="20"/>
              </w:rPr>
            </w:pPr>
            <w:r>
              <w:rPr>
                <w:rFonts w:eastAsia="Times New Roman"/>
                <w:sz w:val="20"/>
                <w:szCs w:val="20"/>
              </w:rPr>
              <w:t>Number</w:t>
            </w:r>
          </w:p>
        </w:tc>
        <w:tc>
          <w:tcPr>
            <w:tcW w:w="0" w:type="auto"/>
            <w:vAlign w:val="bottom"/>
            <w:hideMark/>
          </w:tcPr>
          <w:p w14:paraId="29558219"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06CBEFD"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76E7DBCE" w14:textId="77777777" w:rsidR="00000000" w:rsidRDefault="00D6065B">
            <w:pPr>
              <w:jc w:val="center"/>
              <w:rPr>
                <w:rFonts w:eastAsia="Times New Roman"/>
                <w:sz w:val="20"/>
                <w:szCs w:val="20"/>
              </w:rPr>
            </w:pPr>
            <w:r>
              <w:rPr>
                <w:rFonts w:eastAsia="Times New Roman"/>
                <w:sz w:val="20"/>
                <w:szCs w:val="20"/>
              </w:rPr>
              <w:t>Average</w:t>
            </w:r>
          </w:p>
        </w:tc>
        <w:tc>
          <w:tcPr>
            <w:tcW w:w="0" w:type="auto"/>
            <w:vAlign w:val="bottom"/>
            <w:hideMark/>
          </w:tcPr>
          <w:p w14:paraId="37E85D41" w14:textId="77777777" w:rsidR="00000000" w:rsidRDefault="00D6065B">
            <w:pPr>
              <w:jc w:val="center"/>
              <w:rPr>
                <w:rFonts w:eastAsia="Times New Roman"/>
                <w:sz w:val="20"/>
                <w:szCs w:val="20"/>
              </w:rPr>
            </w:pPr>
            <w:r>
              <w:rPr>
                <w:rFonts w:eastAsia="Times New Roman"/>
                <w:sz w:val="20"/>
                <w:szCs w:val="20"/>
              </w:rPr>
              <w:t> </w:t>
            </w:r>
          </w:p>
        </w:tc>
      </w:tr>
      <w:tr w:rsidR="00000000" w14:paraId="2FE9FADE" w14:textId="77777777">
        <w:tc>
          <w:tcPr>
            <w:tcW w:w="0" w:type="auto"/>
            <w:vAlign w:val="bottom"/>
            <w:hideMark/>
          </w:tcPr>
          <w:p w14:paraId="226C8D17"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396D6E44"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362C0869" w14:textId="77777777" w:rsidR="00000000" w:rsidRDefault="00D6065B">
            <w:pPr>
              <w:jc w:val="center"/>
              <w:rPr>
                <w:rFonts w:eastAsia="Times New Roman"/>
                <w:sz w:val="20"/>
                <w:szCs w:val="20"/>
              </w:rPr>
            </w:pPr>
            <w:r>
              <w:rPr>
                <w:rFonts w:eastAsia="Times New Roman"/>
                <w:sz w:val="20"/>
                <w:szCs w:val="20"/>
              </w:rPr>
              <w:t>Of</w:t>
            </w:r>
          </w:p>
        </w:tc>
        <w:tc>
          <w:tcPr>
            <w:tcW w:w="0" w:type="auto"/>
            <w:vAlign w:val="bottom"/>
            <w:hideMark/>
          </w:tcPr>
          <w:p w14:paraId="524B7897"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345E0788"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1653BB9C" w14:textId="77777777" w:rsidR="00000000" w:rsidRDefault="00D6065B">
            <w:pPr>
              <w:jc w:val="center"/>
              <w:rPr>
                <w:rFonts w:eastAsia="Times New Roman"/>
                <w:sz w:val="20"/>
                <w:szCs w:val="20"/>
              </w:rPr>
            </w:pPr>
            <w:r>
              <w:rPr>
                <w:rFonts w:eastAsia="Times New Roman"/>
                <w:sz w:val="20"/>
                <w:szCs w:val="20"/>
              </w:rPr>
              <w:t>Grant Date</w:t>
            </w:r>
          </w:p>
        </w:tc>
        <w:tc>
          <w:tcPr>
            <w:tcW w:w="0" w:type="auto"/>
            <w:vAlign w:val="bottom"/>
            <w:hideMark/>
          </w:tcPr>
          <w:p w14:paraId="255102ED" w14:textId="77777777" w:rsidR="00000000" w:rsidRDefault="00D6065B">
            <w:pPr>
              <w:jc w:val="center"/>
              <w:rPr>
                <w:rFonts w:eastAsia="Times New Roman"/>
                <w:sz w:val="20"/>
                <w:szCs w:val="20"/>
              </w:rPr>
            </w:pPr>
            <w:r>
              <w:rPr>
                <w:rFonts w:eastAsia="Times New Roman"/>
                <w:sz w:val="20"/>
                <w:szCs w:val="20"/>
              </w:rPr>
              <w:t> </w:t>
            </w:r>
          </w:p>
        </w:tc>
      </w:tr>
      <w:tr w:rsidR="00000000" w14:paraId="0A1A08CF" w14:textId="77777777">
        <w:tc>
          <w:tcPr>
            <w:tcW w:w="0" w:type="auto"/>
            <w:vAlign w:val="bottom"/>
            <w:hideMark/>
          </w:tcPr>
          <w:p w14:paraId="3E49D60A"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31A50ABC"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399A49E" w14:textId="77777777" w:rsidR="00000000" w:rsidRDefault="00D6065B">
            <w:pPr>
              <w:jc w:val="center"/>
              <w:rPr>
                <w:rFonts w:eastAsia="Times New Roman"/>
                <w:sz w:val="20"/>
                <w:szCs w:val="20"/>
              </w:rPr>
            </w:pPr>
            <w:r>
              <w:rPr>
                <w:rFonts w:eastAsia="Times New Roman"/>
                <w:sz w:val="20"/>
                <w:szCs w:val="20"/>
              </w:rPr>
              <w:t>Shares</w:t>
            </w:r>
          </w:p>
        </w:tc>
        <w:tc>
          <w:tcPr>
            <w:tcW w:w="0" w:type="auto"/>
            <w:vAlign w:val="bottom"/>
            <w:hideMark/>
          </w:tcPr>
          <w:p w14:paraId="584CFE77"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1CCAF67F"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15F22C1" w14:textId="77777777" w:rsidR="00000000" w:rsidRDefault="00D6065B">
            <w:pPr>
              <w:jc w:val="center"/>
              <w:rPr>
                <w:rFonts w:eastAsia="Times New Roman"/>
                <w:sz w:val="20"/>
                <w:szCs w:val="20"/>
              </w:rPr>
            </w:pPr>
            <w:r>
              <w:rPr>
                <w:rFonts w:eastAsia="Times New Roman"/>
                <w:sz w:val="20"/>
                <w:szCs w:val="20"/>
              </w:rPr>
              <w:t>Fair Value</w:t>
            </w:r>
          </w:p>
        </w:tc>
        <w:tc>
          <w:tcPr>
            <w:tcW w:w="0" w:type="auto"/>
            <w:vAlign w:val="bottom"/>
            <w:hideMark/>
          </w:tcPr>
          <w:p w14:paraId="29C51DEE" w14:textId="77777777" w:rsidR="00000000" w:rsidRDefault="00D6065B">
            <w:pPr>
              <w:jc w:val="center"/>
              <w:rPr>
                <w:rFonts w:eastAsia="Times New Roman"/>
                <w:sz w:val="20"/>
                <w:szCs w:val="20"/>
              </w:rPr>
            </w:pPr>
            <w:r>
              <w:rPr>
                <w:rFonts w:eastAsia="Times New Roman"/>
                <w:sz w:val="20"/>
                <w:szCs w:val="20"/>
              </w:rPr>
              <w:t> </w:t>
            </w:r>
          </w:p>
        </w:tc>
      </w:tr>
      <w:tr w:rsidR="00000000" w14:paraId="00A81DDB" w14:textId="77777777">
        <w:tc>
          <w:tcPr>
            <w:tcW w:w="0" w:type="auto"/>
            <w:vAlign w:val="bottom"/>
            <w:hideMark/>
          </w:tcPr>
          <w:p w14:paraId="23D09C68"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150D05E5"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2FA7D9F0"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5560AB6C"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789D22E6" w14:textId="77777777" w:rsidR="00000000" w:rsidRDefault="00D6065B">
            <w:pPr>
              <w:jc w:val="center"/>
              <w:rPr>
                <w:rFonts w:eastAsia="Times New Roman"/>
                <w:sz w:val="20"/>
                <w:szCs w:val="20"/>
              </w:rPr>
            </w:pPr>
            <w:r>
              <w:rPr>
                <w:rFonts w:eastAsia="Times New Roman"/>
                <w:sz w:val="20"/>
                <w:szCs w:val="20"/>
              </w:rPr>
              <w:t> </w:t>
            </w:r>
          </w:p>
        </w:tc>
        <w:tc>
          <w:tcPr>
            <w:tcW w:w="0" w:type="auto"/>
            <w:gridSpan w:val="2"/>
            <w:vAlign w:val="bottom"/>
            <w:hideMark/>
          </w:tcPr>
          <w:p w14:paraId="3F50DB7F" w14:textId="77777777" w:rsidR="00000000" w:rsidRDefault="00D6065B">
            <w:pPr>
              <w:jc w:val="center"/>
              <w:rPr>
                <w:rFonts w:eastAsia="Times New Roman"/>
                <w:sz w:val="20"/>
                <w:szCs w:val="20"/>
              </w:rPr>
            </w:pPr>
            <w:r>
              <w:rPr>
                <w:rFonts w:eastAsia="Times New Roman"/>
                <w:sz w:val="20"/>
                <w:szCs w:val="20"/>
              </w:rPr>
              <w:t> </w:t>
            </w:r>
          </w:p>
        </w:tc>
        <w:tc>
          <w:tcPr>
            <w:tcW w:w="0" w:type="auto"/>
            <w:vAlign w:val="bottom"/>
            <w:hideMark/>
          </w:tcPr>
          <w:p w14:paraId="1C01806A" w14:textId="77777777" w:rsidR="00000000" w:rsidRDefault="00D6065B">
            <w:pPr>
              <w:jc w:val="center"/>
              <w:rPr>
                <w:rFonts w:eastAsia="Times New Roman"/>
                <w:sz w:val="20"/>
                <w:szCs w:val="20"/>
              </w:rPr>
            </w:pPr>
            <w:r>
              <w:rPr>
                <w:rFonts w:eastAsia="Times New Roman"/>
                <w:sz w:val="20"/>
                <w:szCs w:val="20"/>
              </w:rPr>
              <w:t> </w:t>
            </w:r>
          </w:p>
        </w:tc>
      </w:tr>
      <w:tr w:rsidR="00000000" w14:paraId="15A8C1B3" w14:textId="77777777">
        <w:tc>
          <w:tcPr>
            <w:tcW w:w="3000" w:type="pct"/>
            <w:shd w:val="clear" w:color="auto" w:fill="CCEEFF"/>
            <w:vAlign w:val="bottom"/>
            <w:hideMark/>
          </w:tcPr>
          <w:p w14:paraId="4C8E08A4" w14:textId="77777777" w:rsidR="00000000" w:rsidRDefault="00D6065B">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14:paraId="7FEE4A40"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37A46" w14:textId="77777777" w:rsidR="00000000" w:rsidRDefault="00D6065B">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196C78A" w14:textId="77777777" w:rsidR="00000000" w:rsidRDefault="00D6065B">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14:paraId="7071D990"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AB460BF"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F06DE8"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26B5340D" w14:textId="77777777" w:rsidR="00000000" w:rsidRDefault="00D6065B">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14:paraId="109A973D" w14:textId="77777777" w:rsidR="00000000" w:rsidRDefault="00D6065B">
            <w:pPr>
              <w:rPr>
                <w:rFonts w:eastAsia="Times New Roman"/>
                <w:sz w:val="20"/>
                <w:szCs w:val="20"/>
              </w:rPr>
            </w:pPr>
            <w:r>
              <w:rPr>
                <w:rFonts w:eastAsia="Times New Roman"/>
                <w:sz w:val="20"/>
                <w:szCs w:val="20"/>
              </w:rPr>
              <w:t> </w:t>
            </w:r>
          </w:p>
        </w:tc>
      </w:tr>
      <w:tr w:rsidR="00000000" w14:paraId="3BDF3B49" w14:textId="77777777">
        <w:tc>
          <w:tcPr>
            <w:tcW w:w="0" w:type="auto"/>
            <w:shd w:val="clear" w:color="auto" w:fill="FFFFFF"/>
            <w:vAlign w:val="bottom"/>
            <w:hideMark/>
          </w:tcPr>
          <w:p w14:paraId="061BAEE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1149E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C098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6D404"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D071F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B133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02379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BC98A"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0F8E9F" w14:textId="77777777" w:rsidR="00000000" w:rsidRDefault="00D6065B">
            <w:pPr>
              <w:rPr>
                <w:rFonts w:eastAsia="Times New Roman"/>
                <w:sz w:val="20"/>
                <w:szCs w:val="20"/>
              </w:rPr>
            </w:pPr>
            <w:r>
              <w:rPr>
                <w:rFonts w:eastAsia="Times New Roman"/>
                <w:sz w:val="20"/>
                <w:szCs w:val="20"/>
              </w:rPr>
              <w:t> </w:t>
            </w:r>
          </w:p>
        </w:tc>
      </w:tr>
      <w:tr w:rsidR="00000000" w14:paraId="27C2C4BE" w14:textId="77777777">
        <w:tc>
          <w:tcPr>
            <w:tcW w:w="0" w:type="auto"/>
            <w:shd w:val="clear" w:color="auto" w:fill="CCEEFF"/>
            <w:vAlign w:val="bottom"/>
            <w:hideMark/>
          </w:tcPr>
          <w:p w14:paraId="7DF22AF8" w14:textId="77777777" w:rsidR="00000000" w:rsidRDefault="00D6065B">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14:paraId="4E6768E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117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55D336" w14:textId="77777777" w:rsidR="00000000" w:rsidRDefault="00D6065B">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14:paraId="459473E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ED14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FC717"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2425BB03" w14:textId="77777777" w:rsidR="00000000" w:rsidRDefault="00D6065B">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56842D18" w14:textId="77777777" w:rsidR="00000000" w:rsidRDefault="00D6065B">
            <w:pPr>
              <w:rPr>
                <w:rFonts w:eastAsia="Times New Roman"/>
                <w:sz w:val="20"/>
                <w:szCs w:val="20"/>
              </w:rPr>
            </w:pPr>
            <w:r>
              <w:rPr>
                <w:rFonts w:eastAsia="Times New Roman"/>
                <w:sz w:val="20"/>
                <w:szCs w:val="20"/>
              </w:rPr>
              <w:t> </w:t>
            </w:r>
          </w:p>
        </w:tc>
      </w:tr>
      <w:tr w:rsidR="00000000" w14:paraId="4F883BC7" w14:textId="77777777">
        <w:tc>
          <w:tcPr>
            <w:tcW w:w="0" w:type="auto"/>
            <w:shd w:val="clear" w:color="auto" w:fill="FFFFFF"/>
            <w:vAlign w:val="bottom"/>
            <w:hideMark/>
          </w:tcPr>
          <w:p w14:paraId="76026A63" w14:textId="77777777" w:rsidR="00000000" w:rsidRDefault="00D6065B">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14:paraId="55B84F1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BF6B1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7C389B" w14:textId="77777777" w:rsidR="00000000" w:rsidRDefault="00D6065B">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14:paraId="049477B1"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4EC06B8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EB37DF"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vAlign w:val="bottom"/>
            <w:hideMark/>
          </w:tcPr>
          <w:p w14:paraId="48CB4791"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985728C" w14:textId="77777777" w:rsidR="00000000" w:rsidRDefault="00D6065B">
            <w:pPr>
              <w:rPr>
                <w:rFonts w:eastAsia="Times New Roman"/>
                <w:sz w:val="20"/>
                <w:szCs w:val="20"/>
              </w:rPr>
            </w:pPr>
            <w:r>
              <w:rPr>
                <w:rFonts w:eastAsia="Times New Roman"/>
                <w:sz w:val="20"/>
                <w:szCs w:val="20"/>
              </w:rPr>
              <w:t> </w:t>
            </w:r>
          </w:p>
        </w:tc>
      </w:tr>
      <w:tr w:rsidR="00000000" w14:paraId="057E6785" w14:textId="77777777">
        <w:tc>
          <w:tcPr>
            <w:tcW w:w="0" w:type="auto"/>
            <w:shd w:val="clear" w:color="auto" w:fill="CCEEFF"/>
            <w:vAlign w:val="bottom"/>
            <w:hideMark/>
          </w:tcPr>
          <w:p w14:paraId="386A0FBE" w14:textId="77777777" w:rsidR="00000000" w:rsidRDefault="00D6065B">
            <w:pPr>
              <w:rPr>
                <w:rFonts w:eastAsia="Times New Roman"/>
                <w:sz w:val="20"/>
                <w:szCs w:val="20"/>
              </w:rPr>
            </w:pPr>
            <w:r>
              <w:rPr>
                <w:rFonts w:eastAsia="Times New Roman"/>
                <w:sz w:val="20"/>
                <w:szCs w:val="20"/>
              </w:rPr>
              <w:t>RSU’s forfeited</w:t>
            </w:r>
          </w:p>
        </w:tc>
        <w:tc>
          <w:tcPr>
            <w:tcW w:w="0" w:type="auto"/>
            <w:shd w:val="clear" w:color="auto" w:fill="CCEEFF"/>
            <w:vAlign w:val="bottom"/>
            <w:hideMark/>
          </w:tcPr>
          <w:p w14:paraId="57EACCAE"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BB1530"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28B471"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59F435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E851B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933718" w14:textId="77777777" w:rsidR="00000000" w:rsidRDefault="00D6065B">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AB538E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54138B" w14:textId="77777777" w:rsidR="00000000" w:rsidRDefault="00D6065B">
            <w:pPr>
              <w:rPr>
                <w:rFonts w:eastAsia="Times New Roman"/>
                <w:sz w:val="20"/>
                <w:szCs w:val="20"/>
              </w:rPr>
            </w:pPr>
            <w:r>
              <w:rPr>
                <w:rFonts w:eastAsia="Times New Roman"/>
                <w:sz w:val="20"/>
                <w:szCs w:val="20"/>
              </w:rPr>
              <w:t> </w:t>
            </w:r>
          </w:p>
        </w:tc>
      </w:tr>
      <w:tr w:rsidR="00000000" w14:paraId="61B03B64" w14:textId="77777777">
        <w:tc>
          <w:tcPr>
            <w:tcW w:w="0" w:type="auto"/>
            <w:shd w:val="clear" w:color="auto" w:fill="FFFFFF"/>
            <w:vAlign w:val="bottom"/>
            <w:hideMark/>
          </w:tcPr>
          <w:p w14:paraId="5D5614F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05B4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9C24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4DF1D6"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43576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C571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5FD4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334B0" w14:textId="77777777" w:rsidR="00000000" w:rsidRDefault="00D6065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B902E0" w14:textId="77777777" w:rsidR="00000000" w:rsidRDefault="00D6065B">
            <w:pPr>
              <w:rPr>
                <w:rFonts w:eastAsia="Times New Roman"/>
                <w:sz w:val="20"/>
                <w:szCs w:val="20"/>
              </w:rPr>
            </w:pPr>
            <w:r>
              <w:rPr>
                <w:rFonts w:eastAsia="Times New Roman"/>
                <w:sz w:val="20"/>
                <w:szCs w:val="20"/>
              </w:rPr>
              <w:t> </w:t>
            </w:r>
          </w:p>
        </w:tc>
      </w:tr>
      <w:tr w:rsidR="00000000" w14:paraId="7D3019B6" w14:textId="77777777">
        <w:tc>
          <w:tcPr>
            <w:tcW w:w="0" w:type="auto"/>
            <w:shd w:val="clear" w:color="auto" w:fill="CCEEFF"/>
            <w:vAlign w:val="bottom"/>
            <w:hideMark/>
          </w:tcPr>
          <w:p w14:paraId="40E35A72" w14:textId="77777777" w:rsidR="00000000" w:rsidRDefault="00D6065B">
            <w:pPr>
              <w:rPr>
                <w:rFonts w:eastAsia="Times New Roman"/>
                <w:sz w:val="20"/>
                <w:szCs w:val="20"/>
              </w:rPr>
            </w:pPr>
            <w:r>
              <w:rPr>
                <w:rFonts w:eastAsia="Times New Roman"/>
                <w:sz w:val="20"/>
                <w:szCs w:val="20"/>
              </w:rPr>
              <w:t>Balance at June 30, 2021</w:t>
            </w:r>
          </w:p>
        </w:tc>
        <w:tc>
          <w:tcPr>
            <w:tcW w:w="0" w:type="auto"/>
            <w:shd w:val="clear" w:color="auto" w:fill="CCEEFF"/>
            <w:vAlign w:val="bottom"/>
            <w:hideMark/>
          </w:tcPr>
          <w:p w14:paraId="6D11AF90"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A891395"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7C12719" w14:textId="77777777" w:rsidR="00000000" w:rsidRDefault="00D6065B">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14:paraId="2805E07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13523"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BE0358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371CC77" w14:textId="77777777" w:rsidR="00000000" w:rsidRDefault="00D6065B">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0FBDBE09" w14:textId="77777777" w:rsidR="00000000" w:rsidRDefault="00D6065B">
            <w:pPr>
              <w:rPr>
                <w:rFonts w:eastAsia="Times New Roman"/>
                <w:sz w:val="20"/>
                <w:szCs w:val="20"/>
              </w:rPr>
            </w:pPr>
            <w:r>
              <w:rPr>
                <w:rFonts w:eastAsia="Times New Roman"/>
                <w:sz w:val="20"/>
                <w:szCs w:val="20"/>
              </w:rPr>
              <w:t> </w:t>
            </w:r>
          </w:p>
        </w:tc>
      </w:tr>
    </w:tbl>
    <w:p w14:paraId="39574F08" w14:textId="77777777" w:rsidR="00000000" w:rsidRDefault="00D6065B">
      <w:pPr>
        <w:pStyle w:val="a3"/>
        <w:spacing w:before="0" w:beforeAutospacing="0" w:after="0" w:afterAutospacing="0"/>
        <w:jc w:val="both"/>
        <w:rPr>
          <w:sz w:val="20"/>
          <w:szCs w:val="20"/>
        </w:rPr>
      </w:pPr>
      <w:r>
        <w:rPr>
          <w:sz w:val="20"/>
          <w:szCs w:val="20"/>
        </w:rPr>
        <w:t> </w:t>
      </w:r>
    </w:p>
    <w:p w14:paraId="657FBFBE" w14:textId="77777777" w:rsidR="00000000" w:rsidRDefault="00D6065B">
      <w:pPr>
        <w:pStyle w:val="a3"/>
        <w:spacing w:before="0" w:beforeAutospacing="0" w:after="0" w:afterAutospacing="0"/>
        <w:jc w:val="both"/>
        <w:rPr>
          <w:sz w:val="20"/>
          <w:szCs w:val="20"/>
        </w:rPr>
      </w:pPr>
      <w:r>
        <w:rPr>
          <w:sz w:val="20"/>
          <w:szCs w:val="20"/>
        </w:rPr>
        <w:t xml:space="preserve">During the six months ended June 30. 2021 and 2020, the Company recognized </w:t>
      </w:r>
      <w:r>
        <w:rPr>
          <w:sz w:val="20"/>
          <w:szCs w:val="20"/>
        </w:rPr>
        <w:t>$</w:t>
      </w:r>
      <w:r>
        <w:rPr>
          <w:sz w:val="20"/>
          <w:szCs w:val="20"/>
        </w:rPr>
        <w:t>1,614,00</w:t>
      </w:r>
      <w:r>
        <w:rPr>
          <w:sz w:val="20"/>
          <w:szCs w:val="20"/>
        </w:rPr>
        <w:t>0</w:t>
      </w:r>
      <w:r>
        <w:rPr>
          <w:sz w:val="20"/>
          <w:szCs w:val="20"/>
        </w:rPr>
        <w:t xml:space="preserve"> and </w:t>
      </w:r>
      <w:r>
        <w:rPr>
          <w:sz w:val="20"/>
          <w:szCs w:val="20"/>
        </w:rPr>
        <w:t>$</w:t>
      </w:r>
      <w:r>
        <w:rPr>
          <w:sz w:val="20"/>
          <w:szCs w:val="20"/>
        </w:rPr>
        <w:t>0</w:t>
      </w:r>
      <w:r>
        <w:rPr>
          <w:sz w:val="20"/>
          <w:szCs w:val="20"/>
        </w:rPr>
        <w:t xml:space="preserve"> worth of expense related to the vesting of its RSU’</w:t>
      </w:r>
      <w:r>
        <w:rPr>
          <w:sz w:val="20"/>
          <w:szCs w:val="20"/>
        </w:rPr>
        <w:t xml:space="preserve">s. As of June 30, 2021, the Company had </w:t>
      </w:r>
      <w:r>
        <w:rPr>
          <w:sz w:val="20"/>
          <w:szCs w:val="20"/>
        </w:rPr>
        <w:t>$</w:t>
      </w:r>
      <w:r>
        <w:rPr>
          <w:sz w:val="20"/>
          <w:szCs w:val="20"/>
        </w:rPr>
        <w:t>2,405,40</w:t>
      </w:r>
      <w:r>
        <w:rPr>
          <w:sz w:val="20"/>
          <w:szCs w:val="20"/>
        </w:rPr>
        <w:t>0</w:t>
      </w:r>
      <w:r>
        <w:rPr>
          <w:sz w:val="20"/>
          <w:szCs w:val="20"/>
        </w:rPr>
        <w:t xml:space="preserve"> worth of expense yet to be recognized for RSU’s not yet vested.</w:t>
      </w:r>
    </w:p>
    <w:p w14:paraId="70EBD40E" w14:textId="77777777" w:rsidR="00000000" w:rsidRDefault="00D6065B">
      <w:pPr>
        <w:pStyle w:val="a3"/>
        <w:spacing w:before="0" w:beforeAutospacing="0" w:after="0" w:afterAutospacing="0"/>
        <w:jc w:val="both"/>
        <w:rPr>
          <w:sz w:val="20"/>
          <w:szCs w:val="20"/>
        </w:rPr>
      </w:pPr>
      <w:r>
        <w:rPr>
          <w:sz w:val="20"/>
          <w:szCs w:val="20"/>
        </w:rPr>
        <w:t> </w:t>
      </w:r>
    </w:p>
    <w:p w14:paraId="22331CD7" w14:textId="77777777" w:rsidR="00000000" w:rsidRDefault="00D6065B">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12,000,000</w:t>
      </w:r>
      <w:r>
        <w:rPr>
          <w:sz w:val="20"/>
          <w:szCs w:val="20"/>
        </w:rPr>
        <w:t xml:space="preserve"> </w:t>
      </w:r>
      <w:r>
        <w:rPr>
          <w:sz w:val="20"/>
          <w:szCs w:val="20"/>
        </w:rPr>
        <w:t>RSUs to a consultant that vest on the grant date, and</w:t>
      </w:r>
      <w:r>
        <w:rPr>
          <w:sz w:val="20"/>
          <w:szCs w:val="20"/>
        </w:rPr>
        <w:t xml:space="preserve"> </w:t>
      </w:r>
      <w:r>
        <w:rPr>
          <w:sz w:val="20"/>
          <w:szCs w:val="20"/>
        </w:rPr>
        <w:t>700,000</w:t>
      </w:r>
      <w:r>
        <w:rPr>
          <w:sz w:val="20"/>
          <w:szCs w:val="20"/>
        </w:rPr>
        <w:t xml:space="preserve"> </w:t>
      </w:r>
      <w:r>
        <w:rPr>
          <w:sz w:val="20"/>
          <w:szCs w:val="20"/>
        </w:rPr>
        <w:t>RSUs to consultants that v</w:t>
      </w:r>
      <w:r>
        <w:rPr>
          <w:sz w:val="20"/>
          <w:szCs w:val="20"/>
        </w:rPr>
        <w:t>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14:paraId="1DE63268" w14:textId="77777777" w:rsidR="00000000" w:rsidRDefault="00D6065B">
      <w:pPr>
        <w:pStyle w:val="a3"/>
        <w:spacing w:before="0" w:beforeAutospacing="0" w:after="0" w:afterAutospacing="0"/>
        <w:jc w:val="both"/>
        <w:rPr>
          <w:sz w:val="20"/>
          <w:szCs w:val="20"/>
        </w:rPr>
      </w:pPr>
      <w:r>
        <w:rPr>
          <w:sz w:val="20"/>
          <w:szCs w:val="20"/>
        </w:rPr>
        <w:t> </w:t>
      </w:r>
    </w:p>
    <w:p w14:paraId="23289281" w14:textId="77777777" w:rsidR="00000000" w:rsidRDefault="00D6065B">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the second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intervals.</w:t>
      </w:r>
      <w:r>
        <w:rPr>
          <w:sz w:val="20"/>
          <w:szCs w:val="20"/>
        </w:rPr>
        <w:t xml:space="preserve"> </w:t>
      </w:r>
      <w:r>
        <w:rPr>
          <w:sz w:val="20"/>
          <w:szCs w:val="20"/>
        </w:rPr>
        <w:t>The Board of Directors has 90 days from May 3, 2021 to determine the performance criteria</w:t>
      </w:r>
      <w:r>
        <w:rPr>
          <w:sz w:val="20"/>
          <w:szCs w:val="20"/>
        </w:rPr>
        <w:t>.</w:t>
      </w:r>
    </w:p>
    <w:p w14:paraId="668926B8"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6B7B072" w14:textId="77777777">
        <w:trPr>
          <w:divId w:val="1183976303"/>
        </w:trPr>
        <w:tc>
          <w:tcPr>
            <w:tcW w:w="5000" w:type="pct"/>
            <w:hideMark/>
          </w:tcPr>
          <w:p w14:paraId="369F421A"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25E21D18" w14:textId="77777777">
        <w:tc>
          <w:tcPr>
            <w:tcW w:w="5000" w:type="pct"/>
            <w:hideMark/>
          </w:tcPr>
          <w:p w14:paraId="1FF8C674" w14:textId="77777777" w:rsidR="00000000" w:rsidRDefault="00D6065B">
            <w:pPr>
              <w:jc w:val="center"/>
              <w:rPr>
                <w:rFonts w:eastAsia="Times New Roman"/>
                <w:sz w:val="20"/>
                <w:szCs w:val="20"/>
              </w:rPr>
            </w:pPr>
            <w:r>
              <w:rPr>
                <w:rFonts w:eastAsia="Times New Roman"/>
                <w:sz w:val="20"/>
                <w:szCs w:val="20"/>
              </w:rPr>
              <w:t> </w:t>
            </w:r>
          </w:p>
        </w:tc>
      </w:tr>
    </w:tbl>
    <w:p w14:paraId="6E82EA19" w14:textId="77777777" w:rsidR="00000000" w:rsidRDefault="00D6065B">
      <w:pPr>
        <w:pStyle w:val="a3"/>
        <w:spacing w:before="0" w:beforeAutospacing="0" w:after="0" w:afterAutospacing="0"/>
        <w:rPr>
          <w:sz w:val="20"/>
          <w:szCs w:val="20"/>
        </w:rPr>
      </w:pPr>
      <w:r>
        <w:rPr>
          <w:sz w:val="20"/>
          <w:szCs w:val="20"/>
        </w:rPr>
        <w:t> </w:t>
      </w:r>
    </w:p>
    <w:p w14:paraId="2F5BACC1" w14:textId="77777777" w:rsidR="00000000" w:rsidRDefault="00D6065B">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COMMITMEN</w:t>
      </w:r>
      <w:r>
        <w:rPr>
          <w:b/>
          <w:bCs/>
          <w:sz w:val="20"/>
          <w:szCs w:val="20"/>
        </w:rPr>
        <w:t>T</w:t>
      </w:r>
    </w:p>
    <w:p w14:paraId="6AFF42B3" w14:textId="77777777" w:rsidR="00000000" w:rsidRDefault="00D6065B">
      <w:pPr>
        <w:pStyle w:val="a3"/>
        <w:spacing w:before="0" w:beforeAutospacing="0" w:after="0" w:afterAutospacing="0"/>
        <w:jc w:val="both"/>
        <w:rPr>
          <w:sz w:val="20"/>
          <w:szCs w:val="20"/>
        </w:rPr>
      </w:pPr>
      <w:r>
        <w:rPr>
          <w:sz w:val="20"/>
          <w:szCs w:val="20"/>
        </w:rPr>
        <w:t> </w:t>
      </w:r>
    </w:p>
    <w:p w14:paraId="5DAEBE05" w14:textId="77777777" w:rsidR="00000000" w:rsidRDefault="00D6065B">
      <w:pPr>
        <w:pStyle w:val="a3"/>
        <w:spacing w:before="0" w:beforeAutospacing="0" w:after="0" w:afterAutospacing="0"/>
        <w:jc w:val="both"/>
        <w:rPr>
          <w:sz w:val="20"/>
          <w:szCs w:val="20"/>
        </w:rPr>
      </w:pPr>
      <w:r>
        <w:rPr>
          <w:sz w:val="20"/>
          <w:szCs w:val="20"/>
        </w:rPr>
        <w:t xml:space="preserve">On </w:t>
      </w:r>
      <w:r>
        <w:rPr>
          <w:sz w:val="20"/>
          <w:szCs w:val="20"/>
        </w:rPr>
        <w:t>June 4, 2019, the Company entered into an Executive Employment Agreement (“Employment Agreement”) with Dr. Michael K. Korenko, the Company’s Chief Executive Officer. The employment term under the Employment Agreement commenced with an effective date of Jun</w:t>
      </w:r>
      <w:r>
        <w:rPr>
          <w:sz w:val="20"/>
          <w:szCs w:val="20"/>
        </w:rPr>
        <w:t>e 11, 2019 and expires on December 31, 2020, and December 31 of each successive year if the Employment Agreement is extended, unless terminated earlier as set forth in the Employment Agreement. The Company on December 31, 2020 extended this agreement throu</w:t>
      </w:r>
      <w:r>
        <w:rPr>
          <w:sz w:val="20"/>
          <w:szCs w:val="20"/>
        </w:rPr>
        <w:t>gh December 31, 2021 while renegotiating terms of a new Employment Agreement</w:t>
      </w:r>
      <w:r>
        <w:rPr>
          <w:sz w:val="20"/>
          <w:szCs w:val="20"/>
        </w:rPr>
        <w:t>.</w:t>
      </w:r>
      <w:r>
        <w:rPr>
          <w:sz w:val="20"/>
          <w:szCs w:val="20"/>
        </w:rPr>
        <w:t xml:space="preserve"> On May 3, 2021, the Company and the Chief Executive Officer agreed the terms of a new Employment Agreement with an effective date of January 1, 2021 that has a term of</w:t>
      </w:r>
      <w:r>
        <w:rPr>
          <w:sz w:val="20"/>
          <w:szCs w:val="20"/>
        </w:rPr>
        <w:t xml:space="preserve"> </w:t>
      </w:r>
      <w:r>
        <w:rPr>
          <w:sz w:val="20"/>
          <w:szCs w:val="20"/>
        </w:rPr>
        <w:t>thre</w:t>
      </w:r>
      <w:r>
        <w:rPr>
          <w:sz w:val="20"/>
          <w:szCs w:val="20"/>
        </w:rPr>
        <w:t>e</w:t>
      </w:r>
      <w:r>
        <w:rPr>
          <w:sz w:val="20"/>
          <w:szCs w:val="20"/>
        </w:rPr>
        <w:t xml:space="preserve"> year</w:t>
      </w:r>
      <w:r>
        <w:rPr>
          <w:sz w:val="20"/>
          <w:szCs w:val="20"/>
        </w:rPr>
        <w:t>s and expires</w:t>
      </w:r>
      <w:r>
        <w:rPr>
          <w:sz w:val="20"/>
          <w:szCs w:val="20"/>
        </w:rPr>
        <w:t xml:space="preserve"> </w:t>
      </w:r>
      <w:r>
        <w:rPr>
          <w:sz w:val="20"/>
          <w:szCs w:val="20"/>
        </w:rPr>
        <w:t>December 31, 202</w:t>
      </w:r>
      <w:r>
        <w:rPr>
          <w:sz w:val="20"/>
          <w:szCs w:val="20"/>
        </w:rPr>
        <w:t>3</w:t>
      </w:r>
      <w:r>
        <w:rPr>
          <w:sz w:val="20"/>
          <w:szCs w:val="20"/>
        </w:rPr>
        <w:t>.</w:t>
      </w:r>
    </w:p>
    <w:p w14:paraId="13BC9C5D" w14:textId="77777777" w:rsidR="00000000" w:rsidRDefault="00D6065B">
      <w:pPr>
        <w:pStyle w:val="a3"/>
        <w:spacing w:before="0" w:beforeAutospacing="0" w:after="0" w:afterAutospacing="0"/>
        <w:jc w:val="both"/>
        <w:rPr>
          <w:sz w:val="20"/>
          <w:szCs w:val="20"/>
        </w:rPr>
      </w:pPr>
      <w:r>
        <w:rPr>
          <w:sz w:val="20"/>
          <w:szCs w:val="20"/>
        </w:rPr>
        <w:t> </w:t>
      </w:r>
    </w:p>
    <w:p w14:paraId="45C74765" w14:textId="77777777" w:rsidR="00000000" w:rsidRDefault="00D6065B">
      <w:pPr>
        <w:pStyle w:val="a3"/>
        <w:spacing w:before="0" w:beforeAutospacing="0" w:after="0" w:afterAutospacing="0"/>
        <w:jc w:val="both"/>
        <w:rPr>
          <w:sz w:val="20"/>
          <w:szCs w:val="20"/>
        </w:rPr>
      </w:pPr>
      <w:r>
        <w:rPr>
          <w:sz w:val="20"/>
          <w:szCs w:val="20"/>
        </w:rPr>
        <w:t xml:space="preserve">Under the terms of the Employment Agreement, the Company shall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7,500</w:t>
      </w:r>
      <w:r>
        <w:rPr>
          <w:sz w:val="20"/>
          <w:szCs w:val="20"/>
        </w:rPr>
        <w:t xml:space="preserve"> </w:t>
      </w:r>
      <w:r>
        <w:rPr>
          <w:sz w:val="20"/>
          <w:szCs w:val="20"/>
        </w:rPr>
        <w:t>per quarter upon the sati</w:t>
      </w:r>
      <w:r>
        <w:rPr>
          <w:sz w:val="20"/>
          <w:szCs w:val="20"/>
        </w:rPr>
        <w:t>sfaction of conditions to be determined by the Board of Directors of the Company.</w:t>
      </w:r>
    </w:p>
    <w:p w14:paraId="090ABC98"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6EA3A9F" w14:textId="77777777">
        <w:trPr>
          <w:divId w:val="141393585"/>
        </w:trPr>
        <w:tc>
          <w:tcPr>
            <w:tcW w:w="5000" w:type="pct"/>
            <w:hideMark/>
          </w:tcPr>
          <w:p w14:paraId="7BF1D0F5"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05B0F8BB" w14:textId="77777777">
        <w:tc>
          <w:tcPr>
            <w:tcW w:w="5000" w:type="pct"/>
            <w:hideMark/>
          </w:tcPr>
          <w:p w14:paraId="62D7A3BA" w14:textId="77777777" w:rsidR="00000000" w:rsidRDefault="00D6065B">
            <w:pPr>
              <w:jc w:val="center"/>
              <w:rPr>
                <w:rFonts w:eastAsia="Times New Roman"/>
                <w:sz w:val="20"/>
                <w:szCs w:val="20"/>
              </w:rPr>
            </w:pPr>
            <w:r>
              <w:rPr>
                <w:rFonts w:eastAsia="Times New Roman"/>
                <w:sz w:val="20"/>
                <w:szCs w:val="20"/>
              </w:rPr>
              <w:t> </w:t>
            </w:r>
          </w:p>
        </w:tc>
      </w:tr>
    </w:tbl>
    <w:p w14:paraId="7142CF75" w14:textId="77777777" w:rsidR="00000000" w:rsidRDefault="00D6065B">
      <w:pPr>
        <w:pStyle w:val="a3"/>
        <w:spacing w:before="0" w:beforeAutospacing="0" w:after="0" w:afterAutospacing="0"/>
        <w:rPr>
          <w:sz w:val="20"/>
          <w:szCs w:val="20"/>
        </w:rPr>
      </w:pPr>
      <w:r>
        <w:rPr>
          <w:sz w:val="20"/>
          <w:szCs w:val="20"/>
        </w:rPr>
        <w:t> </w:t>
      </w:r>
    </w:p>
    <w:p w14:paraId="2B1DBE2E" w14:textId="77777777" w:rsidR="00000000" w:rsidRDefault="00D6065B">
      <w:pPr>
        <w:pStyle w:val="a3"/>
        <w:spacing w:before="0" w:beforeAutospacing="0" w:after="0" w:afterAutospacing="0"/>
        <w:jc w:val="both"/>
        <w:rPr>
          <w:sz w:val="20"/>
          <w:szCs w:val="20"/>
        </w:rPr>
      </w:pPr>
      <w:r>
        <w:rPr>
          <w:b/>
          <w:bCs/>
          <w:sz w:val="20"/>
          <w:szCs w:val="20"/>
        </w:rPr>
        <w:t>Item 2. Management’</w:t>
      </w:r>
      <w:r>
        <w:rPr>
          <w:b/>
          <w:bCs/>
          <w:sz w:val="20"/>
          <w:szCs w:val="20"/>
        </w:rPr>
        <w:t>s Discussion and Analysis of Financial Condition and Results of Operations.</w:t>
      </w:r>
    </w:p>
    <w:p w14:paraId="2F15BC29" w14:textId="77777777" w:rsidR="00000000" w:rsidRDefault="00D6065B">
      <w:pPr>
        <w:pStyle w:val="a3"/>
        <w:spacing w:before="0" w:beforeAutospacing="0" w:after="0" w:afterAutospacing="0"/>
        <w:ind w:firstLine="720"/>
        <w:jc w:val="both"/>
        <w:rPr>
          <w:sz w:val="20"/>
          <w:szCs w:val="20"/>
        </w:rPr>
      </w:pPr>
      <w:r>
        <w:rPr>
          <w:sz w:val="20"/>
          <w:szCs w:val="20"/>
        </w:rPr>
        <w:t> </w:t>
      </w:r>
    </w:p>
    <w:p w14:paraId="6FE03560" w14:textId="77777777" w:rsidR="00000000" w:rsidRDefault="00D6065B">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14:paraId="076CA4D5" w14:textId="77777777" w:rsidR="00000000" w:rsidRDefault="00D6065B">
      <w:pPr>
        <w:pStyle w:val="a3"/>
        <w:spacing w:before="0" w:beforeAutospacing="0" w:after="0" w:afterAutospacing="0"/>
        <w:jc w:val="both"/>
        <w:rPr>
          <w:sz w:val="20"/>
          <w:szCs w:val="20"/>
        </w:rPr>
      </w:pPr>
      <w:r>
        <w:rPr>
          <w:sz w:val="20"/>
          <w:szCs w:val="20"/>
        </w:rPr>
        <w:t> </w:t>
      </w:r>
    </w:p>
    <w:p w14:paraId="6DFC23B7" w14:textId="77777777" w:rsidR="00000000" w:rsidRDefault="00D6065B">
      <w:pPr>
        <w:pStyle w:val="a3"/>
        <w:spacing w:before="0" w:beforeAutospacing="0" w:after="0" w:afterAutospacing="0"/>
        <w:ind w:firstLine="720"/>
        <w:jc w:val="both"/>
        <w:rPr>
          <w:sz w:val="20"/>
          <w:szCs w:val="20"/>
        </w:rPr>
      </w:pPr>
      <w:r>
        <w:rPr>
          <w:sz w:val="20"/>
          <w:szCs w:val="20"/>
        </w:rPr>
        <w:t xml:space="preserve">Vivos Inc. is a </w:t>
      </w:r>
      <w:r>
        <w:rPr>
          <w:sz w:val="20"/>
          <w:szCs w:val="20"/>
        </w:rPr>
        <w:t>radiation oncology medical device company engaged in the development of its yttrium-90 (“Y-90”) based brachytherapy device, RadioGel™, for the treatment of non-resectable tumors. A prominent team of radiochemists, scientists and engineers, collaborating wi</w:t>
      </w:r>
      <w:r>
        <w:rPr>
          <w:sz w:val="20"/>
          <w:szCs w:val="20"/>
        </w:rPr>
        <w:t>th strategic partners, including national laboratories, universities and private corporations, lead the Company’s development efforts. The Company’s overall vision is to globally empower physicians, medical researchers and patients by providing them with n</w:t>
      </w:r>
      <w:r>
        <w:rPr>
          <w:sz w:val="20"/>
          <w:szCs w:val="20"/>
        </w:rPr>
        <w:t>ew isotope technologies that offer safe and effective treatments for cancer.</w:t>
      </w:r>
    </w:p>
    <w:p w14:paraId="7CF3275A" w14:textId="77777777" w:rsidR="00000000" w:rsidRDefault="00D6065B">
      <w:pPr>
        <w:pStyle w:val="a3"/>
        <w:spacing w:before="0" w:beforeAutospacing="0" w:after="0" w:afterAutospacing="0"/>
        <w:ind w:firstLine="720"/>
        <w:jc w:val="both"/>
        <w:rPr>
          <w:sz w:val="20"/>
          <w:szCs w:val="20"/>
        </w:rPr>
      </w:pPr>
      <w:r>
        <w:rPr>
          <w:sz w:val="20"/>
          <w:szCs w:val="20"/>
        </w:rPr>
        <w:t> </w:t>
      </w:r>
    </w:p>
    <w:p w14:paraId="17399BE9" w14:textId="77777777" w:rsidR="00000000" w:rsidRDefault="00D6065B">
      <w:pPr>
        <w:pStyle w:val="a3"/>
        <w:spacing w:before="0" w:beforeAutospacing="0" w:after="0" w:afterAutospacing="0"/>
        <w:ind w:firstLine="720"/>
        <w:jc w:val="both"/>
        <w:rPr>
          <w:sz w:val="20"/>
          <w:szCs w:val="20"/>
        </w:rPr>
      </w:pPr>
      <w:r>
        <w:rPr>
          <w:sz w:val="20"/>
          <w:szCs w:val="20"/>
        </w:rPr>
        <w:t>In 2013 the FDA issued the determination that RadioGel™ is a device for human therapy for non-resectable cancers in humans. This should result in a faster path than a drug for f</w:t>
      </w:r>
      <w:r>
        <w:rPr>
          <w:sz w:val="20"/>
          <w:szCs w:val="20"/>
        </w:rPr>
        <w:t>inal approval.</w:t>
      </w:r>
    </w:p>
    <w:p w14:paraId="181F08FF" w14:textId="77777777" w:rsidR="00000000" w:rsidRDefault="00D6065B">
      <w:pPr>
        <w:pStyle w:val="a3"/>
        <w:spacing w:before="0" w:beforeAutospacing="0" w:after="0" w:afterAutospacing="0"/>
        <w:jc w:val="both"/>
        <w:rPr>
          <w:sz w:val="20"/>
          <w:szCs w:val="20"/>
        </w:rPr>
      </w:pPr>
      <w:r>
        <w:rPr>
          <w:sz w:val="20"/>
          <w:szCs w:val="20"/>
        </w:rPr>
        <w:t> </w:t>
      </w:r>
    </w:p>
    <w:p w14:paraId="79A8DFD2" w14:textId="77777777" w:rsidR="00000000" w:rsidRDefault="00D6065B">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 xml:space="preserve">should be classified as </w:t>
      </w:r>
      <w:r>
        <w:rPr>
          <w:sz w:val="20"/>
          <w:szCs w:val="20"/>
        </w:rPr>
        <w:t>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w:t>
      </w:r>
      <w:r>
        <w:rPr>
          <w:sz w:val="20"/>
          <w:szCs w:val="20"/>
        </w:rPr>
        <w:t xml:space="preserve"> not limited to canine and feline sarcomas, but rather may be extended to a much broader population of veterinary cancers, including all or most solid tumors in animals. We expect the result of such classification and label review will be that no additiona</w:t>
      </w:r>
      <w:r>
        <w:rPr>
          <w:sz w:val="20"/>
          <w:szCs w:val="20"/>
        </w:rPr>
        <w:t>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the p</w:t>
      </w:r>
      <w:r>
        <w:rPr>
          <w:sz w:val="20"/>
          <w:szCs w:val="20"/>
        </w:rPr>
        <w:t>roduct is safe, effective, properly labeled, and otherwise in compliance with all applicable laws and regulations.</w:t>
      </w:r>
    </w:p>
    <w:p w14:paraId="5E9F7C8A" w14:textId="77777777" w:rsidR="00000000" w:rsidRDefault="00D6065B">
      <w:pPr>
        <w:pStyle w:val="a3"/>
        <w:spacing w:before="0" w:beforeAutospacing="0" w:after="0" w:afterAutospacing="0"/>
        <w:rPr>
          <w:sz w:val="20"/>
          <w:szCs w:val="20"/>
        </w:rPr>
      </w:pPr>
      <w:r>
        <w:rPr>
          <w:sz w:val="20"/>
          <w:szCs w:val="20"/>
        </w:rPr>
        <w:t> </w:t>
      </w:r>
    </w:p>
    <w:p w14:paraId="2779A0B6" w14:textId="77777777" w:rsidR="00000000" w:rsidRDefault="00D6065B">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for use by veterinarians to avoid any confusion between animal </w:t>
      </w:r>
      <w:r>
        <w:rPr>
          <w:sz w:val="20"/>
          <w:szCs w:val="20"/>
        </w:rPr>
        <w:t>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w:t>
      </w:r>
      <w:r>
        <w:rPr>
          <w:sz w:val="20"/>
          <w:szCs w:val="20"/>
        </w:rPr>
        <w:t>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w:t>
      </w:r>
      <w:r>
        <w:rPr>
          <w:sz w:val="20"/>
          <w:szCs w:val="20"/>
        </w:rPr>
        <w:t xml:space="preserve"> Solutions division</w:t>
      </w:r>
      <w:r>
        <w:rPr>
          <w:sz w:val="20"/>
          <w:szCs w:val="20"/>
        </w:rPr>
        <w:t>.</w:t>
      </w:r>
    </w:p>
    <w:p w14:paraId="00173326" w14:textId="77777777" w:rsidR="00000000" w:rsidRDefault="00D6065B">
      <w:pPr>
        <w:pStyle w:val="a3"/>
        <w:spacing w:before="0" w:beforeAutospacing="0" w:after="0" w:afterAutospacing="0"/>
        <w:jc w:val="both"/>
        <w:rPr>
          <w:sz w:val="20"/>
          <w:szCs w:val="20"/>
        </w:rPr>
      </w:pPr>
      <w:r>
        <w:rPr>
          <w:sz w:val="20"/>
          <w:szCs w:val="20"/>
        </w:rPr>
        <w:t> </w:t>
      </w:r>
    </w:p>
    <w:p w14:paraId="1511E1CB" w14:textId="77777777" w:rsidR="00000000" w:rsidRDefault="00D6065B">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treat animal tumors and ultimately use o</w:t>
      </w:r>
      <w:r>
        <w:rPr>
          <w:sz w:val="20"/>
          <w:szCs w:val="20"/>
        </w:rPr>
        <w:t>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w:t>
      </w:r>
      <w:r>
        <w:rPr>
          <w:sz w:val="20"/>
          <w:szCs w:val="20"/>
        </w:rPr>
        <w:t>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w:t>
      </w:r>
      <w:r>
        <w:rPr>
          <w:sz w:val="20"/>
          <w:szCs w:val="20"/>
        </w:rPr>
        <w:t>comas and equine sarcoids starting in November 2017.</w:t>
      </w:r>
    </w:p>
    <w:p w14:paraId="6A0FE9EF" w14:textId="77777777" w:rsidR="00000000" w:rsidRDefault="00D6065B">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3C71D09" w14:textId="77777777">
        <w:trPr>
          <w:divId w:val="135145946"/>
        </w:trPr>
        <w:tc>
          <w:tcPr>
            <w:tcW w:w="5000" w:type="pct"/>
            <w:hideMark/>
          </w:tcPr>
          <w:p w14:paraId="7F8E5E5D"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2F015B1D" w14:textId="77777777">
        <w:tc>
          <w:tcPr>
            <w:tcW w:w="5000" w:type="pct"/>
            <w:hideMark/>
          </w:tcPr>
          <w:p w14:paraId="58B19080" w14:textId="77777777" w:rsidR="00000000" w:rsidRDefault="00D6065B">
            <w:pPr>
              <w:jc w:val="center"/>
              <w:rPr>
                <w:rFonts w:eastAsia="Times New Roman"/>
                <w:sz w:val="20"/>
                <w:szCs w:val="20"/>
              </w:rPr>
            </w:pPr>
            <w:r>
              <w:rPr>
                <w:rFonts w:eastAsia="Times New Roman"/>
                <w:sz w:val="20"/>
                <w:szCs w:val="20"/>
              </w:rPr>
              <w:t> </w:t>
            </w:r>
          </w:p>
        </w:tc>
      </w:tr>
    </w:tbl>
    <w:p w14:paraId="62112E7E" w14:textId="77777777" w:rsidR="00000000" w:rsidRDefault="00D6065B">
      <w:pPr>
        <w:pStyle w:val="a3"/>
        <w:spacing w:before="0" w:beforeAutospacing="0" w:after="0" w:afterAutospacing="0"/>
        <w:rPr>
          <w:sz w:val="20"/>
          <w:szCs w:val="20"/>
        </w:rPr>
      </w:pPr>
      <w:r>
        <w:rPr>
          <w:sz w:val="20"/>
          <w:szCs w:val="20"/>
        </w:rPr>
        <w:t> </w:t>
      </w:r>
    </w:p>
    <w:p w14:paraId="48317223" w14:textId="77777777" w:rsidR="00000000" w:rsidRDefault="00D6065B">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w:t>
      </w:r>
      <w:r>
        <w:rPr>
          <w:sz w:val="20"/>
          <w:szCs w:val="20"/>
        </w:rPr>
        <w:t>espond), stay the same (stabilize), or worsen (progress) during treatment. The criteria were published by an international collaboration including the European Organisation for Research and Treatment of Cancer (“EORTC”), National Cancer Institute of the Un</w:t>
      </w:r>
      <w:r>
        <w:rPr>
          <w:sz w:val="20"/>
          <w:szCs w:val="20"/>
        </w:rPr>
        <w:t>ited States, and the National Cancer Institute of Canada Clinical Trials Group.</w:t>
      </w:r>
    </w:p>
    <w:p w14:paraId="2BF484CE"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 </w:t>
      </w:r>
    </w:p>
    <w:p w14:paraId="5E978F60" w14:textId="77777777" w:rsidR="00000000" w:rsidRDefault="00D6065B">
      <w:pPr>
        <w:pStyle w:val="a3"/>
        <w:spacing w:before="0" w:beforeAutospacing="0" w:after="0" w:afterAutospacing="0"/>
        <w:ind w:firstLine="70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14:paraId="77644D15" w14:textId="77777777" w:rsidR="00000000" w:rsidRDefault="00D6065B">
      <w:pPr>
        <w:pStyle w:val="a3"/>
        <w:spacing w:before="0" w:beforeAutospacing="0" w:after="0" w:afterAutospacing="0"/>
        <w:ind w:firstLine="700"/>
        <w:jc w:val="both"/>
        <w:rPr>
          <w:sz w:val="20"/>
          <w:szCs w:val="20"/>
        </w:rPr>
      </w:pPr>
      <w:r>
        <w:rPr>
          <w:sz w:val="20"/>
          <w:szCs w:val="20"/>
        </w:rPr>
        <w:t> </w:t>
      </w:r>
    </w:p>
    <w:p w14:paraId="5DEE1E75" w14:textId="77777777" w:rsidR="00000000" w:rsidRDefault="00D6065B">
      <w:pPr>
        <w:pStyle w:val="a3"/>
        <w:spacing w:before="0" w:beforeAutospacing="0" w:after="0" w:afterAutospacing="0"/>
        <w:ind w:firstLine="70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14:paraId="131343DA"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 </w:t>
      </w:r>
    </w:p>
    <w:p w14:paraId="651EB166"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w:t>
      </w:r>
      <w:r>
        <w:rPr>
          <w:sz w:val="20"/>
          <w:szCs w:val="20"/>
        </w:rPr>
        <w:t>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14:paraId="65888087" w14:textId="77777777" w:rsidR="00000000" w:rsidRDefault="00D6065B">
      <w:pPr>
        <w:pStyle w:val="a3"/>
        <w:spacing w:before="0" w:beforeAutospacing="0" w:after="0" w:afterAutospacing="0"/>
        <w:jc w:val="both"/>
        <w:rPr>
          <w:sz w:val="20"/>
          <w:szCs w:val="20"/>
        </w:rPr>
      </w:pPr>
      <w:r>
        <w:rPr>
          <w:sz w:val="20"/>
          <w:szCs w:val="20"/>
        </w:rPr>
        <w:t> </w:t>
      </w:r>
    </w:p>
    <w:p w14:paraId="40B79927" w14:textId="77777777" w:rsidR="00000000" w:rsidRDefault="00D6065B">
      <w:pPr>
        <w:pStyle w:val="a3"/>
        <w:spacing w:before="0" w:beforeAutospacing="0" w:after="0" w:afterAutospacing="0"/>
        <w:ind w:firstLine="700"/>
        <w:jc w:val="both"/>
        <w:rPr>
          <w:sz w:val="20"/>
          <w:szCs w:val="20"/>
        </w:rPr>
      </w:pPr>
      <w:r>
        <w:rPr>
          <w:sz w:val="20"/>
          <w:szCs w:val="20"/>
        </w:rPr>
        <w:t xml:space="preserve">Commencing in July 2019, the Company recognized its first commercial sale of IsoPet®. </w:t>
      </w:r>
      <w:r>
        <w:rPr>
          <w:sz w:val="20"/>
          <w:szCs w:val="20"/>
          <w:shd w:val="clear" w:color="auto" w:fill="FFFFFF"/>
        </w:rPr>
        <w:t>A</w:t>
      </w:r>
      <w:r>
        <w:rPr>
          <w:sz w:val="20"/>
          <w:szCs w:val="20"/>
          <w:shd w:val="clear" w:color="auto" w:fill="FFFFFF"/>
        </w:rPr>
        <w:t xml:space="preserve"> veterinarian from Alaska brought his cat with a re-occurrent spindle cell sarcoma tumor on his face. The cat had previously received external beam therapy, but now the tumor was growing rapidly. He was given a high dose of 400Gy with heavy therapy at the </w:t>
      </w:r>
      <w:r>
        <w:rPr>
          <w:sz w:val="20"/>
          <w:szCs w:val="20"/>
          <w:shd w:val="clear" w:color="auto" w:fill="FFFFFF"/>
        </w:rPr>
        <w:t xml:space="preserve">margins. This sale met the revenue recognition requirements under ASC 606 as the performance obligation was satisfied. The Company completed sales for an additional four animals that received </w:t>
      </w:r>
      <w:r>
        <w:rPr>
          <w:sz w:val="20"/>
          <w:szCs w:val="20"/>
        </w:rPr>
        <w:t>the IsoPet® during 2019.</w:t>
      </w:r>
    </w:p>
    <w:p w14:paraId="5E7B4C66" w14:textId="77777777" w:rsidR="00000000" w:rsidRDefault="00D6065B">
      <w:pPr>
        <w:pStyle w:val="a3"/>
        <w:spacing w:before="0" w:beforeAutospacing="0" w:after="0" w:afterAutospacing="0"/>
        <w:ind w:firstLine="720"/>
        <w:jc w:val="both"/>
        <w:rPr>
          <w:sz w:val="20"/>
          <w:szCs w:val="20"/>
        </w:rPr>
      </w:pPr>
      <w:r>
        <w:rPr>
          <w:sz w:val="20"/>
          <w:szCs w:val="20"/>
        </w:rPr>
        <w:t> </w:t>
      </w:r>
    </w:p>
    <w:p w14:paraId="3B2EE016" w14:textId="77777777" w:rsidR="00000000" w:rsidRDefault="00D6065B">
      <w:pPr>
        <w:pStyle w:val="a3"/>
        <w:spacing w:before="0" w:beforeAutospacing="0" w:after="0" w:afterAutospacing="0"/>
        <w:ind w:firstLine="720"/>
        <w:jc w:val="both"/>
        <w:rPr>
          <w:sz w:val="20"/>
          <w:szCs w:val="20"/>
        </w:rPr>
      </w:pPr>
      <w:r>
        <w:rPr>
          <w:sz w:val="20"/>
          <w:szCs w:val="20"/>
        </w:rPr>
        <w:t>Our plan is to incorporate the data a</w:t>
      </w:r>
      <w:r>
        <w:rPr>
          <w:sz w:val="20"/>
          <w:szCs w:val="20"/>
        </w:rPr>
        <w:t>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w:t>
      </w:r>
      <w:r>
        <w:rPr>
          <w:sz w:val="20"/>
          <w:szCs w:val="20"/>
        </w:rPr>
        <w:t xml:space="preserve">n injectable particle-gel for brachytherapy radiation treatment of cancerous tumors in people and animals. RadioGel™ is comprised of a hydrogel, or a substance that is liquid at room temperature and then gels when reaching body temperature after injection </w:t>
      </w:r>
      <w:r>
        <w:rPr>
          <w:sz w:val="20"/>
          <w:szCs w:val="20"/>
        </w:rPr>
        <w:t>into a tumor. In the gel are small, less than two microns, Y-90 phosphate particles. Once injected, these inert particles are locked in place inside the tumor by the gel, delivering a very high local radiation dose. The radiation is beta, consisting of hig</w:t>
      </w:r>
      <w:r>
        <w:rPr>
          <w:sz w:val="20"/>
          <w:szCs w:val="20"/>
        </w:rPr>
        <w:t>h-speed electrons. These electrons only travel a short distance so the device can deliver high radiation to the tumor with minimal dose to the surrounding tissue. Optimally, patients can go home immediately following treatment without the risk of radiation</w:t>
      </w:r>
      <w:r>
        <w:rPr>
          <w:sz w:val="20"/>
          <w:szCs w:val="20"/>
        </w:rPr>
        <w:t xml:space="preserve"> exposure to family members. Since Y-90 has a half-life of 2.7 days, the radioactivity drops to 5% of its original value after ten days.</w:t>
      </w:r>
    </w:p>
    <w:p w14:paraId="10578F93" w14:textId="77777777" w:rsidR="00000000" w:rsidRDefault="00D6065B">
      <w:pPr>
        <w:pStyle w:val="a3"/>
        <w:spacing w:before="0" w:beforeAutospacing="0" w:after="0" w:afterAutospacing="0"/>
        <w:rPr>
          <w:sz w:val="20"/>
          <w:szCs w:val="20"/>
        </w:rPr>
      </w:pPr>
      <w:r>
        <w:rPr>
          <w:sz w:val="20"/>
          <w:szCs w:val="20"/>
        </w:rPr>
        <w:t> </w:t>
      </w:r>
    </w:p>
    <w:p w14:paraId="0A2BBD3E" w14:textId="77777777" w:rsidR="00000000" w:rsidRDefault="00D6065B">
      <w:pPr>
        <w:pStyle w:val="a3"/>
        <w:spacing w:before="0" w:beforeAutospacing="0" w:after="0" w:afterAutospacing="0"/>
        <w:ind w:firstLine="720"/>
        <w:jc w:val="both"/>
        <w:rPr>
          <w:sz w:val="20"/>
          <w:szCs w:val="20"/>
        </w:rPr>
      </w:pPr>
      <w:r>
        <w:rPr>
          <w:sz w:val="20"/>
          <w:szCs w:val="20"/>
        </w:rPr>
        <w:t>Recently, the Company modified its Indication for Use from skin cancel to cancerous tissue or solid tumors pathologic</w:t>
      </w:r>
      <w:r>
        <w:rPr>
          <w:sz w:val="20"/>
          <w:szCs w:val="20"/>
        </w:rPr>
        <w:t xml:space="preserve">ally associated with locoregional papillary thyroid carcinoma and recurrent papillary thyroid carcinoma having discernable tumors associated with metastatic lymph nodes or extranodal disease in patients who are not surgical candidates or who have declined </w:t>
      </w:r>
      <w:r>
        <w:rPr>
          <w:sz w:val="20"/>
          <w:szCs w:val="20"/>
        </w:rPr>
        <w:t>surgery, or patients who require post-surgical remnant ablation (for example, after prior incomplete radioiodine therapy). Papillary thyroid carcinoma belongs to the general class of head and neck tumors for which tumors are accessible by intraoperative di</w:t>
      </w:r>
      <w:r>
        <w:rPr>
          <w:sz w:val="20"/>
          <w:szCs w:val="20"/>
        </w:rPr>
        <w:t>rect needle injection. The Company’s Medical Advisory Board felt that demonstrating efficacy in clinical trials was much easier with this new indication.</w:t>
      </w:r>
    </w:p>
    <w:p w14:paraId="4B07A7E6" w14:textId="77777777" w:rsidR="00000000" w:rsidRDefault="00D6065B">
      <w:pPr>
        <w:pStyle w:val="a3"/>
        <w:spacing w:before="0" w:beforeAutospacing="0" w:after="0" w:afterAutospacing="0"/>
        <w:ind w:firstLine="720"/>
        <w:jc w:val="both"/>
        <w:rPr>
          <w:sz w:val="20"/>
          <w:szCs w:val="20"/>
        </w:rPr>
      </w:pPr>
      <w:r>
        <w:rPr>
          <w:sz w:val="20"/>
          <w:szCs w:val="20"/>
        </w:rPr>
        <w:t> </w:t>
      </w:r>
    </w:p>
    <w:p w14:paraId="7FC0FB1E" w14:textId="77777777" w:rsidR="00000000" w:rsidRDefault="00D6065B">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w:t>
      </w:r>
      <w:r>
        <w:rPr>
          <w:sz w:val="20"/>
          <w:szCs w:val="20"/>
        </w:rPr>
        <w:t>loped for Battelle Memorial Institute (“</w:t>
      </w:r>
      <w:r>
        <w:rPr>
          <w:i/>
          <w:iCs/>
          <w:sz w:val="20"/>
          <w:szCs w:val="20"/>
        </w:rPr>
        <w:t>Battelle</w:t>
      </w:r>
      <w:r>
        <w:rPr>
          <w:sz w:val="20"/>
          <w:szCs w:val="20"/>
        </w:rPr>
        <w:t xml:space="preserve">”) at Pacific Northwest National Laboratory, a leading research institute for government and commercial customers. Battelle has granted the Company an exclusive license to patents covering the manufacturing, </w:t>
      </w:r>
      <w:r>
        <w:rPr>
          <w:sz w:val="20"/>
          <w:szCs w:val="20"/>
        </w:rPr>
        <w:t>processing and applications of RadioGel™ (the “</w:t>
      </w:r>
      <w:r>
        <w:rPr>
          <w:i/>
          <w:iCs/>
          <w:sz w:val="20"/>
          <w:szCs w:val="20"/>
        </w:rPr>
        <w:t>Battelle License</w:t>
      </w:r>
      <w:r>
        <w:rPr>
          <w:sz w:val="20"/>
          <w:szCs w:val="20"/>
        </w:rPr>
        <w:t>”). This exclusive license is to terminate upon the expiration of the last patent included in this agreement (May 2022). Other intellectual property protection includes proprietary production p</w:t>
      </w:r>
      <w:r>
        <w:rPr>
          <w:sz w:val="20"/>
          <w:szCs w:val="20"/>
        </w:rPr>
        <w:t>rocesses and trademark protection in 17 countries.</w:t>
      </w:r>
    </w:p>
    <w:p w14:paraId="296EA290"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519E00" w14:textId="77777777">
        <w:trPr>
          <w:divId w:val="208222879"/>
        </w:trPr>
        <w:tc>
          <w:tcPr>
            <w:tcW w:w="5000" w:type="pct"/>
            <w:hideMark/>
          </w:tcPr>
          <w:p w14:paraId="145F411C"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4287A94D" w14:textId="77777777">
        <w:tc>
          <w:tcPr>
            <w:tcW w:w="5000" w:type="pct"/>
            <w:hideMark/>
          </w:tcPr>
          <w:p w14:paraId="47271CC6" w14:textId="77777777" w:rsidR="00000000" w:rsidRDefault="00D6065B">
            <w:pPr>
              <w:jc w:val="center"/>
              <w:rPr>
                <w:rFonts w:eastAsia="Times New Roman"/>
                <w:sz w:val="20"/>
                <w:szCs w:val="20"/>
              </w:rPr>
            </w:pPr>
            <w:r>
              <w:rPr>
                <w:rFonts w:eastAsia="Times New Roman"/>
                <w:sz w:val="20"/>
                <w:szCs w:val="20"/>
              </w:rPr>
              <w:t> </w:t>
            </w:r>
          </w:p>
        </w:tc>
      </w:tr>
    </w:tbl>
    <w:p w14:paraId="6976D2DA" w14:textId="77777777" w:rsidR="00000000" w:rsidRDefault="00D6065B">
      <w:pPr>
        <w:pStyle w:val="a3"/>
        <w:spacing w:before="0" w:beforeAutospacing="0" w:after="0" w:afterAutospacing="0"/>
        <w:rPr>
          <w:sz w:val="20"/>
          <w:szCs w:val="20"/>
        </w:rPr>
      </w:pPr>
      <w:r>
        <w:rPr>
          <w:sz w:val="20"/>
          <w:szCs w:val="20"/>
        </w:rPr>
        <w:t> </w:t>
      </w:r>
    </w:p>
    <w:p w14:paraId="0E83D3E8" w14:textId="77777777" w:rsidR="00000000" w:rsidRDefault="00D6065B">
      <w:pPr>
        <w:pStyle w:val="a3"/>
        <w:spacing w:before="0" w:beforeAutospacing="0" w:after="0" w:afterAutospacing="0"/>
        <w:ind w:firstLine="720"/>
        <w:jc w:val="both"/>
        <w:rPr>
          <w:sz w:val="20"/>
          <w:szCs w:val="20"/>
        </w:rPr>
      </w:pPr>
      <w:r>
        <w:rPr>
          <w:sz w:val="20"/>
          <w:szCs w:val="20"/>
        </w:rPr>
        <w:t xml:space="preserve">The </w:t>
      </w:r>
      <w:r>
        <w:rPr>
          <w:sz w:val="20"/>
          <w:szCs w:val="20"/>
        </w:rPr>
        <w:t>Company plans to continue efforts to develop new refinements on the production process, and the product and application hardware, as a basis for future patents.</w:t>
      </w:r>
    </w:p>
    <w:p w14:paraId="72653588" w14:textId="77777777" w:rsidR="00000000" w:rsidRDefault="00D6065B">
      <w:pPr>
        <w:pStyle w:val="a3"/>
        <w:spacing w:before="0" w:beforeAutospacing="0" w:after="0" w:afterAutospacing="0"/>
        <w:ind w:firstLine="720"/>
        <w:jc w:val="both"/>
        <w:rPr>
          <w:sz w:val="20"/>
          <w:szCs w:val="20"/>
        </w:rPr>
      </w:pPr>
      <w:r>
        <w:rPr>
          <w:sz w:val="20"/>
          <w:szCs w:val="20"/>
        </w:rPr>
        <w:t> </w:t>
      </w:r>
    </w:p>
    <w:p w14:paraId="2FC3A2D6" w14:textId="77777777" w:rsidR="00000000" w:rsidRDefault="00D6065B">
      <w:pPr>
        <w:pStyle w:val="a3"/>
        <w:spacing w:before="0" w:beforeAutospacing="0" w:after="0" w:afterAutospacing="0"/>
        <w:ind w:firstLine="720"/>
        <w:jc w:val="both"/>
        <w:rPr>
          <w:sz w:val="20"/>
          <w:szCs w:val="20"/>
        </w:rPr>
      </w:pPr>
      <w:r>
        <w:rPr>
          <w:sz w:val="20"/>
          <w:szCs w:val="20"/>
        </w:rPr>
        <w:t xml:space="preserve">The Company received </w:t>
      </w:r>
      <w:r>
        <w:rPr>
          <w:sz w:val="20"/>
          <w:szCs w:val="20"/>
          <w:shd w:val="clear" w:color="auto" w:fill="FFFFFF"/>
        </w:rPr>
        <w:t>the Patent Cooperation Treaty (“PCT”) International Search Report on our</w:t>
      </w:r>
      <w:r>
        <w:rPr>
          <w:sz w:val="20"/>
          <w:szCs w:val="20"/>
          <w:shd w:val="clear" w:color="auto" w:fill="FFFFFF"/>
        </w:rPr>
        <w:t xml:space="preserve"> patent application (No.1811.191). Seven of our claims</w:t>
      </w:r>
      <w:r>
        <w:rPr>
          <w:sz w:val="20"/>
          <w:szCs w:val="20"/>
        </w:rPr>
        <w:t xml:space="preserve"> were immediately ruled as having novelty, inventive step and industrial applicability. This gives us the basis to extend for many years the patent protection for our proprietary Yttrium-90 phosphate pa</w:t>
      </w:r>
      <w:r>
        <w:rPr>
          <w:sz w:val="20"/>
          <w:szCs w:val="20"/>
        </w:rPr>
        <w:t>rticles utilized in Isopet</w:t>
      </w:r>
      <w:r>
        <w:rPr>
          <w:sz w:val="20"/>
          <w:szCs w:val="20"/>
          <w:vertAlign w:val="superscript"/>
        </w:rPr>
        <w:t>®</w:t>
      </w:r>
      <w:r>
        <w:rPr>
          <w:sz w:val="20"/>
          <w:szCs w:val="20"/>
        </w:rPr>
        <w:t xml:space="preserve"> and Radiogel™. As part of the normal review process, we have also submitted the technical justification for seven additional claims. We are in the process of filing patent claims in Canada, UK (Great Britain, Scotland, Wales and</w:t>
      </w:r>
      <w:r>
        <w:rPr>
          <w:sz w:val="20"/>
          <w:szCs w:val="20"/>
        </w:rPr>
        <w:t xml:space="preserve"> Ireland), Japan, Germany, Italy, France, Australia, Brazil, China, India, North Countries (Sweden, Norway, Finland, and Denmark).</w:t>
      </w:r>
    </w:p>
    <w:p w14:paraId="7F4AAC1A" w14:textId="77777777" w:rsidR="00000000" w:rsidRDefault="00D6065B">
      <w:pPr>
        <w:pStyle w:val="a3"/>
        <w:spacing w:before="0" w:beforeAutospacing="0" w:after="0" w:afterAutospacing="0"/>
        <w:ind w:firstLine="644"/>
        <w:jc w:val="both"/>
        <w:rPr>
          <w:sz w:val="20"/>
          <w:szCs w:val="20"/>
        </w:rPr>
      </w:pPr>
      <w:r>
        <w:rPr>
          <w:sz w:val="20"/>
          <w:szCs w:val="20"/>
        </w:rPr>
        <w:t> </w:t>
      </w:r>
    </w:p>
    <w:p w14:paraId="6EB962C5" w14:textId="77777777" w:rsidR="00000000" w:rsidRDefault="00D6065B">
      <w:pPr>
        <w:pStyle w:val="a3"/>
        <w:spacing w:before="0" w:beforeAutospacing="0" w:after="0" w:afterAutospacing="0"/>
        <w:jc w:val="both"/>
        <w:rPr>
          <w:sz w:val="20"/>
          <w:szCs w:val="20"/>
        </w:rPr>
      </w:pPr>
      <w:r>
        <w:rPr>
          <w:b/>
          <w:bCs/>
          <w:sz w:val="20"/>
          <w:szCs w:val="20"/>
        </w:rPr>
        <w:t>Vista Veterinary Hospital</w:t>
      </w:r>
    </w:p>
    <w:p w14:paraId="590F0D2F" w14:textId="77777777" w:rsidR="00000000" w:rsidRDefault="00D6065B">
      <w:pPr>
        <w:pStyle w:val="a3"/>
        <w:spacing w:before="0" w:beforeAutospacing="0" w:after="0" w:afterAutospacing="0"/>
        <w:ind w:firstLine="644"/>
        <w:jc w:val="both"/>
        <w:rPr>
          <w:sz w:val="20"/>
          <w:szCs w:val="20"/>
        </w:rPr>
      </w:pPr>
      <w:r>
        <w:rPr>
          <w:sz w:val="20"/>
          <w:szCs w:val="20"/>
        </w:rPr>
        <w:t> </w:t>
      </w:r>
    </w:p>
    <w:p w14:paraId="3179BA63" w14:textId="77777777" w:rsidR="00000000" w:rsidRDefault="00D6065B">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w:t>
      </w:r>
      <w:r>
        <w:rPr>
          <w:sz w:val="20"/>
          <w:szCs w:val="20"/>
        </w:rPr>
        <w:t>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Washington area which is convenient for interactions with key pers</w:t>
      </w:r>
      <w:r>
        <w:rPr>
          <w:sz w:val="20"/>
          <w:szCs w:val="20"/>
        </w:rPr>
        <w:t>onnel of the Company. The pilot is being used to</w:t>
      </w:r>
    </w:p>
    <w:p w14:paraId="25F03A8A" w14:textId="77777777" w:rsidR="00000000" w:rsidRDefault="00D6065B">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1C24F16" w14:textId="77777777">
        <w:tc>
          <w:tcPr>
            <w:tcW w:w="360" w:type="dxa"/>
            <w:hideMark/>
          </w:tcPr>
          <w:p w14:paraId="0C027A0E" w14:textId="77777777" w:rsidR="00000000" w:rsidRDefault="00D6065B">
            <w:pPr>
              <w:rPr>
                <w:rFonts w:eastAsia="Times New Roman"/>
                <w:sz w:val="20"/>
                <w:szCs w:val="20"/>
              </w:rPr>
            </w:pPr>
            <w:r>
              <w:rPr>
                <w:rFonts w:eastAsia="Times New Roman"/>
                <w:sz w:val="20"/>
                <w:szCs w:val="20"/>
              </w:rPr>
              <w:t> </w:t>
            </w:r>
          </w:p>
        </w:tc>
        <w:tc>
          <w:tcPr>
            <w:tcW w:w="360" w:type="dxa"/>
            <w:hideMark/>
          </w:tcPr>
          <w:p w14:paraId="56112E38" w14:textId="77777777" w:rsidR="00000000" w:rsidRDefault="00D6065B">
            <w:pPr>
              <w:rPr>
                <w:rFonts w:eastAsia="Times New Roman"/>
                <w:sz w:val="20"/>
                <w:szCs w:val="20"/>
              </w:rPr>
            </w:pPr>
            <w:r>
              <w:rPr>
                <w:rFonts w:eastAsia="Times New Roman"/>
                <w:sz w:val="20"/>
                <w:szCs w:val="20"/>
              </w:rPr>
              <w:t>●</w:t>
            </w:r>
          </w:p>
        </w:tc>
        <w:tc>
          <w:tcPr>
            <w:tcW w:w="0" w:type="auto"/>
            <w:hideMark/>
          </w:tcPr>
          <w:p w14:paraId="6C2710F4" w14:textId="77777777" w:rsidR="00000000" w:rsidRDefault="00D6065B">
            <w:pPr>
              <w:jc w:val="both"/>
              <w:rPr>
                <w:rFonts w:eastAsia="Times New Roman"/>
                <w:sz w:val="20"/>
                <w:szCs w:val="20"/>
              </w:rPr>
            </w:pPr>
            <w:r>
              <w:rPr>
                <w:rFonts w:eastAsia="Times New Roman"/>
                <w:sz w:val="20"/>
                <w:szCs w:val="20"/>
              </w:rPr>
              <w:t xml:space="preserve">Refine the Memorandum of Understanding to define all the germane interfaces, roles and liabilities between Vista Inc and the private clinics, including the pilot responsivity to document and share the </w:t>
            </w:r>
            <w:r>
              <w:rPr>
                <w:rFonts w:eastAsia="Times New Roman"/>
                <w:sz w:val="20"/>
                <w:szCs w:val="20"/>
              </w:rPr>
              <w:t>key aspects of all therapies with the Company;</w:t>
            </w:r>
          </w:p>
        </w:tc>
      </w:tr>
      <w:tr w:rsidR="00000000" w14:paraId="1FAD84FF" w14:textId="77777777">
        <w:tc>
          <w:tcPr>
            <w:tcW w:w="0" w:type="auto"/>
            <w:hideMark/>
          </w:tcPr>
          <w:p w14:paraId="0660CEF2" w14:textId="77777777" w:rsidR="00000000" w:rsidRDefault="00D6065B">
            <w:pPr>
              <w:rPr>
                <w:rFonts w:eastAsia="Times New Roman"/>
                <w:sz w:val="20"/>
                <w:szCs w:val="20"/>
              </w:rPr>
            </w:pPr>
            <w:r>
              <w:rPr>
                <w:rFonts w:eastAsia="Times New Roman"/>
                <w:sz w:val="20"/>
                <w:szCs w:val="20"/>
              </w:rPr>
              <w:t> </w:t>
            </w:r>
          </w:p>
        </w:tc>
        <w:tc>
          <w:tcPr>
            <w:tcW w:w="0" w:type="auto"/>
            <w:hideMark/>
          </w:tcPr>
          <w:p w14:paraId="4AEFC61F" w14:textId="77777777" w:rsidR="00000000" w:rsidRDefault="00D6065B">
            <w:pPr>
              <w:rPr>
                <w:rFonts w:eastAsia="Times New Roman"/>
                <w:sz w:val="20"/>
                <w:szCs w:val="20"/>
              </w:rPr>
            </w:pPr>
            <w:r>
              <w:rPr>
                <w:rFonts w:eastAsia="Times New Roman"/>
                <w:sz w:val="20"/>
                <w:szCs w:val="20"/>
              </w:rPr>
              <w:t>●</w:t>
            </w:r>
          </w:p>
        </w:tc>
        <w:tc>
          <w:tcPr>
            <w:tcW w:w="0" w:type="auto"/>
            <w:hideMark/>
          </w:tcPr>
          <w:p w14:paraId="6B90738B" w14:textId="77777777" w:rsidR="00000000" w:rsidRDefault="00D6065B">
            <w:pPr>
              <w:jc w:val="both"/>
              <w:rPr>
                <w:rFonts w:eastAsia="Times New Roman"/>
                <w:sz w:val="20"/>
                <w:szCs w:val="20"/>
              </w:rPr>
            </w:pPr>
            <w:r>
              <w:rPr>
                <w:rFonts w:eastAsia="Times New Roman"/>
                <w:sz w:val="20"/>
                <w:szCs w:val="20"/>
              </w:rPr>
              <w:t>Create and implement proprietary certification training packages;</w:t>
            </w:r>
          </w:p>
        </w:tc>
      </w:tr>
      <w:tr w:rsidR="00000000" w14:paraId="16368808" w14:textId="77777777">
        <w:tc>
          <w:tcPr>
            <w:tcW w:w="0" w:type="auto"/>
            <w:hideMark/>
          </w:tcPr>
          <w:p w14:paraId="5ED3FAE2" w14:textId="77777777" w:rsidR="00000000" w:rsidRDefault="00D6065B">
            <w:pPr>
              <w:rPr>
                <w:rFonts w:eastAsia="Times New Roman"/>
                <w:sz w:val="20"/>
                <w:szCs w:val="20"/>
              </w:rPr>
            </w:pPr>
            <w:r>
              <w:rPr>
                <w:rFonts w:eastAsia="Times New Roman"/>
                <w:sz w:val="20"/>
                <w:szCs w:val="20"/>
              </w:rPr>
              <w:t> </w:t>
            </w:r>
          </w:p>
        </w:tc>
        <w:tc>
          <w:tcPr>
            <w:tcW w:w="0" w:type="auto"/>
            <w:hideMark/>
          </w:tcPr>
          <w:p w14:paraId="054C9E8D" w14:textId="77777777" w:rsidR="00000000" w:rsidRDefault="00D6065B">
            <w:pPr>
              <w:rPr>
                <w:rFonts w:eastAsia="Times New Roman"/>
                <w:sz w:val="20"/>
                <w:szCs w:val="20"/>
              </w:rPr>
            </w:pPr>
            <w:r>
              <w:rPr>
                <w:rFonts w:eastAsia="Times New Roman"/>
                <w:sz w:val="20"/>
                <w:szCs w:val="20"/>
              </w:rPr>
              <w:t>●</w:t>
            </w:r>
          </w:p>
        </w:tc>
        <w:tc>
          <w:tcPr>
            <w:tcW w:w="0" w:type="auto"/>
            <w:hideMark/>
          </w:tcPr>
          <w:p w14:paraId="676B30A8" w14:textId="77777777" w:rsidR="00000000" w:rsidRDefault="00D6065B">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14:paraId="4DDFBB42" w14:textId="77777777">
        <w:tc>
          <w:tcPr>
            <w:tcW w:w="0" w:type="auto"/>
            <w:hideMark/>
          </w:tcPr>
          <w:p w14:paraId="450D5D11" w14:textId="77777777" w:rsidR="00000000" w:rsidRDefault="00D6065B">
            <w:pPr>
              <w:rPr>
                <w:rFonts w:eastAsia="Times New Roman"/>
                <w:sz w:val="20"/>
                <w:szCs w:val="20"/>
              </w:rPr>
            </w:pPr>
            <w:r>
              <w:rPr>
                <w:rFonts w:eastAsia="Times New Roman"/>
                <w:sz w:val="20"/>
                <w:szCs w:val="20"/>
              </w:rPr>
              <w:t> </w:t>
            </w:r>
          </w:p>
        </w:tc>
        <w:tc>
          <w:tcPr>
            <w:tcW w:w="0" w:type="auto"/>
            <w:hideMark/>
          </w:tcPr>
          <w:p w14:paraId="2CB83DED" w14:textId="77777777" w:rsidR="00000000" w:rsidRDefault="00D6065B">
            <w:pPr>
              <w:rPr>
                <w:rFonts w:eastAsia="Times New Roman"/>
                <w:sz w:val="20"/>
                <w:szCs w:val="20"/>
              </w:rPr>
            </w:pPr>
            <w:r>
              <w:rPr>
                <w:rFonts w:eastAsia="Times New Roman"/>
                <w:sz w:val="20"/>
                <w:szCs w:val="20"/>
              </w:rPr>
              <w:t>●</w:t>
            </w:r>
          </w:p>
        </w:tc>
        <w:tc>
          <w:tcPr>
            <w:tcW w:w="0" w:type="auto"/>
            <w:hideMark/>
          </w:tcPr>
          <w:p w14:paraId="332C8464" w14:textId="77777777" w:rsidR="00000000" w:rsidRDefault="00D6065B">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14:paraId="7A383E5F" w14:textId="77777777">
        <w:tc>
          <w:tcPr>
            <w:tcW w:w="0" w:type="auto"/>
            <w:hideMark/>
          </w:tcPr>
          <w:p w14:paraId="1B1F9F08" w14:textId="77777777" w:rsidR="00000000" w:rsidRDefault="00D6065B">
            <w:pPr>
              <w:rPr>
                <w:rFonts w:eastAsia="Times New Roman"/>
                <w:sz w:val="20"/>
                <w:szCs w:val="20"/>
              </w:rPr>
            </w:pPr>
            <w:r>
              <w:rPr>
                <w:rFonts w:eastAsia="Times New Roman"/>
                <w:sz w:val="20"/>
                <w:szCs w:val="20"/>
              </w:rPr>
              <w:t> </w:t>
            </w:r>
          </w:p>
        </w:tc>
        <w:tc>
          <w:tcPr>
            <w:tcW w:w="0" w:type="auto"/>
            <w:hideMark/>
          </w:tcPr>
          <w:p w14:paraId="2724B765" w14:textId="77777777" w:rsidR="00000000" w:rsidRDefault="00D6065B">
            <w:pPr>
              <w:rPr>
                <w:rFonts w:eastAsia="Times New Roman"/>
                <w:sz w:val="20"/>
                <w:szCs w:val="20"/>
              </w:rPr>
            </w:pPr>
            <w:r>
              <w:rPr>
                <w:rFonts w:eastAsia="Times New Roman"/>
                <w:sz w:val="20"/>
                <w:szCs w:val="20"/>
              </w:rPr>
              <w:t>●</w:t>
            </w:r>
          </w:p>
        </w:tc>
        <w:tc>
          <w:tcPr>
            <w:tcW w:w="0" w:type="auto"/>
            <w:hideMark/>
          </w:tcPr>
          <w:p w14:paraId="469C6E17" w14:textId="77777777" w:rsidR="00000000" w:rsidRDefault="00D6065B">
            <w:pPr>
              <w:jc w:val="both"/>
              <w:rPr>
                <w:rFonts w:eastAsia="Times New Roman"/>
                <w:sz w:val="20"/>
                <w:szCs w:val="20"/>
              </w:rPr>
            </w:pPr>
            <w:r>
              <w:rPr>
                <w:rFonts w:eastAsia="Times New Roman"/>
                <w:sz w:val="20"/>
                <w:szCs w:val="20"/>
              </w:rPr>
              <w:t>Create equipment and supplies list;</w:t>
            </w:r>
          </w:p>
        </w:tc>
      </w:tr>
      <w:tr w:rsidR="00000000" w14:paraId="365FF997" w14:textId="77777777">
        <w:tc>
          <w:tcPr>
            <w:tcW w:w="0" w:type="auto"/>
            <w:hideMark/>
          </w:tcPr>
          <w:p w14:paraId="5ABDB06E" w14:textId="77777777" w:rsidR="00000000" w:rsidRDefault="00D6065B">
            <w:pPr>
              <w:rPr>
                <w:rFonts w:eastAsia="Times New Roman"/>
                <w:sz w:val="20"/>
                <w:szCs w:val="20"/>
              </w:rPr>
            </w:pPr>
            <w:r>
              <w:rPr>
                <w:rFonts w:eastAsia="Times New Roman"/>
                <w:sz w:val="20"/>
                <w:szCs w:val="20"/>
              </w:rPr>
              <w:t> </w:t>
            </w:r>
          </w:p>
        </w:tc>
        <w:tc>
          <w:tcPr>
            <w:tcW w:w="0" w:type="auto"/>
            <w:hideMark/>
          </w:tcPr>
          <w:p w14:paraId="3A2657C9" w14:textId="77777777" w:rsidR="00000000" w:rsidRDefault="00D6065B">
            <w:pPr>
              <w:rPr>
                <w:rFonts w:eastAsia="Times New Roman"/>
                <w:sz w:val="20"/>
                <w:szCs w:val="20"/>
              </w:rPr>
            </w:pPr>
            <w:r>
              <w:rPr>
                <w:rFonts w:eastAsia="Times New Roman"/>
                <w:sz w:val="20"/>
                <w:szCs w:val="20"/>
              </w:rPr>
              <w:t>●</w:t>
            </w:r>
          </w:p>
        </w:tc>
        <w:tc>
          <w:tcPr>
            <w:tcW w:w="0" w:type="auto"/>
            <w:hideMark/>
          </w:tcPr>
          <w:p w14:paraId="6C027C1B" w14:textId="77777777" w:rsidR="00000000" w:rsidRDefault="00D6065B">
            <w:pPr>
              <w:jc w:val="both"/>
              <w:rPr>
                <w:rFonts w:eastAsia="Times New Roman"/>
                <w:sz w:val="20"/>
                <w:szCs w:val="20"/>
              </w:rPr>
            </w:pPr>
            <w:r>
              <w:rPr>
                <w:rFonts w:eastAsia="Times New Roman"/>
                <w:sz w:val="20"/>
                <w:szCs w:val="20"/>
              </w:rPr>
              <w:t>Create and post regulatory signage;</w:t>
            </w:r>
          </w:p>
        </w:tc>
      </w:tr>
      <w:tr w:rsidR="00000000" w14:paraId="7887DE89" w14:textId="77777777">
        <w:tc>
          <w:tcPr>
            <w:tcW w:w="0" w:type="auto"/>
            <w:hideMark/>
          </w:tcPr>
          <w:p w14:paraId="1AF6F158" w14:textId="77777777" w:rsidR="00000000" w:rsidRDefault="00D6065B">
            <w:pPr>
              <w:rPr>
                <w:rFonts w:eastAsia="Times New Roman"/>
                <w:sz w:val="20"/>
                <w:szCs w:val="20"/>
              </w:rPr>
            </w:pPr>
            <w:r>
              <w:rPr>
                <w:rFonts w:eastAsia="Times New Roman"/>
                <w:sz w:val="20"/>
                <w:szCs w:val="20"/>
              </w:rPr>
              <w:t> </w:t>
            </w:r>
          </w:p>
        </w:tc>
        <w:tc>
          <w:tcPr>
            <w:tcW w:w="0" w:type="auto"/>
            <w:hideMark/>
          </w:tcPr>
          <w:p w14:paraId="0E958E7E" w14:textId="77777777" w:rsidR="00000000" w:rsidRDefault="00D6065B">
            <w:pPr>
              <w:rPr>
                <w:rFonts w:eastAsia="Times New Roman"/>
                <w:sz w:val="20"/>
                <w:szCs w:val="20"/>
              </w:rPr>
            </w:pPr>
            <w:r>
              <w:rPr>
                <w:rFonts w:eastAsia="Times New Roman"/>
                <w:sz w:val="20"/>
                <w:szCs w:val="20"/>
              </w:rPr>
              <w:t>●</w:t>
            </w:r>
          </w:p>
        </w:tc>
        <w:tc>
          <w:tcPr>
            <w:tcW w:w="0" w:type="auto"/>
            <w:hideMark/>
          </w:tcPr>
          <w:p w14:paraId="1A88433B" w14:textId="77777777" w:rsidR="00000000" w:rsidRDefault="00D6065B">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14:paraId="00C90B36" w14:textId="77777777">
        <w:tc>
          <w:tcPr>
            <w:tcW w:w="0" w:type="auto"/>
            <w:hideMark/>
          </w:tcPr>
          <w:p w14:paraId="0F711F24" w14:textId="77777777" w:rsidR="00000000" w:rsidRDefault="00D6065B">
            <w:pPr>
              <w:rPr>
                <w:rFonts w:eastAsia="Times New Roman"/>
                <w:sz w:val="20"/>
                <w:szCs w:val="20"/>
              </w:rPr>
            </w:pPr>
            <w:r>
              <w:rPr>
                <w:rFonts w:eastAsia="Times New Roman"/>
                <w:sz w:val="20"/>
                <w:szCs w:val="20"/>
              </w:rPr>
              <w:t> </w:t>
            </w:r>
          </w:p>
        </w:tc>
        <w:tc>
          <w:tcPr>
            <w:tcW w:w="0" w:type="auto"/>
            <w:hideMark/>
          </w:tcPr>
          <w:p w14:paraId="01C454D0" w14:textId="77777777" w:rsidR="00000000" w:rsidRDefault="00D6065B">
            <w:pPr>
              <w:rPr>
                <w:rFonts w:eastAsia="Times New Roman"/>
                <w:sz w:val="20"/>
                <w:szCs w:val="20"/>
              </w:rPr>
            </w:pPr>
            <w:r>
              <w:rPr>
                <w:rFonts w:eastAsia="Times New Roman"/>
                <w:sz w:val="20"/>
                <w:szCs w:val="20"/>
              </w:rPr>
              <w:t>●</w:t>
            </w:r>
          </w:p>
        </w:tc>
        <w:tc>
          <w:tcPr>
            <w:tcW w:w="0" w:type="auto"/>
            <w:hideMark/>
          </w:tcPr>
          <w:p w14:paraId="63F673E5" w14:textId="77777777" w:rsidR="00000000" w:rsidRDefault="00D6065B">
            <w:pPr>
              <w:jc w:val="both"/>
              <w:rPr>
                <w:rFonts w:eastAsia="Times New Roman"/>
                <w:sz w:val="20"/>
                <w:szCs w:val="20"/>
              </w:rPr>
            </w:pPr>
            <w:r>
              <w:rPr>
                <w:rFonts w:eastAsia="Times New Roman"/>
                <w:sz w:val="20"/>
                <w:szCs w:val="20"/>
              </w:rPr>
              <w:t>Evaluate different approaches to obtain patients;</w:t>
            </w:r>
          </w:p>
        </w:tc>
      </w:tr>
      <w:tr w:rsidR="00000000" w14:paraId="4C19C5AC" w14:textId="77777777">
        <w:tc>
          <w:tcPr>
            <w:tcW w:w="0" w:type="auto"/>
            <w:hideMark/>
          </w:tcPr>
          <w:p w14:paraId="3BBFDA21" w14:textId="77777777" w:rsidR="00000000" w:rsidRDefault="00D6065B">
            <w:pPr>
              <w:rPr>
                <w:rFonts w:eastAsia="Times New Roman"/>
                <w:sz w:val="20"/>
                <w:szCs w:val="20"/>
              </w:rPr>
            </w:pPr>
            <w:r>
              <w:rPr>
                <w:rFonts w:eastAsia="Times New Roman"/>
                <w:sz w:val="20"/>
                <w:szCs w:val="20"/>
              </w:rPr>
              <w:t> </w:t>
            </w:r>
          </w:p>
        </w:tc>
        <w:tc>
          <w:tcPr>
            <w:tcW w:w="0" w:type="auto"/>
            <w:hideMark/>
          </w:tcPr>
          <w:p w14:paraId="4A1FF0B7" w14:textId="77777777" w:rsidR="00000000" w:rsidRDefault="00D6065B">
            <w:pPr>
              <w:rPr>
                <w:rFonts w:eastAsia="Times New Roman"/>
                <w:sz w:val="20"/>
                <w:szCs w:val="20"/>
              </w:rPr>
            </w:pPr>
            <w:r>
              <w:rPr>
                <w:rFonts w:eastAsia="Times New Roman"/>
                <w:sz w:val="20"/>
                <w:szCs w:val="20"/>
              </w:rPr>
              <w:t>●</w:t>
            </w:r>
          </w:p>
        </w:tc>
        <w:tc>
          <w:tcPr>
            <w:tcW w:w="0" w:type="auto"/>
            <w:hideMark/>
          </w:tcPr>
          <w:p w14:paraId="466281C9" w14:textId="77777777" w:rsidR="00000000" w:rsidRDefault="00D6065B">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w:t>
            </w:r>
          </w:p>
        </w:tc>
      </w:tr>
      <w:tr w:rsidR="00000000" w14:paraId="5841B39A" w14:textId="77777777">
        <w:tc>
          <w:tcPr>
            <w:tcW w:w="0" w:type="auto"/>
            <w:hideMark/>
          </w:tcPr>
          <w:p w14:paraId="13C14688" w14:textId="77777777" w:rsidR="00000000" w:rsidRDefault="00D6065B">
            <w:pPr>
              <w:rPr>
                <w:rFonts w:eastAsia="Times New Roman"/>
                <w:sz w:val="20"/>
                <w:szCs w:val="20"/>
              </w:rPr>
            </w:pPr>
            <w:r>
              <w:rPr>
                <w:rFonts w:eastAsia="Times New Roman"/>
                <w:sz w:val="20"/>
                <w:szCs w:val="20"/>
              </w:rPr>
              <w:t> </w:t>
            </w:r>
          </w:p>
        </w:tc>
        <w:tc>
          <w:tcPr>
            <w:tcW w:w="0" w:type="auto"/>
            <w:hideMark/>
          </w:tcPr>
          <w:p w14:paraId="78BB8A39" w14:textId="77777777" w:rsidR="00000000" w:rsidRDefault="00D6065B">
            <w:pPr>
              <w:rPr>
                <w:rFonts w:eastAsia="Times New Roman"/>
                <w:sz w:val="20"/>
                <w:szCs w:val="20"/>
              </w:rPr>
            </w:pPr>
            <w:r>
              <w:rPr>
                <w:rFonts w:eastAsia="Times New Roman"/>
                <w:sz w:val="20"/>
                <w:szCs w:val="20"/>
              </w:rPr>
              <w:t>●</w:t>
            </w:r>
          </w:p>
        </w:tc>
        <w:tc>
          <w:tcPr>
            <w:tcW w:w="0" w:type="auto"/>
            <w:hideMark/>
          </w:tcPr>
          <w:p w14:paraId="4DB29D19" w14:textId="77777777" w:rsidR="00000000" w:rsidRDefault="00D6065B">
            <w:pPr>
              <w:jc w:val="both"/>
              <w:rPr>
                <w:rFonts w:eastAsia="Times New Roman"/>
                <w:sz w:val="20"/>
                <w:szCs w:val="20"/>
              </w:rPr>
            </w:pPr>
            <w:r>
              <w:rPr>
                <w:rFonts w:eastAsia="Times New Roman"/>
                <w:sz w:val="20"/>
                <w:szCs w:val="20"/>
              </w:rPr>
              <w:t>Develop communication material and a liability document for the pet owners; and</w:t>
            </w:r>
          </w:p>
        </w:tc>
      </w:tr>
      <w:tr w:rsidR="00000000" w14:paraId="05D8DF54" w14:textId="77777777">
        <w:tc>
          <w:tcPr>
            <w:tcW w:w="0" w:type="auto"/>
            <w:hideMark/>
          </w:tcPr>
          <w:p w14:paraId="6B940DE2" w14:textId="77777777" w:rsidR="00000000" w:rsidRDefault="00D6065B">
            <w:pPr>
              <w:rPr>
                <w:rFonts w:eastAsia="Times New Roman"/>
                <w:sz w:val="20"/>
                <w:szCs w:val="20"/>
              </w:rPr>
            </w:pPr>
            <w:r>
              <w:rPr>
                <w:rFonts w:eastAsia="Times New Roman"/>
                <w:sz w:val="20"/>
                <w:szCs w:val="20"/>
              </w:rPr>
              <w:t> </w:t>
            </w:r>
          </w:p>
        </w:tc>
        <w:tc>
          <w:tcPr>
            <w:tcW w:w="0" w:type="auto"/>
            <w:hideMark/>
          </w:tcPr>
          <w:p w14:paraId="29E5895E" w14:textId="77777777" w:rsidR="00000000" w:rsidRDefault="00D6065B">
            <w:pPr>
              <w:rPr>
                <w:rFonts w:eastAsia="Times New Roman"/>
                <w:sz w:val="20"/>
                <w:szCs w:val="20"/>
              </w:rPr>
            </w:pPr>
            <w:r>
              <w:rPr>
                <w:rFonts w:eastAsia="Times New Roman"/>
                <w:sz w:val="20"/>
                <w:szCs w:val="20"/>
              </w:rPr>
              <w:t>●</w:t>
            </w:r>
          </w:p>
        </w:tc>
        <w:tc>
          <w:tcPr>
            <w:tcW w:w="0" w:type="auto"/>
            <w:hideMark/>
          </w:tcPr>
          <w:p w14:paraId="65D3B523" w14:textId="77777777" w:rsidR="00000000" w:rsidRDefault="00D6065B">
            <w:pPr>
              <w:jc w:val="both"/>
              <w:rPr>
                <w:rFonts w:eastAsia="Times New Roman"/>
                <w:sz w:val="20"/>
                <w:szCs w:val="20"/>
              </w:rPr>
            </w:pPr>
            <w:r>
              <w:rPr>
                <w:rFonts w:eastAsia="Times New Roman"/>
                <w:sz w:val="20"/>
                <w:szCs w:val="20"/>
              </w:rPr>
              <w:t>Further refine the therapy techniques for advanced cancers.</w:t>
            </w:r>
          </w:p>
        </w:tc>
      </w:tr>
    </w:tbl>
    <w:p w14:paraId="6BFC444C" w14:textId="77777777" w:rsidR="00000000" w:rsidRDefault="00D6065B">
      <w:pPr>
        <w:pStyle w:val="a3"/>
        <w:spacing w:before="0" w:beforeAutospacing="0" w:after="0" w:afterAutospacing="0"/>
        <w:ind w:firstLine="644"/>
        <w:jc w:val="both"/>
        <w:rPr>
          <w:sz w:val="20"/>
          <w:szCs w:val="20"/>
        </w:rPr>
      </w:pPr>
      <w:r>
        <w:rPr>
          <w:sz w:val="20"/>
          <w:szCs w:val="20"/>
        </w:rPr>
        <w:t> </w:t>
      </w:r>
    </w:p>
    <w:p w14:paraId="47D50CF2" w14:textId="77777777" w:rsidR="00000000" w:rsidRDefault="00D6065B">
      <w:pPr>
        <w:pStyle w:val="a3"/>
        <w:spacing w:before="0" w:beforeAutospacing="0" w:after="0" w:afterAutospacing="0"/>
        <w:ind w:firstLine="644"/>
        <w:jc w:val="both"/>
        <w:rPr>
          <w:sz w:val="20"/>
          <w:szCs w:val="20"/>
        </w:rPr>
      </w:pPr>
      <w:r>
        <w:rPr>
          <w:sz w:val="20"/>
          <w:szCs w:val="20"/>
        </w:rPr>
        <w:t xml:space="preserve">Vista Veterinary Hospital has done well </w:t>
      </w:r>
      <w:r>
        <w:rPr>
          <w:sz w:val="20"/>
          <w:szCs w:val="20"/>
        </w:rPr>
        <w:t xml:space="preserve">on two audits by the Washington State Department of Health. The Company is working closely with the Washington State Department of Health to refine and improve the radioactive material license. The Company has added several detailed procedures, which will </w:t>
      </w:r>
      <w:r>
        <w:rPr>
          <w:sz w:val="20"/>
          <w:szCs w:val="20"/>
        </w:rPr>
        <w:t>benefit future regional clinics. In addition, a second veterinarian has completed all the preliminary requirements to become certified. All that remains is to demonstrate proficiency in three therapies.</w:t>
      </w:r>
    </w:p>
    <w:p w14:paraId="535E8B23" w14:textId="77777777" w:rsidR="00000000" w:rsidRDefault="00D6065B">
      <w:pPr>
        <w:pStyle w:val="a3"/>
        <w:spacing w:before="0" w:beforeAutospacing="0" w:after="0" w:afterAutospacing="0"/>
        <w:jc w:val="both"/>
        <w:rPr>
          <w:sz w:val="20"/>
          <w:szCs w:val="20"/>
        </w:rPr>
      </w:pPr>
      <w:r>
        <w:rPr>
          <w:sz w:val="20"/>
          <w:szCs w:val="20"/>
        </w:rPr>
        <w:t> </w:t>
      </w:r>
    </w:p>
    <w:p w14:paraId="6D0C94C7" w14:textId="77777777" w:rsidR="00000000" w:rsidRDefault="00D6065B">
      <w:pPr>
        <w:pStyle w:val="a3"/>
        <w:spacing w:before="0" w:beforeAutospacing="0" w:after="0" w:afterAutospacing="0"/>
        <w:ind w:firstLine="720"/>
        <w:jc w:val="both"/>
        <w:rPr>
          <w:sz w:val="20"/>
          <w:szCs w:val="20"/>
        </w:rPr>
      </w:pPr>
      <w:r>
        <w:rPr>
          <w:sz w:val="20"/>
          <w:szCs w:val="20"/>
        </w:rPr>
        <w:t>The testing at the universities and at Vista Veteri</w:t>
      </w:r>
      <w:r>
        <w:rPr>
          <w:sz w:val="20"/>
          <w:szCs w:val="20"/>
        </w:rPr>
        <w:t>nary Hospital have demonstrated that IsoPet</w:t>
      </w:r>
      <w:r>
        <w:rPr>
          <w:sz w:val="20"/>
          <w:szCs w:val="20"/>
          <w:vertAlign w:val="superscript"/>
        </w:rPr>
        <w:t>®</w:t>
      </w:r>
      <w:r>
        <w:rPr>
          <w:sz w:val="20"/>
          <w:szCs w:val="20"/>
        </w:rPr>
        <w:t xml:space="preserve"> is effective on killing cancer </w:t>
      </w:r>
      <w:r>
        <w:rPr>
          <w:sz w:val="20"/>
          <w:szCs w:val="20"/>
        </w:rPr>
        <w:t>tissue in close proximity to the injections. It is most effective in early cases before the cancer has begun to spread. Later stage cancers are more difficult to treat since the tendrils from the primary cancer site are not well defined and therefore can l</w:t>
      </w:r>
      <w:r>
        <w:rPr>
          <w:sz w:val="20"/>
          <w:szCs w:val="20"/>
        </w:rPr>
        <w:t>ead to recurrence.</w:t>
      </w:r>
    </w:p>
    <w:p w14:paraId="16B4990C" w14:textId="77777777" w:rsidR="00000000" w:rsidRDefault="00D6065B">
      <w:pPr>
        <w:pStyle w:val="a3"/>
        <w:spacing w:before="0" w:beforeAutospacing="0" w:after="0" w:afterAutospacing="0"/>
        <w:jc w:val="both"/>
        <w:rPr>
          <w:sz w:val="20"/>
          <w:szCs w:val="20"/>
        </w:rPr>
      </w:pPr>
      <w:r>
        <w:rPr>
          <w:sz w:val="20"/>
          <w:szCs w:val="20"/>
        </w:rPr>
        <w:t> </w:t>
      </w:r>
    </w:p>
    <w:p w14:paraId="2960137D" w14:textId="77777777" w:rsidR="00000000" w:rsidRDefault="00D6065B">
      <w:pPr>
        <w:pStyle w:val="a3"/>
        <w:spacing w:before="0" w:beforeAutospacing="0" w:after="0" w:afterAutospacing="0"/>
        <w:ind w:firstLine="720"/>
        <w:jc w:val="both"/>
        <w:rPr>
          <w:sz w:val="20"/>
          <w:szCs w:val="20"/>
        </w:rPr>
      </w:pPr>
      <w:r>
        <w:rPr>
          <w:sz w:val="20"/>
          <w:szCs w:val="20"/>
        </w:rPr>
        <w:t>There have been 63 expressions of interest in IsoPet</w:t>
      </w:r>
      <w:r>
        <w:rPr>
          <w:sz w:val="20"/>
          <w:szCs w:val="20"/>
          <w:vertAlign w:val="superscript"/>
        </w:rPr>
        <w:t>®</w:t>
      </w:r>
      <w:r>
        <w:rPr>
          <w:sz w:val="20"/>
          <w:szCs w:val="20"/>
        </w:rPr>
        <w:t xml:space="preserve"> therapy from across the United States, but only about 10% of these were treated and they were very advanced cases. The reasons are instructive. Most of the cases were for so advance</w:t>
      </w:r>
      <w:r>
        <w:rPr>
          <w:sz w:val="20"/>
          <w:szCs w:val="20"/>
        </w:rPr>
        <w:t>d that the pet parents found out about IsoPet</w:t>
      </w:r>
      <w:r>
        <w:rPr>
          <w:sz w:val="20"/>
          <w:szCs w:val="20"/>
          <w:vertAlign w:val="superscript"/>
        </w:rPr>
        <w:t>®</w:t>
      </w:r>
      <w:r>
        <w:rPr>
          <w:sz w:val="20"/>
          <w:szCs w:val="20"/>
        </w:rPr>
        <w:t xml:space="preserve"> on the Internet as a last hope. Several others were internal cancers that could not be reached, for example deep in the throat. Several cases were treatable, but the pets weighed more than 20 pounds and the pe</w:t>
      </w:r>
      <w:r>
        <w:rPr>
          <w:sz w:val="20"/>
          <w:szCs w:val="20"/>
        </w:rPr>
        <w:t>t parents were not willing to fly them in the “Safe Cargo” holds. Those patients would have been treated by regional clinics once we implement that strategy. Several cases were mast cell cancers. The Company is confident that those tumors could have been t</w:t>
      </w:r>
      <w:r>
        <w:rPr>
          <w:sz w:val="20"/>
          <w:szCs w:val="20"/>
        </w:rPr>
        <w:t>reated, but once killed they release mast cells in a process called granulation. This could cause a shock to the animal’s system. The Company will focus one of our clinical studies on the optimum approach for those therapies.</w:t>
      </w:r>
    </w:p>
    <w:p w14:paraId="65D869BD"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E593022" w14:textId="77777777">
        <w:trPr>
          <w:divId w:val="975334789"/>
        </w:trPr>
        <w:tc>
          <w:tcPr>
            <w:tcW w:w="5000" w:type="pct"/>
            <w:hideMark/>
          </w:tcPr>
          <w:p w14:paraId="3A5D74DE"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22DFB2CF" w14:textId="77777777">
        <w:tc>
          <w:tcPr>
            <w:tcW w:w="5000" w:type="pct"/>
            <w:hideMark/>
          </w:tcPr>
          <w:p w14:paraId="2E9846C5" w14:textId="77777777" w:rsidR="00000000" w:rsidRDefault="00D6065B">
            <w:pPr>
              <w:jc w:val="center"/>
              <w:rPr>
                <w:rFonts w:eastAsia="Times New Roman"/>
                <w:sz w:val="20"/>
                <w:szCs w:val="20"/>
              </w:rPr>
            </w:pPr>
            <w:r>
              <w:rPr>
                <w:rFonts w:eastAsia="Times New Roman"/>
                <w:sz w:val="20"/>
                <w:szCs w:val="20"/>
              </w:rPr>
              <w:t> </w:t>
            </w:r>
          </w:p>
        </w:tc>
      </w:tr>
    </w:tbl>
    <w:p w14:paraId="7ADB6E5C" w14:textId="77777777" w:rsidR="00000000" w:rsidRDefault="00D6065B">
      <w:pPr>
        <w:pStyle w:val="a3"/>
        <w:spacing w:before="0" w:beforeAutospacing="0" w:after="0" w:afterAutospacing="0"/>
        <w:rPr>
          <w:sz w:val="20"/>
          <w:szCs w:val="20"/>
        </w:rPr>
      </w:pPr>
      <w:r>
        <w:rPr>
          <w:sz w:val="20"/>
          <w:szCs w:val="20"/>
        </w:rPr>
        <w:t> </w:t>
      </w:r>
    </w:p>
    <w:p w14:paraId="4F25C458" w14:textId="77777777" w:rsidR="00000000" w:rsidRDefault="00D6065B">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accepted advanced cancer cases and has gained experience to extend the animal’s lives. The first cat was terminally ill and had previously had external beam, surgery and chemotherapy. The facial tumor was treated with 400 Gy and the bio</w:t>
      </w:r>
      <w:r>
        <w:rPr>
          <w:sz w:val="20"/>
          <w:szCs w:val="20"/>
        </w:rPr>
        <w:t>psy confirmed that the cancer was killed. In about seven months the cancer returned in the throat and could not be treated so the cat had to be put down. Dr. Bauder, the veterinarian pet parent, was still elated about the life extension and is asking us to</w:t>
      </w:r>
      <w:r>
        <w:rPr>
          <w:sz w:val="20"/>
          <w:szCs w:val="20"/>
        </w:rPr>
        <w:t xml:space="preserve"> use him as a reference. The other cases were also very advanced with multiple tumors and they recurred since they had already spread before therapy. One animal, Yukon had a large tumor on his leg that was recommended for amputation. The tumor size decreas</w:t>
      </w:r>
      <w:r>
        <w:rPr>
          <w:sz w:val="20"/>
          <w:szCs w:val="20"/>
        </w:rPr>
        <w:t>ed 50% after the first treatment, but then stopped decreasing. For the first time a second therapy was administered and the tumor has continued to decrease in size.</w:t>
      </w:r>
    </w:p>
    <w:p w14:paraId="76EA46CC" w14:textId="77777777" w:rsidR="00000000" w:rsidRDefault="00D6065B">
      <w:pPr>
        <w:pStyle w:val="a3"/>
        <w:spacing w:before="0" w:beforeAutospacing="0" w:after="0" w:afterAutospacing="0"/>
        <w:jc w:val="both"/>
        <w:rPr>
          <w:sz w:val="20"/>
          <w:szCs w:val="20"/>
        </w:rPr>
      </w:pPr>
      <w:r>
        <w:rPr>
          <w:sz w:val="20"/>
          <w:szCs w:val="20"/>
        </w:rPr>
        <w:t> </w:t>
      </w:r>
    </w:p>
    <w:p w14:paraId="14AAF05B" w14:textId="77777777" w:rsidR="00000000" w:rsidRDefault="00D6065B">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obs</w:t>
      </w:r>
      <w:r>
        <w:rPr>
          <w:sz w:val="20"/>
          <w:szCs w:val="20"/>
        </w:rPr>
        <w:t>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mo</w:t>
      </w:r>
      <w:r>
        <w:rPr>
          <w:sz w:val="20"/>
          <w:szCs w:val="20"/>
        </w:rPr>
        <w:t>tivation to continue with additional clinical trials and to publish the results.</w:t>
      </w:r>
    </w:p>
    <w:p w14:paraId="7CD38A6D" w14:textId="77777777" w:rsidR="00000000" w:rsidRDefault="00D6065B">
      <w:pPr>
        <w:pStyle w:val="a3"/>
        <w:spacing w:before="0" w:beforeAutospacing="0" w:after="0" w:afterAutospacing="0"/>
        <w:ind w:firstLine="644"/>
        <w:jc w:val="both"/>
        <w:rPr>
          <w:sz w:val="20"/>
          <w:szCs w:val="20"/>
        </w:rPr>
      </w:pPr>
      <w:r>
        <w:rPr>
          <w:sz w:val="20"/>
          <w:szCs w:val="20"/>
        </w:rPr>
        <w:t> </w:t>
      </w:r>
    </w:p>
    <w:p w14:paraId="5A7280B7" w14:textId="77777777" w:rsidR="00000000" w:rsidRDefault="00D6065B">
      <w:pPr>
        <w:pStyle w:val="a3"/>
        <w:spacing w:before="0" w:beforeAutospacing="0" w:after="0" w:afterAutospacing="0"/>
        <w:jc w:val="both"/>
        <w:rPr>
          <w:sz w:val="20"/>
          <w:szCs w:val="20"/>
        </w:rPr>
      </w:pPr>
      <w:r>
        <w:rPr>
          <w:b/>
          <w:bCs/>
          <w:sz w:val="20"/>
          <w:szCs w:val="20"/>
        </w:rPr>
        <w:t>Regulatory History</w:t>
      </w:r>
    </w:p>
    <w:p w14:paraId="75C0D5E7" w14:textId="77777777" w:rsidR="00000000" w:rsidRDefault="00D6065B">
      <w:pPr>
        <w:pStyle w:val="a3"/>
        <w:spacing w:before="0" w:beforeAutospacing="0" w:after="0" w:afterAutospacing="0"/>
        <w:jc w:val="both"/>
        <w:rPr>
          <w:sz w:val="20"/>
          <w:szCs w:val="20"/>
        </w:rPr>
      </w:pPr>
      <w:r>
        <w:rPr>
          <w:sz w:val="20"/>
          <w:szCs w:val="20"/>
        </w:rPr>
        <w:t> </w:t>
      </w:r>
    </w:p>
    <w:p w14:paraId="01DAEE91" w14:textId="77777777" w:rsidR="00000000" w:rsidRDefault="00D6065B">
      <w:pPr>
        <w:pStyle w:val="a3"/>
        <w:spacing w:before="0" w:beforeAutospacing="0" w:after="0" w:afterAutospacing="0"/>
        <w:jc w:val="both"/>
        <w:rPr>
          <w:sz w:val="20"/>
          <w:szCs w:val="20"/>
        </w:rPr>
      </w:pPr>
      <w:r>
        <w:rPr>
          <w:i/>
          <w:iCs/>
          <w:sz w:val="20"/>
          <w:szCs w:val="20"/>
        </w:rPr>
        <w:t>Human Therapy</w:t>
      </w:r>
    </w:p>
    <w:p w14:paraId="46FED6AA" w14:textId="77777777" w:rsidR="00000000" w:rsidRDefault="00D6065B">
      <w:pPr>
        <w:pStyle w:val="a3"/>
        <w:spacing w:before="0" w:beforeAutospacing="0" w:after="0" w:afterAutospacing="0"/>
        <w:jc w:val="both"/>
        <w:rPr>
          <w:sz w:val="20"/>
          <w:szCs w:val="20"/>
        </w:rPr>
      </w:pPr>
      <w:r>
        <w:rPr>
          <w:sz w:val="20"/>
          <w:szCs w:val="20"/>
        </w:rPr>
        <w:t> </w:t>
      </w:r>
    </w:p>
    <w:p w14:paraId="397E151F" w14:textId="77777777" w:rsidR="00000000" w:rsidRDefault="00D6065B">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xml:space="preserve">”). Initially, the Company submitted a presubmission </w:t>
      </w:r>
      <w:r>
        <w:rPr>
          <w:sz w:val="20"/>
          <w:szCs w:val="20"/>
        </w:rPr>
        <w:t xml:space="preserve">(Q130140) to obtain FDA feedback about the proposed product. The FDA requested that the Company file a request for designation with the Office of Combination Products (RFD130051), which led to the determination that RadioGel™ is a device for human therapy </w:t>
      </w:r>
      <w:r>
        <w:rPr>
          <w:sz w:val="20"/>
          <w:szCs w:val="20"/>
        </w:rPr>
        <w:t>for non-resectable cancers, which must be reviewed and ultimately regulated by the Center for Devices and Radiological Health (“</w:t>
      </w:r>
      <w:r>
        <w:rPr>
          <w:i/>
          <w:iCs/>
          <w:sz w:val="20"/>
          <w:szCs w:val="20"/>
        </w:rPr>
        <w:t>CDRH</w:t>
      </w:r>
      <w:r>
        <w:rPr>
          <w:sz w:val="20"/>
          <w:szCs w:val="20"/>
        </w:rPr>
        <w:t xml:space="preserve">”). The Company then submitted a 510(k) notice for RadioGel™ (K133368), which was found Not Substantially Equivalent due to </w:t>
      </w:r>
      <w:r>
        <w:rPr>
          <w:sz w:val="20"/>
          <w:szCs w:val="20"/>
        </w:rPr>
        <w:t>the lack of a suitable predicate, and RadioGel™ was assigned to the Class III product code NAW (microspheres). Class III products or devices are generally the highest risk devices and are therefore subject to the highest level of regulatory review, control</w:t>
      </w:r>
      <w:r>
        <w:rPr>
          <w:sz w:val="20"/>
          <w:szCs w:val="20"/>
        </w:rPr>
        <w:t xml:space="preserve"> and oversight. Class III products or devices must typically be approved by FDA before they are marketed. Class II devices represent lower risk products or devices than Class III and require fewer regulatory controls to provide reasonable assurance of the </w:t>
      </w:r>
      <w:r>
        <w:rPr>
          <w:sz w:val="20"/>
          <w:szCs w:val="20"/>
        </w:rPr>
        <w:t>product’s or device’s safety and effectiveness. In contrast, Class I products and devices are deemed to be lower risk than Class I or II, and are therefore subject to the least regulatory controls.</w:t>
      </w:r>
    </w:p>
    <w:p w14:paraId="34FD1D2E" w14:textId="77777777" w:rsidR="00000000" w:rsidRDefault="00D6065B">
      <w:pPr>
        <w:pStyle w:val="a3"/>
        <w:spacing w:before="0" w:beforeAutospacing="0" w:after="0" w:afterAutospacing="0"/>
        <w:jc w:val="both"/>
        <w:rPr>
          <w:sz w:val="20"/>
          <w:szCs w:val="20"/>
        </w:rPr>
      </w:pPr>
      <w:r>
        <w:rPr>
          <w:sz w:val="20"/>
          <w:szCs w:val="20"/>
        </w:rPr>
        <w:t> </w:t>
      </w:r>
    </w:p>
    <w:p w14:paraId="6D553C29" w14:textId="77777777" w:rsidR="00000000" w:rsidRDefault="00D6065B">
      <w:pPr>
        <w:pStyle w:val="a3"/>
        <w:spacing w:before="0" w:beforeAutospacing="0" w:after="0" w:afterAutospacing="0"/>
        <w:ind w:firstLine="711"/>
        <w:jc w:val="both"/>
        <w:rPr>
          <w:sz w:val="20"/>
          <w:szCs w:val="20"/>
        </w:rPr>
      </w:pPr>
      <w:r>
        <w:rPr>
          <w:sz w:val="20"/>
          <w:szCs w:val="20"/>
        </w:rPr>
        <w:t xml:space="preserve">A </w:t>
      </w:r>
      <w:r>
        <w:rPr>
          <w:sz w:val="20"/>
          <w:szCs w:val="20"/>
        </w:rPr>
        <w:t xml:space="preserve">pre-submission meeting (Q140496) was held with the FDA on June 17, 2014, during which the FDA maintained that RadioGel™ should be considered a Class III device and therefore subject to pre-market approval. On December 29, 2014, the Company submitted a </w:t>
      </w:r>
      <w:r>
        <w:rPr>
          <w:i/>
          <w:iCs/>
          <w:sz w:val="20"/>
          <w:szCs w:val="20"/>
        </w:rPr>
        <w:t>de n</w:t>
      </w:r>
      <w:r>
        <w:rPr>
          <w:i/>
          <w:iCs/>
          <w:sz w:val="20"/>
          <w:szCs w:val="20"/>
        </w:rPr>
        <w:t xml:space="preserve">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Company submitted a follow-up pre-submission informational meeting reques</w:t>
      </w:r>
      <w:r>
        <w:rPr>
          <w:sz w:val="20"/>
          <w:szCs w:val="20"/>
        </w:rPr>
        <w:t>t with the FDA (Q151569). This meeting took place on November 9, 2015, at which time the FDA indicated acceptance of the Company’s applied dosimetry methods and clarified the FDA’s outstanding questions regarding RadioGel™. Following the November 2015 pre-</w:t>
      </w:r>
      <w:r>
        <w:rPr>
          <w:sz w:val="20"/>
          <w:szCs w:val="20"/>
        </w:rPr>
        <w:t xml:space="preserve">submission meeting, the Company prepared a new pre-submission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w:t>
      </w:r>
      <w:r>
        <w:rPr>
          <w:sz w:val="20"/>
          <w:szCs w:val="20"/>
        </w:rPr>
        <w:t xml:space="preserve"> This pre-submission package was presented to the FDA in a meeting on August 29, 2017. During the August 2017 meeting, the FDA clarified their position on the remaining pre-clinical testing needed for RadioGel™. Specifically, the FDA addressed proposed dos</w:t>
      </w:r>
      <w:r>
        <w:rPr>
          <w:sz w:val="20"/>
          <w:szCs w:val="20"/>
        </w:rPr>
        <w:t>imetry calculating techniques, dosimetry distribution between injections, hydrogel viscoelastic properties, and the details of the Company’s proposed animal testing.</w:t>
      </w:r>
    </w:p>
    <w:p w14:paraId="79F1D18D" w14:textId="77777777" w:rsidR="00000000" w:rsidRDefault="00D6065B">
      <w:pPr>
        <w:pStyle w:val="a3"/>
        <w:spacing w:before="0" w:beforeAutospacing="0" w:after="0" w:afterAutospacing="0"/>
        <w:jc w:val="both"/>
        <w:rPr>
          <w:sz w:val="20"/>
          <w:szCs w:val="20"/>
        </w:rPr>
      </w:pPr>
      <w:r>
        <w:rPr>
          <w:sz w:val="20"/>
          <w:szCs w:val="20"/>
        </w:rPr>
        <w:t> </w:t>
      </w:r>
    </w:p>
    <w:p w14:paraId="4D00F459" w14:textId="77777777" w:rsidR="00000000" w:rsidRDefault="00D6065B">
      <w:pPr>
        <w:pStyle w:val="a3"/>
        <w:spacing w:before="0" w:beforeAutospacing="0" w:after="0" w:afterAutospacing="0"/>
        <w:ind w:firstLine="711"/>
        <w:jc w:val="both"/>
        <w:rPr>
          <w:sz w:val="20"/>
          <w:szCs w:val="20"/>
        </w:rPr>
      </w:pPr>
      <w:r>
        <w:rPr>
          <w:sz w:val="20"/>
          <w:szCs w:val="20"/>
        </w:rPr>
        <w:t xml:space="preserve">The Company believes that its submissions to the FDA to date have addressed all the FDA </w:t>
      </w:r>
      <w:r>
        <w:rPr>
          <w:sz w:val="20"/>
          <w:szCs w:val="20"/>
        </w:rPr>
        <w:t>staff’s feedback over the past four years. Of particular importance, the Company has provided corresponding supporting data for proposed future testing of RadioGel™ to address any remaining questions raised by the FDA. We believe, although no assurances ca</w:t>
      </w:r>
      <w:r>
        <w:rPr>
          <w:sz w:val="20"/>
          <w:szCs w:val="20"/>
        </w:rPr>
        <w:t xml:space="preserve">n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 submittals, the Company proposed applying RadioGel™ for a very broad ra</w:t>
      </w:r>
      <w:r>
        <w:rPr>
          <w:sz w:val="20"/>
          <w:szCs w:val="20"/>
        </w:rPr>
        <w:t>nge of cancer therapies, referred to as Indication for Use. The FDA requested that the Company reduce its Indications for Use. To comply with that request, the Company expanded its Medical Advisory Board (“</w:t>
      </w:r>
      <w:r>
        <w:rPr>
          <w:i/>
          <w:iCs/>
          <w:sz w:val="20"/>
          <w:szCs w:val="20"/>
        </w:rPr>
        <w:t>MAB</w:t>
      </w:r>
      <w:r>
        <w:rPr>
          <w:sz w:val="20"/>
          <w:szCs w:val="20"/>
        </w:rPr>
        <w:t>”) and engaged doctors from respected hospitals</w:t>
      </w:r>
      <w:r>
        <w:rPr>
          <w:sz w:val="20"/>
          <w:szCs w:val="20"/>
        </w:rPr>
        <w:t xml:space="preserve"> 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14:paraId="38AAEA5A" w14:textId="77777777" w:rsidR="00000000" w:rsidRDefault="00D6065B">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CD80F0F" w14:textId="77777777">
        <w:trPr>
          <w:divId w:val="89934543"/>
        </w:trPr>
        <w:tc>
          <w:tcPr>
            <w:tcW w:w="5000" w:type="pct"/>
            <w:hideMark/>
          </w:tcPr>
          <w:p w14:paraId="0FED4761" w14:textId="77777777" w:rsidR="00000000" w:rsidRDefault="00D6065B">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04A23FD9" w14:textId="77777777">
        <w:tc>
          <w:tcPr>
            <w:tcW w:w="5000" w:type="pct"/>
            <w:hideMark/>
          </w:tcPr>
          <w:p w14:paraId="27C67C7B" w14:textId="77777777" w:rsidR="00000000" w:rsidRDefault="00D6065B">
            <w:pPr>
              <w:jc w:val="center"/>
              <w:rPr>
                <w:rFonts w:eastAsia="Times New Roman"/>
                <w:sz w:val="20"/>
                <w:szCs w:val="20"/>
              </w:rPr>
            </w:pPr>
            <w:r>
              <w:rPr>
                <w:rFonts w:eastAsia="Times New Roman"/>
                <w:sz w:val="20"/>
                <w:szCs w:val="20"/>
              </w:rPr>
              <w:t> </w:t>
            </w:r>
          </w:p>
        </w:tc>
      </w:tr>
    </w:tbl>
    <w:p w14:paraId="5F780E0B" w14:textId="77777777" w:rsidR="00000000" w:rsidRDefault="00D6065B">
      <w:pPr>
        <w:pStyle w:val="a3"/>
        <w:spacing w:before="0" w:beforeAutospacing="0" w:after="0" w:afterAutospacing="0"/>
        <w:rPr>
          <w:sz w:val="20"/>
          <w:szCs w:val="20"/>
        </w:rPr>
      </w:pPr>
      <w:r>
        <w:rPr>
          <w:sz w:val="20"/>
          <w:szCs w:val="20"/>
        </w:rPr>
        <w:t> </w:t>
      </w:r>
    </w:p>
    <w:p w14:paraId="1BBFAE44" w14:textId="77777777" w:rsidR="00000000" w:rsidRDefault="00D6065B">
      <w:pPr>
        <w:pStyle w:val="a3"/>
        <w:spacing w:before="0" w:beforeAutospacing="0" w:after="0" w:afterAutospacing="0"/>
        <w:ind w:firstLine="711"/>
        <w:jc w:val="both"/>
        <w:rPr>
          <w:sz w:val="20"/>
          <w:szCs w:val="20"/>
        </w:rPr>
      </w:pPr>
      <w:r>
        <w:rPr>
          <w:sz w:val="20"/>
          <w:szCs w:val="20"/>
        </w:rPr>
        <w:t>In November 2020 the Company submitted a request for a Breakthrough Device Designation. Ultimately, this was denied, but the FDA acknowledged, “The FDA does believe that RadioGel™ meets criterion #2a: Device represents breakthrough technology. Your de</w:t>
      </w:r>
      <w:r>
        <w:rPr>
          <w:sz w:val="20"/>
          <w:szCs w:val="20"/>
        </w:rPr>
        <w:t xml:space="preserv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our existing data and approach. It led to a redirection of our efforts on writing th</w:t>
      </w:r>
      <w:r>
        <w:rPr>
          <w:sz w:val="20"/>
          <w:szCs w:val="20"/>
        </w:rPr>
        <w:t>e IDE and saved the Company much time in the review of that future application.</w:t>
      </w:r>
    </w:p>
    <w:p w14:paraId="238D1A41" w14:textId="77777777" w:rsidR="00000000" w:rsidRDefault="00D6065B">
      <w:pPr>
        <w:pStyle w:val="a3"/>
        <w:spacing w:before="0" w:beforeAutospacing="0" w:after="0" w:afterAutospacing="0"/>
        <w:ind w:firstLine="711"/>
        <w:jc w:val="both"/>
        <w:rPr>
          <w:sz w:val="20"/>
          <w:szCs w:val="20"/>
        </w:rPr>
      </w:pPr>
      <w:r>
        <w:rPr>
          <w:sz w:val="20"/>
          <w:szCs w:val="20"/>
        </w:rPr>
        <w:t> </w:t>
      </w:r>
    </w:p>
    <w:p w14:paraId="77350840" w14:textId="77777777" w:rsidR="00000000" w:rsidRDefault="00D6065B">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wide applicability of the device and def</w:t>
      </w:r>
      <w:r>
        <w:rPr>
          <w:sz w:val="20"/>
          <w:szCs w:val="20"/>
        </w:rPr>
        <w:t>ines the path for future business growth. The Company’s application establishes a single Indication for Use - treatment of cancerous tissue or solid tumors pathologically associated with locoregional papillary thyroid carcinoma and recurrent papillary thyr</w:t>
      </w:r>
      <w:r>
        <w:rPr>
          <w:sz w:val="20"/>
          <w:szCs w:val="20"/>
        </w:rPr>
        <w:t>oid carcinoma. We anticipate that this initial application will facilitate each subsequent application for additional Indications for Use, and the testing for many of the subsequent applications could be conducted in parallel, depending on available resour</w:t>
      </w:r>
      <w:r>
        <w:rPr>
          <w:sz w:val="20"/>
          <w:szCs w:val="20"/>
        </w:rPr>
        <w:t>ces.</w:t>
      </w:r>
    </w:p>
    <w:p w14:paraId="488A7AE2" w14:textId="77777777" w:rsidR="00000000" w:rsidRDefault="00D6065B">
      <w:pPr>
        <w:pStyle w:val="a3"/>
        <w:spacing w:before="0" w:beforeAutospacing="0" w:after="0" w:afterAutospacing="0"/>
        <w:ind w:firstLine="644"/>
        <w:jc w:val="both"/>
        <w:rPr>
          <w:sz w:val="20"/>
          <w:szCs w:val="20"/>
        </w:rPr>
      </w:pPr>
      <w:r>
        <w:rPr>
          <w:sz w:val="20"/>
          <w:szCs w:val="20"/>
        </w:rPr>
        <w:t> </w:t>
      </w:r>
    </w:p>
    <w:p w14:paraId="0398FEDB" w14:textId="77777777" w:rsidR="00000000" w:rsidRDefault="00D6065B">
      <w:pPr>
        <w:pStyle w:val="a3"/>
        <w:spacing w:before="0" w:beforeAutospacing="0" w:after="0" w:afterAutospacing="0"/>
        <w:jc w:val="both"/>
        <w:rPr>
          <w:sz w:val="20"/>
          <w:szCs w:val="20"/>
        </w:rPr>
      </w:pPr>
      <w:r>
        <w:rPr>
          <w:b/>
          <w:bCs/>
          <w:sz w:val="20"/>
          <w:szCs w:val="20"/>
        </w:rPr>
        <w:t>Financing and Strategy</w:t>
      </w:r>
    </w:p>
    <w:p w14:paraId="1F75C75D" w14:textId="77777777" w:rsidR="00000000" w:rsidRDefault="00D6065B">
      <w:pPr>
        <w:pStyle w:val="a3"/>
        <w:spacing w:before="0" w:beforeAutospacing="0" w:after="0" w:afterAutospacing="0"/>
        <w:jc w:val="both"/>
        <w:rPr>
          <w:sz w:val="20"/>
          <w:szCs w:val="20"/>
        </w:rPr>
      </w:pPr>
      <w:r>
        <w:rPr>
          <w:sz w:val="20"/>
          <w:szCs w:val="20"/>
        </w:rPr>
        <w:t> </w:t>
      </w:r>
    </w:p>
    <w:p w14:paraId="046E1048"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The Company’s stock offering under Regulation A+ was qualified by the Securities and Exchange Commission (“SEC”) on June 3, 2020.</w:t>
      </w:r>
    </w:p>
    <w:p w14:paraId="0D73574D" w14:textId="77777777" w:rsidR="00000000" w:rsidRDefault="00D6065B">
      <w:pPr>
        <w:pStyle w:val="a3"/>
        <w:shd w:val="clear" w:color="auto" w:fill="FFFFFF"/>
        <w:spacing w:before="0" w:beforeAutospacing="0" w:after="0" w:afterAutospacing="0"/>
        <w:jc w:val="both"/>
        <w:rPr>
          <w:sz w:val="20"/>
          <w:szCs w:val="20"/>
        </w:rPr>
      </w:pPr>
      <w:r>
        <w:rPr>
          <w:sz w:val="20"/>
          <w:szCs w:val="20"/>
        </w:rPr>
        <w:t> </w:t>
      </w:r>
    </w:p>
    <w:p w14:paraId="1CE8E0D8" w14:textId="77777777" w:rsidR="00000000" w:rsidRDefault="00D6065B">
      <w:pPr>
        <w:pStyle w:val="a3"/>
        <w:spacing w:before="0" w:beforeAutospacing="0" w:after="0" w:afterAutospacing="0"/>
        <w:ind w:firstLine="720"/>
        <w:jc w:val="both"/>
        <w:rPr>
          <w:sz w:val="20"/>
          <w:szCs w:val="20"/>
        </w:rPr>
      </w:pPr>
      <w:r>
        <w:rPr>
          <w:sz w:val="20"/>
          <w:szCs w:val="20"/>
        </w:rPr>
        <w:t xml:space="preserve">The </w:t>
      </w:r>
      <w:r>
        <w:rPr>
          <w:sz w:val="20"/>
          <w:szCs w:val="20"/>
        </w:rPr>
        <w:t>Company over the past twelve months has raised approximately $4,000,000 from the sale of shares under Regulation A+, and intends to use the proceeds generated as follows:</w:t>
      </w:r>
    </w:p>
    <w:p w14:paraId="2D0676F7" w14:textId="77777777" w:rsidR="00000000" w:rsidRDefault="00D6065B">
      <w:pPr>
        <w:pStyle w:val="a3"/>
        <w:spacing w:before="0" w:beforeAutospacing="0" w:after="0" w:afterAutospacing="0"/>
        <w:jc w:val="both"/>
        <w:rPr>
          <w:sz w:val="20"/>
          <w:szCs w:val="20"/>
        </w:rPr>
      </w:pPr>
      <w:r>
        <w:rPr>
          <w:sz w:val="20"/>
          <w:szCs w:val="20"/>
        </w:rPr>
        <w:t> </w:t>
      </w:r>
    </w:p>
    <w:p w14:paraId="6C0EB9EB" w14:textId="77777777" w:rsidR="00000000" w:rsidRDefault="00D6065B">
      <w:pPr>
        <w:pStyle w:val="a3"/>
        <w:spacing w:before="0" w:beforeAutospacing="0" w:after="0" w:afterAutospacing="0"/>
        <w:jc w:val="both"/>
        <w:rPr>
          <w:sz w:val="20"/>
          <w:szCs w:val="20"/>
        </w:rPr>
      </w:pPr>
      <w:r>
        <w:rPr>
          <w:sz w:val="20"/>
          <w:szCs w:val="20"/>
        </w:rPr>
        <w:t>For the animal therapy market:</w:t>
      </w:r>
    </w:p>
    <w:p w14:paraId="0BFF648F"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F31133B" w14:textId="77777777">
        <w:tc>
          <w:tcPr>
            <w:tcW w:w="360" w:type="dxa"/>
            <w:hideMark/>
          </w:tcPr>
          <w:p w14:paraId="5FC182E9" w14:textId="77777777" w:rsidR="00000000" w:rsidRDefault="00D6065B">
            <w:pPr>
              <w:jc w:val="both"/>
              <w:rPr>
                <w:rFonts w:eastAsia="Times New Roman"/>
                <w:sz w:val="20"/>
                <w:szCs w:val="20"/>
              </w:rPr>
            </w:pPr>
            <w:r>
              <w:rPr>
                <w:rFonts w:eastAsia="Times New Roman"/>
                <w:sz w:val="20"/>
                <w:szCs w:val="20"/>
              </w:rPr>
              <w:t> </w:t>
            </w:r>
          </w:p>
        </w:tc>
        <w:tc>
          <w:tcPr>
            <w:tcW w:w="360" w:type="dxa"/>
            <w:hideMark/>
          </w:tcPr>
          <w:p w14:paraId="1DC810FE"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1F40ACC7" w14:textId="77777777" w:rsidR="00000000" w:rsidRDefault="00D6065B">
            <w:pPr>
              <w:jc w:val="both"/>
              <w:rPr>
                <w:rFonts w:eastAsia="Times New Roman"/>
                <w:sz w:val="20"/>
                <w:szCs w:val="20"/>
              </w:rPr>
            </w:pPr>
            <w:r>
              <w:rPr>
                <w:rFonts w:eastAsia="Times New Roman"/>
                <w:sz w:val="20"/>
                <w:szCs w:val="20"/>
              </w:rPr>
              <w:t>Fund the effort to communicate the benefits of</w:t>
            </w:r>
            <w:r>
              <w:rPr>
                <w:rFonts w:eastAsia="Times New Roman"/>
                <w:sz w:val="20"/>
                <w:szCs w:val="20"/>
              </w:rPr>
              <w:t xml:space="preserve">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14:paraId="5A910894" w14:textId="77777777">
        <w:tc>
          <w:tcPr>
            <w:tcW w:w="0" w:type="auto"/>
            <w:hideMark/>
          </w:tcPr>
          <w:p w14:paraId="68BB761A"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7AAEC212"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1D582BB2" w14:textId="77777777" w:rsidR="00000000" w:rsidRDefault="00D6065B">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14:paraId="01061796" w14:textId="77777777">
        <w:tc>
          <w:tcPr>
            <w:tcW w:w="0" w:type="auto"/>
            <w:hideMark/>
          </w:tcPr>
          <w:p w14:paraId="09030975"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548E925D"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7C91D0D9" w14:textId="77777777" w:rsidR="00000000" w:rsidRDefault="00D6065B">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14:paraId="4CC2D102" w14:textId="77777777">
        <w:tc>
          <w:tcPr>
            <w:tcW w:w="0" w:type="auto"/>
            <w:hideMark/>
          </w:tcPr>
          <w:p w14:paraId="61C3879E" w14:textId="77777777" w:rsidR="00000000" w:rsidRDefault="00D6065B">
            <w:pPr>
              <w:jc w:val="both"/>
              <w:rPr>
                <w:rFonts w:eastAsia="Times New Roman"/>
                <w:sz w:val="20"/>
                <w:szCs w:val="20"/>
              </w:rPr>
            </w:pPr>
            <w:r>
              <w:rPr>
                <w:rFonts w:eastAsia="Times New Roman"/>
                <w:sz w:val="20"/>
                <w:szCs w:val="20"/>
              </w:rPr>
              <w:t> </w:t>
            </w:r>
          </w:p>
        </w:tc>
        <w:tc>
          <w:tcPr>
            <w:tcW w:w="0" w:type="auto"/>
            <w:hideMark/>
          </w:tcPr>
          <w:p w14:paraId="2536A619" w14:textId="77777777" w:rsidR="00000000" w:rsidRDefault="00D6065B">
            <w:pPr>
              <w:jc w:val="both"/>
              <w:rPr>
                <w:rFonts w:eastAsia="Times New Roman"/>
                <w:sz w:val="20"/>
                <w:szCs w:val="20"/>
              </w:rPr>
            </w:pPr>
            <w:r>
              <w:rPr>
                <w:rFonts w:eastAsia="Times New Roman"/>
                <w:sz w:val="20"/>
                <w:szCs w:val="20"/>
              </w:rPr>
              <w:t>●</w:t>
            </w:r>
          </w:p>
        </w:tc>
        <w:tc>
          <w:tcPr>
            <w:tcW w:w="0" w:type="auto"/>
            <w:hideMark/>
          </w:tcPr>
          <w:p w14:paraId="3C8EC906" w14:textId="77777777" w:rsidR="00000000" w:rsidRDefault="00D6065B">
            <w:pPr>
              <w:jc w:val="both"/>
              <w:rPr>
                <w:rFonts w:eastAsia="Times New Roman"/>
                <w:sz w:val="20"/>
                <w:szCs w:val="20"/>
              </w:rPr>
            </w:pPr>
            <w:r>
              <w:rPr>
                <w:rFonts w:eastAsia="Times New Roman"/>
                <w:sz w:val="20"/>
                <w:szCs w:val="20"/>
              </w:rPr>
              <w:t>Assist a new regional clinic with their license and certification training.</w:t>
            </w:r>
          </w:p>
        </w:tc>
      </w:tr>
    </w:tbl>
    <w:p w14:paraId="68D90DCB" w14:textId="77777777" w:rsidR="00000000" w:rsidRDefault="00D6065B">
      <w:pPr>
        <w:pStyle w:val="a3"/>
        <w:spacing w:before="0" w:beforeAutospacing="0" w:after="0" w:afterAutospacing="0"/>
        <w:jc w:val="both"/>
        <w:rPr>
          <w:sz w:val="20"/>
          <w:szCs w:val="20"/>
        </w:rPr>
      </w:pPr>
      <w:r>
        <w:rPr>
          <w:sz w:val="20"/>
          <w:szCs w:val="20"/>
        </w:rPr>
        <w:t> </w:t>
      </w:r>
    </w:p>
    <w:p w14:paraId="69F31D4E" w14:textId="77777777" w:rsidR="00000000" w:rsidRDefault="00D6065B">
      <w:pPr>
        <w:pStyle w:val="a3"/>
        <w:spacing w:before="0" w:beforeAutospacing="0" w:after="0" w:afterAutospacing="0"/>
        <w:ind w:firstLine="720"/>
        <w:jc w:val="both"/>
        <w:rPr>
          <w:sz w:val="20"/>
          <w:szCs w:val="20"/>
        </w:rPr>
      </w:pPr>
      <w:r>
        <w:rPr>
          <w:sz w:val="20"/>
          <w:szCs w:val="20"/>
        </w:rPr>
        <w:t>For the human market:</w:t>
      </w:r>
    </w:p>
    <w:p w14:paraId="2EB81D24"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A02F582" w14:textId="77777777">
        <w:tc>
          <w:tcPr>
            <w:tcW w:w="360" w:type="dxa"/>
            <w:hideMark/>
          </w:tcPr>
          <w:p w14:paraId="6842C5D1" w14:textId="77777777" w:rsidR="00000000" w:rsidRDefault="00D6065B">
            <w:pPr>
              <w:rPr>
                <w:rFonts w:eastAsia="Times New Roman"/>
                <w:sz w:val="20"/>
                <w:szCs w:val="20"/>
              </w:rPr>
            </w:pPr>
            <w:r>
              <w:rPr>
                <w:rFonts w:eastAsia="Times New Roman"/>
                <w:sz w:val="20"/>
                <w:szCs w:val="20"/>
              </w:rPr>
              <w:t> </w:t>
            </w:r>
          </w:p>
        </w:tc>
        <w:tc>
          <w:tcPr>
            <w:tcW w:w="360" w:type="dxa"/>
            <w:hideMark/>
          </w:tcPr>
          <w:p w14:paraId="64ABD7AA" w14:textId="77777777" w:rsidR="00000000" w:rsidRDefault="00D6065B">
            <w:pPr>
              <w:rPr>
                <w:rFonts w:eastAsia="Times New Roman"/>
                <w:sz w:val="20"/>
                <w:szCs w:val="20"/>
              </w:rPr>
            </w:pPr>
            <w:r>
              <w:rPr>
                <w:rFonts w:eastAsia="Times New Roman"/>
                <w:sz w:val="20"/>
                <w:szCs w:val="20"/>
              </w:rPr>
              <w:t>●</w:t>
            </w:r>
          </w:p>
        </w:tc>
        <w:tc>
          <w:tcPr>
            <w:tcW w:w="0" w:type="auto"/>
            <w:hideMark/>
          </w:tcPr>
          <w:p w14:paraId="2F7D6E73" w14:textId="77777777" w:rsidR="00000000" w:rsidRDefault="00D6065B">
            <w:pPr>
              <w:jc w:val="both"/>
              <w:rPr>
                <w:rFonts w:eastAsia="Times New Roman"/>
                <w:sz w:val="20"/>
                <w:szCs w:val="20"/>
              </w:rPr>
            </w:pPr>
            <w:r>
              <w:rPr>
                <w:rFonts w:eastAsia="Times New Roman"/>
                <w:sz w:val="20"/>
                <w:szCs w:val="20"/>
              </w:rPr>
              <w:t>Enhance the pedigree of the Quality Management System.</w:t>
            </w:r>
          </w:p>
        </w:tc>
      </w:tr>
      <w:tr w:rsidR="00000000" w14:paraId="542B98BA" w14:textId="77777777">
        <w:tc>
          <w:tcPr>
            <w:tcW w:w="0" w:type="auto"/>
            <w:hideMark/>
          </w:tcPr>
          <w:p w14:paraId="5E918438" w14:textId="77777777" w:rsidR="00000000" w:rsidRDefault="00D6065B">
            <w:pPr>
              <w:rPr>
                <w:rFonts w:eastAsia="Times New Roman"/>
                <w:sz w:val="20"/>
                <w:szCs w:val="20"/>
              </w:rPr>
            </w:pPr>
            <w:r>
              <w:rPr>
                <w:rFonts w:eastAsia="Times New Roman"/>
                <w:sz w:val="20"/>
                <w:szCs w:val="20"/>
              </w:rPr>
              <w:t> </w:t>
            </w:r>
          </w:p>
        </w:tc>
        <w:tc>
          <w:tcPr>
            <w:tcW w:w="0" w:type="auto"/>
            <w:hideMark/>
          </w:tcPr>
          <w:p w14:paraId="0F8A4C43" w14:textId="77777777" w:rsidR="00000000" w:rsidRDefault="00D6065B">
            <w:pPr>
              <w:rPr>
                <w:rFonts w:eastAsia="Times New Roman"/>
                <w:sz w:val="20"/>
                <w:szCs w:val="20"/>
              </w:rPr>
            </w:pPr>
            <w:r>
              <w:rPr>
                <w:rFonts w:eastAsia="Times New Roman"/>
                <w:sz w:val="20"/>
                <w:szCs w:val="20"/>
              </w:rPr>
              <w:t>●</w:t>
            </w:r>
          </w:p>
        </w:tc>
        <w:tc>
          <w:tcPr>
            <w:tcW w:w="0" w:type="auto"/>
            <w:hideMark/>
          </w:tcPr>
          <w:p w14:paraId="479C59BE" w14:textId="77777777" w:rsidR="00000000" w:rsidRDefault="00D6065B">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meeting.</w:t>
            </w:r>
          </w:p>
        </w:tc>
      </w:tr>
      <w:tr w:rsidR="00000000" w14:paraId="4FB85496" w14:textId="77777777">
        <w:tc>
          <w:tcPr>
            <w:tcW w:w="0" w:type="auto"/>
            <w:hideMark/>
          </w:tcPr>
          <w:p w14:paraId="278EF515" w14:textId="77777777" w:rsidR="00000000" w:rsidRDefault="00D6065B">
            <w:pPr>
              <w:rPr>
                <w:rFonts w:eastAsia="Times New Roman"/>
                <w:sz w:val="20"/>
                <w:szCs w:val="20"/>
              </w:rPr>
            </w:pPr>
            <w:r>
              <w:rPr>
                <w:rFonts w:eastAsia="Times New Roman"/>
                <w:sz w:val="20"/>
                <w:szCs w:val="20"/>
              </w:rPr>
              <w:t> </w:t>
            </w:r>
          </w:p>
        </w:tc>
        <w:tc>
          <w:tcPr>
            <w:tcW w:w="0" w:type="auto"/>
            <w:hideMark/>
          </w:tcPr>
          <w:p w14:paraId="325CF47B" w14:textId="77777777" w:rsidR="00000000" w:rsidRDefault="00D6065B">
            <w:pPr>
              <w:rPr>
                <w:rFonts w:eastAsia="Times New Roman"/>
                <w:sz w:val="20"/>
                <w:szCs w:val="20"/>
              </w:rPr>
            </w:pPr>
            <w:r>
              <w:rPr>
                <w:rFonts w:eastAsia="Times New Roman"/>
                <w:sz w:val="20"/>
                <w:szCs w:val="20"/>
              </w:rPr>
              <w:t>●</w:t>
            </w:r>
          </w:p>
        </w:tc>
        <w:tc>
          <w:tcPr>
            <w:tcW w:w="0" w:type="auto"/>
            <w:hideMark/>
          </w:tcPr>
          <w:p w14:paraId="331BE1F5" w14:textId="77777777" w:rsidR="00000000" w:rsidRDefault="00D6065B">
            <w:pPr>
              <w:jc w:val="both"/>
              <w:rPr>
                <w:rFonts w:eastAsia="Times New Roman"/>
                <w:sz w:val="20"/>
                <w:szCs w:val="20"/>
              </w:rPr>
            </w:pPr>
            <w:r>
              <w:rPr>
                <w:rFonts w:eastAsia="Times New Roman"/>
                <w:sz w:val="20"/>
                <w:szCs w:val="20"/>
              </w:rPr>
              <w:t xml:space="preserve">Use the feedback from that meeting to write </w:t>
            </w:r>
            <w:r>
              <w:rPr>
                <w:rFonts w:eastAsia="Times New Roman"/>
                <w:sz w:val="20"/>
                <w:szCs w:val="20"/>
              </w:rPr>
              <w:t>the IDE (Investigational Device Exemption), which is required to initiate clinical trials.</w:t>
            </w:r>
          </w:p>
        </w:tc>
      </w:tr>
    </w:tbl>
    <w:p w14:paraId="6D91DD80" w14:textId="77777777" w:rsidR="00000000" w:rsidRDefault="00D6065B">
      <w:pPr>
        <w:pStyle w:val="a3"/>
        <w:spacing w:before="0" w:beforeAutospacing="0" w:after="0" w:afterAutospacing="0"/>
        <w:rPr>
          <w:sz w:val="20"/>
          <w:szCs w:val="20"/>
        </w:rPr>
      </w:pPr>
      <w:r>
        <w:rPr>
          <w:sz w:val="20"/>
          <w:szCs w:val="20"/>
        </w:rPr>
        <w:t> </w:t>
      </w:r>
    </w:p>
    <w:p w14:paraId="0FEB5DA1" w14:textId="77777777" w:rsidR="00000000" w:rsidRDefault="00D6065B">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 and debt securities. The Company may re</w:t>
      </w:r>
      <w:r>
        <w:rPr>
          <w:sz w:val="20"/>
          <w:szCs w:val="20"/>
        </w:rPr>
        <w:t>quire additional funding of approximately $2 million annually to maintain current operating activities. Over the next 12 to 24 months, the Company believes it will cost approximately $9 million to: (1) fund the FDA approval process to conduct human clinica</w:t>
      </w:r>
      <w:r>
        <w:rPr>
          <w:sz w:val="20"/>
          <w:szCs w:val="20"/>
        </w:rPr>
        <w:t>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w:t>
      </w:r>
      <w:r>
        <w:rPr>
          <w:sz w:val="20"/>
          <w:szCs w:val="20"/>
        </w:rPr>
        <w:t>al manufacturing, and (5) initiate regulatory approval processes outside of the United States.</w:t>
      </w:r>
    </w:p>
    <w:p w14:paraId="5373B324" w14:textId="77777777" w:rsidR="00000000" w:rsidRDefault="00D6065B">
      <w:pPr>
        <w:pStyle w:val="a3"/>
        <w:spacing w:before="0" w:beforeAutospacing="0" w:after="0" w:afterAutospacing="0"/>
        <w:jc w:val="both"/>
        <w:rPr>
          <w:sz w:val="20"/>
          <w:szCs w:val="20"/>
        </w:rPr>
      </w:pPr>
      <w:r>
        <w:rPr>
          <w:sz w:val="20"/>
          <w:szCs w:val="20"/>
        </w:rPr>
        <w:t> </w:t>
      </w:r>
    </w:p>
    <w:p w14:paraId="18AC5B20" w14:textId="77777777" w:rsidR="00000000" w:rsidRDefault="00D6065B">
      <w:pPr>
        <w:pStyle w:val="a3"/>
        <w:spacing w:before="0" w:beforeAutospacing="0" w:after="0" w:afterAutospacing="0"/>
        <w:ind w:firstLine="720"/>
        <w:jc w:val="both"/>
        <w:rPr>
          <w:sz w:val="20"/>
          <w:szCs w:val="20"/>
        </w:rPr>
      </w:pPr>
      <w:r>
        <w:rPr>
          <w:sz w:val="20"/>
          <w:szCs w:val="20"/>
        </w:rPr>
        <w:t>The continued deployment of the brachytherapy products and a worldwide regulatory approval effort will require additional resources and personnel. The principa</w:t>
      </w:r>
      <w:r>
        <w:rPr>
          <w:sz w:val="20"/>
          <w:szCs w:val="20"/>
        </w:rPr>
        <w:t>l variables in the timing and amount of spending for the brachytherapy products in the next 12 to 24 months will be the FDA’s classification of the Company’s brachytherapy products as Class II or Class III devices (or otherwise) and any requirements for ad</w:t>
      </w:r>
      <w:r>
        <w:rPr>
          <w:sz w:val="20"/>
          <w:szCs w:val="20"/>
        </w:rPr>
        <w:t xml:space="preserve">ditional studies which may possibly include clinical studies. Thereafter, the principal variables in the amount of the Company’s spending and its financing requirements would be the timing of any approvals and the nature of the Company’s arrangements with </w:t>
      </w:r>
      <w:r>
        <w:rPr>
          <w:sz w:val="20"/>
          <w:szCs w:val="20"/>
        </w:rPr>
        <w:t>third parties for manufacturing, sales, distribution and licensing of those products and the products’ success in the U.S. and elsewhere. The Company intends to fund its activities through strategic transactions such as licensing and partnership agreements</w:t>
      </w:r>
      <w:r>
        <w:rPr>
          <w:sz w:val="20"/>
          <w:szCs w:val="20"/>
        </w:rPr>
        <w:t xml:space="preserve"> or additional capital raises.</w:t>
      </w:r>
    </w:p>
    <w:p w14:paraId="27309572"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237DA93" w14:textId="77777777">
        <w:trPr>
          <w:divId w:val="702364931"/>
        </w:trPr>
        <w:tc>
          <w:tcPr>
            <w:tcW w:w="5000" w:type="pct"/>
            <w:hideMark/>
          </w:tcPr>
          <w:p w14:paraId="0DE20072"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71F73A15" w14:textId="77777777">
        <w:tc>
          <w:tcPr>
            <w:tcW w:w="5000" w:type="pct"/>
            <w:hideMark/>
          </w:tcPr>
          <w:p w14:paraId="23C905FB" w14:textId="77777777" w:rsidR="00000000" w:rsidRDefault="00D6065B">
            <w:pPr>
              <w:jc w:val="center"/>
              <w:rPr>
                <w:rFonts w:eastAsia="Times New Roman"/>
                <w:sz w:val="20"/>
                <w:szCs w:val="20"/>
              </w:rPr>
            </w:pPr>
            <w:r>
              <w:rPr>
                <w:rFonts w:eastAsia="Times New Roman"/>
                <w:sz w:val="20"/>
                <w:szCs w:val="20"/>
              </w:rPr>
              <w:t> </w:t>
            </w:r>
          </w:p>
        </w:tc>
      </w:tr>
    </w:tbl>
    <w:p w14:paraId="347C37E8" w14:textId="77777777" w:rsidR="00000000" w:rsidRDefault="00D6065B">
      <w:pPr>
        <w:pStyle w:val="a3"/>
        <w:spacing w:before="0" w:beforeAutospacing="0" w:after="0" w:afterAutospacing="0"/>
        <w:rPr>
          <w:sz w:val="20"/>
          <w:szCs w:val="20"/>
        </w:rPr>
      </w:pPr>
      <w:r>
        <w:rPr>
          <w:sz w:val="20"/>
          <w:szCs w:val="20"/>
        </w:rPr>
        <w:t> </w:t>
      </w:r>
    </w:p>
    <w:p w14:paraId="1C7997ED" w14:textId="77777777" w:rsidR="00000000" w:rsidRDefault="00D6065B">
      <w:pPr>
        <w:pStyle w:val="a3"/>
        <w:spacing w:before="0" w:beforeAutospacing="0" w:after="0" w:afterAutospacing="0"/>
        <w:ind w:firstLine="72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14:paraId="7FC60E00" w14:textId="77777777" w:rsidR="00000000" w:rsidRDefault="00D6065B">
      <w:pPr>
        <w:pStyle w:val="a3"/>
        <w:spacing w:before="0" w:beforeAutospacing="0" w:after="0" w:afterAutospacing="0"/>
        <w:jc w:val="both"/>
        <w:rPr>
          <w:sz w:val="20"/>
          <w:szCs w:val="20"/>
        </w:rPr>
      </w:pPr>
      <w:r>
        <w:rPr>
          <w:sz w:val="20"/>
          <w:szCs w:val="20"/>
        </w:rPr>
        <w:t> </w:t>
      </w:r>
    </w:p>
    <w:p w14:paraId="6C140AF6" w14:textId="77777777" w:rsidR="00000000" w:rsidRDefault="00D6065B">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14:paraId="57F56E09" w14:textId="77777777" w:rsidR="00000000" w:rsidRDefault="00D6065B">
      <w:pPr>
        <w:pStyle w:val="a3"/>
        <w:spacing w:before="0" w:beforeAutospacing="0" w:after="0" w:afterAutospacing="0"/>
        <w:jc w:val="both"/>
        <w:rPr>
          <w:sz w:val="20"/>
          <w:szCs w:val="20"/>
        </w:rPr>
      </w:pPr>
      <w:r>
        <w:rPr>
          <w:sz w:val="20"/>
          <w:szCs w:val="20"/>
        </w:rPr>
        <w:t> </w:t>
      </w:r>
    </w:p>
    <w:p w14:paraId="7D8B340B" w14:textId="77777777" w:rsidR="00000000" w:rsidRDefault="00D6065B">
      <w:pPr>
        <w:pStyle w:val="a3"/>
        <w:spacing w:before="0" w:beforeAutospacing="0" w:after="0" w:afterAutospacing="0"/>
        <w:ind w:firstLine="72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14:paraId="605895F6" w14:textId="77777777" w:rsidR="00000000" w:rsidRDefault="00D6065B">
      <w:pPr>
        <w:pStyle w:val="a3"/>
        <w:spacing w:before="0" w:beforeAutospacing="0" w:after="0" w:afterAutospacing="0"/>
        <w:jc w:val="both"/>
        <w:rPr>
          <w:sz w:val="20"/>
          <w:szCs w:val="20"/>
        </w:rPr>
      </w:pPr>
      <w:r>
        <w:rPr>
          <w:sz w:val="20"/>
          <w:szCs w:val="20"/>
        </w:rPr>
        <w:t> </w:t>
      </w:r>
    </w:p>
    <w:p w14:paraId="417DE3E5" w14:textId="77777777" w:rsidR="00000000" w:rsidRDefault="00D6065B">
      <w:pPr>
        <w:pStyle w:val="a3"/>
        <w:spacing w:before="0" w:beforeAutospacing="0" w:after="0" w:afterAutospacing="0"/>
        <w:ind w:firstLine="72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initial epicenter of the COVID-19 outbreak in the United States. The Company is hopefu</w:t>
      </w:r>
      <w:r>
        <w:rPr>
          <w:sz w:val="20"/>
          <w:szCs w:val="20"/>
        </w:rPr>
        <w:t>l that by the end of the third quarter of 2021, they will be allowed to continue their marketing to the animal therapy market and attempt to increase the exposure to their product and generate revenue accordingly.</w:t>
      </w:r>
    </w:p>
    <w:p w14:paraId="159CA6C1" w14:textId="77777777" w:rsidR="00000000" w:rsidRDefault="00D6065B">
      <w:pPr>
        <w:pStyle w:val="a3"/>
        <w:spacing w:before="0" w:beforeAutospacing="0" w:after="0" w:afterAutospacing="0"/>
        <w:jc w:val="both"/>
        <w:rPr>
          <w:sz w:val="20"/>
          <w:szCs w:val="20"/>
        </w:rPr>
      </w:pPr>
      <w:r>
        <w:rPr>
          <w:sz w:val="20"/>
          <w:szCs w:val="20"/>
        </w:rPr>
        <w:t> </w:t>
      </w:r>
    </w:p>
    <w:p w14:paraId="35B5F66E" w14:textId="77777777" w:rsidR="00000000" w:rsidRDefault="00D6065B">
      <w:pPr>
        <w:pStyle w:val="a3"/>
        <w:spacing w:before="0" w:beforeAutospacing="0" w:after="0" w:afterAutospacing="0"/>
        <w:ind w:firstLine="720"/>
        <w:jc w:val="both"/>
        <w:rPr>
          <w:sz w:val="20"/>
          <w:szCs w:val="20"/>
        </w:rPr>
      </w:pPr>
      <w:r>
        <w:rPr>
          <w:sz w:val="20"/>
          <w:szCs w:val="20"/>
        </w:rPr>
        <w:t>As of June 30, 2021, the Company has $2,</w:t>
      </w:r>
      <w:r>
        <w:rPr>
          <w:sz w:val="20"/>
          <w:szCs w:val="20"/>
        </w:rPr>
        <w:t>164,669 cash on hand. There are currently commitments to vendors for products and services purchased. To continue the development of the Company’s products, the current level of cash may not be enough to cover the fixed and variable obligations of the Comp</w:t>
      </w:r>
      <w:r>
        <w:rPr>
          <w:sz w:val="20"/>
          <w:szCs w:val="20"/>
        </w:rPr>
        <w:t>any.</w:t>
      </w:r>
    </w:p>
    <w:p w14:paraId="20BBBC45" w14:textId="77777777" w:rsidR="00000000" w:rsidRDefault="00D6065B">
      <w:pPr>
        <w:pStyle w:val="a3"/>
        <w:spacing w:before="0" w:beforeAutospacing="0" w:after="0" w:afterAutospacing="0"/>
        <w:jc w:val="both"/>
        <w:rPr>
          <w:sz w:val="20"/>
          <w:szCs w:val="20"/>
        </w:rPr>
      </w:pPr>
      <w:r>
        <w:rPr>
          <w:sz w:val="20"/>
          <w:szCs w:val="20"/>
        </w:rPr>
        <w:t> </w:t>
      </w:r>
    </w:p>
    <w:p w14:paraId="5D326287" w14:textId="77777777" w:rsidR="00000000" w:rsidRDefault="00D6065B">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14:paraId="70FACF79" w14:textId="77777777" w:rsidR="00000000" w:rsidRDefault="00D6065B">
      <w:pPr>
        <w:pStyle w:val="a3"/>
        <w:spacing w:before="0" w:beforeAutospacing="0" w:after="0" w:afterAutospacing="0"/>
        <w:jc w:val="both"/>
        <w:rPr>
          <w:sz w:val="20"/>
          <w:szCs w:val="20"/>
        </w:rPr>
      </w:pPr>
      <w:r>
        <w:rPr>
          <w:sz w:val="20"/>
          <w:szCs w:val="20"/>
        </w:rPr>
        <w:t> </w:t>
      </w:r>
    </w:p>
    <w:p w14:paraId="60F64D84" w14:textId="77777777" w:rsidR="00000000" w:rsidRDefault="00D6065B">
      <w:pPr>
        <w:pStyle w:val="a3"/>
        <w:spacing w:before="0" w:beforeAutospacing="0" w:after="0" w:afterAutospacing="0"/>
        <w:jc w:val="both"/>
        <w:rPr>
          <w:sz w:val="20"/>
          <w:szCs w:val="20"/>
        </w:rPr>
      </w:pPr>
      <w:r>
        <w:rPr>
          <w:b/>
          <w:bCs/>
          <w:sz w:val="20"/>
          <w:szCs w:val="20"/>
        </w:rPr>
        <w:t>Product Features</w:t>
      </w:r>
    </w:p>
    <w:p w14:paraId="6408A4D5" w14:textId="77777777" w:rsidR="00000000" w:rsidRDefault="00D6065B">
      <w:pPr>
        <w:pStyle w:val="a3"/>
        <w:spacing w:before="0" w:beforeAutospacing="0" w:after="0" w:afterAutospacing="0"/>
        <w:jc w:val="both"/>
        <w:rPr>
          <w:sz w:val="20"/>
          <w:szCs w:val="20"/>
        </w:rPr>
      </w:pPr>
      <w:r>
        <w:rPr>
          <w:sz w:val="20"/>
          <w:szCs w:val="20"/>
        </w:rPr>
        <w:t> </w:t>
      </w:r>
    </w:p>
    <w:p w14:paraId="3AA85E17" w14:textId="77777777" w:rsidR="00000000" w:rsidRDefault="00D6065B">
      <w:pPr>
        <w:pStyle w:val="a3"/>
        <w:spacing w:before="0" w:beforeAutospacing="0" w:after="0" w:afterAutospacing="0"/>
        <w:ind w:firstLine="720"/>
        <w:jc w:val="both"/>
        <w:rPr>
          <w:sz w:val="20"/>
          <w:szCs w:val="20"/>
        </w:rPr>
      </w:pPr>
      <w:r>
        <w:rPr>
          <w:sz w:val="20"/>
          <w:szCs w:val="20"/>
        </w:rPr>
        <w:t>The Company’s RadioGel™ device has the following product features:</w:t>
      </w:r>
    </w:p>
    <w:p w14:paraId="682E629B"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AC2AAC6" w14:textId="77777777">
        <w:tc>
          <w:tcPr>
            <w:tcW w:w="360" w:type="dxa"/>
            <w:hideMark/>
          </w:tcPr>
          <w:p w14:paraId="5689D4BC" w14:textId="77777777" w:rsidR="00000000" w:rsidRDefault="00D6065B">
            <w:pPr>
              <w:rPr>
                <w:rFonts w:eastAsia="Times New Roman"/>
                <w:sz w:val="20"/>
                <w:szCs w:val="20"/>
              </w:rPr>
            </w:pPr>
            <w:r>
              <w:rPr>
                <w:rFonts w:eastAsia="Times New Roman"/>
                <w:sz w:val="20"/>
                <w:szCs w:val="20"/>
              </w:rPr>
              <w:t> </w:t>
            </w:r>
          </w:p>
        </w:tc>
        <w:tc>
          <w:tcPr>
            <w:tcW w:w="360" w:type="dxa"/>
            <w:hideMark/>
          </w:tcPr>
          <w:p w14:paraId="00B316E1" w14:textId="77777777" w:rsidR="00000000" w:rsidRDefault="00D6065B">
            <w:pPr>
              <w:rPr>
                <w:rFonts w:eastAsia="Times New Roman"/>
                <w:sz w:val="20"/>
                <w:szCs w:val="20"/>
              </w:rPr>
            </w:pPr>
            <w:r>
              <w:rPr>
                <w:rFonts w:eastAsia="Times New Roman"/>
                <w:sz w:val="20"/>
                <w:szCs w:val="20"/>
              </w:rPr>
              <w:t>●</w:t>
            </w:r>
          </w:p>
        </w:tc>
        <w:tc>
          <w:tcPr>
            <w:tcW w:w="0" w:type="auto"/>
            <w:hideMark/>
          </w:tcPr>
          <w:p w14:paraId="71815C66" w14:textId="77777777" w:rsidR="00000000" w:rsidRDefault="00D6065B">
            <w:pPr>
              <w:jc w:val="both"/>
              <w:rPr>
                <w:rFonts w:eastAsia="Times New Roman"/>
                <w:sz w:val="20"/>
                <w:szCs w:val="20"/>
              </w:rPr>
            </w:pPr>
            <w:r>
              <w:rPr>
                <w:rFonts w:eastAsia="Times New Roman"/>
                <w:sz w:val="20"/>
                <w:szCs w:val="20"/>
              </w:rPr>
              <w:t xml:space="preserve">Beta </w:t>
            </w:r>
            <w:r>
              <w:rPr>
                <w:rFonts w:eastAsia="Times New Roman"/>
                <w:sz w:val="20"/>
                <w:szCs w:val="20"/>
              </w:rPr>
              <w:t>particles only travel a short distance so the device can deliver high radiation to the tumor with minimal dose to the nearby normal tissues. In medical terms Y-90 beta emitter has a high efficacy rate;</w:t>
            </w:r>
          </w:p>
        </w:tc>
      </w:tr>
      <w:tr w:rsidR="00000000" w14:paraId="18B69F5A" w14:textId="77777777">
        <w:tc>
          <w:tcPr>
            <w:tcW w:w="0" w:type="auto"/>
            <w:hideMark/>
          </w:tcPr>
          <w:p w14:paraId="691E145E" w14:textId="77777777" w:rsidR="00000000" w:rsidRDefault="00D6065B">
            <w:pPr>
              <w:rPr>
                <w:rFonts w:eastAsia="Times New Roman"/>
                <w:sz w:val="20"/>
                <w:szCs w:val="20"/>
              </w:rPr>
            </w:pPr>
            <w:r>
              <w:rPr>
                <w:rFonts w:eastAsia="Times New Roman"/>
                <w:sz w:val="20"/>
                <w:szCs w:val="20"/>
              </w:rPr>
              <w:t> </w:t>
            </w:r>
          </w:p>
        </w:tc>
        <w:tc>
          <w:tcPr>
            <w:tcW w:w="0" w:type="auto"/>
            <w:hideMark/>
          </w:tcPr>
          <w:p w14:paraId="42003AF5" w14:textId="77777777" w:rsidR="00000000" w:rsidRDefault="00D6065B">
            <w:pPr>
              <w:rPr>
                <w:rFonts w:eastAsia="Times New Roman"/>
                <w:sz w:val="20"/>
                <w:szCs w:val="20"/>
              </w:rPr>
            </w:pPr>
            <w:r>
              <w:rPr>
                <w:rFonts w:eastAsia="Times New Roman"/>
                <w:sz w:val="20"/>
                <w:szCs w:val="20"/>
              </w:rPr>
              <w:t> </w:t>
            </w:r>
          </w:p>
        </w:tc>
        <w:tc>
          <w:tcPr>
            <w:tcW w:w="0" w:type="auto"/>
            <w:hideMark/>
          </w:tcPr>
          <w:p w14:paraId="1DE2968F" w14:textId="77777777" w:rsidR="00000000" w:rsidRDefault="00D6065B">
            <w:pPr>
              <w:jc w:val="both"/>
              <w:rPr>
                <w:rFonts w:eastAsia="Times New Roman"/>
                <w:sz w:val="20"/>
                <w:szCs w:val="20"/>
              </w:rPr>
            </w:pPr>
            <w:r>
              <w:rPr>
                <w:rFonts w:eastAsia="Times New Roman"/>
                <w:sz w:val="20"/>
                <w:szCs w:val="20"/>
              </w:rPr>
              <w:t> </w:t>
            </w:r>
          </w:p>
        </w:tc>
      </w:tr>
      <w:tr w:rsidR="00000000" w14:paraId="1D107A52" w14:textId="77777777">
        <w:tc>
          <w:tcPr>
            <w:tcW w:w="0" w:type="auto"/>
            <w:hideMark/>
          </w:tcPr>
          <w:p w14:paraId="310C0A66" w14:textId="77777777" w:rsidR="00000000" w:rsidRDefault="00D6065B">
            <w:pPr>
              <w:rPr>
                <w:rFonts w:eastAsia="Times New Roman"/>
                <w:sz w:val="20"/>
                <w:szCs w:val="20"/>
              </w:rPr>
            </w:pPr>
            <w:r>
              <w:rPr>
                <w:rFonts w:eastAsia="Times New Roman"/>
                <w:sz w:val="20"/>
                <w:szCs w:val="20"/>
              </w:rPr>
              <w:t> </w:t>
            </w:r>
          </w:p>
        </w:tc>
        <w:tc>
          <w:tcPr>
            <w:tcW w:w="0" w:type="auto"/>
            <w:hideMark/>
          </w:tcPr>
          <w:p w14:paraId="35F7C891" w14:textId="77777777" w:rsidR="00000000" w:rsidRDefault="00D6065B">
            <w:pPr>
              <w:rPr>
                <w:rFonts w:eastAsia="Times New Roman"/>
                <w:sz w:val="20"/>
                <w:szCs w:val="20"/>
              </w:rPr>
            </w:pPr>
            <w:r>
              <w:rPr>
                <w:rFonts w:eastAsia="Times New Roman"/>
                <w:sz w:val="20"/>
                <w:szCs w:val="20"/>
              </w:rPr>
              <w:t>●</w:t>
            </w:r>
          </w:p>
        </w:tc>
        <w:tc>
          <w:tcPr>
            <w:tcW w:w="0" w:type="auto"/>
            <w:hideMark/>
          </w:tcPr>
          <w:p w14:paraId="7DD63086" w14:textId="77777777" w:rsidR="00000000" w:rsidRDefault="00D6065B">
            <w:pPr>
              <w:jc w:val="both"/>
              <w:rPr>
                <w:rFonts w:eastAsia="Times New Roman"/>
                <w:sz w:val="20"/>
                <w:szCs w:val="20"/>
              </w:rPr>
            </w:pPr>
            <w:r>
              <w:rPr>
                <w:rFonts w:eastAsia="Times New Roman"/>
                <w:sz w:val="20"/>
                <w:szCs w:val="20"/>
              </w:rPr>
              <w:t>Benefitting from the short penetration dis</w:t>
            </w:r>
            <w:r>
              <w:rPr>
                <w:rFonts w:eastAsia="Times New Roman"/>
                <w:sz w:val="20"/>
                <w:szCs w:val="20"/>
              </w:rPr>
              <w:t>tance, the patient can go home immediately with no fear of exposure to family members, and there is a greatly reduced radiation risk to the doctor. A simple plastic tube around the syringe, gloves and safety glasses are all that is required. Other gamma em</w:t>
            </w:r>
            <w:r>
              <w:rPr>
                <w:rFonts w:eastAsia="Times New Roman"/>
                <w:sz w:val="20"/>
                <w:szCs w:val="20"/>
              </w:rPr>
              <w:t>itting products require much more protection;</w:t>
            </w:r>
          </w:p>
        </w:tc>
      </w:tr>
      <w:tr w:rsidR="00000000" w14:paraId="1D89BA96" w14:textId="77777777">
        <w:tc>
          <w:tcPr>
            <w:tcW w:w="0" w:type="auto"/>
            <w:hideMark/>
          </w:tcPr>
          <w:p w14:paraId="1C315629" w14:textId="77777777" w:rsidR="00000000" w:rsidRDefault="00D6065B">
            <w:pPr>
              <w:rPr>
                <w:rFonts w:eastAsia="Times New Roman"/>
                <w:sz w:val="20"/>
                <w:szCs w:val="20"/>
              </w:rPr>
            </w:pPr>
            <w:r>
              <w:rPr>
                <w:rFonts w:eastAsia="Times New Roman"/>
                <w:sz w:val="20"/>
                <w:szCs w:val="20"/>
              </w:rPr>
              <w:t> </w:t>
            </w:r>
          </w:p>
        </w:tc>
        <w:tc>
          <w:tcPr>
            <w:tcW w:w="0" w:type="auto"/>
            <w:hideMark/>
          </w:tcPr>
          <w:p w14:paraId="2BC3297B" w14:textId="77777777" w:rsidR="00000000" w:rsidRDefault="00D6065B">
            <w:pPr>
              <w:rPr>
                <w:rFonts w:eastAsia="Times New Roman"/>
                <w:sz w:val="20"/>
                <w:szCs w:val="20"/>
              </w:rPr>
            </w:pPr>
            <w:r>
              <w:rPr>
                <w:rFonts w:eastAsia="Times New Roman"/>
                <w:sz w:val="20"/>
                <w:szCs w:val="20"/>
              </w:rPr>
              <w:t> </w:t>
            </w:r>
          </w:p>
        </w:tc>
        <w:tc>
          <w:tcPr>
            <w:tcW w:w="0" w:type="auto"/>
            <w:hideMark/>
          </w:tcPr>
          <w:p w14:paraId="791B0B34" w14:textId="77777777" w:rsidR="00000000" w:rsidRDefault="00D6065B">
            <w:pPr>
              <w:jc w:val="both"/>
              <w:rPr>
                <w:rFonts w:eastAsia="Times New Roman"/>
                <w:sz w:val="20"/>
                <w:szCs w:val="20"/>
              </w:rPr>
            </w:pPr>
            <w:r>
              <w:rPr>
                <w:rFonts w:eastAsia="Times New Roman"/>
                <w:sz w:val="20"/>
                <w:szCs w:val="20"/>
              </w:rPr>
              <w:t> </w:t>
            </w:r>
          </w:p>
        </w:tc>
      </w:tr>
      <w:tr w:rsidR="00000000" w14:paraId="6113CEE8" w14:textId="77777777">
        <w:tc>
          <w:tcPr>
            <w:tcW w:w="0" w:type="auto"/>
            <w:hideMark/>
          </w:tcPr>
          <w:p w14:paraId="47C7C729" w14:textId="77777777" w:rsidR="00000000" w:rsidRDefault="00D6065B">
            <w:pPr>
              <w:rPr>
                <w:rFonts w:eastAsia="Times New Roman"/>
                <w:sz w:val="20"/>
                <w:szCs w:val="20"/>
              </w:rPr>
            </w:pPr>
            <w:r>
              <w:rPr>
                <w:rFonts w:eastAsia="Times New Roman"/>
                <w:sz w:val="20"/>
                <w:szCs w:val="20"/>
              </w:rPr>
              <w:t> </w:t>
            </w:r>
          </w:p>
        </w:tc>
        <w:tc>
          <w:tcPr>
            <w:tcW w:w="0" w:type="auto"/>
            <w:hideMark/>
          </w:tcPr>
          <w:p w14:paraId="56305259" w14:textId="77777777" w:rsidR="00000000" w:rsidRDefault="00D6065B">
            <w:pPr>
              <w:rPr>
                <w:rFonts w:eastAsia="Times New Roman"/>
                <w:sz w:val="20"/>
                <w:szCs w:val="20"/>
              </w:rPr>
            </w:pPr>
            <w:r>
              <w:rPr>
                <w:rFonts w:eastAsia="Times New Roman"/>
                <w:sz w:val="20"/>
                <w:szCs w:val="20"/>
              </w:rPr>
              <w:t>●</w:t>
            </w:r>
          </w:p>
        </w:tc>
        <w:tc>
          <w:tcPr>
            <w:tcW w:w="0" w:type="auto"/>
            <w:hideMark/>
          </w:tcPr>
          <w:p w14:paraId="16D41419" w14:textId="77777777" w:rsidR="00000000" w:rsidRDefault="00D6065B">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half-life of 17 days;</w:t>
            </w:r>
          </w:p>
        </w:tc>
      </w:tr>
      <w:tr w:rsidR="00000000" w14:paraId="3B714D5E" w14:textId="77777777">
        <w:tc>
          <w:tcPr>
            <w:tcW w:w="0" w:type="auto"/>
            <w:hideMark/>
          </w:tcPr>
          <w:p w14:paraId="4FF59397" w14:textId="77777777" w:rsidR="00000000" w:rsidRDefault="00D6065B">
            <w:pPr>
              <w:rPr>
                <w:rFonts w:eastAsia="Times New Roman"/>
                <w:sz w:val="20"/>
                <w:szCs w:val="20"/>
              </w:rPr>
            </w:pPr>
            <w:r>
              <w:rPr>
                <w:rFonts w:eastAsia="Times New Roman"/>
                <w:sz w:val="20"/>
                <w:szCs w:val="20"/>
              </w:rPr>
              <w:t> </w:t>
            </w:r>
          </w:p>
        </w:tc>
        <w:tc>
          <w:tcPr>
            <w:tcW w:w="0" w:type="auto"/>
            <w:hideMark/>
          </w:tcPr>
          <w:p w14:paraId="1B2BE49F" w14:textId="77777777" w:rsidR="00000000" w:rsidRDefault="00D6065B">
            <w:pPr>
              <w:rPr>
                <w:rFonts w:eastAsia="Times New Roman"/>
                <w:sz w:val="20"/>
                <w:szCs w:val="20"/>
              </w:rPr>
            </w:pPr>
            <w:r>
              <w:rPr>
                <w:rFonts w:eastAsia="Times New Roman"/>
                <w:sz w:val="20"/>
                <w:szCs w:val="20"/>
              </w:rPr>
              <w:t> </w:t>
            </w:r>
          </w:p>
        </w:tc>
        <w:tc>
          <w:tcPr>
            <w:tcW w:w="0" w:type="auto"/>
            <w:hideMark/>
          </w:tcPr>
          <w:p w14:paraId="7DEE564A" w14:textId="77777777" w:rsidR="00000000" w:rsidRDefault="00D6065B">
            <w:pPr>
              <w:jc w:val="both"/>
              <w:rPr>
                <w:rFonts w:eastAsia="Times New Roman"/>
                <w:sz w:val="20"/>
                <w:szCs w:val="20"/>
              </w:rPr>
            </w:pPr>
            <w:r>
              <w:rPr>
                <w:rFonts w:eastAsia="Times New Roman"/>
                <w:sz w:val="20"/>
                <w:szCs w:val="20"/>
              </w:rPr>
              <w:t> </w:t>
            </w:r>
          </w:p>
        </w:tc>
      </w:tr>
      <w:tr w:rsidR="00000000" w14:paraId="541FF8A7" w14:textId="77777777">
        <w:tc>
          <w:tcPr>
            <w:tcW w:w="0" w:type="auto"/>
            <w:hideMark/>
          </w:tcPr>
          <w:p w14:paraId="04B1EBFD" w14:textId="77777777" w:rsidR="00000000" w:rsidRDefault="00D6065B">
            <w:pPr>
              <w:rPr>
                <w:rFonts w:eastAsia="Times New Roman"/>
                <w:sz w:val="20"/>
                <w:szCs w:val="20"/>
              </w:rPr>
            </w:pPr>
            <w:r>
              <w:rPr>
                <w:rFonts w:eastAsia="Times New Roman"/>
                <w:sz w:val="20"/>
                <w:szCs w:val="20"/>
              </w:rPr>
              <w:t> </w:t>
            </w:r>
          </w:p>
        </w:tc>
        <w:tc>
          <w:tcPr>
            <w:tcW w:w="0" w:type="auto"/>
            <w:hideMark/>
          </w:tcPr>
          <w:p w14:paraId="38B6FE69" w14:textId="77777777" w:rsidR="00000000" w:rsidRDefault="00D6065B">
            <w:pPr>
              <w:rPr>
                <w:rFonts w:eastAsia="Times New Roman"/>
                <w:sz w:val="20"/>
                <w:szCs w:val="20"/>
              </w:rPr>
            </w:pPr>
            <w:r>
              <w:rPr>
                <w:rFonts w:eastAsia="Times New Roman"/>
                <w:sz w:val="20"/>
                <w:szCs w:val="20"/>
              </w:rPr>
              <w:t>●</w:t>
            </w:r>
          </w:p>
        </w:tc>
        <w:tc>
          <w:tcPr>
            <w:tcW w:w="0" w:type="auto"/>
            <w:hideMark/>
          </w:tcPr>
          <w:p w14:paraId="5F4AD025" w14:textId="77777777" w:rsidR="00000000" w:rsidRDefault="00D6065B">
            <w:pPr>
              <w:jc w:val="both"/>
              <w:rPr>
                <w:rFonts w:eastAsia="Times New Roman"/>
                <w:sz w:val="20"/>
                <w:szCs w:val="20"/>
              </w:rPr>
            </w:pPr>
            <w:r>
              <w:rPr>
                <w:rFonts w:eastAsia="Times New Roman"/>
                <w:sz w:val="20"/>
                <w:szCs w:val="20"/>
              </w:rPr>
              <w:t>The short half-life also means that any medical waste can be stored for thirty days then disposed as normal hospital waste;</w:t>
            </w:r>
          </w:p>
        </w:tc>
      </w:tr>
      <w:tr w:rsidR="00000000" w14:paraId="61616215" w14:textId="77777777">
        <w:tc>
          <w:tcPr>
            <w:tcW w:w="0" w:type="auto"/>
            <w:hideMark/>
          </w:tcPr>
          <w:p w14:paraId="6992F702" w14:textId="77777777" w:rsidR="00000000" w:rsidRDefault="00D6065B">
            <w:pPr>
              <w:rPr>
                <w:rFonts w:eastAsia="Times New Roman"/>
                <w:sz w:val="20"/>
                <w:szCs w:val="20"/>
              </w:rPr>
            </w:pPr>
            <w:r>
              <w:rPr>
                <w:rFonts w:eastAsia="Times New Roman"/>
                <w:sz w:val="20"/>
                <w:szCs w:val="20"/>
              </w:rPr>
              <w:t> </w:t>
            </w:r>
          </w:p>
        </w:tc>
        <w:tc>
          <w:tcPr>
            <w:tcW w:w="0" w:type="auto"/>
            <w:hideMark/>
          </w:tcPr>
          <w:p w14:paraId="461AE77C" w14:textId="77777777" w:rsidR="00000000" w:rsidRDefault="00D6065B">
            <w:pPr>
              <w:rPr>
                <w:rFonts w:eastAsia="Times New Roman"/>
                <w:sz w:val="20"/>
                <w:szCs w:val="20"/>
              </w:rPr>
            </w:pPr>
            <w:r>
              <w:rPr>
                <w:rFonts w:eastAsia="Times New Roman"/>
                <w:sz w:val="20"/>
                <w:szCs w:val="20"/>
              </w:rPr>
              <w:t> </w:t>
            </w:r>
          </w:p>
        </w:tc>
        <w:tc>
          <w:tcPr>
            <w:tcW w:w="0" w:type="auto"/>
            <w:hideMark/>
          </w:tcPr>
          <w:p w14:paraId="112F5F22" w14:textId="77777777" w:rsidR="00000000" w:rsidRDefault="00D6065B">
            <w:pPr>
              <w:jc w:val="both"/>
              <w:rPr>
                <w:rFonts w:eastAsia="Times New Roman"/>
                <w:sz w:val="20"/>
                <w:szCs w:val="20"/>
              </w:rPr>
            </w:pPr>
            <w:r>
              <w:rPr>
                <w:rFonts w:eastAsia="Times New Roman"/>
                <w:sz w:val="20"/>
                <w:szCs w:val="20"/>
              </w:rPr>
              <w:t> </w:t>
            </w:r>
          </w:p>
        </w:tc>
      </w:tr>
      <w:tr w:rsidR="00000000" w14:paraId="137AEB5A" w14:textId="77777777">
        <w:tc>
          <w:tcPr>
            <w:tcW w:w="0" w:type="auto"/>
            <w:hideMark/>
          </w:tcPr>
          <w:p w14:paraId="6FFCAB73" w14:textId="77777777" w:rsidR="00000000" w:rsidRDefault="00D6065B">
            <w:pPr>
              <w:rPr>
                <w:rFonts w:eastAsia="Times New Roman"/>
                <w:sz w:val="20"/>
                <w:szCs w:val="20"/>
              </w:rPr>
            </w:pPr>
            <w:r>
              <w:rPr>
                <w:rFonts w:eastAsia="Times New Roman"/>
                <w:sz w:val="20"/>
                <w:szCs w:val="20"/>
              </w:rPr>
              <w:t> </w:t>
            </w:r>
          </w:p>
        </w:tc>
        <w:tc>
          <w:tcPr>
            <w:tcW w:w="0" w:type="auto"/>
            <w:hideMark/>
          </w:tcPr>
          <w:p w14:paraId="4B4A433A" w14:textId="77777777" w:rsidR="00000000" w:rsidRDefault="00D6065B">
            <w:pPr>
              <w:rPr>
                <w:rFonts w:eastAsia="Times New Roman"/>
                <w:sz w:val="20"/>
                <w:szCs w:val="20"/>
              </w:rPr>
            </w:pPr>
            <w:r>
              <w:rPr>
                <w:rFonts w:eastAsia="Times New Roman"/>
                <w:sz w:val="20"/>
                <w:szCs w:val="20"/>
              </w:rPr>
              <w:t>●</w:t>
            </w:r>
          </w:p>
        </w:tc>
        <w:tc>
          <w:tcPr>
            <w:tcW w:w="0" w:type="auto"/>
            <w:hideMark/>
          </w:tcPr>
          <w:p w14:paraId="7B01EA00" w14:textId="77777777" w:rsidR="00000000" w:rsidRDefault="00D6065B">
            <w:pPr>
              <w:jc w:val="both"/>
              <w:rPr>
                <w:rFonts w:eastAsia="Times New Roman"/>
                <w:sz w:val="20"/>
                <w:szCs w:val="20"/>
              </w:rPr>
            </w:pPr>
            <w:r>
              <w:rPr>
                <w:rFonts w:eastAsia="Times New Roman"/>
                <w:sz w:val="20"/>
                <w:szCs w:val="20"/>
              </w:rPr>
              <w:t>RadioGel™ can be administered with small diameter needles (27-gauge) so there is minimal damage to the normal tissue. T</w:t>
            </w:r>
            <w:r>
              <w:rPr>
                <w:rFonts w:eastAsia="Times New Roman"/>
                <w:sz w:val="20"/>
                <w:szCs w:val="20"/>
              </w:rPr>
              <w:t>his is in contrast to the injection of metal seeds, which does considerable damage; and</w:t>
            </w:r>
          </w:p>
        </w:tc>
      </w:tr>
      <w:tr w:rsidR="00000000" w14:paraId="6721CFC1" w14:textId="77777777">
        <w:tc>
          <w:tcPr>
            <w:tcW w:w="0" w:type="auto"/>
            <w:hideMark/>
          </w:tcPr>
          <w:p w14:paraId="6DA39E27" w14:textId="77777777" w:rsidR="00000000" w:rsidRDefault="00D6065B">
            <w:pPr>
              <w:rPr>
                <w:rFonts w:eastAsia="Times New Roman"/>
                <w:sz w:val="20"/>
                <w:szCs w:val="20"/>
              </w:rPr>
            </w:pPr>
            <w:r>
              <w:rPr>
                <w:rFonts w:eastAsia="Times New Roman"/>
                <w:sz w:val="20"/>
                <w:szCs w:val="20"/>
              </w:rPr>
              <w:t> </w:t>
            </w:r>
          </w:p>
        </w:tc>
        <w:tc>
          <w:tcPr>
            <w:tcW w:w="0" w:type="auto"/>
            <w:hideMark/>
          </w:tcPr>
          <w:p w14:paraId="38F742CB" w14:textId="77777777" w:rsidR="00000000" w:rsidRDefault="00D6065B">
            <w:pPr>
              <w:rPr>
                <w:rFonts w:eastAsia="Times New Roman"/>
                <w:sz w:val="20"/>
                <w:szCs w:val="20"/>
              </w:rPr>
            </w:pPr>
            <w:r>
              <w:rPr>
                <w:rFonts w:eastAsia="Times New Roman"/>
                <w:sz w:val="20"/>
                <w:szCs w:val="20"/>
              </w:rPr>
              <w:t> </w:t>
            </w:r>
          </w:p>
        </w:tc>
        <w:tc>
          <w:tcPr>
            <w:tcW w:w="0" w:type="auto"/>
            <w:hideMark/>
          </w:tcPr>
          <w:p w14:paraId="00CA2CB5" w14:textId="77777777" w:rsidR="00000000" w:rsidRDefault="00D6065B">
            <w:pPr>
              <w:jc w:val="both"/>
              <w:rPr>
                <w:rFonts w:eastAsia="Times New Roman"/>
                <w:sz w:val="20"/>
                <w:szCs w:val="20"/>
              </w:rPr>
            </w:pPr>
            <w:r>
              <w:rPr>
                <w:rFonts w:eastAsia="Times New Roman"/>
                <w:sz w:val="20"/>
                <w:szCs w:val="20"/>
              </w:rPr>
              <w:t> </w:t>
            </w:r>
          </w:p>
        </w:tc>
      </w:tr>
      <w:tr w:rsidR="00000000" w14:paraId="10AA67B9" w14:textId="77777777">
        <w:tc>
          <w:tcPr>
            <w:tcW w:w="0" w:type="auto"/>
            <w:hideMark/>
          </w:tcPr>
          <w:p w14:paraId="172BFB34" w14:textId="77777777" w:rsidR="00000000" w:rsidRDefault="00D6065B">
            <w:pPr>
              <w:rPr>
                <w:rFonts w:eastAsia="Times New Roman"/>
                <w:sz w:val="20"/>
                <w:szCs w:val="20"/>
              </w:rPr>
            </w:pPr>
            <w:r>
              <w:rPr>
                <w:rFonts w:eastAsia="Times New Roman"/>
                <w:sz w:val="20"/>
                <w:szCs w:val="20"/>
              </w:rPr>
              <w:t> </w:t>
            </w:r>
          </w:p>
        </w:tc>
        <w:tc>
          <w:tcPr>
            <w:tcW w:w="0" w:type="auto"/>
            <w:hideMark/>
          </w:tcPr>
          <w:p w14:paraId="0D50C1E6" w14:textId="77777777" w:rsidR="00000000" w:rsidRDefault="00D6065B">
            <w:pPr>
              <w:rPr>
                <w:rFonts w:eastAsia="Times New Roman"/>
                <w:sz w:val="20"/>
                <w:szCs w:val="20"/>
              </w:rPr>
            </w:pPr>
            <w:r>
              <w:rPr>
                <w:rFonts w:eastAsia="Times New Roman"/>
                <w:sz w:val="20"/>
                <w:szCs w:val="20"/>
              </w:rPr>
              <w:t>●</w:t>
            </w:r>
          </w:p>
        </w:tc>
        <w:tc>
          <w:tcPr>
            <w:tcW w:w="0" w:type="auto"/>
            <w:hideMark/>
          </w:tcPr>
          <w:p w14:paraId="6E2B5D62" w14:textId="77777777" w:rsidR="00000000" w:rsidRDefault="00D6065B">
            <w:pPr>
              <w:jc w:val="both"/>
              <w:rPr>
                <w:rFonts w:eastAsia="Times New Roman"/>
                <w:sz w:val="20"/>
                <w:szCs w:val="20"/>
              </w:rPr>
            </w:pPr>
            <w:r>
              <w:rPr>
                <w:rFonts w:eastAsia="Times New Roman"/>
                <w:sz w:val="20"/>
                <w:szCs w:val="20"/>
              </w:rPr>
              <w:t>After about 120 days the gel resorbs by a normal biological cycle, called the Krebs Cycle. The only remaining evidence of the treatment are phosphate partic</w:t>
            </w:r>
            <w:r>
              <w:rPr>
                <w:rFonts w:eastAsia="Times New Roman"/>
                <w:sz w:val="20"/>
                <w:szCs w:val="20"/>
              </w:rPr>
              <w:t>les so small in diameter that it requires a high-resolution microscope to find them. This is in contrast to permanent presence of metal seeds.</w:t>
            </w:r>
          </w:p>
        </w:tc>
      </w:tr>
    </w:tbl>
    <w:p w14:paraId="7459E611"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FFB8370" w14:textId="77777777">
        <w:trPr>
          <w:divId w:val="1258636867"/>
        </w:trPr>
        <w:tc>
          <w:tcPr>
            <w:tcW w:w="5000" w:type="pct"/>
            <w:hideMark/>
          </w:tcPr>
          <w:p w14:paraId="37DC0D6B"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4E032832" w14:textId="77777777">
        <w:tc>
          <w:tcPr>
            <w:tcW w:w="5000" w:type="pct"/>
            <w:hideMark/>
          </w:tcPr>
          <w:p w14:paraId="3EEE10B1" w14:textId="77777777" w:rsidR="00000000" w:rsidRDefault="00D6065B">
            <w:pPr>
              <w:jc w:val="center"/>
              <w:rPr>
                <w:rFonts w:eastAsia="Times New Roman"/>
                <w:sz w:val="20"/>
                <w:szCs w:val="20"/>
              </w:rPr>
            </w:pPr>
            <w:r>
              <w:rPr>
                <w:rFonts w:eastAsia="Times New Roman"/>
                <w:sz w:val="20"/>
                <w:szCs w:val="20"/>
              </w:rPr>
              <w:t> </w:t>
            </w:r>
          </w:p>
        </w:tc>
      </w:tr>
    </w:tbl>
    <w:p w14:paraId="6A29F475" w14:textId="77777777" w:rsidR="00000000" w:rsidRDefault="00D6065B">
      <w:pPr>
        <w:pStyle w:val="a3"/>
        <w:spacing w:before="0" w:beforeAutospacing="0" w:after="0" w:afterAutospacing="0"/>
        <w:jc w:val="both"/>
        <w:rPr>
          <w:sz w:val="20"/>
          <w:szCs w:val="20"/>
        </w:rPr>
      </w:pPr>
      <w:r>
        <w:rPr>
          <w:sz w:val="20"/>
          <w:szCs w:val="20"/>
        </w:rPr>
        <w:t> </w:t>
      </w:r>
    </w:p>
    <w:p w14:paraId="669414BA" w14:textId="77777777" w:rsidR="00000000" w:rsidRDefault="00D6065B">
      <w:pPr>
        <w:pStyle w:val="a3"/>
        <w:spacing w:before="0" w:beforeAutospacing="0" w:after="0" w:afterAutospacing="0"/>
        <w:jc w:val="both"/>
        <w:rPr>
          <w:sz w:val="20"/>
          <w:szCs w:val="20"/>
        </w:rPr>
      </w:pPr>
      <w:r>
        <w:rPr>
          <w:b/>
          <w:bCs/>
          <w:sz w:val="20"/>
          <w:szCs w:val="20"/>
        </w:rPr>
        <w:t>Steps from Production to Therapy</w:t>
      </w:r>
    </w:p>
    <w:p w14:paraId="59EC16CF" w14:textId="77777777" w:rsidR="00000000" w:rsidRDefault="00D6065B">
      <w:pPr>
        <w:pStyle w:val="a3"/>
        <w:spacing w:before="0" w:beforeAutospacing="0" w:after="0" w:afterAutospacing="0"/>
        <w:jc w:val="both"/>
        <w:rPr>
          <w:sz w:val="20"/>
          <w:szCs w:val="20"/>
        </w:rPr>
      </w:pPr>
      <w:r>
        <w:rPr>
          <w:sz w:val="20"/>
          <w:szCs w:val="20"/>
        </w:rPr>
        <w:t> </w:t>
      </w:r>
    </w:p>
    <w:p w14:paraId="5133EAF9" w14:textId="77777777" w:rsidR="00000000" w:rsidRDefault="00D6065B">
      <w:pPr>
        <w:pStyle w:val="a3"/>
        <w:spacing w:before="0" w:beforeAutospacing="0" w:after="0" w:afterAutospacing="0"/>
        <w:jc w:val="both"/>
        <w:rPr>
          <w:sz w:val="20"/>
          <w:szCs w:val="20"/>
        </w:rPr>
      </w:pPr>
      <w:r>
        <w:rPr>
          <w:i/>
          <w:iCs/>
          <w:sz w:val="20"/>
          <w:szCs w:val="20"/>
        </w:rPr>
        <w:t>Device Production</w:t>
      </w:r>
    </w:p>
    <w:p w14:paraId="4FCA4240" w14:textId="77777777" w:rsidR="00000000" w:rsidRDefault="00D6065B">
      <w:pPr>
        <w:pStyle w:val="a3"/>
        <w:spacing w:before="0" w:beforeAutospacing="0" w:after="0" w:afterAutospacing="0"/>
        <w:jc w:val="both"/>
        <w:rPr>
          <w:sz w:val="20"/>
          <w:szCs w:val="20"/>
        </w:rPr>
      </w:pPr>
      <w:r>
        <w:rPr>
          <w:sz w:val="20"/>
          <w:szCs w:val="20"/>
        </w:rPr>
        <w:t> </w:t>
      </w:r>
    </w:p>
    <w:p w14:paraId="1D5C6B64" w14:textId="77777777" w:rsidR="00000000" w:rsidRDefault="00D6065B">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14:paraId="7D90A282" w14:textId="77777777" w:rsidR="00000000" w:rsidRDefault="00D6065B">
      <w:pPr>
        <w:pStyle w:val="a3"/>
        <w:spacing w:before="0" w:beforeAutospacing="0" w:after="0" w:afterAutospacing="0"/>
        <w:jc w:val="both"/>
        <w:rPr>
          <w:sz w:val="20"/>
          <w:szCs w:val="20"/>
        </w:rPr>
      </w:pPr>
      <w:r>
        <w:rPr>
          <w:sz w:val="20"/>
          <w:szCs w:val="20"/>
        </w:rPr>
        <w:t> </w:t>
      </w:r>
    </w:p>
    <w:p w14:paraId="30B7447F" w14:textId="77777777" w:rsidR="00000000" w:rsidRDefault="00D6065B">
      <w:pPr>
        <w:pStyle w:val="a3"/>
        <w:spacing w:before="0" w:beforeAutospacing="0" w:after="0" w:afterAutospacing="0"/>
        <w:jc w:val="both"/>
        <w:rPr>
          <w:sz w:val="20"/>
          <w:szCs w:val="20"/>
        </w:rPr>
      </w:pPr>
      <w:r>
        <w:rPr>
          <w:i/>
          <w:iCs/>
          <w:sz w:val="20"/>
          <w:szCs w:val="20"/>
        </w:rPr>
        <w:t>Production of the Hydrogel</w:t>
      </w:r>
    </w:p>
    <w:p w14:paraId="01CB8BF1" w14:textId="77777777" w:rsidR="00000000" w:rsidRDefault="00D6065B">
      <w:pPr>
        <w:pStyle w:val="a3"/>
        <w:spacing w:before="0" w:beforeAutospacing="0" w:after="0" w:afterAutospacing="0"/>
        <w:jc w:val="both"/>
        <w:rPr>
          <w:sz w:val="20"/>
          <w:szCs w:val="20"/>
        </w:rPr>
      </w:pPr>
      <w:r>
        <w:rPr>
          <w:sz w:val="20"/>
          <w:szCs w:val="20"/>
        </w:rPr>
        <w:t> </w:t>
      </w:r>
    </w:p>
    <w:p w14:paraId="78C43AD2" w14:textId="77777777" w:rsidR="00000000" w:rsidRDefault="00D6065B">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w:t>
      </w:r>
      <w:r>
        <w:rPr>
          <w:sz w:val="20"/>
          <w:szCs w:val="20"/>
        </w:rPr>
        <w:t xml:space="preserve"> months. When the product is ready to ship, a small quantity of the gel is dissolved in a sterile saline solution. It is then passed through an ultra-fine filter to ensure sterility.</w:t>
      </w:r>
    </w:p>
    <w:p w14:paraId="1B1172D2" w14:textId="77777777" w:rsidR="00000000" w:rsidRDefault="00D6065B">
      <w:pPr>
        <w:pStyle w:val="a3"/>
        <w:spacing w:before="0" w:beforeAutospacing="0" w:after="0" w:afterAutospacing="0"/>
        <w:jc w:val="both"/>
        <w:rPr>
          <w:sz w:val="20"/>
          <w:szCs w:val="20"/>
        </w:rPr>
      </w:pPr>
      <w:r>
        <w:rPr>
          <w:sz w:val="20"/>
          <w:szCs w:val="20"/>
        </w:rPr>
        <w:t> </w:t>
      </w:r>
    </w:p>
    <w:p w14:paraId="076E9552" w14:textId="77777777" w:rsidR="00000000" w:rsidRDefault="00D6065B">
      <w:pPr>
        <w:pStyle w:val="a3"/>
        <w:spacing w:before="0" w:beforeAutospacing="0" w:after="0" w:afterAutospacing="0"/>
        <w:jc w:val="both"/>
        <w:rPr>
          <w:sz w:val="20"/>
          <w:szCs w:val="20"/>
        </w:rPr>
      </w:pPr>
      <w:r>
        <w:rPr>
          <w:i/>
          <w:iCs/>
          <w:sz w:val="20"/>
          <w:szCs w:val="20"/>
        </w:rPr>
        <w:t>Production of the Yttrium-90 Phosphate Particles</w:t>
      </w:r>
    </w:p>
    <w:p w14:paraId="386312A7" w14:textId="77777777" w:rsidR="00000000" w:rsidRDefault="00D6065B">
      <w:pPr>
        <w:pStyle w:val="a3"/>
        <w:spacing w:before="0" w:beforeAutospacing="0" w:after="0" w:afterAutospacing="0"/>
        <w:jc w:val="both"/>
        <w:rPr>
          <w:sz w:val="20"/>
          <w:szCs w:val="20"/>
        </w:rPr>
      </w:pPr>
      <w:r>
        <w:rPr>
          <w:sz w:val="20"/>
          <w:szCs w:val="20"/>
        </w:rPr>
        <w:t> </w:t>
      </w:r>
    </w:p>
    <w:p w14:paraId="4BCF5C6C" w14:textId="77777777" w:rsidR="00000000" w:rsidRDefault="00D6065B">
      <w:pPr>
        <w:pStyle w:val="a3"/>
        <w:spacing w:before="0" w:beforeAutospacing="0" w:after="0" w:afterAutospacing="0"/>
        <w:ind w:firstLine="720"/>
        <w:jc w:val="both"/>
        <w:rPr>
          <w:sz w:val="20"/>
          <w:szCs w:val="20"/>
        </w:rPr>
      </w:pPr>
      <w:r>
        <w:rPr>
          <w:sz w:val="20"/>
          <w:szCs w:val="20"/>
        </w:rPr>
        <w:t>The Y-90 particles a</w:t>
      </w:r>
      <w:r>
        <w:rPr>
          <w:sz w:val="20"/>
          <w:szCs w:val="20"/>
        </w:rPr>
        <w:t>re produced with simple ingredients via a proprietary process, again following strict GLP procedures. They are then mixed into a phosphate-buffered saline solution. They can be produced in large batches for several shipments. The number of particles per sh</w:t>
      </w:r>
      <w:r>
        <w:rPr>
          <w:sz w:val="20"/>
          <w:szCs w:val="20"/>
        </w:rPr>
        <w:t>ipment is determined by the dose prescribed by the doctor.</w:t>
      </w:r>
    </w:p>
    <w:p w14:paraId="6D196736" w14:textId="77777777" w:rsidR="00000000" w:rsidRDefault="00D6065B">
      <w:pPr>
        <w:pStyle w:val="a3"/>
        <w:spacing w:before="0" w:beforeAutospacing="0" w:after="0" w:afterAutospacing="0"/>
        <w:jc w:val="both"/>
        <w:rPr>
          <w:sz w:val="20"/>
          <w:szCs w:val="20"/>
        </w:rPr>
      </w:pPr>
      <w:r>
        <w:rPr>
          <w:sz w:val="20"/>
          <w:szCs w:val="20"/>
        </w:rPr>
        <w:t> </w:t>
      </w:r>
    </w:p>
    <w:p w14:paraId="02996381" w14:textId="77777777" w:rsidR="00000000" w:rsidRDefault="00D6065B">
      <w:pPr>
        <w:pStyle w:val="a3"/>
        <w:spacing w:before="0" w:beforeAutospacing="0" w:after="0" w:afterAutospacing="0"/>
        <w:jc w:val="both"/>
        <w:rPr>
          <w:sz w:val="20"/>
          <w:szCs w:val="20"/>
        </w:rPr>
      </w:pPr>
      <w:r>
        <w:rPr>
          <w:i/>
          <w:iCs/>
          <w:sz w:val="20"/>
          <w:szCs w:val="20"/>
        </w:rPr>
        <w:t>Shipment</w:t>
      </w:r>
    </w:p>
    <w:p w14:paraId="518AFA18" w14:textId="77777777" w:rsidR="00000000" w:rsidRDefault="00D6065B">
      <w:pPr>
        <w:pStyle w:val="a3"/>
        <w:spacing w:before="0" w:beforeAutospacing="0" w:after="0" w:afterAutospacing="0"/>
        <w:jc w:val="both"/>
        <w:rPr>
          <w:sz w:val="20"/>
          <w:szCs w:val="20"/>
        </w:rPr>
      </w:pPr>
      <w:r>
        <w:rPr>
          <w:sz w:val="20"/>
          <w:szCs w:val="20"/>
        </w:rPr>
        <w:t> </w:t>
      </w:r>
    </w:p>
    <w:p w14:paraId="5BA94755" w14:textId="77777777" w:rsidR="00000000" w:rsidRDefault="00D6065B">
      <w:pPr>
        <w:pStyle w:val="a3"/>
        <w:spacing w:before="0" w:beforeAutospacing="0" w:after="0" w:afterAutospacing="0"/>
        <w:ind w:firstLine="720"/>
        <w:jc w:val="both"/>
        <w:rPr>
          <w:sz w:val="20"/>
          <w:szCs w:val="20"/>
        </w:rPr>
      </w:pPr>
      <w:r>
        <w:rPr>
          <w:sz w:val="20"/>
          <w:szCs w:val="20"/>
        </w:rPr>
        <w:t xml:space="preserve">RadioGel™ </w:t>
      </w:r>
      <w:r>
        <w:rPr>
          <w:sz w:val="20"/>
          <w:szCs w:val="20"/>
        </w:rPr>
        <w:t>is shipped in two containers, one with a solution of the gel and the other with a solution of the particles. Before shipment they are subjected to sterility testing, again by strict procedures. The vial with the Y-90 is put through a special radiation cali</w:t>
      </w:r>
      <w:r>
        <w:rPr>
          <w:sz w:val="20"/>
          <w:szCs w:val="20"/>
        </w:rPr>
        <w:t>brator, which measures beta particles. The vials can be shipped via FedEx or UPS by following the proper protocols.</w:t>
      </w:r>
    </w:p>
    <w:p w14:paraId="082265D8" w14:textId="77777777" w:rsidR="00000000" w:rsidRDefault="00D6065B">
      <w:pPr>
        <w:pStyle w:val="a3"/>
        <w:spacing w:before="0" w:beforeAutospacing="0" w:after="0" w:afterAutospacing="0"/>
        <w:jc w:val="both"/>
        <w:rPr>
          <w:sz w:val="20"/>
          <w:szCs w:val="20"/>
        </w:rPr>
      </w:pPr>
      <w:r>
        <w:rPr>
          <w:sz w:val="20"/>
          <w:szCs w:val="20"/>
        </w:rPr>
        <w:t> </w:t>
      </w:r>
    </w:p>
    <w:p w14:paraId="2AA9BA67" w14:textId="77777777" w:rsidR="00000000" w:rsidRDefault="00D6065B">
      <w:pPr>
        <w:pStyle w:val="a3"/>
        <w:spacing w:before="0" w:beforeAutospacing="0" w:after="0" w:afterAutospacing="0"/>
        <w:jc w:val="both"/>
        <w:rPr>
          <w:sz w:val="20"/>
          <w:szCs w:val="20"/>
        </w:rPr>
      </w:pPr>
      <w:r>
        <w:rPr>
          <w:i/>
          <w:iCs/>
          <w:sz w:val="20"/>
          <w:szCs w:val="20"/>
        </w:rPr>
        <w:t>At the User</w:t>
      </w:r>
    </w:p>
    <w:p w14:paraId="4C60DE54" w14:textId="77777777" w:rsidR="00000000" w:rsidRDefault="00D6065B">
      <w:pPr>
        <w:pStyle w:val="a3"/>
        <w:spacing w:before="0" w:beforeAutospacing="0" w:after="0" w:afterAutospacing="0"/>
        <w:jc w:val="both"/>
        <w:rPr>
          <w:sz w:val="20"/>
          <w:szCs w:val="20"/>
        </w:rPr>
      </w:pPr>
      <w:r>
        <w:rPr>
          <w:sz w:val="20"/>
          <w:szCs w:val="20"/>
        </w:rPr>
        <w:t> </w:t>
      </w:r>
    </w:p>
    <w:p w14:paraId="3B3E1F59" w14:textId="77777777" w:rsidR="00000000" w:rsidRDefault="00D6065B">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containing the Y-90 partic</w:t>
      </w:r>
      <w:r>
        <w:rPr>
          <w:sz w:val="20"/>
          <w:szCs w:val="20"/>
        </w:rPr>
        <w:t>les. This is then shaken to ensure homogeneity and withdrawn into a syringe. The quantities that are mixed are calculated from the information on the product label.</w:t>
      </w:r>
    </w:p>
    <w:p w14:paraId="59456336" w14:textId="77777777" w:rsidR="00000000" w:rsidRDefault="00D6065B">
      <w:pPr>
        <w:pStyle w:val="a3"/>
        <w:spacing w:before="0" w:beforeAutospacing="0" w:after="0" w:afterAutospacing="0"/>
        <w:jc w:val="center"/>
        <w:rPr>
          <w:sz w:val="20"/>
          <w:szCs w:val="20"/>
        </w:rPr>
      </w:pPr>
      <w:r>
        <w:rPr>
          <w:sz w:val="20"/>
          <w:szCs w:val="20"/>
        </w:rPr>
        <w:t> </w:t>
      </w:r>
    </w:p>
    <w:p w14:paraId="55FBEC34" w14:textId="77777777" w:rsidR="00000000" w:rsidRDefault="00D6065B">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w:t>
      </w:r>
      <w:r>
        <w:rPr>
          <w:sz w:val="20"/>
          <w:szCs w:val="20"/>
        </w:rPr>
        <w:t xml:space="preserve"> centimeter in diameter or less, the cancer is treated with a single injection. For larger tumors, the cancer is treated with a series of small injections from the same syringe or multiple syringes.</w:t>
      </w:r>
    </w:p>
    <w:p w14:paraId="3CA15BB6" w14:textId="77777777" w:rsidR="00000000" w:rsidRDefault="00D6065B">
      <w:pPr>
        <w:pStyle w:val="a3"/>
        <w:spacing w:before="0" w:beforeAutospacing="0" w:after="0" w:afterAutospacing="0"/>
        <w:jc w:val="center"/>
        <w:rPr>
          <w:sz w:val="20"/>
          <w:szCs w:val="20"/>
        </w:rPr>
      </w:pPr>
      <w:r>
        <w:rPr>
          <w:sz w:val="20"/>
          <w:szCs w:val="20"/>
        </w:rPr>
        <w:t> </w:t>
      </w:r>
    </w:p>
    <w:p w14:paraId="15482046" w14:textId="77777777" w:rsidR="00000000" w:rsidRDefault="00D6065B">
      <w:pPr>
        <w:pStyle w:val="a3"/>
        <w:spacing w:before="0" w:beforeAutospacing="0" w:after="0" w:afterAutospacing="0"/>
        <w:jc w:val="both"/>
        <w:rPr>
          <w:sz w:val="20"/>
          <w:szCs w:val="20"/>
        </w:rPr>
      </w:pPr>
      <w:r>
        <w:rPr>
          <w:b/>
          <w:bCs/>
          <w:sz w:val="20"/>
          <w:szCs w:val="20"/>
        </w:rPr>
        <w:t>Principal Markets</w:t>
      </w:r>
    </w:p>
    <w:p w14:paraId="0B0AD807" w14:textId="77777777" w:rsidR="00000000" w:rsidRDefault="00D6065B">
      <w:pPr>
        <w:pStyle w:val="a3"/>
        <w:spacing w:before="0" w:beforeAutospacing="0" w:after="0" w:afterAutospacing="0"/>
        <w:jc w:val="both"/>
        <w:rPr>
          <w:sz w:val="20"/>
          <w:szCs w:val="20"/>
        </w:rPr>
      </w:pPr>
      <w:r>
        <w:rPr>
          <w:sz w:val="20"/>
          <w:szCs w:val="20"/>
        </w:rPr>
        <w:t> </w:t>
      </w:r>
    </w:p>
    <w:p w14:paraId="3A0E39AB" w14:textId="77777777" w:rsidR="00000000" w:rsidRDefault="00D6065B">
      <w:pPr>
        <w:pStyle w:val="a3"/>
        <w:spacing w:before="0" w:beforeAutospacing="0" w:after="0" w:afterAutospacing="0"/>
        <w:ind w:firstLine="720"/>
        <w:jc w:val="both"/>
        <w:rPr>
          <w:sz w:val="20"/>
          <w:szCs w:val="20"/>
        </w:rPr>
      </w:pPr>
      <w:r>
        <w:rPr>
          <w:sz w:val="20"/>
          <w:szCs w:val="20"/>
        </w:rPr>
        <w:t>The Company is currently pursuing t</w:t>
      </w:r>
      <w:r>
        <w:rPr>
          <w:sz w:val="20"/>
          <w:szCs w:val="20"/>
        </w:rPr>
        <w:t>wo synergistic business sectors, medical and veterinary, each of which are summarized below.</w:t>
      </w:r>
    </w:p>
    <w:p w14:paraId="4EC726A4" w14:textId="77777777" w:rsidR="00000000" w:rsidRDefault="00D6065B">
      <w:pPr>
        <w:pStyle w:val="a3"/>
        <w:spacing w:before="0" w:beforeAutospacing="0" w:after="0" w:afterAutospacing="0"/>
        <w:jc w:val="both"/>
        <w:rPr>
          <w:sz w:val="20"/>
          <w:szCs w:val="20"/>
        </w:rPr>
      </w:pPr>
      <w:r>
        <w:rPr>
          <w:sz w:val="20"/>
          <w:szCs w:val="20"/>
        </w:rPr>
        <w:t> </w:t>
      </w:r>
    </w:p>
    <w:p w14:paraId="49225365" w14:textId="77777777" w:rsidR="00000000" w:rsidRDefault="00D6065B">
      <w:pPr>
        <w:pStyle w:val="a3"/>
        <w:spacing w:before="0" w:beforeAutospacing="0" w:after="0" w:afterAutospacing="0"/>
        <w:jc w:val="both"/>
        <w:rPr>
          <w:sz w:val="20"/>
          <w:szCs w:val="20"/>
        </w:rPr>
      </w:pPr>
      <w:r>
        <w:rPr>
          <w:i/>
          <w:iCs/>
          <w:sz w:val="20"/>
          <w:szCs w:val="20"/>
        </w:rPr>
        <w:t>Medical Sector</w:t>
      </w:r>
    </w:p>
    <w:p w14:paraId="44E62029" w14:textId="77777777" w:rsidR="00000000" w:rsidRDefault="00D6065B">
      <w:pPr>
        <w:pStyle w:val="a3"/>
        <w:spacing w:before="0" w:beforeAutospacing="0" w:after="0" w:afterAutospacing="0"/>
        <w:jc w:val="both"/>
        <w:rPr>
          <w:sz w:val="20"/>
          <w:szCs w:val="20"/>
        </w:rPr>
      </w:pPr>
      <w:r>
        <w:rPr>
          <w:sz w:val="20"/>
          <w:szCs w:val="20"/>
        </w:rPr>
        <w:t> </w:t>
      </w:r>
    </w:p>
    <w:p w14:paraId="4B6C8FE6" w14:textId="77777777" w:rsidR="00000000" w:rsidRDefault="00D6065B">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delayed due to a lack of adequate funding. The principal issue preven</w:t>
      </w:r>
      <w:r>
        <w:rPr>
          <w:sz w:val="20"/>
          <w:szCs w:val="20"/>
        </w:rPr>
        <w:t>ting approval is that the Company attempted to obtain regulatory approval for a broad range of Indications for Use, including all non-resectable cancers, without sufficient supporting data.</w:t>
      </w:r>
    </w:p>
    <w:p w14:paraId="1ED93D94"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33D2D20" w14:textId="77777777">
        <w:trPr>
          <w:divId w:val="132017810"/>
        </w:trPr>
        <w:tc>
          <w:tcPr>
            <w:tcW w:w="5000" w:type="pct"/>
            <w:hideMark/>
          </w:tcPr>
          <w:p w14:paraId="0F1C1423"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162D3994" w14:textId="77777777">
        <w:tc>
          <w:tcPr>
            <w:tcW w:w="5000" w:type="pct"/>
            <w:hideMark/>
          </w:tcPr>
          <w:p w14:paraId="1CF8F720" w14:textId="77777777" w:rsidR="00000000" w:rsidRDefault="00D6065B">
            <w:pPr>
              <w:jc w:val="center"/>
              <w:rPr>
                <w:rFonts w:eastAsia="Times New Roman"/>
                <w:sz w:val="20"/>
                <w:szCs w:val="20"/>
              </w:rPr>
            </w:pPr>
            <w:r>
              <w:rPr>
                <w:rFonts w:eastAsia="Times New Roman"/>
                <w:sz w:val="20"/>
                <w:szCs w:val="20"/>
              </w:rPr>
              <w:t> </w:t>
            </w:r>
          </w:p>
        </w:tc>
      </w:tr>
    </w:tbl>
    <w:p w14:paraId="6006AA05" w14:textId="77777777" w:rsidR="00000000" w:rsidRDefault="00D6065B">
      <w:pPr>
        <w:pStyle w:val="a3"/>
        <w:spacing w:before="0" w:beforeAutospacing="0" w:after="0" w:afterAutospacing="0"/>
        <w:rPr>
          <w:sz w:val="20"/>
          <w:szCs w:val="20"/>
        </w:rPr>
      </w:pPr>
      <w:r>
        <w:rPr>
          <w:sz w:val="20"/>
          <w:szCs w:val="20"/>
        </w:rPr>
        <w:t> </w:t>
      </w:r>
    </w:p>
    <w:p w14:paraId="7AB5780D" w14:textId="77777777" w:rsidR="00000000" w:rsidRDefault="00D6065B">
      <w:pPr>
        <w:pStyle w:val="a3"/>
        <w:spacing w:before="0" w:beforeAutospacing="0" w:after="0" w:afterAutospacing="0"/>
        <w:ind w:firstLine="720"/>
        <w:jc w:val="both"/>
        <w:rPr>
          <w:sz w:val="20"/>
          <w:szCs w:val="20"/>
        </w:rPr>
      </w:pPr>
      <w:r>
        <w:rPr>
          <w:sz w:val="20"/>
          <w:szCs w:val="20"/>
        </w:rPr>
        <w:t>Building on the FDA’</w:t>
      </w:r>
      <w:r>
        <w:rPr>
          <w:sz w:val="20"/>
          <w:szCs w:val="20"/>
        </w:rPr>
        <w:t>s ruling of RadioGel</w:t>
      </w:r>
      <w:r>
        <w:rPr>
          <w:sz w:val="20"/>
          <w:szCs w:val="20"/>
          <w:vertAlign w:val="superscript"/>
        </w:rPr>
        <w:t>™</w:t>
      </w:r>
      <w:r>
        <w:rPr>
          <w:sz w:val="20"/>
          <w:szCs w:val="20"/>
        </w:rPr>
        <w:t xml:space="preserve"> as a device, the Company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w:t>
      </w:r>
      <w:r>
        <w:rPr>
          <w:sz w:val="20"/>
          <w:szCs w:val="20"/>
        </w:rPr>
        <w:t xml:space="preserve"> which would reclassify the device from a Class III device to a Class II device and accelerate the regulatory approval path.</w:t>
      </w:r>
    </w:p>
    <w:p w14:paraId="1ECB7CB1" w14:textId="77777777" w:rsidR="00000000" w:rsidRDefault="00D6065B">
      <w:pPr>
        <w:pStyle w:val="a3"/>
        <w:spacing w:before="0" w:beforeAutospacing="0" w:after="0" w:afterAutospacing="0"/>
        <w:jc w:val="both"/>
        <w:rPr>
          <w:sz w:val="20"/>
          <w:szCs w:val="20"/>
        </w:rPr>
      </w:pPr>
      <w:r>
        <w:rPr>
          <w:sz w:val="20"/>
          <w:szCs w:val="20"/>
        </w:rPr>
        <w:t> </w:t>
      </w:r>
    </w:p>
    <w:p w14:paraId="7F7B506A" w14:textId="77777777" w:rsidR="00000000" w:rsidRDefault="00D6065B">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w:t>
      </w:r>
      <w:r>
        <w:rPr>
          <w:sz w:val="20"/>
          <w:szCs w:val="20"/>
        </w:rPr>
        <w:t>ps:</w:t>
      </w:r>
    </w:p>
    <w:p w14:paraId="38C8E29A"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6B4CEF4" w14:textId="77777777">
        <w:tc>
          <w:tcPr>
            <w:tcW w:w="360" w:type="dxa"/>
            <w:hideMark/>
          </w:tcPr>
          <w:p w14:paraId="0DA9FD99" w14:textId="77777777" w:rsidR="00000000" w:rsidRDefault="00D6065B">
            <w:pPr>
              <w:rPr>
                <w:rFonts w:eastAsia="Times New Roman"/>
                <w:sz w:val="20"/>
                <w:szCs w:val="20"/>
              </w:rPr>
            </w:pPr>
            <w:r>
              <w:rPr>
                <w:rFonts w:eastAsia="Times New Roman"/>
                <w:sz w:val="20"/>
                <w:szCs w:val="20"/>
              </w:rPr>
              <w:t> </w:t>
            </w:r>
          </w:p>
        </w:tc>
        <w:tc>
          <w:tcPr>
            <w:tcW w:w="360" w:type="dxa"/>
            <w:hideMark/>
          </w:tcPr>
          <w:p w14:paraId="4D728D47" w14:textId="77777777" w:rsidR="00000000" w:rsidRDefault="00D6065B">
            <w:pPr>
              <w:rPr>
                <w:rFonts w:eastAsia="Times New Roman"/>
                <w:sz w:val="20"/>
                <w:szCs w:val="20"/>
              </w:rPr>
            </w:pPr>
            <w:r>
              <w:rPr>
                <w:rFonts w:eastAsia="Times New Roman"/>
                <w:sz w:val="20"/>
                <w:szCs w:val="20"/>
              </w:rPr>
              <w:t>1.</w:t>
            </w:r>
          </w:p>
        </w:tc>
        <w:tc>
          <w:tcPr>
            <w:tcW w:w="0" w:type="auto"/>
            <w:hideMark/>
          </w:tcPr>
          <w:p w14:paraId="3EA2CD8F" w14:textId="77777777" w:rsidR="00000000" w:rsidRDefault="00D6065B">
            <w:pPr>
              <w:jc w:val="both"/>
              <w:rPr>
                <w:rFonts w:eastAsia="Times New Roman"/>
                <w:sz w:val="20"/>
                <w:szCs w:val="20"/>
              </w:rPr>
            </w:pPr>
            <w:r>
              <w:rPr>
                <w:rFonts w:eastAsia="Times New Roman"/>
                <w:sz w:val="20"/>
                <w:szCs w:val="20"/>
              </w:rPr>
              <w:t>Under new leadership, the Company is implementing all past recommendations from the FDA. The Company intends to narrow the Indications for Use, will provide test plans for FDA review to respond to answer all previous FDA questions, and will requ</w:t>
            </w:r>
            <w:r>
              <w:rPr>
                <w:rFonts w:eastAsia="Times New Roman"/>
                <w:sz w:val="20"/>
                <w:szCs w:val="20"/>
              </w:rPr>
              <w:t>est a pre-submission meeting;</w:t>
            </w:r>
          </w:p>
        </w:tc>
      </w:tr>
      <w:tr w:rsidR="00000000" w14:paraId="2675FA5B" w14:textId="77777777">
        <w:tc>
          <w:tcPr>
            <w:tcW w:w="0" w:type="auto"/>
            <w:hideMark/>
          </w:tcPr>
          <w:p w14:paraId="61741E9C" w14:textId="77777777" w:rsidR="00000000" w:rsidRDefault="00D6065B">
            <w:pPr>
              <w:rPr>
                <w:rFonts w:eastAsia="Times New Roman"/>
                <w:sz w:val="20"/>
                <w:szCs w:val="20"/>
              </w:rPr>
            </w:pPr>
            <w:r>
              <w:rPr>
                <w:rFonts w:eastAsia="Times New Roman"/>
                <w:sz w:val="20"/>
                <w:szCs w:val="20"/>
              </w:rPr>
              <w:t> </w:t>
            </w:r>
          </w:p>
        </w:tc>
        <w:tc>
          <w:tcPr>
            <w:tcW w:w="0" w:type="auto"/>
            <w:hideMark/>
          </w:tcPr>
          <w:p w14:paraId="3EC73AD0" w14:textId="77777777" w:rsidR="00000000" w:rsidRDefault="00D6065B">
            <w:pPr>
              <w:rPr>
                <w:rFonts w:eastAsia="Times New Roman"/>
                <w:sz w:val="20"/>
                <w:szCs w:val="20"/>
              </w:rPr>
            </w:pPr>
            <w:r>
              <w:rPr>
                <w:rFonts w:eastAsia="Times New Roman"/>
                <w:sz w:val="20"/>
                <w:szCs w:val="20"/>
              </w:rPr>
              <w:t> </w:t>
            </w:r>
          </w:p>
        </w:tc>
        <w:tc>
          <w:tcPr>
            <w:tcW w:w="0" w:type="auto"/>
            <w:hideMark/>
          </w:tcPr>
          <w:p w14:paraId="7C2805DD" w14:textId="77777777" w:rsidR="00000000" w:rsidRDefault="00D6065B">
            <w:pPr>
              <w:rPr>
                <w:rFonts w:eastAsia="Times New Roman"/>
                <w:sz w:val="20"/>
                <w:szCs w:val="20"/>
              </w:rPr>
            </w:pPr>
            <w:r>
              <w:rPr>
                <w:rFonts w:eastAsia="Times New Roman"/>
                <w:sz w:val="20"/>
                <w:szCs w:val="20"/>
              </w:rPr>
              <w:t> </w:t>
            </w:r>
          </w:p>
        </w:tc>
      </w:tr>
      <w:tr w:rsidR="00000000" w14:paraId="21321B41" w14:textId="77777777">
        <w:tc>
          <w:tcPr>
            <w:tcW w:w="0" w:type="auto"/>
            <w:hideMark/>
          </w:tcPr>
          <w:p w14:paraId="17122D55" w14:textId="77777777" w:rsidR="00000000" w:rsidRDefault="00D6065B">
            <w:pPr>
              <w:rPr>
                <w:rFonts w:eastAsia="Times New Roman"/>
                <w:sz w:val="20"/>
                <w:szCs w:val="20"/>
              </w:rPr>
            </w:pPr>
            <w:r>
              <w:rPr>
                <w:rFonts w:eastAsia="Times New Roman"/>
                <w:sz w:val="20"/>
                <w:szCs w:val="20"/>
              </w:rPr>
              <w:t> </w:t>
            </w:r>
          </w:p>
        </w:tc>
        <w:tc>
          <w:tcPr>
            <w:tcW w:w="0" w:type="auto"/>
            <w:hideMark/>
          </w:tcPr>
          <w:p w14:paraId="2F61D92A" w14:textId="77777777" w:rsidR="00000000" w:rsidRDefault="00D6065B">
            <w:pPr>
              <w:rPr>
                <w:rFonts w:eastAsia="Times New Roman"/>
                <w:sz w:val="20"/>
                <w:szCs w:val="20"/>
              </w:rPr>
            </w:pPr>
            <w:r>
              <w:rPr>
                <w:rFonts w:eastAsia="Times New Roman"/>
                <w:sz w:val="20"/>
                <w:szCs w:val="20"/>
              </w:rPr>
              <w:t>2.</w:t>
            </w:r>
          </w:p>
        </w:tc>
        <w:tc>
          <w:tcPr>
            <w:tcW w:w="0" w:type="auto"/>
            <w:hideMark/>
          </w:tcPr>
          <w:p w14:paraId="57D4FE71" w14:textId="77777777" w:rsidR="00000000" w:rsidRDefault="00D6065B">
            <w:pPr>
              <w:jc w:val="both"/>
              <w:rPr>
                <w:rFonts w:eastAsia="Times New Roman"/>
                <w:sz w:val="20"/>
                <w:szCs w:val="20"/>
              </w:rPr>
            </w:pPr>
            <w:r>
              <w:rPr>
                <w:rFonts w:eastAsia="Times New Roman"/>
                <w:sz w:val="20"/>
                <w:szCs w:val="20"/>
              </w:rPr>
              <w:t xml:space="preserve">Prepare </w:t>
            </w:r>
            <w:r>
              <w:rPr>
                <w:rFonts w:eastAsia="Times New Roman"/>
                <w:sz w:val="20"/>
                <w:szCs w:val="20"/>
              </w:rPr>
              <w:t>a pre-submission request document and FDA meeting request to obtain feedback on the test plans in order to initiate testing, to present the proposed content for the final application and to request permission to submit a de novo;</w:t>
            </w:r>
          </w:p>
        </w:tc>
      </w:tr>
      <w:tr w:rsidR="00000000" w14:paraId="525B02CC" w14:textId="77777777">
        <w:tc>
          <w:tcPr>
            <w:tcW w:w="0" w:type="auto"/>
            <w:hideMark/>
          </w:tcPr>
          <w:p w14:paraId="1A4C5D2A" w14:textId="77777777" w:rsidR="00000000" w:rsidRDefault="00D6065B">
            <w:pPr>
              <w:rPr>
                <w:rFonts w:eastAsia="Times New Roman"/>
                <w:sz w:val="20"/>
                <w:szCs w:val="20"/>
              </w:rPr>
            </w:pPr>
            <w:r>
              <w:rPr>
                <w:rFonts w:eastAsia="Times New Roman"/>
                <w:sz w:val="20"/>
                <w:szCs w:val="20"/>
              </w:rPr>
              <w:t> </w:t>
            </w:r>
          </w:p>
        </w:tc>
        <w:tc>
          <w:tcPr>
            <w:tcW w:w="0" w:type="auto"/>
            <w:hideMark/>
          </w:tcPr>
          <w:p w14:paraId="7E9ED1D8" w14:textId="77777777" w:rsidR="00000000" w:rsidRDefault="00D6065B">
            <w:pPr>
              <w:rPr>
                <w:rFonts w:eastAsia="Times New Roman"/>
                <w:sz w:val="20"/>
                <w:szCs w:val="20"/>
              </w:rPr>
            </w:pPr>
            <w:r>
              <w:rPr>
                <w:rFonts w:eastAsia="Times New Roman"/>
                <w:sz w:val="20"/>
                <w:szCs w:val="20"/>
              </w:rPr>
              <w:t> </w:t>
            </w:r>
          </w:p>
        </w:tc>
        <w:tc>
          <w:tcPr>
            <w:tcW w:w="0" w:type="auto"/>
            <w:hideMark/>
          </w:tcPr>
          <w:p w14:paraId="2DE55783" w14:textId="77777777" w:rsidR="00000000" w:rsidRDefault="00D6065B">
            <w:pPr>
              <w:rPr>
                <w:rFonts w:eastAsia="Times New Roman"/>
                <w:sz w:val="20"/>
                <w:szCs w:val="20"/>
              </w:rPr>
            </w:pPr>
            <w:r>
              <w:rPr>
                <w:rFonts w:eastAsia="Times New Roman"/>
                <w:sz w:val="20"/>
                <w:szCs w:val="20"/>
              </w:rPr>
              <w:t> </w:t>
            </w:r>
          </w:p>
        </w:tc>
      </w:tr>
      <w:tr w:rsidR="00000000" w14:paraId="0EDB75D4" w14:textId="77777777">
        <w:tc>
          <w:tcPr>
            <w:tcW w:w="0" w:type="auto"/>
            <w:hideMark/>
          </w:tcPr>
          <w:p w14:paraId="08872D85" w14:textId="77777777" w:rsidR="00000000" w:rsidRDefault="00D6065B">
            <w:pPr>
              <w:rPr>
                <w:rFonts w:eastAsia="Times New Roman"/>
                <w:sz w:val="20"/>
                <w:szCs w:val="20"/>
              </w:rPr>
            </w:pPr>
            <w:r>
              <w:rPr>
                <w:rFonts w:eastAsia="Times New Roman"/>
                <w:sz w:val="20"/>
                <w:szCs w:val="20"/>
              </w:rPr>
              <w:t> </w:t>
            </w:r>
          </w:p>
        </w:tc>
        <w:tc>
          <w:tcPr>
            <w:tcW w:w="0" w:type="auto"/>
            <w:hideMark/>
          </w:tcPr>
          <w:p w14:paraId="44E9FFE3" w14:textId="77777777" w:rsidR="00000000" w:rsidRDefault="00D6065B">
            <w:pPr>
              <w:rPr>
                <w:rFonts w:eastAsia="Times New Roman"/>
                <w:sz w:val="20"/>
                <w:szCs w:val="20"/>
              </w:rPr>
            </w:pPr>
            <w:r>
              <w:rPr>
                <w:rFonts w:eastAsia="Times New Roman"/>
                <w:sz w:val="20"/>
                <w:szCs w:val="20"/>
              </w:rPr>
              <w:t>3.</w:t>
            </w:r>
          </w:p>
        </w:tc>
        <w:tc>
          <w:tcPr>
            <w:tcW w:w="0" w:type="auto"/>
            <w:hideMark/>
          </w:tcPr>
          <w:p w14:paraId="600A869F" w14:textId="77777777" w:rsidR="00000000" w:rsidRDefault="00D6065B">
            <w:pPr>
              <w:jc w:val="both"/>
              <w:rPr>
                <w:rFonts w:eastAsia="Times New Roman"/>
                <w:sz w:val="20"/>
                <w:szCs w:val="20"/>
              </w:rPr>
            </w:pPr>
            <w:r>
              <w:rPr>
                <w:rFonts w:eastAsia="Times New Roman"/>
                <w:sz w:val="20"/>
                <w:szCs w:val="20"/>
              </w:rPr>
              <w:t>Submit an Inv</w:t>
            </w:r>
            <w:r>
              <w:rPr>
                <w:rFonts w:eastAsia="Times New Roman"/>
                <w:sz w:val="20"/>
                <w:szCs w:val="20"/>
              </w:rPr>
              <w:t>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14:paraId="436B8093" w14:textId="77777777">
        <w:tc>
          <w:tcPr>
            <w:tcW w:w="0" w:type="auto"/>
            <w:hideMark/>
          </w:tcPr>
          <w:p w14:paraId="1444075B" w14:textId="77777777" w:rsidR="00000000" w:rsidRDefault="00D6065B">
            <w:pPr>
              <w:rPr>
                <w:rFonts w:eastAsia="Times New Roman"/>
                <w:sz w:val="20"/>
                <w:szCs w:val="20"/>
              </w:rPr>
            </w:pPr>
            <w:r>
              <w:rPr>
                <w:rFonts w:eastAsia="Times New Roman"/>
                <w:sz w:val="20"/>
                <w:szCs w:val="20"/>
              </w:rPr>
              <w:t> </w:t>
            </w:r>
          </w:p>
        </w:tc>
        <w:tc>
          <w:tcPr>
            <w:tcW w:w="0" w:type="auto"/>
            <w:hideMark/>
          </w:tcPr>
          <w:p w14:paraId="10DAF086" w14:textId="77777777" w:rsidR="00000000" w:rsidRDefault="00D6065B">
            <w:pPr>
              <w:rPr>
                <w:rFonts w:eastAsia="Times New Roman"/>
                <w:sz w:val="20"/>
                <w:szCs w:val="20"/>
              </w:rPr>
            </w:pPr>
            <w:r>
              <w:rPr>
                <w:rFonts w:eastAsia="Times New Roman"/>
                <w:sz w:val="20"/>
                <w:szCs w:val="20"/>
              </w:rPr>
              <w:t> </w:t>
            </w:r>
          </w:p>
        </w:tc>
        <w:tc>
          <w:tcPr>
            <w:tcW w:w="0" w:type="auto"/>
            <w:hideMark/>
          </w:tcPr>
          <w:p w14:paraId="3A49FC94" w14:textId="77777777" w:rsidR="00000000" w:rsidRDefault="00D6065B">
            <w:pPr>
              <w:rPr>
                <w:rFonts w:eastAsia="Times New Roman"/>
                <w:sz w:val="20"/>
                <w:szCs w:val="20"/>
              </w:rPr>
            </w:pPr>
            <w:r>
              <w:rPr>
                <w:rFonts w:eastAsia="Times New Roman"/>
                <w:sz w:val="20"/>
                <w:szCs w:val="20"/>
              </w:rPr>
              <w:t> </w:t>
            </w:r>
          </w:p>
        </w:tc>
      </w:tr>
      <w:tr w:rsidR="00000000" w14:paraId="28D57DAB" w14:textId="77777777">
        <w:tc>
          <w:tcPr>
            <w:tcW w:w="0" w:type="auto"/>
            <w:hideMark/>
          </w:tcPr>
          <w:p w14:paraId="0E3053D5" w14:textId="77777777" w:rsidR="00000000" w:rsidRDefault="00D6065B">
            <w:pPr>
              <w:rPr>
                <w:rFonts w:eastAsia="Times New Roman"/>
                <w:sz w:val="20"/>
                <w:szCs w:val="20"/>
              </w:rPr>
            </w:pPr>
            <w:r>
              <w:rPr>
                <w:rFonts w:eastAsia="Times New Roman"/>
                <w:sz w:val="20"/>
                <w:szCs w:val="20"/>
              </w:rPr>
              <w:t> </w:t>
            </w:r>
          </w:p>
        </w:tc>
        <w:tc>
          <w:tcPr>
            <w:tcW w:w="0" w:type="auto"/>
            <w:hideMark/>
          </w:tcPr>
          <w:p w14:paraId="6F0CD058" w14:textId="77777777" w:rsidR="00000000" w:rsidRDefault="00D6065B">
            <w:pPr>
              <w:rPr>
                <w:rFonts w:eastAsia="Times New Roman"/>
                <w:sz w:val="20"/>
                <w:szCs w:val="20"/>
              </w:rPr>
            </w:pPr>
            <w:r>
              <w:rPr>
                <w:rFonts w:eastAsia="Times New Roman"/>
                <w:sz w:val="20"/>
                <w:szCs w:val="20"/>
              </w:rPr>
              <w:t>4.</w:t>
            </w:r>
          </w:p>
        </w:tc>
        <w:tc>
          <w:tcPr>
            <w:tcW w:w="0" w:type="auto"/>
            <w:hideMark/>
          </w:tcPr>
          <w:p w14:paraId="59A1A220" w14:textId="77777777" w:rsidR="00000000" w:rsidRDefault="00D6065B">
            <w:pPr>
              <w:jc w:val="both"/>
              <w:rPr>
                <w:rFonts w:eastAsia="Times New Roman"/>
                <w:sz w:val="20"/>
                <w:szCs w:val="20"/>
              </w:rPr>
            </w:pPr>
            <w:r>
              <w:rPr>
                <w:rFonts w:eastAsia="Times New Roman"/>
                <w:sz w:val="20"/>
                <w:szCs w:val="20"/>
              </w:rPr>
              <w:t>File a de novo or Pre-Market Approval application.</w:t>
            </w:r>
          </w:p>
        </w:tc>
      </w:tr>
    </w:tbl>
    <w:p w14:paraId="2142CD02" w14:textId="77777777" w:rsidR="00000000" w:rsidRDefault="00D6065B">
      <w:pPr>
        <w:pStyle w:val="a3"/>
        <w:spacing w:before="0" w:beforeAutospacing="0" w:after="0" w:afterAutospacing="0"/>
        <w:ind w:firstLine="720"/>
        <w:jc w:val="both"/>
        <w:rPr>
          <w:sz w:val="20"/>
          <w:szCs w:val="20"/>
        </w:rPr>
      </w:pPr>
      <w:r>
        <w:rPr>
          <w:sz w:val="20"/>
          <w:szCs w:val="20"/>
        </w:rPr>
        <w:t> </w:t>
      </w:r>
    </w:p>
    <w:p w14:paraId="1ABF8EEF" w14:textId="77777777" w:rsidR="00000000" w:rsidRDefault="00D6065B">
      <w:pPr>
        <w:pStyle w:val="a3"/>
        <w:spacing w:before="0" w:beforeAutospacing="0" w:after="0" w:afterAutospacing="0"/>
        <w:ind w:firstLine="720"/>
        <w:jc w:val="both"/>
        <w:rPr>
          <w:sz w:val="20"/>
          <w:szCs w:val="20"/>
        </w:rPr>
      </w:pPr>
      <w:r>
        <w:rPr>
          <w:sz w:val="20"/>
          <w:szCs w:val="20"/>
        </w:rPr>
        <w:t>The critical path is the required testing – in vitro, animal testing, human clinical studie</w:t>
      </w:r>
      <w:r>
        <w:rPr>
          <w:sz w:val="20"/>
          <w:szCs w:val="20"/>
        </w:rPr>
        <w:t>s – all of which is resource dependent.</w:t>
      </w:r>
    </w:p>
    <w:p w14:paraId="41DB2C0F" w14:textId="77777777" w:rsidR="00000000" w:rsidRDefault="00D6065B">
      <w:pPr>
        <w:pStyle w:val="a3"/>
        <w:spacing w:before="0" w:beforeAutospacing="0" w:after="0" w:afterAutospacing="0"/>
        <w:ind w:firstLine="720"/>
        <w:jc w:val="both"/>
        <w:rPr>
          <w:sz w:val="20"/>
          <w:szCs w:val="20"/>
        </w:rPr>
      </w:pPr>
      <w:r>
        <w:rPr>
          <w:sz w:val="20"/>
          <w:szCs w:val="20"/>
        </w:rPr>
        <w:t> </w:t>
      </w:r>
    </w:p>
    <w:p w14:paraId="10360EFF" w14:textId="77777777" w:rsidR="00000000" w:rsidRDefault="00D6065B">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Indications for Use. To comply with that request, the Compan</w:t>
      </w:r>
      <w:r>
        <w:rPr>
          <w:sz w:val="20"/>
          <w:szCs w:val="20"/>
        </w:rPr>
        <w:t>y has expanded its MAB, consisting of Drs. Barry D. Pressman (Chairman), Albert DeNittis, and Howard Sandler.</w:t>
      </w:r>
    </w:p>
    <w:p w14:paraId="04EA146C" w14:textId="77777777" w:rsidR="00000000" w:rsidRDefault="00D6065B">
      <w:pPr>
        <w:pStyle w:val="a3"/>
        <w:spacing w:before="0" w:beforeAutospacing="0" w:after="0" w:afterAutospacing="0"/>
        <w:jc w:val="both"/>
        <w:rPr>
          <w:sz w:val="20"/>
          <w:szCs w:val="20"/>
        </w:rPr>
      </w:pPr>
      <w:r>
        <w:rPr>
          <w:sz w:val="20"/>
          <w:szCs w:val="20"/>
        </w:rPr>
        <w:t> </w:t>
      </w:r>
    </w:p>
    <w:p w14:paraId="231E2729" w14:textId="77777777" w:rsidR="00000000" w:rsidRDefault="00D6065B">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the medical community and profitably commercialized.</w:t>
      </w:r>
    </w:p>
    <w:p w14:paraId="56D12503" w14:textId="77777777" w:rsidR="00000000" w:rsidRDefault="00D6065B">
      <w:pPr>
        <w:pStyle w:val="a3"/>
        <w:spacing w:before="0" w:beforeAutospacing="0" w:after="0" w:afterAutospacing="0"/>
        <w:jc w:val="both"/>
        <w:rPr>
          <w:sz w:val="20"/>
          <w:szCs w:val="20"/>
        </w:rPr>
      </w:pPr>
      <w:r>
        <w:rPr>
          <w:sz w:val="20"/>
          <w:szCs w:val="20"/>
        </w:rPr>
        <w:t> </w:t>
      </w:r>
    </w:p>
    <w:p w14:paraId="3085CB1E" w14:textId="77777777" w:rsidR="00000000" w:rsidRDefault="00D6065B">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xml:space="preserve">,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14:paraId="17CE0E60"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4347"/>
        <w:gridCol w:w="720"/>
        <w:gridCol w:w="2519"/>
      </w:tblGrid>
      <w:tr w:rsidR="00000000" w14:paraId="061E0FAD" w14:textId="77777777">
        <w:tc>
          <w:tcPr>
            <w:tcW w:w="720" w:type="dxa"/>
            <w:hideMark/>
          </w:tcPr>
          <w:p w14:paraId="570A2F7F" w14:textId="77777777" w:rsidR="00000000" w:rsidRDefault="00D6065B">
            <w:pPr>
              <w:rPr>
                <w:rFonts w:eastAsia="Times New Roman"/>
                <w:sz w:val="20"/>
                <w:szCs w:val="20"/>
              </w:rPr>
            </w:pPr>
            <w:r>
              <w:rPr>
                <w:rFonts w:eastAsia="Times New Roman"/>
                <w:sz w:val="20"/>
                <w:szCs w:val="20"/>
              </w:rPr>
              <w:t>●</w:t>
            </w:r>
          </w:p>
        </w:tc>
        <w:tc>
          <w:tcPr>
            <w:tcW w:w="0" w:type="auto"/>
            <w:hideMark/>
          </w:tcPr>
          <w:p w14:paraId="3CCD04F0" w14:textId="77777777" w:rsidR="00000000" w:rsidRDefault="00D6065B">
            <w:pPr>
              <w:rPr>
                <w:rFonts w:eastAsia="Times New Roman"/>
                <w:sz w:val="20"/>
                <w:szCs w:val="20"/>
              </w:rPr>
            </w:pPr>
            <w:r>
              <w:rPr>
                <w:rFonts w:eastAsia="Times New Roman"/>
                <w:sz w:val="20"/>
                <w:szCs w:val="20"/>
              </w:rPr>
              <w:t>Skin cancer</w:t>
            </w:r>
          </w:p>
        </w:tc>
        <w:tc>
          <w:tcPr>
            <w:tcW w:w="720" w:type="dxa"/>
            <w:hideMark/>
          </w:tcPr>
          <w:p w14:paraId="204330F3" w14:textId="77777777" w:rsidR="00000000" w:rsidRDefault="00D6065B">
            <w:pPr>
              <w:rPr>
                <w:rFonts w:eastAsia="Times New Roman"/>
                <w:sz w:val="20"/>
                <w:szCs w:val="20"/>
              </w:rPr>
            </w:pPr>
            <w:r>
              <w:rPr>
                <w:rFonts w:eastAsia="Times New Roman"/>
                <w:sz w:val="20"/>
                <w:szCs w:val="20"/>
              </w:rPr>
              <w:t>●</w:t>
            </w:r>
          </w:p>
        </w:tc>
        <w:tc>
          <w:tcPr>
            <w:tcW w:w="0" w:type="auto"/>
            <w:hideMark/>
          </w:tcPr>
          <w:p w14:paraId="4CB991E0" w14:textId="77777777" w:rsidR="00000000" w:rsidRDefault="00D6065B">
            <w:pPr>
              <w:rPr>
                <w:rFonts w:eastAsia="Times New Roman"/>
                <w:sz w:val="20"/>
                <w:szCs w:val="20"/>
              </w:rPr>
            </w:pPr>
            <w:r>
              <w:rPr>
                <w:rFonts w:eastAsia="Times New Roman"/>
                <w:sz w:val="20"/>
                <w:szCs w:val="20"/>
              </w:rPr>
              <w:t>Non-dendritic brain</w:t>
            </w:r>
          </w:p>
        </w:tc>
      </w:tr>
      <w:tr w:rsidR="00000000" w14:paraId="4FD8F896" w14:textId="77777777">
        <w:tc>
          <w:tcPr>
            <w:tcW w:w="0" w:type="auto"/>
            <w:hideMark/>
          </w:tcPr>
          <w:p w14:paraId="4A4C1665" w14:textId="77777777" w:rsidR="00000000" w:rsidRDefault="00D6065B">
            <w:pPr>
              <w:rPr>
                <w:rFonts w:eastAsia="Times New Roman"/>
                <w:sz w:val="20"/>
                <w:szCs w:val="20"/>
              </w:rPr>
            </w:pPr>
            <w:r>
              <w:rPr>
                <w:rFonts w:eastAsia="Times New Roman"/>
                <w:sz w:val="20"/>
                <w:szCs w:val="20"/>
              </w:rPr>
              <w:t>●</w:t>
            </w:r>
          </w:p>
        </w:tc>
        <w:tc>
          <w:tcPr>
            <w:tcW w:w="0" w:type="auto"/>
            <w:hideMark/>
          </w:tcPr>
          <w:p w14:paraId="64040385" w14:textId="77777777" w:rsidR="00000000" w:rsidRDefault="00D6065B">
            <w:pPr>
              <w:rPr>
                <w:rFonts w:eastAsia="Times New Roman"/>
                <w:sz w:val="20"/>
                <w:szCs w:val="20"/>
              </w:rPr>
            </w:pPr>
            <w:r>
              <w:rPr>
                <w:rFonts w:eastAsia="Times New Roman"/>
                <w:sz w:val="20"/>
                <w:szCs w:val="20"/>
              </w:rPr>
              <w:t>Involved lymph nodes</w:t>
            </w:r>
          </w:p>
        </w:tc>
        <w:tc>
          <w:tcPr>
            <w:tcW w:w="0" w:type="auto"/>
            <w:hideMark/>
          </w:tcPr>
          <w:p w14:paraId="0907F590" w14:textId="77777777" w:rsidR="00000000" w:rsidRDefault="00D6065B">
            <w:pPr>
              <w:rPr>
                <w:rFonts w:eastAsia="Times New Roman"/>
                <w:sz w:val="20"/>
                <w:szCs w:val="20"/>
              </w:rPr>
            </w:pPr>
            <w:r>
              <w:rPr>
                <w:rFonts w:eastAsia="Times New Roman"/>
                <w:sz w:val="20"/>
                <w:szCs w:val="20"/>
              </w:rPr>
              <w:t>●</w:t>
            </w:r>
          </w:p>
        </w:tc>
        <w:tc>
          <w:tcPr>
            <w:tcW w:w="0" w:type="auto"/>
            <w:hideMark/>
          </w:tcPr>
          <w:p w14:paraId="11644C8A" w14:textId="77777777" w:rsidR="00000000" w:rsidRDefault="00D6065B">
            <w:pPr>
              <w:rPr>
                <w:rFonts w:eastAsia="Times New Roman"/>
                <w:sz w:val="20"/>
                <w:szCs w:val="20"/>
              </w:rPr>
            </w:pPr>
            <w:r>
              <w:rPr>
                <w:rFonts w:eastAsia="Times New Roman"/>
                <w:sz w:val="20"/>
                <w:szCs w:val="20"/>
              </w:rPr>
              <w:t>Pediatric cancers – several types</w:t>
            </w:r>
          </w:p>
        </w:tc>
      </w:tr>
      <w:tr w:rsidR="00000000" w14:paraId="2CC1CBB2" w14:textId="77777777">
        <w:tc>
          <w:tcPr>
            <w:tcW w:w="0" w:type="auto"/>
            <w:hideMark/>
          </w:tcPr>
          <w:p w14:paraId="51C58402" w14:textId="77777777" w:rsidR="00000000" w:rsidRDefault="00D6065B">
            <w:pPr>
              <w:rPr>
                <w:rFonts w:eastAsia="Times New Roman"/>
                <w:sz w:val="20"/>
                <w:szCs w:val="20"/>
              </w:rPr>
            </w:pPr>
            <w:r>
              <w:rPr>
                <w:rFonts w:eastAsia="Times New Roman"/>
                <w:sz w:val="20"/>
                <w:szCs w:val="20"/>
              </w:rPr>
              <w:t>●</w:t>
            </w:r>
          </w:p>
        </w:tc>
        <w:tc>
          <w:tcPr>
            <w:tcW w:w="0" w:type="auto"/>
            <w:hideMark/>
          </w:tcPr>
          <w:p w14:paraId="216621B0" w14:textId="77777777" w:rsidR="00000000" w:rsidRDefault="00D6065B">
            <w:pPr>
              <w:rPr>
                <w:rFonts w:eastAsia="Times New Roman"/>
                <w:sz w:val="20"/>
                <w:szCs w:val="20"/>
              </w:rPr>
            </w:pPr>
            <w:r>
              <w:rPr>
                <w:rFonts w:eastAsia="Times New Roman"/>
                <w:sz w:val="20"/>
                <w:szCs w:val="20"/>
              </w:rPr>
              <w:t>Bladder</w:t>
            </w:r>
          </w:p>
        </w:tc>
        <w:tc>
          <w:tcPr>
            <w:tcW w:w="0" w:type="auto"/>
            <w:hideMark/>
          </w:tcPr>
          <w:p w14:paraId="6627120F" w14:textId="77777777" w:rsidR="00000000" w:rsidRDefault="00D6065B">
            <w:pPr>
              <w:rPr>
                <w:rFonts w:eastAsia="Times New Roman"/>
                <w:sz w:val="20"/>
                <w:szCs w:val="20"/>
              </w:rPr>
            </w:pPr>
            <w:r>
              <w:rPr>
                <w:rFonts w:eastAsia="Times New Roman"/>
                <w:sz w:val="20"/>
                <w:szCs w:val="20"/>
              </w:rPr>
              <w:t>●</w:t>
            </w:r>
          </w:p>
        </w:tc>
        <w:tc>
          <w:tcPr>
            <w:tcW w:w="0" w:type="auto"/>
            <w:hideMark/>
          </w:tcPr>
          <w:p w14:paraId="03ECC157" w14:textId="77777777" w:rsidR="00000000" w:rsidRDefault="00D6065B">
            <w:pPr>
              <w:rPr>
                <w:rFonts w:eastAsia="Times New Roman"/>
                <w:sz w:val="20"/>
                <w:szCs w:val="20"/>
              </w:rPr>
            </w:pPr>
            <w:r>
              <w:rPr>
                <w:rFonts w:eastAsia="Times New Roman"/>
                <w:sz w:val="20"/>
                <w:szCs w:val="20"/>
              </w:rPr>
              <w:t>Rectal</w:t>
            </w:r>
          </w:p>
        </w:tc>
      </w:tr>
      <w:tr w:rsidR="00000000" w14:paraId="6B8E2F69" w14:textId="77777777">
        <w:tc>
          <w:tcPr>
            <w:tcW w:w="0" w:type="auto"/>
            <w:hideMark/>
          </w:tcPr>
          <w:p w14:paraId="21B04222" w14:textId="77777777" w:rsidR="00000000" w:rsidRDefault="00D6065B">
            <w:pPr>
              <w:rPr>
                <w:rFonts w:eastAsia="Times New Roman"/>
                <w:sz w:val="20"/>
                <w:szCs w:val="20"/>
              </w:rPr>
            </w:pPr>
            <w:r>
              <w:rPr>
                <w:rFonts w:eastAsia="Times New Roman"/>
                <w:sz w:val="20"/>
                <w:szCs w:val="20"/>
              </w:rPr>
              <w:t>●</w:t>
            </w:r>
          </w:p>
        </w:tc>
        <w:tc>
          <w:tcPr>
            <w:tcW w:w="0" w:type="auto"/>
            <w:hideMark/>
          </w:tcPr>
          <w:p w14:paraId="01E5DD5C" w14:textId="77777777" w:rsidR="00000000" w:rsidRDefault="00D6065B">
            <w:pPr>
              <w:rPr>
                <w:rFonts w:eastAsia="Times New Roman"/>
                <w:sz w:val="20"/>
                <w:szCs w:val="20"/>
              </w:rPr>
            </w:pPr>
            <w:r>
              <w:rPr>
                <w:rFonts w:eastAsia="Times New Roman"/>
                <w:sz w:val="20"/>
                <w:szCs w:val="20"/>
              </w:rPr>
              <w:t>Liver</w:t>
            </w:r>
          </w:p>
        </w:tc>
        <w:tc>
          <w:tcPr>
            <w:tcW w:w="0" w:type="auto"/>
            <w:hideMark/>
          </w:tcPr>
          <w:p w14:paraId="6A69BF14" w14:textId="77777777" w:rsidR="00000000" w:rsidRDefault="00D6065B">
            <w:pPr>
              <w:rPr>
                <w:rFonts w:eastAsia="Times New Roman"/>
                <w:sz w:val="20"/>
                <w:szCs w:val="20"/>
              </w:rPr>
            </w:pPr>
            <w:r>
              <w:rPr>
                <w:rFonts w:eastAsia="Times New Roman"/>
                <w:sz w:val="20"/>
                <w:szCs w:val="20"/>
              </w:rPr>
              <w:t>●</w:t>
            </w:r>
          </w:p>
        </w:tc>
        <w:tc>
          <w:tcPr>
            <w:tcW w:w="0" w:type="auto"/>
            <w:hideMark/>
          </w:tcPr>
          <w:p w14:paraId="75D445FF" w14:textId="77777777" w:rsidR="00000000" w:rsidRDefault="00D6065B">
            <w:pPr>
              <w:rPr>
                <w:rFonts w:eastAsia="Times New Roman"/>
                <w:sz w:val="20"/>
                <w:szCs w:val="20"/>
              </w:rPr>
            </w:pPr>
            <w:r>
              <w:rPr>
                <w:rFonts w:eastAsia="Times New Roman"/>
                <w:sz w:val="20"/>
                <w:szCs w:val="20"/>
              </w:rPr>
              <w:t>Gynecological</w:t>
            </w:r>
          </w:p>
        </w:tc>
      </w:tr>
      <w:tr w:rsidR="00000000" w14:paraId="2FAC4F1F" w14:textId="77777777">
        <w:tc>
          <w:tcPr>
            <w:tcW w:w="0" w:type="auto"/>
            <w:hideMark/>
          </w:tcPr>
          <w:p w14:paraId="48BDBF03" w14:textId="77777777" w:rsidR="00000000" w:rsidRDefault="00D6065B">
            <w:pPr>
              <w:rPr>
                <w:rFonts w:eastAsia="Times New Roman"/>
                <w:sz w:val="20"/>
                <w:szCs w:val="20"/>
              </w:rPr>
            </w:pPr>
            <w:r>
              <w:rPr>
                <w:rFonts w:eastAsia="Times New Roman"/>
                <w:sz w:val="20"/>
                <w:szCs w:val="20"/>
              </w:rPr>
              <w:t>●</w:t>
            </w:r>
          </w:p>
        </w:tc>
        <w:tc>
          <w:tcPr>
            <w:tcW w:w="0" w:type="auto"/>
            <w:hideMark/>
          </w:tcPr>
          <w:p w14:paraId="3255B746" w14:textId="77777777" w:rsidR="00000000" w:rsidRDefault="00D6065B">
            <w:pPr>
              <w:rPr>
                <w:rFonts w:eastAsia="Times New Roman"/>
                <w:sz w:val="20"/>
                <w:szCs w:val="20"/>
              </w:rPr>
            </w:pPr>
            <w:r>
              <w:rPr>
                <w:rFonts w:eastAsia="Times New Roman"/>
                <w:sz w:val="20"/>
                <w:szCs w:val="20"/>
              </w:rPr>
              <w:t>Localized prostate</w:t>
            </w:r>
          </w:p>
        </w:tc>
        <w:tc>
          <w:tcPr>
            <w:tcW w:w="0" w:type="auto"/>
            <w:hideMark/>
          </w:tcPr>
          <w:p w14:paraId="1D64C276" w14:textId="77777777" w:rsidR="00000000" w:rsidRDefault="00D6065B">
            <w:pPr>
              <w:rPr>
                <w:rFonts w:eastAsia="Times New Roman"/>
                <w:sz w:val="20"/>
                <w:szCs w:val="20"/>
              </w:rPr>
            </w:pPr>
            <w:r>
              <w:rPr>
                <w:rFonts w:eastAsia="Times New Roman"/>
                <w:sz w:val="20"/>
                <w:szCs w:val="20"/>
              </w:rPr>
              <w:t>●</w:t>
            </w:r>
          </w:p>
        </w:tc>
        <w:tc>
          <w:tcPr>
            <w:tcW w:w="0" w:type="auto"/>
            <w:hideMark/>
          </w:tcPr>
          <w:p w14:paraId="3D84EE07" w14:textId="77777777" w:rsidR="00000000" w:rsidRDefault="00D6065B">
            <w:pPr>
              <w:rPr>
                <w:rFonts w:eastAsia="Times New Roman"/>
                <w:sz w:val="20"/>
                <w:szCs w:val="20"/>
              </w:rPr>
            </w:pPr>
            <w:r>
              <w:rPr>
                <w:rFonts w:eastAsia="Times New Roman"/>
                <w:sz w:val="20"/>
                <w:szCs w:val="20"/>
              </w:rPr>
              <w:t>Spinal</w:t>
            </w:r>
          </w:p>
        </w:tc>
      </w:tr>
      <w:tr w:rsidR="00000000" w14:paraId="33D51876" w14:textId="77777777">
        <w:tc>
          <w:tcPr>
            <w:tcW w:w="0" w:type="auto"/>
            <w:hideMark/>
          </w:tcPr>
          <w:p w14:paraId="0064242B" w14:textId="77777777" w:rsidR="00000000" w:rsidRDefault="00D6065B">
            <w:pPr>
              <w:rPr>
                <w:rFonts w:eastAsia="Times New Roman"/>
                <w:sz w:val="20"/>
                <w:szCs w:val="20"/>
              </w:rPr>
            </w:pPr>
            <w:r>
              <w:rPr>
                <w:rFonts w:eastAsia="Times New Roman"/>
                <w:sz w:val="20"/>
                <w:szCs w:val="20"/>
              </w:rPr>
              <w:t>●</w:t>
            </w:r>
          </w:p>
        </w:tc>
        <w:tc>
          <w:tcPr>
            <w:tcW w:w="0" w:type="auto"/>
            <w:hideMark/>
          </w:tcPr>
          <w:p w14:paraId="1CCC392D" w14:textId="77777777" w:rsidR="00000000" w:rsidRDefault="00D6065B">
            <w:pPr>
              <w:rPr>
                <w:rFonts w:eastAsia="Times New Roman"/>
                <w:sz w:val="20"/>
                <w:szCs w:val="20"/>
              </w:rPr>
            </w:pPr>
            <w:r>
              <w:rPr>
                <w:rFonts w:eastAsia="Times New Roman"/>
                <w:sz w:val="20"/>
                <w:szCs w:val="20"/>
              </w:rPr>
              <w:t>Pancreas</w:t>
            </w:r>
          </w:p>
        </w:tc>
        <w:tc>
          <w:tcPr>
            <w:tcW w:w="0" w:type="auto"/>
            <w:hideMark/>
          </w:tcPr>
          <w:p w14:paraId="61BA25A0" w14:textId="77777777" w:rsidR="00000000" w:rsidRDefault="00D6065B">
            <w:pPr>
              <w:rPr>
                <w:rFonts w:eastAsia="Times New Roman"/>
                <w:sz w:val="20"/>
                <w:szCs w:val="20"/>
              </w:rPr>
            </w:pPr>
            <w:r>
              <w:rPr>
                <w:rFonts w:eastAsia="Times New Roman"/>
                <w:sz w:val="20"/>
                <w:szCs w:val="20"/>
              </w:rPr>
              <w:t>●</w:t>
            </w:r>
          </w:p>
        </w:tc>
        <w:tc>
          <w:tcPr>
            <w:tcW w:w="0" w:type="auto"/>
            <w:hideMark/>
          </w:tcPr>
          <w:p w14:paraId="3D424EC8" w14:textId="77777777" w:rsidR="00000000" w:rsidRDefault="00D6065B">
            <w:pPr>
              <w:rPr>
                <w:rFonts w:eastAsia="Times New Roman"/>
                <w:sz w:val="20"/>
                <w:szCs w:val="20"/>
              </w:rPr>
            </w:pPr>
            <w:r>
              <w:rPr>
                <w:rFonts w:eastAsia="Times New Roman"/>
                <w:sz w:val="20"/>
                <w:szCs w:val="20"/>
              </w:rPr>
              <w:t>Recurrent esophageal</w:t>
            </w:r>
          </w:p>
        </w:tc>
      </w:tr>
      <w:tr w:rsidR="00000000" w14:paraId="2345C8AD" w14:textId="77777777">
        <w:tc>
          <w:tcPr>
            <w:tcW w:w="0" w:type="auto"/>
            <w:hideMark/>
          </w:tcPr>
          <w:p w14:paraId="11183D7D" w14:textId="77777777" w:rsidR="00000000" w:rsidRDefault="00D6065B">
            <w:pPr>
              <w:rPr>
                <w:rFonts w:eastAsia="Times New Roman"/>
                <w:sz w:val="20"/>
                <w:szCs w:val="20"/>
              </w:rPr>
            </w:pPr>
            <w:r>
              <w:rPr>
                <w:rFonts w:eastAsia="Times New Roman"/>
                <w:sz w:val="20"/>
                <w:szCs w:val="20"/>
              </w:rPr>
              <w:t>●</w:t>
            </w:r>
          </w:p>
        </w:tc>
        <w:tc>
          <w:tcPr>
            <w:tcW w:w="0" w:type="auto"/>
            <w:hideMark/>
          </w:tcPr>
          <w:p w14:paraId="69FB96FC" w14:textId="77777777" w:rsidR="00000000" w:rsidRDefault="00D6065B">
            <w:pPr>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14:paraId="73DC32B0" w14:textId="77777777" w:rsidR="00000000" w:rsidRDefault="00D6065B">
            <w:pPr>
              <w:rPr>
                <w:rFonts w:eastAsia="Times New Roman"/>
                <w:sz w:val="20"/>
                <w:szCs w:val="20"/>
              </w:rPr>
            </w:pPr>
            <w:r>
              <w:rPr>
                <w:rFonts w:eastAsia="Times New Roman"/>
                <w:sz w:val="20"/>
                <w:szCs w:val="20"/>
              </w:rPr>
              <w:t>●</w:t>
            </w:r>
          </w:p>
        </w:tc>
        <w:tc>
          <w:tcPr>
            <w:tcW w:w="0" w:type="auto"/>
            <w:hideMark/>
          </w:tcPr>
          <w:p w14:paraId="61916E6A" w14:textId="77777777" w:rsidR="00000000" w:rsidRDefault="00D6065B">
            <w:pPr>
              <w:rPr>
                <w:rFonts w:eastAsia="Times New Roman"/>
                <w:sz w:val="20"/>
                <w:szCs w:val="20"/>
              </w:rPr>
            </w:pPr>
            <w:r>
              <w:rPr>
                <w:rFonts w:eastAsia="Times New Roman"/>
                <w:sz w:val="20"/>
                <w:szCs w:val="20"/>
              </w:rPr>
              <w:t>Breast cancer resection cavity</w:t>
            </w:r>
          </w:p>
        </w:tc>
      </w:tr>
      <w:tr w:rsidR="00000000" w14:paraId="4C634F98" w14:textId="77777777">
        <w:tc>
          <w:tcPr>
            <w:tcW w:w="0" w:type="auto"/>
            <w:hideMark/>
          </w:tcPr>
          <w:p w14:paraId="47306B77" w14:textId="77777777" w:rsidR="00000000" w:rsidRDefault="00D6065B">
            <w:pPr>
              <w:rPr>
                <w:rFonts w:eastAsia="Times New Roman"/>
                <w:sz w:val="20"/>
                <w:szCs w:val="20"/>
              </w:rPr>
            </w:pPr>
            <w:r>
              <w:rPr>
                <w:rFonts w:eastAsia="Times New Roman"/>
                <w:sz w:val="20"/>
                <w:szCs w:val="20"/>
              </w:rPr>
              <w:t>●</w:t>
            </w:r>
          </w:p>
        </w:tc>
        <w:tc>
          <w:tcPr>
            <w:tcW w:w="0" w:type="auto"/>
            <w:hideMark/>
          </w:tcPr>
          <w:p w14:paraId="27978D2C" w14:textId="77777777" w:rsidR="00000000" w:rsidRDefault="00D6065B">
            <w:pPr>
              <w:rPr>
                <w:rFonts w:eastAsia="Times New Roman"/>
                <w:sz w:val="20"/>
                <w:szCs w:val="20"/>
              </w:rPr>
            </w:pPr>
            <w:r>
              <w:rPr>
                <w:rFonts w:eastAsia="Times New Roman"/>
                <w:sz w:val="20"/>
                <w:szCs w:val="20"/>
              </w:rPr>
              <w:t>Ocular melanoma</w:t>
            </w:r>
          </w:p>
        </w:tc>
        <w:tc>
          <w:tcPr>
            <w:tcW w:w="0" w:type="auto"/>
            <w:hideMark/>
          </w:tcPr>
          <w:p w14:paraId="7C0F9BC2" w14:textId="77777777" w:rsidR="00000000" w:rsidRDefault="00D6065B">
            <w:pPr>
              <w:rPr>
                <w:rFonts w:eastAsia="Times New Roman"/>
                <w:sz w:val="20"/>
                <w:szCs w:val="20"/>
              </w:rPr>
            </w:pPr>
            <w:r>
              <w:rPr>
                <w:rFonts w:eastAsia="Times New Roman"/>
                <w:sz w:val="20"/>
                <w:szCs w:val="20"/>
              </w:rPr>
              <w:t>●</w:t>
            </w:r>
          </w:p>
        </w:tc>
        <w:tc>
          <w:tcPr>
            <w:tcW w:w="0" w:type="auto"/>
            <w:hideMark/>
          </w:tcPr>
          <w:p w14:paraId="7DD76C51" w14:textId="77777777" w:rsidR="00000000" w:rsidRDefault="00D6065B">
            <w:pPr>
              <w:rPr>
                <w:rFonts w:eastAsia="Times New Roman"/>
                <w:sz w:val="20"/>
                <w:szCs w:val="20"/>
              </w:rPr>
            </w:pPr>
            <w:r>
              <w:rPr>
                <w:rFonts w:eastAsia="Times New Roman"/>
                <w:sz w:val="20"/>
                <w:szCs w:val="20"/>
              </w:rPr>
              <w:t>Anaplastic thyroid</w:t>
            </w:r>
          </w:p>
        </w:tc>
      </w:tr>
    </w:tbl>
    <w:p w14:paraId="18F150EA" w14:textId="77777777" w:rsidR="00000000" w:rsidRDefault="00D6065B">
      <w:pPr>
        <w:pStyle w:val="a3"/>
        <w:spacing w:before="0" w:beforeAutospacing="0" w:after="0" w:afterAutospacing="0"/>
        <w:jc w:val="both"/>
        <w:rPr>
          <w:sz w:val="20"/>
          <w:szCs w:val="20"/>
        </w:rPr>
      </w:pPr>
      <w:r>
        <w:rPr>
          <w:sz w:val="20"/>
          <w:szCs w:val="20"/>
        </w:rPr>
        <w:t> </w:t>
      </w:r>
    </w:p>
    <w:p w14:paraId="7CB9DA8D" w14:textId="77777777" w:rsidR="00000000" w:rsidRDefault="00D6065B">
      <w:pPr>
        <w:pStyle w:val="a3"/>
        <w:spacing w:before="0" w:beforeAutospacing="0" w:after="0" w:afterAutospacing="0"/>
        <w:ind w:firstLine="720"/>
        <w:jc w:val="both"/>
        <w:rPr>
          <w:sz w:val="20"/>
          <w:szCs w:val="20"/>
        </w:rPr>
      </w:pPr>
      <w:r>
        <w:rPr>
          <w:sz w:val="20"/>
          <w:szCs w:val="20"/>
        </w:rPr>
        <w:t xml:space="preserve">After </w:t>
      </w:r>
      <w:r>
        <w:rPr>
          <w:sz w:val="20"/>
          <w:szCs w:val="20"/>
        </w:rPr>
        <w:t>thorough review to prioritize indications, the MAB has selected basal cell and squamous cell carcinoma (skin cancers) as the first Indication for Use to be presented to the FDA. According to American Cancer Society, one out of every three new cancers diagn</w:t>
      </w:r>
      <w:r>
        <w:rPr>
          <w:sz w:val="20"/>
          <w:szCs w:val="20"/>
        </w:rPr>
        <w:t>osed in the U.S. is a cancerous skin lesion of this type, representing 5.5 million tumors annually. The MAB believes RadioGel</w:t>
      </w:r>
      <w:r>
        <w:rPr>
          <w:sz w:val="20"/>
          <w:szCs w:val="20"/>
          <w:vertAlign w:val="superscript"/>
        </w:rPr>
        <w:t>™</w:t>
      </w:r>
      <w:r>
        <w:rPr>
          <w:sz w:val="20"/>
          <w:szCs w:val="20"/>
        </w:rPr>
        <w:t xml:space="preserve"> will be the preferred treatment in a reasonable number of cases in a very large market.</w:t>
      </w:r>
    </w:p>
    <w:p w14:paraId="0102403F"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12B8251" w14:textId="77777777">
        <w:trPr>
          <w:divId w:val="1209299019"/>
        </w:trPr>
        <w:tc>
          <w:tcPr>
            <w:tcW w:w="5000" w:type="pct"/>
            <w:hideMark/>
          </w:tcPr>
          <w:p w14:paraId="4E676F74"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231803CB" w14:textId="77777777">
        <w:tc>
          <w:tcPr>
            <w:tcW w:w="5000" w:type="pct"/>
            <w:hideMark/>
          </w:tcPr>
          <w:p w14:paraId="2D33462D" w14:textId="77777777" w:rsidR="00000000" w:rsidRDefault="00D6065B">
            <w:pPr>
              <w:jc w:val="center"/>
              <w:rPr>
                <w:rFonts w:eastAsia="Times New Roman"/>
                <w:sz w:val="20"/>
                <w:szCs w:val="20"/>
              </w:rPr>
            </w:pPr>
            <w:r>
              <w:rPr>
                <w:rFonts w:eastAsia="Times New Roman"/>
                <w:sz w:val="20"/>
                <w:szCs w:val="20"/>
              </w:rPr>
              <w:t> </w:t>
            </w:r>
          </w:p>
        </w:tc>
      </w:tr>
    </w:tbl>
    <w:p w14:paraId="6B56353F" w14:textId="77777777" w:rsidR="00000000" w:rsidRDefault="00D6065B">
      <w:pPr>
        <w:pStyle w:val="a3"/>
        <w:spacing w:before="0" w:beforeAutospacing="0" w:after="0" w:afterAutospacing="0"/>
        <w:rPr>
          <w:sz w:val="20"/>
          <w:szCs w:val="20"/>
        </w:rPr>
      </w:pPr>
      <w:r>
        <w:rPr>
          <w:sz w:val="20"/>
          <w:szCs w:val="20"/>
        </w:rPr>
        <w:t> </w:t>
      </w:r>
    </w:p>
    <w:p w14:paraId="65459C0F" w14:textId="77777777" w:rsidR="00000000" w:rsidRDefault="00D6065B">
      <w:pPr>
        <w:pStyle w:val="a3"/>
        <w:spacing w:before="0" w:beforeAutospacing="0" w:after="0" w:afterAutospacing="0"/>
        <w:jc w:val="both"/>
        <w:rPr>
          <w:sz w:val="20"/>
          <w:szCs w:val="20"/>
        </w:rPr>
      </w:pPr>
      <w:r>
        <w:rPr>
          <w:i/>
          <w:iCs/>
          <w:sz w:val="20"/>
          <w:szCs w:val="20"/>
        </w:rPr>
        <w:t>Veterinary Sector</w:t>
      </w:r>
    </w:p>
    <w:p w14:paraId="3A80D420" w14:textId="77777777" w:rsidR="00000000" w:rsidRDefault="00D6065B">
      <w:pPr>
        <w:pStyle w:val="a3"/>
        <w:spacing w:before="0" w:beforeAutospacing="0" w:after="0" w:afterAutospacing="0"/>
        <w:jc w:val="both"/>
        <w:rPr>
          <w:sz w:val="20"/>
          <w:szCs w:val="20"/>
        </w:rPr>
      </w:pPr>
      <w:r>
        <w:rPr>
          <w:sz w:val="20"/>
          <w:szCs w:val="20"/>
        </w:rPr>
        <w:t> </w:t>
      </w:r>
    </w:p>
    <w:p w14:paraId="7B569FF2" w14:textId="77777777" w:rsidR="00000000" w:rsidRDefault="00D6065B">
      <w:pPr>
        <w:pStyle w:val="a3"/>
        <w:spacing w:before="0" w:beforeAutospacing="0" w:after="0" w:afterAutospacing="0"/>
        <w:ind w:firstLine="720"/>
        <w:jc w:val="both"/>
        <w:rPr>
          <w:sz w:val="20"/>
          <w:szCs w:val="20"/>
        </w:rPr>
      </w:pPr>
      <w:r>
        <w:rPr>
          <w:sz w:val="20"/>
          <w:szCs w:val="20"/>
        </w:rPr>
        <w:t>There are</w:t>
      </w:r>
      <w:r>
        <w:rPr>
          <w:sz w:val="20"/>
          <w:szCs w:val="20"/>
        </w:rPr>
        <w:t xml:space="preserve"> approximately 150 million pet dogs and cats in the United States. Nearly one-half of dogs and one-third of cats are diagnosed with cancer at some point in their lifetime. The Veterinary Oncology &amp; Hematology Center in Norwalk, Connecticut, reports that ca</w:t>
      </w:r>
      <w:r>
        <w:rPr>
          <w:sz w:val="20"/>
          <w:szCs w:val="20"/>
        </w:rPr>
        <w:t>ncer is the number one natural cause of death in older cats and dogs, accounting for nearly 50 percent of pet deaths each year. The American Veterinary Medical Association reports that half of the dogs ten years or older will die because of cancer. The Nat</w:t>
      </w:r>
      <w:r>
        <w:rPr>
          <w:sz w:val="20"/>
          <w:szCs w:val="20"/>
        </w:rPr>
        <w:t>ional Cancer Institute reports that about six million dogs are diagnosed with cancer each year, translating to more than 16,000 a day.</w:t>
      </w:r>
    </w:p>
    <w:p w14:paraId="4542FC54" w14:textId="77777777" w:rsidR="00000000" w:rsidRDefault="00D6065B">
      <w:pPr>
        <w:pStyle w:val="a3"/>
        <w:spacing w:before="0" w:beforeAutospacing="0" w:after="0" w:afterAutospacing="0"/>
        <w:jc w:val="both"/>
        <w:rPr>
          <w:sz w:val="20"/>
          <w:szCs w:val="20"/>
        </w:rPr>
      </w:pPr>
      <w:r>
        <w:rPr>
          <w:sz w:val="20"/>
          <w:szCs w:val="20"/>
        </w:rPr>
        <w:t> </w:t>
      </w:r>
    </w:p>
    <w:p w14:paraId="35D6EE45" w14:textId="77777777" w:rsidR="00000000" w:rsidRDefault="00D6065B">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w:t>
      </w:r>
      <w:r>
        <w:rPr>
          <w:sz w:val="20"/>
          <w:szCs w:val="20"/>
        </w:rPr>
        <w:t>operating division focuses on the veterinary oncology market. Dr. Alice Villalobos, a founding member of the Veterinary Cancer Society and the Chair of our Veterinary Medicine Advisory Board, has been providing guidance to management regarding this market.</w:t>
      </w:r>
      <w:r>
        <w:rPr>
          <w:sz w:val="20"/>
          <w:szCs w:val="20"/>
        </w:rPr>
        <w:t xml:space="preserve"> The Veterinary Medicine Advisory Board gives us recommendations regarding the overall strategy for our animal business sector. Specially, they recommended the university veterinary hospitals for demonstration therapies, the specific cancers to be treated,</w:t>
      </w:r>
      <w:r>
        <w:rPr>
          <w:sz w:val="20"/>
          <w:szCs w:val="20"/>
        </w:rPr>
        <w:t xml:space="preserve"> and have provided business contact information to the private clinics.</w:t>
      </w:r>
    </w:p>
    <w:p w14:paraId="117F990C" w14:textId="77777777" w:rsidR="00000000" w:rsidRDefault="00D6065B">
      <w:pPr>
        <w:pStyle w:val="a3"/>
        <w:spacing w:before="0" w:beforeAutospacing="0" w:after="0" w:afterAutospacing="0"/>
        <w:jc w:val="both"/>
        <w:rPr>
          <w:sz w:val="20"/>
          <w:szCs w:val="20"/>
        </w:rPr>
      </w:pPr>
      <w:r>
        <w:rPr>
          <w:sz w:val="20"/>
          <w:szCs w:val="20"/>
        </w:rPr>
        <w:t> </w:t>
      </w:r>
    </w:p>
    <w:p w14:paraId="671F1BE0"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Development of the product and application techniques and animal testing is allowed under FDA regulation. Commercial sales of RadioGel</w:t>
      </w:r>
      <w:r>
        <w:rPr>
          <w:sz w:val="20"/>
          <w:szCs w:val="20"/>
          <w:vertAlign w:val="superscript"/>
        </w:rPr>
        <w:t xml:space="preserve">TM </w:t>
      </w:r>
      <w:r>
        <w:rPr>
          <w:sz w:val="20"/>
          <w:szCs w:val="20"/>
        </w:rPr>
        <w:t xml:space="preserve">for animals requires confirmation by the FDA </w:t>
      </w:r>
      <w:r>
        <w:rPr>
          <w:sz w:val="20"/>
          <w:szCs w:val="20"/>
        </w:rPr>
        <w:t>Center for Veterinary Medicine (“</w:t>
      </w:r>
      <w:r>
        <w:rPr>
          <w:i/>
          <w:iCs/>
          <w:sz w:val="20"/>
          <w:szCs w:val="20"/>
        </w:rPr>
        <w:t>CVM</w:t>
      </w:r>
      <w:r>
        <w:rPr>
          <w:sz w:val="20"/>
          <w:szCs w:val="20"/>
        </w:rPr>
        <w:t>”). In January 2018, the Center for Veterinary Medicine Product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w:t>
      </w:r>
      <w:r>
        <w:rPr>
          <w:sz w:val="20"/>
          <w:szCs w:val="20"/>
        </w:rPr>
        <w:t>ied as a device for animal therapy of feline sarcomas and canine soft tissue sarcomas.</w:t>
      </w:r>
    </w:p>
    <w:p w14:paraId="2F7D5B42"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 </w:t>
      </w:r>
    </w:p>
    <w:p w14:paraId="7722C89E" w14:textId="77777777" w:rsidR="00000000" w:rsidRDefault="00D6065B">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w:t>
      </w:r>
      <w:r>
        <w:rPr>
          <w:sz w:val="20"/>
          <w:szCs w:val="20"/>
        </w:rPr>
        <w:t>nd feline sarcomas, but rather may be extended to a much broader population of veterinary cancers, including all or most all solid tumors in animals. We expect the result of such classification and label approval will be that no additional regulatory appro</w:t>
      </w:r>
      <w:r>
        <w:rPr>
          <w:sz w:val="20"/>
          <w:szCs w:val="20"/>
        </w:rPr>
        <w:t>vals are necessary for the use of RadioGel</w:t>
      </w:r>
      <w:r>
        <w:rPr>
          <w:sz w:val="20"/>
          <w:szCs w:val="20"/>
          <w:vertAlign w:val="superscript"/>
        </w:rPr>
        <w:t>TM</w:t>
      </w:r>
      <w:r>
        <w:rPr>
          <w:sz w:val="20"/>
          <w:szCs w:val="20"/>
        </w:rPr>
        <w:t xml:space="preserve"> for the treatment of solid tumors in animals. The FDA does not have premarket authority over devices with a veterinary classification, and the manufacturers are responsible for assuring that the product is safe,</w:t>
      </w:r>
      <w:r>
        <w:rPr>
          <w:sz w:val="20"/>
          <w:szCs w:val="20"/>
        </w:rPr>
        <w:t xml:space="preserve"> effective, properly labeled, and otherwise in compliance with all applicable laws and regulations.</w:t>
      </w:r>
    </w:p>
    <w:p w14:paraId="0C7746D8" w14:textId="77777777" w:rsidR="00000000" w:rsidRDefault="00D6065B">
      <w:pPr>
        <w:pStyle w:val="a3"/>
        <w:spacing w:before="0" w:beforeAutospacing="0" w:after="0" w:afterAutospacing="0"/>
        <w:ind w:firstLine="720"/>
        <w:jc w:val="both"/>
        <w:rPr>
          <w:sz w:val="20"/>
          <w:szCs w:val="20"/>
        </w:rPr>
      </w:pPr>
      <w:r>
        <w:rPr>
          <w:sz w:val="20"/>
          <w:szCs w:val="20"/>
        </w:rPr>
        <w:t> </w:t>
      </w:r>
    </w:p>
    <w:p w14:paraId="56E5803E" w14:textId="77777777" w:rsidR="00000000" w:rsidRDefault="00D6065B">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w:t>
      </w:r>
      <w:r>
        <w:rPr>
          <w:sz w:val="20"/>
          <w:szCs w:val="20"/>
        </w:rPr>
        <w:t>iful veterinarians and students, a large number of animal patients, radioactive material handling licenses, and are respected by private veterinary centers and hospitals.</w:t>
      </w:r>
    </w:p>
    <w:p w14:paraId="3D75B812" w14:textId="77777777" w:rsidR="00000000" w:rsidRDefault="00D6065B">
      <w:pPr>
        <w:pStyle w:val="a3"/>
        <w:spacing w:before="0" w:beforeAutospacing="0" w:after="0" w:afterAutospacing="0"/>
        <w:jc w:val="both"/>
        <w:rPr>
          <w:sz w:val="20"/>
          <w:szCs w:val="20"/>
        </w:rPr>
      </w:pPr>
      <w:r>
        <w:rPr>
          <w:sz w:val="20"/>
          <w:szCs w:val="20"/>
        </w:rPr>
        <w:t> </w:t>
      </w:r>
    </w:p>
    <w:p w14:paraId="68235371" w14:textId="77777777" w:rsidR="00000000" w:rsidRDefault="00D6065B">
      <w:pPr>
        <w:pStyle w:val="a3"/>
        <w:spacing w:before="0" w:beforeAutospacing="0" w:after="0" w:afterAutospacing="0"/>
        <w:ind w:firstLine="720"/>
        <w:jc w:val="both"/>
        <w:rPr>
          <w:sz w:val="20"/>
          <w:szCs w:val="20"/>
        </w:rPr>
      </w:pPr>
      <w:r>
        <w:rPr>
          <w:sz w:val="20"/>
          <w:szCs w:val="20"/>
        </w:rPr>
        <w:t>Pursuant to the terms of the grant with Washington State University, it was respons</w:t>
      </w:r>
      <w:r>
        <w:rPr>
          <w:sz w:val="20"/>
          <w:szCs w:val="20"/>
        </w:rPr>
        <w:t xml:space="preserve">ible for conducting studies regarding in vivo dosimetry and toxicity of intralesional Y-90 phosphate nanoparticles for the treatment of spontaneous feline and canine sarcomas. The term of the grant was October 1, 2016 through January 31, 2018. The Company </w:t>
      </w:r>
      <w:r>
        <w:rPr>
          <w:sz w:val="20"/>
          <w:szCs w:val="20"/>
        </w:rPr>
        <w:t>provided the university with the RadioGel</w:t>
      </w:r>
      <w:r>
        <w:rPr>
          <w:sz w:val="20"/>
          <w:szCs w:val="20"/>
          <w:vertAlign w:val="superscript"/>
        </w:rPr>
        <w:t>TM</w:t>
      </w:r>
      <w:r>
        <w:rPr>
          <w:sz w:val="20"/>
          <w:szCs w:val="20"/>
        </w:rPr>
        <w:t xml:space="preserve"> required to complete the studies, as well as technical support for dosimetry calculations. All payments provided to Washington State University in relation to the grant were made by Washington State Life Sciences</w:t>
      </w:r>
      <w:r>
        <w:rPr>
          <w:sz w:val="20"/>
          <w:szCs w:val="20"/>
        </w:rPr>
        <w:t xml:space="preserve"> Discovery Fund pursuant to a grant and were not paid by the Company. To compliment the grant, additional scope was added to explore the option of pre-mixing the vials prior to shipment and the Company was reimbursed $17,583 as a separate contract to the g</w:t>
      </w:r>
      <w:r>
        <w:rPr>
          <w:sz w:val="20"/>
          <w:szCs w:val="20"/>
        </w:rPr>
        <w:t>rant.</w:t>
      </w:r>
    </w:p>
    <w:p w14:paraId="2E450C24" w14:textId="77777777" w:rsidR="00000000" w:rsidRDefault="00D6065B">
      <w:pPr>
        <w:pStyle w:val="a3"/>
        <w:spacing w:before="0" w:beforeAutospacing="0" w:after="0" w:afterAutospacing="0"/>
        <w:ind w:firstLine="720"/>
        <w:jc w:val="both"/>
        <w:rPr>
          <w:sz w:val="20"/>
          <w:szCs w:val="20"/>
        </w:rPr>
      </w:pPr>
      <w:r>
        <w:rPr>
          <w:sz w:val="20"/>
          <w:szCs w:val="20"/>
        </w:rPr>
        <w:t> </w:t>
      </w:r>
    </w:p>
    <w:p w14:paraId="29EF7EBF" w14:textId="77777777" w:rsidR="00000000" w:rsidRDefault="00D6065B">
      <w:pPr>
        <w:pStyle w:val="a3"/>
        <w:spacing w:before="0" w:beforeAutospacing="0" w:after="0" w:afterAutospacing="0"/>
        <w:ind w:firstLine="720"/>
        <w:jc w:val="both"/>
        <w:rPr>
          <w:sz w:val="20"/>
          <w:szCs w:val="20"/>
        </w:rPr>
      </w:pPr>
      <w:r>
        <w:rPr>
          <w:sz w:val="20"/>
          <w:szCs w:val="20"/>
        </w:rPr>
        <w:t>Pursuant to the terms of the contract with the University of Missouri, it was responsible for conducting studies regarding in vivo dosimetry and toxicity of intralesional Y-90 phosphate nanoparticles for the treatment of soft tissue carcinoma and e</w:t>
      </w:r>
      <w:r>
        <w:rPr>
          <w:sz w:val="20"/>
          <w:szCs w:val="20"/>
        </w:rPr>
        <w:t>quine sarcoids. The term of the contract was initially from November 1, 2017 through October 31, 2018, but it has recently been working to extend this contract through testing completion on canine soft tissue sarcoma and equine sarcoids, plus additional tu</w:t>
      </w:r>
      <w:r>
        <w:rPr>
          <w:sz w:val="20"/>
          <w:szCs w:val="20"/>
        </w:rPr>
        <w:t>mors of interest defined by the University of Missouri principal investigators. This extension is dependent upon keeping current with paying for the expenses of the ongoing therapies.</w:t>
      </w:r>
    </w:p>
    <w:p w14:paraId="63DE2BAB" w14:textId="77777777" w:rsidR="00000000" w:rsidRDefault="00D6065B">
      <w:pPr>
        <w:pStyle w:val="a3"/>
        <w:spacing w:before="0" w:beforeAutospacing="0" w:after="0" w:afterAutospacing="0"/>
        <w:ind w:firstLine="720"/>
        <w:jc w:val="both"/>
        <w:rPr>
          <w:sz w:val="20"/>
          <w:szCs w:val="20"/>
        </w:rPr>
      </w:pPr>
      <w:r>
        <w:rPr>
          <w:sz w:val="20"/>
          <w:szCs w:val="20"/>
        </w:rPr>
        <w:t> </w:t>
      </w:r>
    </w:p>
    <w:p w14:paraId="5D3E277F" w14:textId="77777777" w:rsidR="00000000" w:rsidRDefault="00D6065B">
      <w:pPr>
        <w:pStyle w:val="a3"/>
        <w:spacing w:before="0" w:beforeAutospacing="0" w:after="0" w:afterAutospacing="0"/>
        <w:jc w:val="both"/>
        <w:rPr>
          <w:sz w:val="20"/>
          <w:szCs w:val="20"/>
        </w:rPr>
      </w:pPr>
      <w:r>
        <w:rPr>
          <w:b/>
          <w:bCs/>
          <w:i/>
          <w:iCs/>
          <w:sz w:val="20"/>
          <w:szCs w:val="20"/>
          <w:u w:val="single"/>
        </w:rPr>
        <w:t>Competitors</w:t>
      </w:r>
    </w:p>
    <w:p w14:paraId="347E0DF3" w14:textId="77777777" w:rsidR="00000000" w:rsidRDefault="00D6065B">
      <w:pPr>
        <w:pStyle w:val="a3"/>
        <w:spacing w:before="0" w:beforeAutospacing="0" w:after="0" w:afterAutospacing="0"/>
        <w:ind w:firstLine="720"/>
        <w:jc w:val="both"/>
        <w:rPr>
          <w:sz w:val="20"/>
          <w:szCs w:val="20"/>
        </w:rPr>
      </w:pPr>
      <w:r>
        <w:rPr>
          <w:sz w:val="20"/>
          <w:szCs w:val="20"/>
        </w:rPr>
        <w:t> </w:t>
      </w:r>
    </w:p>
    <w:p w14:paraId="62EA02CF" w14:textId="77777777" w:rsidR="00000000" w:rsidRDefault="00D6065B">
      <w:pPr>
        <w:pStyle w:val="a3"/>
        <w:spacing w:before="0" w:beforeAutospacing="0" w:after="0" w:afterAutospacing="0"/>
        <w:ind w:firstLine="720"/>
        <w:jc w:val="both"/>
        <w:rPr>
          <w:sz w:val="20"/>
          <w:szCs w:val="20"/>
        </w:rPr>
      </w:pPr>
      <w:r>
        <w:rPr>
          <w:sz w:val="20"/>
          <w:szCs w:val="20"/>
        </w:rPr>
        <w:t>The Company competes in a market characterized by techno</w:t>
      </w:r>
      <w:r>
        <w:rPr>
          <w:sz w:val="20"/>
          <w:szCs w:val="20"/>
        </w:rPr>
        <w:t>logical innovation, extensive research efforts, and significant competition.</w:t>
      </w:r>
    </w:p>
    <w:p w14:paraId="467AAFBE"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4E06C99" w14:textId="77777777">
        <w:trPr>
          <w:divId w:val="1475217349"/>
        </w:trPr>
        <w:tc>
          <w:tcPr>
            <w:tcW w:w="5000" w:type="pct"/>
            <w:hideMark/>
          </w:tcPr>
          <w:p w14:paraId="6BB4DF1E"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6C9D2EAA" w14:textId="77777777">
        <w:tc>
          <w:tcPr>
            <w:tcW w:w="5000" w:type="pct"/>
            <w:hideMark/>
          </w:tcPr>
          <w:p w14:paraId="00B2F63D" w14:textId="77777777" w:rsidR="00000000" w:rsidRDefault="00D6065B">
            <w:pPr>
              <w:jc w:val="center"/>
              <w:rPr>
                <w:rFonts w:eastAsia="Times New Roman"/>
                <w:sz w:val="20"/>
                <w:szCs w:val="20"/>
              </w:rPr>
            </w:pPr>
            <w:r>
              <w:rPr>
                <w:rFonts w:eastAsia="Times New Roman"/>
                <w:sz w:val="20"/>
                <w:szCs w:val="20"/>
              </w:rPr>
              <w:t> </w:t>
            </w:r>
          </w:p>
        </w:tc>
      </w:tr>
    </w:tbl>
    <w:p w14:paraId="65142BEA" w14:textId="77777777" w:rsidR="00000000" w:rsidRDefault="00D6065B">
      <w:pPr>
        <w:pStyle w:val="a3"/>
        <w:spacing w:before="0" w:beforeAutospacing="0" w:after="0" w:afterAutospacing="0"/>
        <w:rPr>
          <w:sz w:val="20"/>
          <w:szCs w:val="20"/>
        </w:rPr>
      </w:pPr>
      <w:r>
        <w:rPr>
          <w:sz w:val="20"/>
          <w:szCs w:val="20"/>
        </w:rPr>
        <w:t> </w:t>
      </w:r>
    </w:p>
    <w:p w14:paraId="51E594A3" w14:textId="77777777" w:rsidR="00000000" w:rsidRDefault="00D6065B">
      <w:pPr>
        <w:pStyle w:val="a3"/>
        <w:spacing w:before="0" w:beforeAutospacing="0" w:after="0" w:afterAutospacing="0"/>
        <w:ind w:firstLine="720"/>
        <w:jc w:val="both"/>
        <w:rPr>
          <w:sz w:val="20"/>
          <w:szCs w:val="20"/>
        </w:rPr>
      </w:pPr>
      <w:r>
        <w:rPr>
          <w:sz w:val="20"/>
          <w:szCs w:val="20"/>
        </w:rPr>
        <w:t xml:space="preserve">The </w:t>
      </w:r>
      <w:r>
        <w:rPr>
          <w:sz w:val="20"/>
          <w:szCs w:val="20"/>
        </w:rPr>
        <w:t>pharmaceutical and biotechnology industries are intensely competitive and subject to rapid and significant technological changes. A number of companies are pursuing the development of pharmaceuticals and products that target the same diseases and condition</w:t>
      </w:r>
      <w:r>
        <w:rPr>
          <w:sz w:val="20"/>
          <w:szCs w:val="20"/>
        </w:rPr>
        <w:t>s that our products target. We cannot predict with accuracy the timing or impact of the introduction of potentially competitive products or their possible effect on our sales. Certain potentially competitive products to our products may be in various stage</w:t>
      </w:r>
      <w:r>
        <w:rPr>
          <w:sz w:val="20"/>
          <w:szCs w:val="20"/>
        </w:rPr>
        <w:t xml:space="preserve">s of development. Also, there may be many ongoing studies with currently marketed products and other developmental products, which may yield new data that could adversely impact the use of our products in their current and potential future Indications for </w:t>
      </w:r>
      <w:r>
        <w:rPr>
          <w:sz w:val="20"/>
          <w:szCs w:val="20"/>
        </w:rPr>
        <w:t>Use. The introduction of competitive products could significantly reduce our sales, which, in turn would adversely impact our financial and operating results.</w:t>
      </w:r>
    </w:p>
    <w:p w14:paraId="6F8408E1" w14:textId="77777777" w:rsidR="00000000" w:rsidRDefault="00D6065B">
      <w:pPr>
        <w:pStyle w:val="a3"/>
        <w:spacing w:before="0" w:beforeAutospacing="0" w:after="0" w:afterAutospacing="0"/>
        <w:jc w:val="both"/>
        <w:rPr>
          <w:sz w:val="20"/>
          <w:szCs w:val="20"/>
        </w:rPr>
      </w:pPr>
      <w:r>
        <w:rPr>
          <w:sz w:val="20"/>
          <w:szCs w:val="20"/>
        </w:rPr>
        <w:t> </w:t>
      </w:r>
    </w:p>
    <w:p w14:paraId="37558D82" w14:textId="77777777" w:rsidR="00000000" w:rsidRDefault="00D6065B">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w:t>
      </w:r>
      <w:r>
        <w:rPr>
          <w:sz w:val="20"/>
          <w:szCs w:val="20"/>
        </w:rPr>
        <w:t>eneral categories of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categ</w:t>
      </w:r>
      <w:r>
        <w:rPr>
          <w:sz w:val="20"/>
          <w:szCs w:val="20"/>
        </w:rPr>
        <w:t>ory. There are a number of brachytherapy devices currently marketed in the U.S. and globally. The traditional iodine-125 (I-125) and palladium-103 (Pd-103) technologies for brachytherapy are well entrenched with powerful market players controlling the mark</w:t>
      </w:r>
      <w:r>
        <w:rPr>
          <w:sz w:val="20"/>
          <w:szCs w:val="20"/>
        </w:rPr>
        <w:t>et. The industry-standard I-125-based therapy was developed by Oncura, which is a unit of General Electric Company. Additionally, C.R. Bard, a major industry player competes in the I-125 brachytherapy marketplace. These market competitors are also involved</w:t>
      </w:r>
      <w:r>
        <w:rPr>
          <w:sz w:val="20"/>
          <w:szCs w:val="20"/>
        </w:rPr>
        <w:t xml:space="preserve"> in the distribution of Pd-103 based products. Cs-131 brachytherapy products are sold by IsoRay. Several Y-90 therapies have been FDA approved including SIR-Spheres by Sirtex, TheraSphere by Biocompatibles UK and Zevalin by Spectrum Pharmaceuticals.</w:t>
      </w:r>
    </w:p>
    <w:p w14:paraId="6822921C" w14:textId="77777777" w:rsidR="00000000" w:rsidRDefault="00D6065B">
      <w:pPr>
        <w:pStyle w:val="a3"/>
        <w:spacing w:before="0" w:beforeAutospacing="0" w:after="0" w:afterAutospacing="0"/>
        <w:rPr>
          <w:sz w:val="20"/>
          <w:szCs w:val="20"/>
        </w:rPr>
      </w:pPr>
      <w:r>
        <w:rPr>
          <w:sz w:val="20"/>
          <w:szCs w:val="20"/>
        </w:rPr>
        <w:t> </w:t>
      </w:r>
    </w:p>
    <w:p w14:paraId="114C2CDE" w14:textId="77777777" w:rsidR="00000000" w:rsidRDefault="00D6065B">
      <w:pPr>
        <w:pStyle w:val="a3"/>
        <w:spacing w:before="0" w:beforeAutospacing="0" w:after="0" w:afterAutospacing="0"/>
        <w:jc w:val="both"/>
        <w:rPr>
          <w:sz w:val="20"/>
          <w:szCs w:val="20"/>
        </w:rPr>
      </w:pPr>
      <w:r>
        <w:rPr>
          <w:b/>
          <w:bCs/>
          <w:i/>
          <w:iCs/>
          <w:sz w:val="20"/>
          <w:szCs w:val="20"/>
          <w:u w:val="single"/>
        </w:rPr>
        <w:t xml:space="preserve">Raw </w:t>
      </w:r>
      <w:r>
        <w:rPr>
          <w:b/>
          <w:bCs/>
          <w:i/>
          <w:iCs/>
          <w:sz w:val="20"/>
          <w:szCs w:val="20"/>
          <w:u w:val="single"/>
        </w:rPr>
        <w:t>Materials</w:t>
      </w:r>
    </w:p>
    <w:p w14:paraId="3261FB52" w14:textId="77777777" w:rsidR="00000000" w:rsidRDefault="00D6065B">
      <w:pPr>
        <w:pStyle w:val="a3"/>
        <w:spacing w:before="0" w:beforeAutospacing="0" w:after="0" w:afterAutospacing="0"/>
        <w:ind w:firstLine="720"/>
        <w:jc w:val="both"/>
        <w:rPr>
          <w:sz w:val="20"/>
          <w:szCs w:val="20"/>
        </w:rPr>
      </w:pPr>
      <w:r>
        <w:rPr>
          <w:sz w:val="20"/>
          <w:szCs w:val="20"/>
        </w:rPr>
        <w:t> </w:t>
      </w:r>
    </w:p>
    <w:p w14:paraId="73F334E1" w14:textId="77777777" w:rsidR="00000000" w:rsidRDefault="00D6065B">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Eckert and Ziegler the only supplier of Y-90 in the United States, is the sole supplier of the Y-90 used by IsoTherapeutics to manufacture the Company’s Radi</w:t>
      </w:r>
      <w:r>
        <w:rPr>
          <w:sz w:val="20"/>
          <w:szCs w:val="20"/>
        </w:rPr>
        <w:t>oGel</w:t>
      </w:r>
      <w:r>
        <w:rPr>
          <w:sz w:val="20"/>
          <w:szCs w:val="20"/>
          <w:vertAlign w:val="superscript"/>
        </w:rPr>
        <w:t>™</w:t>
      </w:r>
      <w:r>
        <w:rPr>
          <w:sz w:val="20"/>
          <w:szCs w:val="20"/>
        </w:rPr>
        <w:t>. The Company obtains supplies, hardware, handling equipment and packaging from several different U.S. suppliers.</w:t>
      </w:r>
    </w:p>
    <w:p w14:paraId="54408F80" w14:textId="77777777" w:rsidR="00000000" w:rsidRDefault="00D6065B">
      <w:pPr>
        <w:pStyle w:val="a3"/>
        <w:spacing w:before="0" w:beforeAutospacing="0" w:after="0" w:afterAutospacing="0"/>
        <w:ind w:firstLine="720"/>
        <w:jc w:val="both"/>
        <w:rPr>
          <w:sz w:val="20"/>
          <w:szCs w:val="20"/>
        </w:rPr>
      </w:pPr>
      <w:r>
        <w:rPr>
          <w:sz w:val="20"/>
          <w:szCs w:val="20"/>
        </w:rPr>
        <w:t> </w:t>
      </w:r>
    </w:p>
    <w:p w14:paraId="4BCE13C4" w14:textId="77777777" w:rsidR="00000000" w:rsidRDefault="00D6065B">
      <w:pPr>
        <w:pStyle w:val="a3"/>
        <w:spacing w:before="0" w:beforeAutospacing="0" w:after="0" w:afterAutospacing="0"/>
        <w:jc w:val="both"/>
        <w:rPr>
          <w:sz w:val="20"/>
          <w:szCs w:val="20"/>
        </w:rPr>
      </w:pPr>
      <w:r>
        <w:rPr>
          <w:b/>
          <w:bCs/>
          <w:i/>
          <w:iCs/>
          <w:sz w:val="20"/>
          <w:szCs w:val="20"/>
          <w:u w:val="single"/>
        </w:rPr>
        <w:t>Customers</w:t>
      </w:r>
    </w:p>
    <w:p w14:paraId="3BD9201E" w14:textId="77777777" w:rsidR="00000000" w:rsidRDefault="00D6065B">
      <w:pPr>
        <w:pStyle w:val="a3"/>
        <w:spacing w:before="0" w:beforeAutospacing="0" w:after="0" w:afterAutospacing="0"/>
        <w:ind w:firstLine="720"/>
        <w:jc w:val="both"/>
        <w:rPr>
          <w:sz w:val="20"/>
          <w:szCs w:val="20"/>
        </w:rPr>
      </w:pPr>
      <w:r>
        <w:rPr>
          <w:sz w:val="20"/>
          <w:szCs w:val="20"/>
        </w:rPr>
        <w:t> </w:t>
      </w:r>
    </w:p>
    <w:p w14:paraId="13B1F78B" w14:textId="77777777" w:rsidR="00000000" w:rsidRDefault="00D6065B">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w:t>
      </w:r>
      <w:r>
        <w:rPr>
          <w:sz w:val="20"/>
          <w:szCs w:val="20"/>
        </w:rPr>
        <w:t>utions and individuals that currently purchase brachytherapy products or other oncology treatment products.</w:t>
      </w:r>
    </w:p>
    <w:p w14:paraId="2D723E67" w14:textId="77777777" w:rsidR="00000000" w:rsidRDefault="00D6065B">
      <w:pPr>
        <w:pStyle w:val="a3"/>
        <w:spacing w:before="0" w:beforeAutospacing="0" w:after="0" w:afterAutospacing="0"/>
        <w:ind w:firstLine="720"/>
        <w:jc w:val="both"/>
        <w:rPr>
          <w:sz w:val="20"/>
          <w:szCs w:val="20"/>
        </w:rPr>
      </w:pPr>
      <w:r>
        <w:rPr>
          <w:sz w:val="20"/>
          <w:szCs w:val="20"/>
        </w:rPr>
        <w:t> </w:t>
      </w:r>
    </w:p>
    <w:p w14:paraId="12D0C405" w14:textId="77777777" w:rsidR="00000000" w:rsidRDefault="00D6065B">
      <w:pPr>
        <w:pStyle w:val="a3"/>
        <w:spacing w:before="0" w:beforeAutospacing="0" w:after="0" w:afterAutospacing="0"/>
        <w:jc w:val="both"/>
        <w:rPr>
          <w:sz w:val="20"/>
          <w:szCs w:val="20"/>
        </w:rPr>
      </w:pPr>
      <w:r>
        <w:rPr>
          <w:b/>
          <w:bCs/>
          <w:i/>
          <w:iCs/>
          <w:sz w:val="20"/>
          <w:szCs w:val="20"/>
          <w:u w:val="single"/>
        </w:rPr>
        <w:t>Government Regulation</w:t>
      </w:r>
    </w:p>
    <w:p w14:paraId="6DFCBC0B" w14:textId="77777777" w:rsidR="00000000" w:rsidRDefault="00D6065B">
      <w:pPr>
        <w:pStyle w:val="a3"/>
        <w:spacing w:before="0" w:beforeAutospacing="0" w:after="0" w:afterAutospacing="0"/>
        <w:ind w:firstLine="720"/>
        <w:jc w:val="both"/>
        <w:rPr>
          <w:sz w:val="20"/>
          <w:szCs w:val="20"/>
        </w:rPr>
      </w:pPr>
      <w:r>
        <w:rPr>
          <w:sz w:val="20"/>
          <w:szCs w:val="20"/>
        </w:rPr>
        <w:t> </w:t>
      </w:r>
    </w:p>
    <w:p w14:paraId="13C6F619" w14:textId="77777777" w:rsidR="00000000" w:rsidRDefault="00D6065B">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w:t>
      </w:r>
      <w:r>
        <w:rPr>
          <w:sz w:val="20"/>
          <w:szCs w:val="20"/>
        </w:rPr>
        <w:t>, including RadioGel</w:t>
      </w:r>
      <w:r>
        <w:rPr>
          <w:sz w:val="20"/>
          <w:szCs w:val="20"/>
          <w:vertAlign w:val="superscript"/>
        </w:rPr>
        <w:t>™</w:t>
      </w:r>
      <w:r>
        <w:rPr>
          <w:sz w:val="20"/>
          <w:szCs w:val="20"/>
        </w:rPr>
        <w:t>, are subject to extensive laws, regulations, regulatory approvals and guidelines. Within the United States, the Company’s therapeutic radiological devices must comply with the U.S. Federal Food, Drug and Cosmetic Act, which is enforce</w:t>
      </w:r>
      <w:r>
        <w:rPr>
          <w:sz w:val="20"/>
          <w:szCs w:val="20"/>
        </w:rPr>
        <w:t>d by FDA. The Company is also required to adhere to applicable FDA Quality System Regulations, also known as the Good Manufacturing Practices, which include extensive record keeping and periodic inspections of manufacturing facilities.</w:t>
      </w:r>
    </w:p>
    <w:p w14:paraId="52DBD98C" w14:textId="77777777" w:rsidR="00000000" w:rsidRDefault="00D6065B">
      <w:pPr>
        <w:pStyle w:val="a3"/>
        <w:spacing w:before="0" w:beforeAutospacing="0" w:after="0" w:afterAutospacing="0"/>
        <w:ind w:firstLine="720"/>
        <w:jc w:val="both"/>
        <w:rPr>
          <w:sz w:val="20"/>
          <w:szCs w:val="20"/>
        </w:rPr>
      </w:pPr>
      <w:r>
        <w:rPr>
          <w:sz w:val="20"/>
          <w:szCs w:val="20"/>
        </w:rPr>
        <w:t> </w:t>
      </w:r>
    </w:p>
    <w:p w14:paraId="5735C01A" w14:textId="77777777" w:rsidR="00000000" w:rsidRDefault="00D6065B">
      <w:pPr>
        <w:pStyle w:val="a3"/>
        <w:spacing w:before="0" w:beforeAutospacing="0" w:after="0" w:afterAutospacing="0"/>
        <w:ind w:firstLine="720"/>
        <w:jc w:val="both"/>
        <w:rPr>
          <w:sz w:val="20"/>
          <w:szCs w:val="20"/>
        </w:rPr>
      </w:pPr>
      <w:r>
        <w:rPr>
          <w:sz w:val="20"/>
          <w:szCs w:val="20"/>
        </w:rPr>
        <w:t xml:space="preserve">In </w:t>
      </w:r>
      <w:r>
        <w:rPr>
          <w:sz w:val="20"/>
          <w:szCs w:val="20"/>
        </w:rPr>
        <w:t>the United States, the FDA regulates, among other things, new product clearances and approvals to establish the safety and efficacy of these products. We are also subject to other federal and state laws and regulations, including the Occupational Safety an</w:t>
      </w:r>
      <w:r>
        <w:rPr>
          <w:sz w:val="20"/>
          <w:szCs w:val="20"/>
        </w:rPr>
        <w:t>d Health Act and the Environmental Protection Act.</w:t>
      </w:r>
    </w:p>
    <w:p w14:paraId="44178308" w14:textId="77777777" w:rsidR="00000000" w:rsidRDefault="00D6065B">
      <w:pPr>
        <w:pStyle w:val="a3"/>
        <w:spacing w:before="0" w:beforeAutospacing="0" w:after="0" w:afterAutospacing="0"/>
        <w:ind w:firstLine="720"/>
        <w:jc w:val="both"/>
        <w:rPr>
          <w:sz w:val="20"/>
          <w:szCs w:val="20"/>
        </w:rPr>
      </w:pPr>
      <w:r>
        <w:rPr>
          <w:sz w:val="20"/>
          <w:szCs w:val="20"/>
        </w:rPr>
        <w:t> </w:t>
      </w:r>
    </w:p>
    <w:p w14:paraId="550A9EB9" w14:textId="77777777" w:rsidR="00000000" w:rsidRDefault="00D6065B">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influence the research, testing, manufacture, safety, labeling, storage, record keeping, approval, distributi</w:t>
      </w:r>
      <w:r>
        <w:rPr>
          <w:sz w:val="20"/>
          <w:szCs w:val="20"/>
        </w:rPr>
        <w:t>on, use, reporting, advertising and promotion of such products. Noncompliance with applicable requirements can result in civil penalties, recall, injunction or seizure of products, refusal of the government to approve or clear product approval applications</w:t>
      </w:r>
      <w:r>
        <w:rPr>
          <w:sz w:val="20"/>
          <w:szCs w:val="20"/>
        </w:rPr>
        <w:t>, disqualification from sponsoring or conducting clinical investigations, preventing us from entering into government supply contracts, withdrawal of previously approved applications, and criminal prosecution.</w:t>
      </w:r>
    </w:p>
    <w:p w14:paraId="137810BA"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C3A8BE" w14:textId="77777777">
        <w:trPr>
          <w:divId w:val="254873563"/>
        </w:trPr>
        <w:tc>
          <w:tcPr>
            <w:tcW w:w="5000" w:type="pct"/>
            <w:hideMark/>
          </w:tcPr>
          <w:p w14:paraId="00266A2B"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40845C7C" w14:textId="77777777">
        <w:tc>
          <w:tcPr>
            <w:tcW w:w="5000" w:type="pct"/>
            <w:hideMark/>
          </w:tcPr>
          <w:p w14:paraId="592D78E9" w14:textId="77777777" w:rsidR="00000000" w:rsidRDefault="00D6065B">
            <w:pPr>
              <w:jc w:val="center"/>
              <w:rPr>
                <w:rFonts w:eastAsia="Times New Roman"/>
                <w:sz w:val="20"/>
                <w:szCs w:val="20"/>
              </w:rPr>
            </w:pPr>
            <w:r>
              <w:rPr>
                <w:rFonts w:eastAsia="Times New Roman"/>
                <w:sz w:val="20"/>
                <w:szCs w:val="20"/>
              </w:rPr>
              <w:t> </w:t>
            </w:r>
          </w:p>
        </w:tc>
      </w:tr>
    </w:tbl>
    <w:p w14:paraId="30DCD2B8" w14:textId="77777777" w:rsidR="00000000" w:rsidRDefault="00D6065B">
      <w:pPr>
        <w:pStyle w:val="a3"/>
        <w:spacing w:before="0" w:beforeAutospacing="0" w:after="0" w:afterAutospacing="0"/>
        <w:rPr>
          <w:sz w:val="20"/>
          <w:szCs w:val="20"/>
        </w:rPr>
      </w:pPr>
      <w:r>
        <w:rPr>
          <w:sz w:val="20"/>
          <w:szCs w:val="20"/>
        </w:rPr>
        <w:t> </w:t>
      </w:r>
    </w:p>
    <w:p w14:paraId="228CB63C" w14:textId="77777777" w:rsidR="00000000" w:rsidRDefault="00D6065B">
      <w:pPr>
        <w:pStyle w:val="a3"/>
        <w:spacing w:before="0" w:beforeAutospacing="0" w:after="0" w:afterAutospacing="0"/>
        <w:ind w:firstLine="720"/>
        <w:jc w:val="both"/>
        <w:rPr>
          <w:sz w:val="20"/>
          <w:szCs w:val="20"/>
        </w:rPr>
      </w:pPr>
      <w:r>
        <w:rPr>
          <w:sz w:val="20"/>
          <w:szCs w:val="20"/>
        </w:rPr>
        <w:t>In the United States, medical devi</w:t>
      </w:r>
      <w:r>
        <w:rPr>
          <w:sz w:val="20"/>
          <w:szCs w:val="20"/>
        </w:rPr>
        <w:t>ces are classified into three different categories over which the FDA applies increasing levels of regulation: Class I, Class II, and Class III. Most Class I devices are exempt from premarket notification 510(k); most Class II devices require premarket not</w:t>
      </w:r>
      <w:r>
        <w:rPr>
          <w:sz w:val="20"/>
          <w:szCs w:val="20"/>
        </w:rPr>
        <w:t>ification 510(k); and most Class III devices require premarket approval. RadioGel</w:t>
      </w:r>
      <w:r>
        <w:rPr>
          <w:sz w:val="20"/>
          <w:szCs w:val="20"/>
          <w:vertAlign w:val="superscript"/>
        </w:rPr>
        <w:t>™</w:t>
      </w:r>
      <w:r>
        <w:rPr>
          <w:sz w:val="20"/>
          <w:szCs w:val="20"/>
        </w:rPr>
        <w:t xml:space="preserve"> is currently classified as a Class III device.</w:t>
      </w:r>
    </w:p>
    <w:p w14:paraId="0B37EA07" w14:textId="77777777" w:rsidR="00000000" w:rsidRDefault="00D6065B">
      <w:pPr>
        <w:pStyle w:val="a3"/>
        <w:spacing w:before="0" w:beforeAutospacing="0" w:after="0" w:afterAutospacing="0"/>
        <w:ind w:firstLine="720"/>
        <w:jc w:val="both"/>
        <w:rPr>
          <w:sz w:val="20"/>
          <w:szCs w:val="20"/>
        </w:rPr>
      </w:pPr>
      <w:r>
        <w:rPr>
          <w:sz w:val="20"/>
          <w:szCs w:val="20"/>
        </w:rPr>
        <w:t> </w:t>
      </w:r>
    </w:p>
    <w:p w14:paraId="7B19B3EE" w14:textId="77777777" w:rsidR="00000000" w:rsidRDefault="00D6065B">
      <w:pPr>
        <w:pStyle w:val="a3"/>
        <w:spacing w:before="0" w:beforeAutospacing="0" w:after="0" w:afterAutospacing="0"/>
        <w:ind w:firstLine="720"/>
        <w:jc w:val="both"/>
        <w:rPr>
          <w:sz w:val="20"/>
          <w:szCs w:val="20"/>
        </w:rPr>
      </w:pPr>
      <w:r>
        <w:rPr>
          <w:sz w:val="20"/>
          <w:szCs w:val="20"/>
        </w:rPr>
        <w:t xml:space="preserve">Approval of new Class III medical devices is a lengthy procedure and can take a number of years and require the expenditure </w:t>
      </w:r>
      <w:r>
        <w:rPr>
          <w:sz w:val="20"/>
          <w:szCs w:val="20"/>
        </w:rPr>
        <w:t>of significant resources. There is a shorter FDA review and clearance process for Class II medical devices, the premarket notification or 510(k) process, whereby a company can market certain Class II medical devices that can be shown to be substantially eq</w:t>
      </w:r>
      <w:r>
        <w:rPr>
          <w:sz w:val="20"/>
          <w:szCs w:val="20"/>
        </w:rPr>
        <w:t>uivalent to other legally marketed devices.</w:t>
      </w:r>
    </w:p>
    <w:p w14:paraId="2418A3CE" w14:textId="77777777" w:rsidR="00000000" w:rsidRDefault="00D6065B">
      <w:pPr>
        <w:pStyle w:val="a3"/>
        <w:spacing w:before="0" w:beforeAutospacing="0" w:after="0" w:afterAutospacing="0"/>
        <w:ind w:firstLine="720"/>
        <w:jc w:val="both"/>
        <w:rPr>
          <w:sz w:val="20"/>
          <w:szCs w:val="20"/>
        </w:rPr>
      </w:pPr>
      <w:r>
        <w:rPr>
          <w:sz w:val="20"/>
          <w:szCs w:val="20"/>
        </w:rPr>
        <w:t> </w:t>
      </w:r>
    </w:p>
    <w:p w14:paraId="6050D081" w14:textId="77777777" w:rsidR="00000000" w:rsidRDefault="00D6065B">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expenditure estimate includes anticipated costs associated with in vitro and in vivo pr</w:t>
      </w:r>
      <w:r>
        <w:rPr>
          <w:sz w:val="20"/>
          <w:szCs w:val="20"/>
        </w:rPr>
        <w:t xml:space="preserve">e-clinical testing, our application for an Investigational Device Exemption, Phase I and Phase II clinical trials and our application for a </w:t>
      </w:r>
      <w:r>
        <w:rPr>
          <w:i/>
          <w:iCs/>
          <w:sz w:val="20"/>
          <w:szCs w:val="20"/>
        </w:rPr>
        <w:t>de novo</w:t>
      </w:r>
      <w:r>
        <w:rPr>
          <w:sz w:val="20"/>
          <w:szCs w:val="20"/>
        </w:rPr>
        <w:t>.</w:t>
      </w:r>
    </w:p>
    <w:p w14:paraId="175BC752" w14:textId="77777777" w:rsidR="00000000" w:rsidRDefault="00D6065B">
      <w:pPr>
        <w:pStyle w:val="a3"/>
        <w:spacing w:before="0" w:beforeAutospacing="0" w:after="0" w:afterAutospacing="0"/>
        <w:ind w:firstLine="720"/>
        <w:jc w:val="both"/>
        <w:rPr>
          <w:sz w:val="20"/>
          <w:szCs w:val="20"/>
        </w:rPr>
      </w:pPr>
      <w:r>
        <w:rPr>
          <w:sz w:val="20"/>
          <w:szCs w:val="20"/>
        </w:rPr>
        <w:t> </w:t>
      </w:r>
    </w:p>
    <w:p w14:paraId="36FA6231" w14:textId="77777777" w:rsidR="00000000" w:rsidRDefault="00D6065B">
      <w:pPr>
        <w:pStyle w:val="a3"/>
        <w:spacing w:before="0" w:beforeAutospacing="0" w:after="0" w:afterAutospacing="0"/>
        <w:ind w:firstLine="720"/>
        <w:jc w:val="both"/>
        <w:rPr>
          <w:sz w:val="20"/>
          <w:szCs w:val="20"/>
        </w:rPr>
      </w:pPr>
      <w:r>
        <w:rPr>
          <w:sz w:val="20"/>
          <w:szCs w:val="20"/>
        </w:rPr>
        <w:t>As a registered medical device manufacturer with the FDA, we are subject to inspection to ensure complian</w:t>
      </w:r>
      <w:r>
        <w:rPr>
          <w:sz w:val="20"/>
          <w:szCs w:val="20"/>
        </w:rPr>
        <w:t>ce with FDA’s current Good Manufacturing Practices, or cGMP. These regulations require that we and any of our contract manufacturers design, manufacture and service products, and maintain documents in a prescribed manner with respect to manufacturing, test</w:t>
      </w:r>
      <w:r>
        <w:rPr>
          <w:sz w:val="20"/>
          <w:szCs w:val="20"/>
        </w:rPr>
        <w:t>ing, distribution, storage, design control, and service activities. Modifications or enhancements that could significantly affect the safety or effectiveness of a device or that constitute a major change to the intended use of the device require a new 510(</w:t>
      </w:r>
      <w:r>
        <w:rPr>
          <w:sz w:val="20"/>
          <w:szCs w:val="20"/>
        </w:rPr>
        <w:t>k) premarket notification for any significant product modification.</w:t>
      </w:r>
    </w:p>
    <w:p w14:paraId="3E95BDA1" w14:textId="77777777" w:rsidR="00000000" w:rsidRDefault="00D6065B">
      <w:pPr>
        <w:pStyle w:val="a3"/>
        <w:spacing w:before="0" w:beforeAutospacing="0" w:after="0" w:afterAutospacing="0"/>
        <w:rPr>
          <w:sz w:val="20"/>
          <w:szCs w:val="20"/>
        </w:rPr>
      </w:pPr>
      <w:r>
        <w:rPr>
          <w:sz w:val="20"/>
          <w:szCs w:val="20"/>
        </w:rPr>
        <w:t> </w:t>
      </w:r>
    </w:p>
    <w:p w14:paraId="11989C70" w14:textId="77777777" w:rsidR="00000000" w:rsidRDefault="00D6065B">
      <w:pPr>
        <w:pStyle w:val="a3"/>
        <w:spacing w:before="0" w:beforeAutospacing="0" w:after="0" w:afterAutospacing="0"/>
        <w:ind w:firstLine="720"/>
        <w:jc w:val="both"/>
        <w:rPr>
          <w:sz w:val="20"/>
          <w:szCs w:val="20"/>
        </w:rPr>
      </w:pPr>
      <w:r>
        <w:rPr>
          <w:sz w:val="20"/>
          <w:szCs w:val="20"/>
        </w:rPr>
        <w:t xml:space="preserve">The </w:t>
      </w:r>
      <w:r>
        <w:rPr>
          <w:sz w:val="20"/>
          <w:szCs w:val="20"/>
        </w:rPr>
        <w:t>Medical Device Reporting regulation requires that we provide information to the FDA on deaths or serious injuries alleged to be associated with the use of our devices, as well as product malfunctions that are likely to cause or contribute to death or serio</w:t>
      </w:r>
      <w:r>
        <w:rPr>
          <w:sz w:val="20"/>
          <w:szCs w:val="20"/>
        </w:rPr>
        <w:t>us injury if the malfunction were to recur. Labeling and promotional activities are regulated by the FDA and, in some circumstances, by the Federal Trade Commission.</w:t>
      </w:r>
    </w:p>
    <w:p w14:paraId="26B62B16" w14:textId="77777777" w:rsidR="00000000" w:rsidRDefault="00D6065B">
      <w:pPr>
        <w:pStyle w:val="a3"/>
        <w:spacing w:before="0" w:beforeAutospacing="0" w:after="0" w:afterAutospacing="0"/>
        <w:jc w:val="both"/>
        <w:rPr>
          <w:sz w:val="20"/>
          <w:szCs w:val="20"/>
        </w:rPr>
      </w:pPr>
      <w:r>
        <w:rPr>
          <w:sz w:val="20"/>
          <w:szCs w:val="20"/>
        </w:rPr>
        <w:t> </w:t>
      </w:r>
    </w:p>
    <w:p w14:paraId="359FBFE3" w14:textId="77777777" w:rsidR="00000000" w:rsidRDefault="00D6065B">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w:t>
      </w:r>
      <w:r>
        <w:rPr>
          <w:sz w:val="20"/>
          <w:szCs w:val="20"/>
        </w:rPr>
        <w:t xml:space="preserve">ed by governmental entities at the federal, state and local levels. For example, our facility is licensed as a medical device manufacturing facility in the State of Washington and is subject to periodic state regulatory inspections. Our customers are also </w:t>
      </w:r>
      <w:r>
        <w:rPr>
          <w:sz w:val="20"/>
          <w:szCs w:val="20"/>
        </w:rPr>
        <w:t>subject to a wide variety of laws and regulations that could affect the nature and scope of their relationships with us.</w:t>
      </w:r>
    </w:p>
    <w:p w14:paraId="4C913996" w14:textId="77777777" w:rsidR="00000000" w:rsidRDefault="00D6065B">
      <w:pPr>
        <w:pStyle w:val="a3"/>
        <w:spacing w:before="0" w:beforeAutospacing="0" w:after="0" w:afterAutospacing="0"/>
        <w:ind w:firstLine="720"/>
        <w:jc w:val="both"/>
        <w:rPr>
          <w:sz w:val="20"/>
          <w:szCs w:val="20"/>
        </w:rPr>
      </w:pPr>
      <w:r>
        <w:rPr>
          <w:sz w:val="20"/>
          <w:szCs w:val="20"/>
        </w:rPr>
        <w:t> </w:t>
      </w:r>
    </w:p>
    <w:p w14:paraId="7A5B0C53" w14:textId="77777777" w:rsidR="00000000" w:rsidRDefault="00D6065B">
      <w:pPr>
        <w:pStyle w:val="a3"/>
        <w:spacing w:before="0" w:beforeAutospacing="0" w:after="0" w:afterAutospacing="0"/>
        <w:ind w:firstLine="720"/>
        <w:jc w:val="both"/>
        <w:rPr>
          <w:sz w:val="20"/>
          <w:szCs w:val="20"/>
        </w:rPr>
      </w:pPr>
      <w:r>
        <w:rPr>
          <w:sz w:val="20"/>
          <w:szCs w:val="20"/>
        </w:rPr>
        <w:t>In the United States, as a manufacturer of medical devices and devices utilizing radioactive byproduct material, we are subject to ex</w:t>
      </w:r>
      <w:r>
        <w:rPr>
          <w:sz w:val="20"/>
          <w:szCs w:val="20"/>
        </w:rPr>
        <w:t xml:space="preserve">tensive regulation by not only federal governmental authorities, such as the FDA and FAA, but also by state and local governmental authorities, such as the Washington State Department of Health, to ensure such devices are safe and effective. In Washington </w:t>
      </w:r>
      <w:r>
        <w:rPr>
          <w:sz w:val="20"/>
          <w:szCs w:val="20"/>
        </w:rPr>
        <w:t>State, the Department of Health, by agreement with the federal Nuclear Regulatory Commission (“</w:t>
      </w:r>
      <w:r>
        <w:rPr>
          <w:i/>
          <w:iCs/>
          <w:sz w:val="20"/>
          <w:szCs w:val="20"/>
        </w:rPr>
        <w:t>NRC</w:t>
      </w:r>
      <w:r>
        <w:rPr>
          <w:sz w:val="20"/>
          <w:szCs w:val="20"/>
        </w:rPr>
        <w:t>”), regulates the possession, use, and disposal of radioactive byproduct material as well as the manufacture of radioactive sealed sources to ensure complianc</w:t>
      </w:r>
      <w:r>
        <w:rPr>
          <w:sz w:val="20"/>
          <w:szCs w:val="20"/>
        </w:rPr>
        <w:t>e with state and federal laws and regulations. RadioGel</w:t>
      </w:r>
      <w:r>
        <w:rPr>
          <w:sz w:val="20"/>
          <w:szCs w:val="20"/>
          <w:vertAlign w:val="superscript"/>
        </w:rPr>
        <w:t>™</w:t>
      </w:r>
      <w:r>
        <w:rPr>
          <w:sz w:val="20"/>
          <w:szCs w:val="20"/>
        </w:rPr>
        <w:t xml:space="preserve"> constitutes both medical devices and radioactive sealed sources and are subject to these regulations.</w:t>
      </w:r>
    </w:p>
    <w:p w14:paraId="11F4CE62" w14:textId="77777777" w:rsidR="00000000" w:rsidRDefault="00D6065B">
      <w:pPr>
        <w:pStyle w:val="a3"/>
        <w:spacing w:before="0" w:beforeAutospacing="0" w:after="0" w:afterAutospacing="0"/>
        <w:ind w:firstLine="720"/>
        <w:jc w:val="both"/>
        <w:rPr>
          <w:sz w:val="20"/>
          <w:szCs w:val="20"/>
        </w:rPr>
      </w:pPr>
      <w:r>
        <w:rPr>
          <w:sz w:val="20"/>
          <w:szCs w:val="20"/>
        </w:rPr>
        <w:t> </w:t>
      </w:r>
    </w:p>
    <w:p w14:paraId="779E2D63" w14:textId="77777777" w:rsidR="00000000" w:rsidRDefault="00D6065B">
      <w:pPr>
        <w:pStyle w:val="a3"/>
        <w:spacing w:before="0" w:beforeAutospacing="0" w:after="0" w:afterAutospacing="0"/>
        <w:ind w:firstLine="720"/>
        <w:jc w:val="both"/>
        <w:rPr>
          <w:sz w:val="20"/>
          <w:szCs w:val="20"/>
        </w:rPr>
      </w:pPr>
      <w:r>
        <w:rPr>
          <w:sz w:val="20"/>
          <w:szCs w:val="20"/>
        </w:rPr>
        <w:t xml:space="preserve">Moreover, </w:t>
      </w:r>
      <w:r>
        <w:rPr>
          <w:sz w:val="20"/>
          <w:szCs w:val="20"/>
        </w:rPr>
        <w:t>our use, management, and disposal of certain radioactive substances and wastes are subject to regulation by several federal and state agencies depending on the nature of the substance or waste material. We believe that we are in compliance with all federal</w:t>
      </w:r>
      <w:r>
        <w:rPr>
          <w:sz w:val="20"/>
          <w:szCs w:val="20"/>
        </w:rPr>
        <w:t xml:space="preserve"> and state regulations for this purpose.</w:t>
      </w:r>
    </w:p>
    <w:p w14:paraId="0A401A1E" w14:textId="77777777" w:rsidR="00000000" w:rsidRDefault="00D6065B">
      <w:pPr>
        <w:pStyle w:val="a3"/>
        <w:spacing w:before="0" w:beforeAutospacing="0" w:after="0" w:afterAutospacing="0"/>
        <w:jc w:val="both"/>
        <w:rPr>
          <w:sz w:val="20"/>
          <w:szCs w:val="20"/>
        </w:rPr>
      </w:pPr>
      <w:r>
        <w:rPr>
          <w:sz w:val="20"/>
          <w:szCs w:val="20"/>
        </w:rPr>
        <w:t> </w:t>
      </w:r>
    </w:p>
    <w:p w14:paraId="58369AC8" w14:textId="77777777" w:rsidR="00000000" w:rsidRDefault="00D6065B">
      <w:pPr>
        <w:pStyle w:val="a3"/>
        <w:spacing w:before="0" w:beforeAutospacing="0" w:after="0" w:afterAutospacing="0"/>
        <w:jc w:val="both"/>
        <w:rPr>
          <w:sz w:val="20"/>
          <w:szCs w:val="20"/>
        </w:rPr>
      </w:pPr>
      <w:r>
        <w:rPr>
          <w:b/>
          <w:bCs/>
          <w:i/>
          <w:iCs/>
          <w:sz w:val="20"/>
          <w:szCs w:val="20"/>
        </w:rPr>
        <w:t>Environmental Regulation</w:t>
      </w:r>
    </w:p>
    <w:p w14:paraId="41DCD91A" w14:textId="77777777" w:rsidR="00000000" w:rsidRDefault="00D6065B">
      <w:pPr>
        <w:pStyle w:val="a3"/>
        <w:spacing w:before="0" w:beforeAutospacing="0" w:after="0" w:afterAutospacing="0"/>
        <w:jc w:val="both"/>
        <w:rPr>
          <w:sz w:val="20"/>
          <w:szCs w:val="20"/>
        </w:rPr>
      </w:pPr>
      <w:r>
        <w:rPr>
          <w:sz w:val="20"/>
          <w:szCs w:val="20"/>
        </w:rPr>
        <w:t> </w:t>
      </w:r>
    </w:p>
    <w:p w14:paraId="50818A3E" w14:textId="77777777" w:rsidR="00000000" w:rsidRDefault="00D6065B">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regulations. Our RadioGel</w:t>
      </w:r>
      <w:r>
        <w:rPr>
          <w:sz w:val="20"/>
          <w:szCs w:val="20"/>
          <w:vertAlign w:val="superscript"/>
        </w:rPr>
        <w:t>™</w:t>
      </w:r>
      <w:r>
        <w:rPr>
          <w:sz w:val="20"/>
          <w:szCs w:val="20"/>
        </w:rPr>
        <w:t xml:space="preserve"> product is manufactured in an independently owned and operated facility. Any en</w:t>
      </w:r>
      <w:r>
        <w:rPr>
          <w:sz w:val="20"/>
          <w:szCs w:val="20"/>
        </w:rPr>
        <w:t>vironmental effects or contamination event that could result would be from the shipping company during shipment and misuse by the treatment facility upon arrival.</w:t>
      </w:r>
    </w:p>
    <w:p w14:paraId="14A15786"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EC72DDC" w14:textId="77777777">
        <w:trPr>
          <w:divId w:val="217984440"/>
        </w:trPr>
        <w:tc>
          <w:tcPr>
            <w:tcW w:w="5000" w:type="pct"/>
            <w:hideMark/>
          </w:tcPr>
          <w:p w14:paraId="0CA771D8"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7B4ED31F" w14:textId="77777777">
        <w:tc>
          <w:tcPr>
            <w:tcW w:w="5000" w:type="pct"/>
            <w:hideMark/>
          </w:tcPr>
          <w:p w14:paraId="0A3701DB" w14:textId="77777777" w:rsidR="00000000" w:rsidRDefault="00D6065B">
            <w:pPr>
              <w:jc w:val="center"/>
              <w:rPr>
                <w:rFonts w:eastAsia="Times New Roman"/>
                <w:sz w:val="20"/>
                <w:szCs w:val="20"/>
              </w:rPr>
            </w:pPr>
            <w:r>
              <w:rPr>
                <w:rFonts w:eastAsia="Times New Roman"/>
                <w:sz w:val="20"/>
                <w:szCs w:val="20"/>
              </w:rPr>
              <w:t> </w:t>
            </w:r>
          </w:p>
        </w:tc>
      </w:tr>
    </w:tbl>
    <w:p w14:paraId="1A063EAE" w14:textId="77777777" w:rsidR="00000000" w:rsidRDefault="00D6065B">
      <w:pPr>
        <w:pStyle w:val="a3"/>
        <w:spacing w:before="0" w:beforeAutospacing="0" w:after="0" w:afterAutospacing="0"/>
        <w:jc w:val="both"/>
        <w:rPr>
          <w:sz w:val="20"/>
          <w:szCs w:val="20"/>
        </w:rPr>
      </w:pPr>
      <w:r>
        <w:rPr>
          <w:sz w:val="20"/>
          <w:szCs w:val="20"/>
        </w:rPr>
        <w:t> </w:t>
      </w:r>
    </w:p>
    <w:p w14:paraId="7C9F5AC5" w14:textId="77777777" w:rsidR="00000000" w:rsidRDefault="00D6065B">
      <w:pPr>
        <w:pStyle w:val="a3"/>
        <w:spacing w:before="0" w:beforeAutospacing="0" w:after="0" w:afterAutospacing="0"/>
        <w:jc w:val="both"/>
        <w:rPr>
          <w:sz w:val="20"/>
          <w:szCs w:val="20"/>
        </w:rPr>
      </w:pPr>
      <w:r>
        <w:rPr>
          <w:b/>
          <w:bCs/>
          <w:i/>
          <w:iCs/>
          <w:sz w:val="20"/>
          <w:szCs w:val="20"/>
        </w:rPr>
        <w:t>Human Capital</w:t>
      </w:r>
    </w:p>
    <w:p w14:paraId="086A354D" w14:textId="77777777" w:rsidR="00000000" w:rsidRDefault="00D6065B">
      <w:pPr>
        <w:pStyle w:val="a3"/>
        <w:spacing w:before="0" w:beforeAutospacing="0" w:after="0" w:afterAutospacing="0"/>
        <w:ind w:firstLine="720"/>
        <w:jc w:val="both"/>
        <w:rPr>
          <w:sz w:val="20"/>
          <w:szCs w:val="20"/>
        </w:rPr>
      </w:pPr>
      <w:r>
        <w:rPr>
          <w:sz w:val="20"/>
          <w:szCs w:val="20"/>
        </w:rPr>
        <w:t> </w:t>
      </w:r>
    </w:p>
    <w:p w14:paraId="6D8B76A7" w14:textId="77777777" w:rsidR="00000000" w:rsidRDefault="00D6065B">
      <w:pPr>
        <w:pStyle w:val="a3"/>
        <w:spacing w:before="0" w:beforeAutospacing="0" w:after="0" w:afterAutospacing="0"/>
        <w:ind w:firstLine="720"/>
        <w:jc w:val="both"/>
        <w:rPr>
          <w:sz w:val="20"/>
          <w:szCs w:val="20"/>
        </w:rPr>
      </w:pPr>
      <w:r>
        <w:rPr>
          <w:sz w:val="20"/>
          <w:szCs w:val="20"/>
        </w:rPr>
        <w:t xml:space="preserve">As </w:t>
      </w:r>
      <w:r>
        <w:rPr>
          <w:sz w:val="20"/>
          <w:szCs w:val="20"/>
        </w:rPr>
        <w:t xml:space="preserve">of June 30, 2021, the Company had one full-time personnel. The Company utilizes several independent contractors to assist with its operations. The Company does not have a collective bargaining agreement with any of its personnel and believes its relations </w:t>
      </w:r>
      <w:r>
        <w:rPr>
          <w:sz w:val="20"/>
          <w:szCs w:val="20"/>
        </w:rPr>
        <w:t>with its personnel are good.</w:t>
      </w:r>
    </w:p>
    <w:p w14:paraId="1A53E0E7" w14:textId="77777777" w:rsidR="00000000" w:rsidRDefault="00D6065B">
      <w:pPr>
        <w:pStyle w:val="a3"/>
        <w:spacing w:before="0" w:beforeAutospacing="0" w:after="0" w:afterAutospacing="0"/>
        <w:jc w:val="both"/>
        <w:rPr>
          <w:sz w:val="20"/>
          <w:szCs w:val="20"/>
        </w:rPr>
      </w:pPr>
      <w:r>
        <w:rPr>
          <w:sz w:val="20"/>
          <w:szCs w:val="20"/>
        </w:rPr>
        <w:t> </w:t>
      </w:r>
    </w:p>
    <w:p w14:paraId="1EE7B7B1" w14:textId="77777777" w:rsidR="00000000" w:rsidRDefault="00D6065B">
      <w:pPr>
        <w:pStyle w:val="a3"/>
        <w:spacing w:before="0" w:beforeAutospacing="0" w:after="0" w:afterAutospacing="0"/>
        <w:jc w:val="both"/>
        <w:rPr>
          <w:sz w:val="20"/>
          <w:szCs w:val="20"/>
        </w:rPr>
      </w:pPr>
      <w:r>
        <w:rPr>
          <w:b/>
          <w:bCs/>
          <w:sz w:val="20"/>
          <w:szCs w:val="20"/>
          <w:u w:val="single"/>
        </w:rPr>
        <w:t>Results of Operations</w:t>
      </w:r>
    </w:p>
    <w:p w14:paraId="3A7EB680" w14:textId="77777777" w:rsidR="00000000" w:rsidRDefault="00D6065B">
      <w:pPr>
        <w:pStyle w:val="a3"/>
        <w:spacing w:before="0" w:beforeAutospacing="0" w:after="0" w:afterAutospacing="0"/>
        <w:ind w:firstLine="720"/>
        <w:jc w:val="both"/>
        <w:rPr>
          <w:sz w:val="20"/>
          <w:szCs w:val="20"/>
        </w:rPr>
      </w:pPr>
      <w:r>
        <w:rPr>
          <w:sz w:val="20"/>
          <w:szCs w:val="20"/>
        </w:rPr>
        <w:t> </w:t>
      </w:r>
    </w:p>
    <w:p w14:paraId="2A2C24FE" w14:textId="77777777" w:rsidR="00000000" w:rsidRDefault="00D6065B">
      <w:pPr>
        <w:pStyle w:val="a3"/>
        <w:spacing w:before="0" w:beforeAutospacing="0" w:after="0" w:afterAutospacing="0"/>
        <w:jc w:val="both"/>
        <w:rPr>
          <w:sz w:val="20"/>
          <w:szCs w:val="20"/>
        </w:rPr>
      </w:pPr>
      <w:r>
        <w:rPr>
          <w:b/>
          <w:bCs/>
          <w:i/>
          <w:iCs/>
          <w:sz w:val="20"/>
          <w:szCs w:val="20"/>
          <w:u w:val="single"/>
        </w:rPr>
        <w:t>Comparison of the Six Months Ended June 30, 2021 and 2020</w:t>
      </w:r>
    </w:p>
    <w:p w14:paraId="7A93EB9A" w14:textId="77777777" w:rsidR="00000000" w:rsidRDefault="00D6065B">
      <w:pPr>
        <w:pStyle w:val="a3"/>
        <w:spacing w:before="0" w:beforeAutospacing="0" w:after="0" w:afterAutospacing="0"/>
        <w:ind w:firstLine="720"/>
        <w:jc w:val="both"/>
        <w:rPr>
          <w:sz w:val="20"/>
          <w:szCs w:val="20"/>
        </w:rPr>
      </w:pPr>
      <w:r>
        <w:rPr>
          <w:sz w:val="20"/>
          <w:szCs w:val="20"/>
        </w:rPr>
        <w:t> </w:t>
      </w:r>
    </w:p>
    <w:p w14:paraId="17C27027" w14:textId="77777777" w:rsidR="00000000" w:rsidRDefault="00D6065B">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six months ended June 30, 2021 and 2020:</w:t>
      </w:r>
    </w:p>
    <w:p w14:paraId="19554FBA"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47FC53EB" w14:textId="77777777">
        <w:tc>
          <w:tcPr>
            <w:tcW w:w="0" w:type="auto"/>
            <w:tcMar>
              <w:top w:w="0" w:type="dxa"/>
              <w:left w:w="0" w:type="dxa"/>
              <w:bottom w:w="30" w:type="dxa"/>
              <w:right w:w="0" w:type="dxa"/>
            </w:tcMar>
            <w:vAlign w:val="bottom"/>
            <w:hideMark/>
          </w:tcPr>
          <w:p w14:paraId="78E057F3"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9B0D1F"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453443D" w14:textId="77777777" w:rsidR="00000000" w:rsidRDefault="00D6065B">
            <w:pPr>
              <w:jc w:val="center"/>
              <w:rPr>
                <w:rFonts w:eastAsia="Times New Roman"/>
                <w:sz w:val="20"/>
                <w:szCs w:val="20"/>
              </w:rPr>
            </w:pPr>
            <w:r>
              <w:rPr>
                <w:rFonts w:eastAsia="Times New Roman"/>
                <w:sz w:val="20"/>
                <w:szCs w:val="20"/>
              </w:rPr>
              <w:t>Six Month</w:t>
            </w:r>
            <w:r>
              <w:rPr>
                <w:rFonts w:eastAsia="Times New Roman"/>
                <w:sz w:val="20"/>
                <w:szCs w:val="20"/>
              </w:rPr>
              <w:t xml:space="preserve">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496DBA2B"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18BCD94"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B5A64F5" w14:textId="77777777" w:rsidR="00000000" w:rsidRDefault="00D6065B">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14:paraId="15DFDBB4" w14:textId="77777777" w:rsidR="00000000" w:rsidRDefault="00D6065B">
            <w:pPr>
              <w:rPr>
                <w:rFonts w:eastAsia="Times New Roman"/>
                <w:sz w:val="20"/>
                <w:szCs w:val="20"/>
              </w:rPr>
            </w:pPr>
            <w:r>
              <w:rPr>
                <w:rFonts w:eastAsia="Times New Roman"/>
                <w:sz w:val="20"/>
                <w:szCs w:val="20"/>
              </w:rPr>
              <w:t> </w:t>
            </w:r>
          </w:p>
        </w:tc>
      </w:tr>
      <w:tr w:rsidR="00000000" w14:paraId="184BD904" w14:textId="77777777">
        <w:tc>
          <w:tcPr>
            <w:tcW w:w="0" w:type="auto"/>
            <w:shd w:val="clear" w:color="auto" w:fill="CCEEFF"/>
            <w:vAlign w:val="bottom"/>
            <w:hideMark/>
          </w:tcPr>
          <w:p w14:paraId="362C3BCF" w14:textId="77777777" w:rsidR="00000000" w:rsidRDefault="00D6065B">
            <w:pPr>
              <w:rPr>
                <w:rFonts w:eastAsia="Times New Roman"/>
                <w:sz w:val="20"/>
                <w:szCs w:val="20"/>
              </w:rPr>
            </w:pPr>
            <w:r>
              <w:rPr>
                <w:rFonts w:eastAsia="Times New Roman"/>
                <w:sz w:val="20"/>
                <w:szCs w:val="20"/>
              </w:rPr>
              <w:t>Revenues</w:t>
            </w:r>
          </w:p>
        </w:tc>
        <w:tc>
          <w:tcPr>
            <w:tcW w:w="0" w:type="auto"/>
            <w:shd w:val="clear" w:color="auto" w:fill="CCEEFF"/>
            <w:vAlign w:val="bottom"/>
            <w:hideMark/>
          </w:tcPr>
          <w:p w14:paraId="59FF3B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8A6807"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6BC58E6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F44E8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4329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54CCE"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3204A30"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CAD49F" w14:textId="77777777" w:rsidR="00000000" w:rsidRDefault="00D6065B">
            <w:pPr>
              <w:rPr>
                <w:rFonts w:eastAsia="Times New Roman"/>
                <w:sz w:val="20"/>
                <w:szCs w:val="20"/>
              </w:rPr>
            </w:pPr>
            <w:r>
              <w:rPr>
                <w:rFonts w:eastAsia="Times New Roman"/>
                <w:sz w:val="20"/>
                <w:szCs w:val="20"/>
              </w:rPr>
              <w:t> </w:t>
            </w:r>
          </w:p>
        </w:tc>
      </w:tr>
      <w:tr w:rsidR="00000000" w14:paraId="6CB1D613" w14:textId="77777777">
        <w:tc>
          <w:tcPr>
            <w:tcW w:w="3000" w:type="pct"/>
            <w:shd w:val="clear" w:color="auto" w:fill="FFFFFF"/>
            <w:tcMar>
              <w:top w:w="0" w:type="dxa"/>
              <w:left w:w="0" w:type="dxa"/>
              <w:bottom w:w="30" w:type="dxa"/>
              <w:right w:w="0" w:type="dxa"/>
            </w:tcMar>
            <w:vAlign w:val="bottom"/>
            <w:hideMark/>
          </w:tcPr>
          <w:p w14:paraId="30D12EAB" w14:textId="77777777" w:rsidR="00000000" w:rsidRDefault="00D6065B">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14:paraId="63F82325"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41693827" w14:textId="77777777" w:rsidR="00000000" w:rsidRDefault="00D6065B">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7C9C17B7" w14:textId="77777777" w:rsidR="00000000" w:rsidRDefault="00D6065B">
            <w:pPr>
              <w:jc w:val="right"/>
              <w:rPr>
                <w:rFonts w:eastAsia="Times New Roman"/>
                <w:sz w:val="20"/>
                <w:szCs w:val="20"/>
              </w:rPr>
            </w:pPr>
            <w:r>
              <w:rPr>
                <w:rFonts w:eastAsia="Times New Roman"/>
                <w:sz w:val="20"/>
                <w:szCs w:val="20"/>
              </w:rPr>
              <w:t>(2,088,775</w:t>
            </w:r>
          </w:p>
        </w:tc>
        <w:tc>
          <w:tcPr>
            <w:tcW w:w="50" w:type="pct"/>
            <w:shd w:val="clear" w:color="auto" w:fill="FFFFFF"/>
            <w:tcMar>
              <w:top w:w="0" w:type="dxa"/>
              <w:left w:w="0" w:type="dxa"/>
              <w:bottom w:w="30" w:type="dxa"/>
              <w:right w:w="0" w:type="dxa"/>
            </w:tcMar>
            <w:vAlign w:val="bottom"/>
            <w:hideMark/>
          </w:tcPr>
          <w:p w14:paraId="0B46C8BC" w14:textId="77777777" w:rsidR="00000000" w:rsidRDefault="00D6065B">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358F9483"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6041329D" w14:textId="77777777" w:rsidR="00000000" w:rsidRDefault="00D6065B">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403FA6BF" w14:textId="77777777" w:rsidR="00000000" w:rsidRDefault="00D6065B">
            <w:pPr>
              <w:jc w:val="right"/>
              <w:rPr>
                <w:rFonts w:eastAsia="Times New Roman"/>
                <w:sz w:val="20"/>
                <w:szCs w:val="20"/>
              </w:rPr>
            </w:pPr>
            <w:r>
              <w:rPr>
                <w:rFonts w:eastAsia="Times New Roman"/>
                <w:sz w:val="20"/>
                <w:szCs w:val="20"/>
              </w:rPr>
              <w:t>(248,827</w:t>
            </w:r>
          </w:p>
        </w:tc>
        <w:tc>
          <w:tcPr>
            <w:tcW w:w="50" w:type="pct"/>
            <w:shd w:val="clear" w:color="auto" w:fill="FFFFFF"/>
            <w:tcMar>
              <w:top w:w="0" w:type="dxa"/>
              <w:left w:w="0" w:type="dxa"/>
              <w:bottom w:w="30" w:type="dxa"/>
              <w:right w:w="0" w:type="dxa"/>
            </w:tcMar>
            <w:vAlign w:val="bottom"/>
            <w:hideMark/>
          </w:tcPr>
          <w:p w14:paraId="64ECD4F0" w14:textId="77777777" w:rsidR="00000000" w:rsidRDefault="00D6065B">
            <w:pPr>
              <w:rPr>
                <w:rFonts w:eastAsia="Times New Roman"/>
                <w:sz w:val="20"/>
                <w:szCs w:val="20"/>
              </w:rPr>
            </w:pPr>
            <w:r>
              <w:rPr>
                <w:rFonts w:eastAsia="Times New Roman"/>
                <w:sz w:val="20"/>
                <w:szCs w:val="20"/>
              </w:rPr>
              <w:t>)</w:t>
            </w:r>
          </w:p>
        </w:tc>
      </w:tr>
      <w:tr w:rsidR="00000000" w14:paraId="3C9C6088" w14:textId="77777777">
        <w:tc>
          <w:tcPr>
            <w:tcW w:w="0" w:type="auto"/>
            <w:shd w:val="clear" w:color="auto" w:fill="CCEEFF"/>
            <w:vAlign w:val="bottom"/>
            <w:hideMark/>
          </w:tcPr>
          <w:p w14:paraId="7D6E7D67" w14:textId="77777777" w:rsidR="00000000" w:rsidRDefault="00D6065B">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12CDC4D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53FA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67B174" w14:textId="77777777" w:rsidR="00000000" w:rsidRDefault="00D6065B">
            <w:pPr>
              <w:jc w:val="right"/>
              <w:rPr>
                <w:rFonts w:eastAsia="Times New Roman"/>
                <w:sz w:val="20"/>
                <w:szCs w:val="20"/>
              </w:rPr>
            </w:pPr>
            <w:r>
              <w:rPr>
                <w:rFonts w:eastAsia="Times New Roman"/>
                <w:sz w:val="20"/>
                <w:szCs w:val="20"/>
              </w:rPr>
              <w:t>(2,088,775</w:t>
            </w:r>
          </w:p>
        </w:tc>
        <w:tc>
          <w:tcPr>
            <w:tcW w:w="0" w:type="auto"/>
            <w:shd w:val="clear" w:color="auto" w:fill="CCEEFF"/>
            <w:vAlign w:val="bottom"/>
            <w:hideMark/>
          </w:tcPr>
          <w:p w14:paraId="0C0F6338"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455E180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CF00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21A4E" w14:textId="77777777" w:rsidR="00000000" w:rsidRDefault="00D6065B">
            <w:pPr>
              <w:jc w:val="right"/>
              <w:rPr>
                <w:rFonts w:eastAsia="Times New Roman"/>
                <w:sz w:val="20"/>
                <w:szCs w:val="20"/>
              </w:rPr>
            </w:pPr>
            <w:r>
              <w:rPr>
                <w:rFonts w:eastAsia="Times New Roman"/>
                <w:sz w:val="20"/>
                <w:szCs w:val="20"/>
              </w:rPr>
              <w:t>(248,827</w:t>
            </w:r>
          </w:p>
        </w:tc>
        <w:tc>
          <w:tcPr>
            <w:tcW w:w="0" w:type="auto"/>
            <w:shd w:val="clear" w:color="auto" w:fill="CCEEFF"/>
            <w:vAlign w:val="bottom"/>
            <w:hideMark/>
          </w:tcPr>
          <w:p w14:paraId="51581EA4" w14:textId="77777777" w:rsidR="00000000" w:rsidRDefault="00D6065B">
            <w:pPr>
              <w:rPr>
                <w:rFonts w:eastAsia="Times New Roman"/>
                <w:sz w:val="20"/>
                <w:szCs w:val="20"/>
              </w:rPr>
            </w:pPr>
            <w:r>
              <w:rPr>
                <w:rFonts w:eastAsia="Times New Roman"/>
                <w:sz w:val="20"/>
                <w:szCs w:val="20"/>
              </w:rPr>
              <w:t>)</w:t>
            </w:r>
          </w:p>
        </w:tc>
      </w:tr>
      <w:tr w:rsidR="00000000" w14:paraId="6C91EACC" w14:textId="77777777">
        <w:tc>
          <w:tcPr>
            <w:tcW w:w="0" w:type="auto"/>
            <w:shd w:val="clear" w:color="auto" w:fill="FFFFFF"/>
            <w:tcMar>
              <w:top w:w="0" w:type="dxa"/>
              <w:left w:w="0" w:type="dxa"/>
              <w:bottom w:w="30" w:type="dxa"/>
              <w:right w:w="0" w:type="dxa"/>
            </w:tcMar>
            <w:vAlign w:val="bottom"/>
            <w:hideMark/>
          </w:tcPr>
          <w:p w14:paraId="56300AE9" w14:textId="77777777" w:rsidR="00000000" w:rsidRDefault="00D6065B">
            <w:pPr>
              <w:pStyle w:val="a3"/>
              <w:spacing w:before="0" w:beforeAutospacing="0" w:after="0" w:afterAutospacing="0"/>
              <w:rPr>
                <w:sz w:val="20"/>
                <w:szCs w:val="20"/>
              </w:rPr>
            </w:pPr>
            <w:r>
              <w:rPr>
                <w:sz w:val="20"/>
                <w:szCs w:val="20"/>
              </w:rPr>
              <w:t>Non-operating income (expense)</w:t>
            </w:r>
          </w:p>
        </w:tc>
        <w:tc>
          <w:tcPr>
            <w:tcW w:w="0" w:type="auto"/>
            <w:shd w:val="clear" w:color="auto" w:fill="FFFFFF"/>
            <w:tcMar>
              <w:top w:w="0" w:type="dxa"/>
              <w:left w:w="0" w:type="dxa"/>
              <w:bottom w:w="30" w:type="dxa"/>
              <w:right w:w="0" w:type="dxa"/>
            </w:tcMar>
            <w:vAlign w:val="bottom"/>
            <w:hideMark/>
          </w:tcPr>
          <w:p w14:paraId="0C1F6DC1"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C2482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57AFA1" w14:textId="77777777" w:rsidR="00000000" w:rsidRDefault="00D6065B">
            <w:pPr>
              <w:jc w:val="right"/>
              <w:rPr>
                <w:rFonts w:eastAsia="Times New Roman"/>
                <w:sz w:val="20"/>
                <w:szCs w:val="20"/>
              </w:rPr>
            </w:pPr>
            <w:r>
              <w:rPr>
                <w:rFonts w:eastAsia="Times New Roman"/>
                <w:sz w:val="20"/>
                <w:szCs w:val="20"/>
              </w:rPr>
              <w:t>(59,061</w:t>
            </w:r>
          </w:p>
        </w:tc>
        <w:tc>
          <w:tcPr>
            <w:tcW w:w="0" w:type="auto"/>
            <w:shd w:val="clear" w:color="auto" w:fill="FFFFFF"/>
            <w:tcMar>
              <w:top w:w="0" w:type="dxa"/>
              <w:left w:w="0" w:type="dxa"/>
              <w:bottom w:w="30" w:type="dxa"/>
              <w:right w:w="0" w:type="dxa"/>
            </w:tcMar>
            <w:vAlign w:val="bottom"/>
            <w:hideMark/>
          </w:tcPr>
          <w:p w14:paraId="22F97FB1"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8A478B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B83FBA"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719957" w14:textId="77777777" w:rsidR="00000000" w:rsidRDefault="00D6065B">
            <w:pPr>
              <w:jc w:val="right"/>
              <w:rPr>
                <w:rFonts w:eastAsia="Times New Roman"/>
                <w:sz w:val="20"/>
                <w:szCs w:val="20"/>
              </w:rPr>
            </w:pPr>
            <w:r>
              <w:rPr>
                <w:rFonts w:eastAsia="Times New Roman"/>
                <w:sz w:val="20"/>
                <w:szCs w:val="20"/>
              </w:rPr>
              <w:t>(270,491</w:t>
            </w:r>
          </w:p>
        </w:tc>
        <w:tc>
          <w:tcPr>
            <w:tcW w:w="0" w:type="auto"/>
            <w:shd w:val="clear" w:color="auto" w:fill="FFFFFF"/>
            <w:tcMar>
              <w:top w:w="0" w:type="dxa"/>
              <w:left w:w="0" w:type="dxa"/>
              <w:bottom w:w="30" w:type="dxa"/>
              <w:right w:w="0" w:type="dxa"/>
            </w:tcMar>
            <w:vAlign w:val="bottom"/>
            <w:hideMark/>
          </w:tcPr>
          <w:p w14:paraId="14145F1F" w14:textId="77777777" w:rsidR="00000000" w:rsidRDefault="00D6065B">
            <w:pPr>
              <w:rPr>
                <w:rFonts w:eastAsia="Times New Roman"/>
                <w:sz w:val="20"/>
                <w:szCs w:val="20"/>
              </w:rPr>
            </w:pPr>
            <w:r>
              <w:rPr>
                <w:rFonts w:eastAsia="Times New Roman"/>
                <w:sz w:val="20"/>
                <w:szCs w:val="20"/>
              </w:rPr>
              <w:t>)</w:t>
            </w:r>
          </w:p>
        </w:tc>
      </w:tr>
      <w:tr w:rsidR="00000000" w14:paraId="09805D9B" w14:textId="77777777">
        <w:tc>
          <w:tcPr>
            <w:tcW w:w="0" w:type="auto"/>
            <w:shd w:val="clear" w:color="auto" w:fill="CCEEFF"/>
            <w:tcMar>
              <w:top w:w="0" w:type="dxa"/>
              <w:left w:w="0" w:type="dxa"/>
              <w:bottom w:w="50" w:type="dxa"/>
              <w:right w:w="0" w:type="dxa"/>
            </w:tcMar>
            <w:vAlign w:val="bottom"/>
            <w:hideMark/>
          </w:tcPr>
          <w:p w14:paraId="34E97957" w14:textId="77777777" w:rsidR="00000000" w:rsidRDefault="00D6065B">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7BE0C15D"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6706E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3814236" w14:textId="77777777" w:rsidR="00000000" w:rsidRDefault="00D6065B">
            <w:pPr>
              <w:jc w:val="right"/>
              <w:rPr>
                <w:rFonts w:eastAsia="Times New Roman"/>
                <w:sz w:val="20"/>
                <w:szCs w:val="20"/>
              </w:rPr>
            </w:pPr>
            <w:r>
              <w:rPr>
                <w:rFonts w:eastAsia="Times New Roman"/>
                <w:sz w:val="20"/>
                <w:szCs w:val="20"/>
              </w:rPr>
              <w:t>(2,148,376</w:t>
            </w:r>
          </w:p>
        </w:tc>
        <w:tc>
          <w:tcPr>
            <w:tcW w:w="0" w:type="auto"/>
            <w:shd w:val="clear" w:color="auto" w:fill="CCEEFF"/>
            <w:tcMar>
              <w:top w:w="0" w:type="dxa"/>
              <w:left w:w="0" w:type="dxa"/>
              <w:bottom w:w="50" w:type="dxa"/>
              <w:right w:w="0" w:type="dxa"/>
            </w:tcMar>
            <w:vAlign w:val="bottom"/>
            <w:hideMark/>
          </w:tcPr>
          <w:p w14:paraId="30D5C731"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44777C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CA99A9"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759ABF" w14:textId="77777777" w:rsidR="00000000" w:rsidRDefault="00D6065B">
            <w:pPr>
              <w:jc w:val="right"/>
              <w:rPr>
                <w:rFonts w:eastAsia="Times New Roman"/>
                <w:sz w:val="20"/>
                <w:szCs w:val="20"/>
              </w:rPr>
            </w:pPr>
            <w:r>
              <w:rPr>
                <w:rFonts w:eastAsia="Times New Roman"/>
                <w:sz w:val="20"/>
                <w:szCs w:val="20"/>
              </w:rPr>
              <w:t>(519,318</w:t>
            </w:r>
          </w:p>
        </w:tc>
        <w:tc>
          <w:tcPr>
            <w:tcW w:w="0" w:type="auto"/>
            <w:shd w:val="clear" w:color="auto" w:fill="CCEEFF"/>
            <w:tcMar>
              <w:top w:w="0" w:type="dxa"/>
              <w:left w:w="0" w:type="dxa"/>
              <w:bottom w:w="50" w:type="dxa"/>
              <w:right w:w="0" w:type="dxa"/>
            </w:tcMar>
            <w:vAlign w:val="bottom"/>
            <w:hideMark/>
          </w:tcPr>
          <w:p w14:paraId="29BE6DA0" w14:textId="77777777" w:rsidR="00000000" w:rsidRDefault="00D6065B">
            <w:pPr>
              <w:rPr>
                <w:rFonts w:eastAsia="Times New Roman"/>
                <w:sz w:val="20"/>
                <w:szCs w:val="20"/>
              </w:rPr>
            </w:pPr>
            <w:r>
              <w:rPr>
                <w:rFonts w:eastAsia="Times New Roman"/>
                <w:sz w:val="20"/>
                <w:szCs w:val="20"/>
              </w:rPr>
              <w:t>)</w:t>
            </w:r>
          </w:p>
        </w:tc>
      </w:tr>
    </w:tbl>
    <w:p w14:paraId="1C93CBEB" w14:textId="77777777" w:rsidR="00000000" w:rsidRDefault="00D6065B">
      <w:pPr>
        <w:pStyle w:val="a3"/>
        <w:spacing w:before="0" w:beforeAutospacing="0" w:after="0" w:afterAutospacing="0"/>
        <w:ind w:firstLine="720"/>
        <w:jc w:val="both"/>
        <w:rPr>
          <w:sz w:val="20"/>
          <w:szCs w:val="20"/>
        </w:rPr>
      </w:pPr>
      <w:r>
        <w:rPr>
          <w:sz w:val="20"/>
          <w:szCs w:val="20"/>
        </w:rPr>
        <w:t> </w:t>
      </w:r>
    </w:p>
    <w:p w14:paraId="6D02AA38" w14:textId="77777777" w:rsidR="00000000" w:rsidRDefault="00D6065B">
      <w:pPr>
        <w:pStyle w:val="a3"/>
        <w:spacing w:before="0" w:beforeAutospacing="0" w:after="0" w:afterAutospacing="0"/>
        <w:jc w:val="both"/>
        <w:rPr>
          <w:sz w:val="20"/>
          <w:szCs w:val="20"/>
        </w:rPr>
      </w:pPr>
      <w:r>
        <w:rPr>
          <w:b/>
          <w:bCs/>
          <w:i/>
          <w:iCs/>
          <w:sz w:val="20"/>
          <w:szCs w:val="20"/>
          <w:u w:val="single"/>
        </w:rPr>
        <w:t>Revenue</w:t>
      </w:r>
    </w:p>
    <w:p w14:paraId="1A491ADC" w14:textId="77777777" w:rsidR="00000000" w:rsidRDefault="00D6065B">
      <w:pPr>
        <w:pStyle w:val="a3"/>
        <w:spacing w:before="0" w:beforeAutospacing="0" w:after="0" w:afterAutospacing="0"/>
        <w:ind w:firstLine="720"/>
        <w:jc w:val="both"/>
        <w:rPr>
          <w:sz w:val="20"/>
          <w:szCs w:val="20"/>
        </w:rPr>
      </w:pPr>
      <w:r>
        <w:rPr>
          <w:sz w:val="20"/>
          <w:szCs w:val="20"/>
        </w:rPr>
        <w:t> </w:t>
      </w:r>
    </w:p>
    <w:p w14:paraId="01982EC9" w14:textId="77777777" w:rsidR="00000000" w:rsidRDefault="00D6065B">
      <w:pPr>
        <w:pStyle w:val="a3"/>
        <w:spacing w:before="0" w:beforeAutospacing="0" w:after="0" w:afterAutospacing="0"/>
        <w:ind w:firstLine="720"/>
        <w:jc w:val="both"/>
        <w:rPr>
          <w:sz w:val="20"/>
          <w:szCs w:val="20"/>
        </w:rPr>
      </w:pPr>
      <w:r>
        <w:rPr>
          <w:sz w:val="20"/>
          <w:szCs w:val="20"/>
        </w:rPr>
        <w:t>Revenue was $0 for the six months ended June 30, 2021 and 2020, respectively.</w:t>
      </w:r>
    </w:p>
    <w:p w14:paraId="464785B9" w14:textId="77777777" w:rsidR="00000000" w:rsidRDefault="00D6065B">
      <w:pPr>
        <w:pStyle w:val="a3"/>
        <w:spacing w:before="0" w:beforeAutospacing="0" w:after="0" w:afterAutospacing="0"/>
        <w:ind w:firstLine="720"/>
        <w:jc w:val="both"/>
        <w:rPr>
          <w:sz w:val="20"/>
          <w:szCs w:val="20"/>
        </w:rPr>
      </w:pPr>
      <w:r>
        <w:rPr>
          <w:sz w:val="20"/>
          <w:szCs w:val="20"/>
        </w:rPr>
        <w:t> </w:t>
      </w:r>
    </w:p>
    <w:p w14:paraId="40E1E698" w14:textId="77777777" w:rsidR="00000000" w:rsidRDefault="00D6065B">
      <w:pPr>
        <w:pStyle w:val="a3"/>
        <w:spacing w:before="0" w:beforeAutospacing="0" w:after="0" w:afterAutospacing="0"/>
        <w:jc w:val="both"/>
        <w:rPr>
          <w:sz w:val="20"/>
          <w:szCs w:val="20"/>
        </w:rPr>
      </w:pPr>
      <w:r>
        <w:rPr>
          <w:b/>
          <w:bCs/>
          <w:i/>
          <w:iCs/>
          <w:sz w:val="20"/>
          <w:szCs w:val="20"/>
          <w:u w:val="single"/>
        </w:rPr>
        <w:t>Operating Expenses</w:t>
      </w:r>
    </w:p>
    <w:p w14:paraId="35583919" w14:textId="77777777" w:rsidR="00000000" w:rsidRDefault="00D6065B">
      <w:pPr>
        <w:pStyle w:val="a3"/>
        <w:spacing w:before="0" w:beforeAutospacing="0" w:after="0" w:afterAutospacing="0"/>
        <w:ind w:firstLine="720"/>
        <w:jc w:val="both"/>
        <w:rPr>
          <w:sz w:val="20"/>
          <w:szCs w:val="20"/>
        </w:rPr>
      </w:pPr>
      <w:r>
        <w:rPr>
          <w:sz w:val="20"/>
          <w:szCs w:val="20"/>
        </w:rPr>
        <w:t> </w:t>
      </w:r>
    </w:p>
    <w:p w14:paraId="149352CB" w14:textId="77777777" w:rsidR="00000000" w:rsidRDefault="00D6065B">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six months ended June 30, 2021 and 2020, respectively consists of the following:</w:t>
      </w:r>
    </w:p>
    <w:p w14:paraId="72DBFFFF"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66730665" w14:textId="77777777">
        <w:tc>
          <w:tcPr>
            <w:tcW w:w="0" w:type="auto"/>
            <w:tcMar>
              <w:top w:w="0" w:type="dxa"/>
              <w:left w:w="0" w:type="dxa"/>
              <w:bottom w:w="30" w:type="dxa"/>
              <w:right w:w="0" w:type="dxa"/>
            </w:tcMar>
            <w:vAlign w:val="bottom"/>
            <w:hideMark/>
          </w:tcPr>
          <w:p w14:paraId="7CF8DA0F"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1D27E89"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34D4F2C" w14:textId="77777777" w:rsidR="00000000" w:rsidRDefault="00D6065B">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37E31923"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E481880"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EE0B699" w14:textId="77777777" w:rsidR="00000000" w:rsidRDefault="00D6065B">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2020</w:t>
            </w:r>
          </w:p>
        </w:tc>
        <w:tc>
          <w:tcPr>
            <w:tcW w:w="0" w:type="auto"/>
            <w:tcMar>
              <w:top w:w="0" w:type="dxa"/>
              <w:left w:w="0" w:type="dxa"/>
              <w:bottom w:w="30" w:type="dxa"/>
              <w:right w:w="0" w:type="dxa"/>
            </w:tcMar>
            <w:vAlign w:val="bottom"/>
            <w:hideMark/>
          </w:tcPr>
          <w:p w14:paraId="1DC9EC18" w14:textId="77777777" w:rsidR="00000000" w:rsidRDefault="00D6065B">
            <w:pPr>
              <w:rPr>
                <w:rFonts w:eastAsia="Times New Roman"/>
                <w:sz w:val="20"/>
                <w:szCs w:val="20"/>
              </w:rPr>
            </w:pPr>
            <w:r>
              <w:rPr>
                <w:rFonts w:eastAsia="Times New Roman"/>
                <w:sz w:val="20"/>
                <w:szCs w:val="20"/>
              </w:rPr>
              <w:t> </w:t>
            </w:r>
          </w:p>
        </w:tc>
      </w:tr>
      <w:tr w:rsidR="00000000" w14:paraId="49DF081A" w14:textId="77777777">
        <w:tc>
          <w:tcPr>
            <w:tcW w:w="3000" w:type="pct"/>
            <w:shd w:val="clear" w:color="auto" w:fill="CCEEFF"/>
            <w:vAlign w:val="bottom"/>
            <w:hideMark/>
          </w:tcPr>
          <w:p w14:paraId="65C93AF0" w14:textId="77777777" w:rsidR="00000000" w:rsidRDefault="00D6065B">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14:paraId="73E6F8C1"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E1EFB5"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3CB5ECAA" w14:textId="77777777" w:rsidR="00000000" w:rsidRDefault="00D6065B">
            <w:pPr>
              <w:jc w:val="right"/>
              <w:rPr>
                <w:rFonts w:eastAsia="Times New Roman"/>
                <w:sz w:val="20"/>
                <w:szCs w:val="20"/>
              </w:rPr>
            </w:pPr>
            <w:r>
              <w:rPr>
                <w:rFonts w:eastAsia="Times New Roman"/>
                <w:sz w:val="20"/>
                <w:szCs w:val="20"/>
              </w:rPr>
              <w:t>116,445</w:t>
            </w:r>
          </w:p>
        </w:tc>
        <w:tc>
          <w:tcPr>
            <w:tcW w:w="50" w:type="pct"/>
            <w:shd w:val="clear" w:color="auto" w:fill="CCEEFF"/>
            <w:vAlign w:val="bottom"/>
            <w:hideMark/>
          </w:tcPr>
          <w:p w14:paraId="2A44FD9E"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3C2514B"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B57B3E"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0D45E0EE" w14:textId="77777777" w:rsidR="00000000" w:rsidRDefault="00D6065B">
            <w:pPr>
              <w:jc w:val="right"/>
              <w:rPr>
                <w:rFonts w:eastAsia="Times New Roman"/>
                <w:sz w:val="20"/>
                <w:szCs w:val="20"/>
              </w:rPr>
            </w:pPr>
            <w:r>
              <w:rPr>
                <w:rFonts w:eastAsia="Times New Roman"/>
                <w:sz w:val="20"/>
                <w:szCs w:val="20"/>
              </w:rPr>
              <w:t>111,269</w:t>
            </w:r>
          </w:p>
        </w:tc>
        <w:tc>
          <w:tcPr>
            <w:tcW w:w="50" w:type="pct"/>
            <w:shd w:val="clear" w:color="auto" w:fill="CCEEFF"/>
            <w:vAlign w:val="bottom"/>
            <w:hideMark/>
          </w:tcPr>
          <w:p w14:paraId="4CD2B10C" w14:textId="77777777" w:rsidR="00000000" w:rsidRDefault="00D6065B">
            <w:pPr>
              <w:rPr>
                <w:rFonts w:eastAsia="Times New Roman"/>
                <w:sz w:val="20"/>
                <w:szCs w:val="20"/>
              </w:rPr>
            </w:pPr>
            <w:r>
              <w:rPr>
                <w:rFonts w:eastAsia="Times New Roman"/>
                <w:sz w:val="20"/>
                <w:szCs w:val="20"/>
              </w:rPr>
              <w:t> </w:t>
            </w:r>
          </w:p>
        </w:tc>
      </w:tr>
      <w:tr w:rsidR="00000000" w14:paraId="5E2C7477" w14:textId="77777777">
        <w:tc>
          <w:tcPr>
            <w:tcW w:w="0" w:type="auto"/>
            <w:shd w:val="clear" w:color="auto" w:fill="FFFFFF"/>
            <w:vAlign w:val="bottom"/>
            <w:hideMark/>
          </w:tcPr>
          <w:p w14:paraId="0C46B91F" w14:textId="77777777" w:rsidR="00000000" w:rsidRDefault="00D6065B">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14:paraId="10388E6A"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BC3C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D1849" w14:textId="77777777" w:rsidR="00000000" w:rsidRDefault="00D6065B">
            <w:pPr>
              <w:jc w:val="right"/>
              <w:rPr>
                <w:rFonts w:eastAsia="Times New Roman"/>
                <w:sz w:val="20"/>
                <w:szCs w:val="20"/>
              </w:rPr>
            </w:pPr>
            <w:r>
              <w:rPr>
                <w:rFonts w:eastAsia="Times New Roman"/>
                <w:sz w:val="20"/>
                <w:szCs w:val="20"/>
              </w:rPr>
              <w:t>1,614,000</w:t>
            </w:r>
          </w:p>
        </w:tc>
        <w:tc>
          <w:tcPr>
            <w:tcW w:w="0" w:type="auto"/>
            <w:shd w:val="clear" w:color="auto" w:fill="FFFFFF"/>
            <w:vAlign w:val="bottom"/>
            <w:hideMark/>
          </w:tcPr>
          <w:p w14:paraId="22797A1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EA35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DC532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6E3118" w14:textId="77777777" w:rsidR="00000000" w:rsidRDefault="00D6065B">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14:paraId="695E3537" w14:textId="77777777" w:rsidR="00000000" w:rsidRDefault="00D6065B">
            <w:pPr>
              <w:rPr>
                <w:rFonts w:eastAsia="Times New Roman"/>
                <w:sz w:val="20"/>
                <w:szCs w:val="20"/>
              </w:rPr>
            </w:pPr>
            <w:r>
              <w:rPr>
                <w:rFonts w:eastAsia="Times New Roman"/>
                <w:sz w:val="20"/>
                <w:szCs w:val="20"/>
              </w:rPr>
              <w:t> </w:t>
            </w:r>
          </w:p>
        </w:tc>
      </w:tr>
      <w:tr w:rsidR="00000000" w14:paraId="70D65A4F" w14:textId="77777777">
        <w:tc>
          <w:tcPr>
            <w:tcW w:w="0" w:type="auto"/>
            <w:shd w:val="clear" w:color="auto" w:fill="CCEEFF"/>
            <w:vAlign w:val="bottom"/>
            <w:hideMark/>
          </w:tcPr>
          <w:p w14:paraId="6A7CF23D" w14:textId="77777777" w:rsidR="00000000" w:rsidRDefault="00D6065B">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14:paraId="5665F56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4A28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BBF4E" w14:textId="77777777" w:rsidR="00000000" w:rsidRDefault="00D6065B">
            <w:pPr>
              <w:jc w:val="right"/>
              <w:rPr>
                <w:rFonts w:eastAsia="Times New Roman"/>
                <w:sz w:val="20"/>
                <w:szCs w:val="20"/>
              </w:rPr>
            </w:pPr>
            <w:r>
              <w:rPr>
                <w:rFonts w:eastAsia="Times New Roman"/>
                <w:sz w:val="20"/>
                <w:szCs w:val="20"/>
              </w:rPr>
              <w:t>137,503</w:t>
            </w:r>
          </w:p>
        </w:tc>
        <w:tc>
          <w:tcPr>
            <w:tcW w:w="0" w:type="auto"/>
            <w:shd w:val="clear" w:color="auto" w:fill="CCEEFF"/>
            <w:vAlign w:val="bottom"/>
            <w:hideMark/>
          </w:tcPr>
          <w:p w14:paraId="29C6D7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54DB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4854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90BE4" w14:textId="77777777" w:rsidR="00000000" w:rsidRDefault="00D6065B">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14:paraId="5EDA1EA4" w14:textId="77777777" w:rsidR="00000000" w:rsidRDefault="00D6065B">
            <w:pPr>
              <w:rPr>
                <w:rFonts w:eastAsia="Times New Roman"/>
                <w:sz w:val="20"/>
                <w:szCs w:val="20"/>
              </w:rPr>
            </w:pPr>
            <w:r>
              <w:rPr>
                <w:rFonts w:eastAsia="Times New Roman"/>
                <w:sz w:val="20"/>
                <w:szCs w:val="20"/>
              </w:rPr>
              <w:t> </w:t>
            </w:r>
          </w:p>
        </w:tc>
      </w:tr>
      <w:tr w:rsidR="00000000" w14:paraId="29D61DDE" w14:textId="77777777">
        <w:tc>
          <w:tcPr>
            <w:tcW w:w="0" w:type="auto"/>
            <w:shd w:val="clear" w:color="auto" w:fill="FFFFFF"/>
            <w:vAlign w:val="bottom"/>
            <w:hideMark/>
          </w:tcPr>
          <w:p w14:paraId="6A5375A5" w14:textId="77777777" w:rsidR="00000000" w:rsidRDefault="00D6065B">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ED518F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2C071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8AFC8" w14:textId="77777777" w:rsidR="00000000" w:rsidRDefault="00D6065B">
            <w:pPr>
              <w:jc w:val="right"/>
              <w:rPr>
                <w:rFonts w:eastAsia="Times New Roman"/>
                <w:sz w:val="20"/>
                <w:szCs w:val="20"/>
              </w:rPr>
            </w:pPr>
            <w:r>
              <w:rPr>
                <w:rFonts w:eastAsia="Times New Roman"/>
                <w:sz w:val="20"/>
                <w:szCs w:val="20"/>
              </w:rPr>
              <w:t>160,322</w:t>
            </w:r>
          </w:p>
        </w:tc>
        <w:tc>
          <w:tcPr>
            <w:tcW w:w="0" w:type="auto"/>
            <w:shd w:val="clear" w:color="auto" w:fill="FFFFFF"/>
            <w:vAlign w:val="bottom"/>
            <w:hideMark/>
          </w:tcPr>
          <w:p w14:paraId="221C6EF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D8BA8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81E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2E8A0" w14:textId="77777777" w:rsidR="00000000" w:rsidRDefault="00D6065B">
            <w:pPr>
              <w:jc w:val="right"/>
              <w:rPr>
                <w:rFonts w:eastAsia="Times New Roman"/>
                <w:sz w:val="20"/>
                <w:szCs w:val="20"/>
              </w:rPr>
            </w:pPr>
            <w:r>
              <w:rPr>
                <w:rFonts w:eastAsia="Times New Roman"/>
                <w:sz w:val="20"/>
                <w:szCs w:val="20"/>
              </w:rPr>
              <w:t>17,425</w:t>
            </w:r>
          </w:p>
        </w:tc>
        <w:tc>
          <w:tcPr>
            <w:tcW w:w="0" w:type="auto"/>
            <w:shd w:val="clear" w:color="auto" w:fill="FFFFFF"/>
            <w:vAlign w:val="bottom"/>
            <w:hideMark/>
          </w:tcPr>
          <w:p w14:paraId="00E344E1" w14:textId="77777777" w:rsidR="00000000" w:rsidRDefault="00D6065B">
            <w:pPr>
              <w:rPr>
                <w:rFonts w:eastAsia="Times New Roman"/>
                <w:sz w:val="20"/>
                <w:szCs w:val="20"/>
              </w:rPr>
            </w:pPr>
            <w:r>
              <w:rPr>
                <w:rFonts w:eastAsia="Times New Roman"/>
                <w:sz w:val="20"/>
                <w:szCs w:val="20"/>
              </w:rPr>
              <w:t> </w:t>
            </w:r>
          </w:p>
        </w:tc>
      </w:tr>
      <w:tr w:rsidR="00000000" w14:paraId="3B4C7540" w14:textId="77777777">
        <w:tc>
          <w:tcPr>
            <w:tcW w:w="0" w:type="auto"/>
            <w:shd w:val="clear" w:color="auto" w:fill="CCEEFF"/>
            <w:tcMar>
              <w:top w:w="0" w:type="dxa"/>
              <w:left w:w="0" w:type="dxa"/>
              <w:bottom w:w="30" w:type="dxa"/>
              <w:right w:w="0" w:type="dxa"/>
            </w:tcMar>
            <w:vAlign w:val="bottom"/>
            <w:hideMark/>
          </w:tcPr>
          <w:p w14:paraId="164494FC" w14:textId="77777777" w:rsidR="00000000" w:rsidRDefault="00D6065B">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14:paraId="6014438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6F682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FC4523" w14:textId="77777777" w:rsidR="00000000" w:rsidRDefault="00D6065B">
            <w:pPr>
              <w:jc w:val="right"/>
              <w:rPr>
                <w:rFonts w:eastAsia="Times New Roman"/>
                <w:sz w:val="20"/>
                <w:szCs w:val="20"/>
              </w:rPr>
            </w:pPr>
            <w:r>
              <w:rPr>
                <w:rFonts w:eastAsia="Times New Roman"/>
                <w:sz w:val="20"/>
                <w:szCs w:val="20"/>
              </w:rPr>
              <w:t>60,505</w:t>
            </w:r>
          </w:p>
        </w:tc>
        <w:tc>
          <w:tcPr>
            <w:tcW w:w="0" w:type="auto"/>
            <w:shd w:val="clear" w:color="auto" w:fill="CCEEFF"/>
            <w:tcMar>
              <w:top w:w="0" w:type="dxa"/>
              <w:left w:w="0" w:type="dxa"/>
              <w:bottom w:w="30" w:type="dxa"/>
              <w:right w:w="0" w:type="dxa"/>
            </w:tcMar>
            <w:vAlign w:val="bottom"/>
            <w:hideMark/>
          </w:tcPr>
          <w:p w14:paraId="28F531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84300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33835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4271AD" w14:textId="77777777" w:rsidR="00000000" w:rsidRDefault="00D6065B">
            <w:pPr>
              <w:jc w:val="right"/>
              <w:rPr>
                <w:rFonts w:eastAsia="Times New Roman"/>
                <w:sz w:val="20"/>
                <w:szCs w:val="20"/>
              </w:rPr>
            </w:pPr>
            <w:r>
              <w:rPr>
                <w:rFonts w:eastAsia="Times New Roman"/>
                <w:sz w:val="20"/>
                <w:szCs w:val="20"/>
              </w:rPr>
              <w:t>57,957</w:t>
            </w:r>
          </w:p>
        </w:tc>
        <w:tc>
          <w:tcPr>
            <w:tcW w:w="0" w:type="auto"/>
            <w:shd w:val="clear" w:color="auto" w:fill="CCEEFF"/>
            <w:tcMar>
              <w:top w:w="0" w:type="dxa"/>
              <w:left w:w="0" w:type="dxa"/>
              <w:bottom w:w="30" w:type="dxa"/>
              <w:right w:w="0" w:type="dxa"/>
            </w:tcMar>
            <w:vAlign w:val="bottom"/>
            <w:hideMark/>
          </w:tcPr>
          <w:p w14:paraId="560FE837" w14:textId="77777777" w:rsidR="00000000" w:rsidRDefault="00D6065B">
            <w:pPr>
              <w:rPr>
                <w:rFonts w:eastAsia="Times New Roman"/>
                <w:sz w:val="20"/>
                <w:szCs w:val="20"/>
              </w:rPr>
            </w:pPr>
            <w:r>
              <w:rPr>
                <w:rFonts w:eastAsia="Times New Roman"/>
                <w:sz w:val="20"/>
                <w:szCs w:val="20"/>
              </w:rPr>
              <w:t> </w:t>
            </w:r>
          </w:p>
        </w:tc>
      </w:tr>
      <w:tr w:rsidR="00000000" w14:paraId="47080AA6" w14:textId="77777777">
        <w:tc>
          <w:tcPr>
            <w:tcW w:w="0" w:type="auto"/>
            <w:shd w:val="clear" w:color="auto" w:fill="FFFFFF"/>
            <w:tcMar>
              <w:top w:w="0" w:type="dxa"/>
              <w:left w:w="0" w:type="dxa"/>
              <w:bottom w:w="50" w:type="dxa"/>
              <w:right w:w="0" w:type="dxa"/>
            </w:tcMar>
            <w:vAlign w:val="bottom"/>
            <w:hideMark/>
          </w:tcPr>
          <w:p w14:paraId="7F3AE7F8" w14:textId="77777777" w:rsidR="00000000" w:rsidRDefault="00D6065B">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14:paraId="11E21F7D"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ADEC4C5"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2F828C" w14:textId="77777777" w:rsidR="00000000" w:rsidRDefault="00D6065B">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50" w:type="dxa"/>
              <w:right w:w="0" w:type="dxa"/>
            </w:tcMar>
            <w:vAlign w:val="bottom"/>
            <w:hideMark/>
          </w:tcPr>
          <w:p w14:paraId="1CB00B8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8B80022"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5E9DF03"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1D3494" w14:textId="77777777" w:rsidR="00000000" w:rsidRDefault="00D6065B">
            <w:pPr>
              <w:jc w:val="right"/>
              <w:rPr>
                <w:rFonts w:eastAsia="Times New Roman"/>
                <w:sz w:val="20"/>
                <w:szCs w:val="20"/>
              </w:rPr>
            </w:pPr>
            <w:r>
              <w:rPr>
                <w:rFonts w:eastAsia="Times New Roman"/>
                <w:sz w:val="20"/>
                <w:szCs w:val="20"/>
              </w:rPr>
              <w:t>248,827</w:t>
            </w:r>
          </w:p>
        </w:tc>
        <w:tc>
          <w:tcPr>
            <w:tcW w:w="0" w:type="auto"/>
            <w:shd w:val="clear" w:color="auto" w:fill="FFFFFF"/>
            <w:tcMar>
              <w:top w:w="0" w:type="dxa"/>
              <w:left w:w="0" w:type="dxa"/>
              <w:bottom w:w="50" w:type="dxa"/>
              <w:right w:w="0" w:type="dxa"/>
            </w:tcMar>
            <w:vAlign w:val="bottom"/>
            <w:hideMark/>
          </w:tcPr>
          <w:p w14:paraId="4376FE56" w14:textId="77777777" w:rsidR="00000000" w:rsidRDefault="00D6065B">
            <w:pPr>
              <w:rPr>
                <w:rFonts w:eastAsia="Times New Roman"/>
                <w:sz w:val="20"/>
                <w:szCs w:val="20"/>
              </w:rPr>
            </w:pPr>
            <w:r>
              <w:rPr>
                <w:rFonts w:eastAsia="Times New Roman"/>
                <w:sz w:val="20"/>
                <w:szCs w:val="20"/>
              </w:rPr>
              <w:t> </w:t>
            </w:r>
          </w:p>
        </w:tc>
      </w:tr>
    </w:tbl>
    <w:p w14:paraId="1A8D613E" w14:textId="77777777" w:rsidR="00000000" w:rsidRDefault="00D6065B">
      <w:pPr>
        <w:pStyle w:val="a3"/>
        <w:spacing w:before="0" w:beforeAutospacing="0" w:after="0" w:afterAutospacing="0"/>
        <w:rPr>
          <w:sz w:val="20"/>
          <w:szCs w:val="20"/>
        </w:rPr>
      </w:pPr>
      <w:r>
        <w:rPr>
          <w:sz w:val="20"/>
          <w:szCs w:val="20"/>
        </w:rPr>
        <w:t> </w:t>
      </w:r>
    </w:p>
    <w:p w14:paraId="3CD84052" w14:textId="77777777" w:rsidR="00000000" w:rsidRDefault="00D6065B">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six months ended June 30, 2021 and 2020 was $2,088,775 and $248,827, respectively. The increase in operating expenses from 2020 to 2021 can be attributed to the increase in professional fees ($111,269 for the six months ended June 30, 2020</w:t>
      </w:r>
      <w:r>
        <w:rPr>
          <w:sz w:val="20"/>
          <w:szCs w:val="20"/>
        </w:rPr>
        <w:t xml:space="preserve"> versus $116,445 for the six months ended June 30, 2021) as the Company utilized more services due to amending their Regulation A+ and the fees incurred for the consultants engaged; the increase in general and administrative expense ($57,957 for the six mo</w:t>
      </w:r>
      <w:r>
        <w:rPr>
          <w:sz w:val="20"/>
          <w:szCs w:val="20"/>
        </w:rPr>
        <w:t>nths ended June 30, 2020 versus $60,505 for the six months ended June 30, 2021); the increase in research and development ($17,425 for the six months ended June 30, 2020 versus $160,322 for the six months ended June 30, 2021) as the Company ramped up the d</w:t>
      </w:r>
      <w:r>
        <w:rPr>
          <w:sz w:val="20"/>
          <w:szCs w:val="20"/>
        </w:rPr>
        <w:t>evelopment of their products with the recent raising of capital , an increase in payroll expenses ($60,000 for the six months ended June 30, 2020 versus $137,503 for the six months ended June 30, 2021) related to the deferred compensation criteria in the C</w:t>
      </w:r>
      <w:r>
        <w:rPr>
          <w:sz w:val="20"/>
          <w:szCs w:val="20"/>
        </w:rPr>
        <w:t>EOs employment contract taking effect, and an increase in stock-based compensation related to RSUs granted to consultants ($2,176 for the six months ended June 30, 2020 versus $1,614,000 for the six months ended June 30, 2021).</w:t>
      </w:r>
    </w:p>
    <w:p w14:paraId="4F28577D"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A8A0FE" w14:textId="77777777">
        <w:trPr>
          <w:divId w:val="633407001"/>
        </w:trPr>
        <w:tc>
          <w:tcPr>
            <w:tcW w:w="5000" w:type="pct"/>
            <w:hideMark/>
          </w:tcPr>
          <w:p w14:paraId="59B13E1C"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2B3B2283" w14:textId="77777777">
        <w:tc>
          <w:tcPr>
            <w:tcW w:w="5000" w:type="pct"/>
            <w:hideMark/>
          </w:tcPr>
          <w:p w14:paraId="033534E7" w14:textId="77777777" w:rsidR="00000000" w:rsidRDefault="00D6065B">
            <w:pPr>
              <w:jc w:val="center"/>
              <w:rPr>
                <w:rFonts w:eastAsia="Times New Roman"/>
                <w:sz w:val="20"/>
                <w:szCs w:val="20"/>
              </w:rPr>
            </w:pPr>
            <w:r>
              <w:rPr>
                <w:rFonts w:eastAsia="Times New Roman"/>
                <w:sz w:val="20"/>
                <w:szCs w:val="20"/>
              </w:rPr>
              <w:t> </w:t>
            </w:r>
          </w:p>
        </w:tc>
      </w:tr>
    </w:tbl>
    <w:p w14:paraId="16A7D5F5" w14:textId="77777777" w:rsidR="00000000" w:rsidRDefault="00D6065B">
      <w:pPr>
        <w:pStyle w:val="a3"/>
        <w:spacing w:before="0" w:beforeAutospacing="0" w:after="0" w:afterAutospacing="0"/>
        <w:rPr>
          <w:sz w:val="20"/>
          <w:szCs w:val="20"/>
        </w:rPr>
      </w:pPr>
      <w:r>
        <w:rPr>
          <w:sz w:val="20"/>
          <w:szCs w:val="20"/>
        </w:rPr>
        <w:t> </w:t>
      </w:r>
    </w:p>
    <w:p w14:paraId="3FC7E4BB" w14:textId="77777777" w:rsidR="00000000" w:rsidRDefault="00D6065B">
      <w:pPr>
        <w:pStyle w:val="a3"/>
        <w:spacing w:before="0" w:beforeAutospacing="0" w:after="0" w:afterAutospacing="0"/>
        <w:jc w:val="both"/>
        <w:rPr>
          <w:sz w:val="20"/>
          <w:szCs w:val="20"/>
        </w:rPr>
      </w:pPr>
      <w:r>
        <w:rPr>
          <w:b/>
          <w:bCs/>
          <w:i/>
          <w:iCs/>
          <w:sz w:val="20"/>
          <w:szCs w:val="20"/>
          <w:u w:val="single"/>
        </w:rPr>
        <w:t>Non-Operating Income (Expense)</w:t>
      </w:r>
    </w:p>
    <w:p w14:paraId="729EB3C5" w14:textId="77777777" w:rsidR="00000000" w:rsidRDefault="00D6065B">
      <w:pPr>
        <w:pStyle w:val="a3"/>
        <w:spacing w:before="0" w:beforeAutospacing="0" w:after="0" w:afterAutospacing="0"/>
        <w:ind w:firstLine="720"/>
        <w:jc w:val="both"/>
        <w:rPr>
          <w:sz w:val="20"/>
          <w:szCs w:val="20"/>
        </w:rPr>
      </w:pPr>
      <w:r>
        <w:rPr>
          <w:sz w:val="20"/>
          <w:szCs w:val="20"/>
        </w:rPr>
        <w:t> </w:t>
      </w:r>
    </w:p>
    <w:p w14:paraId="4D63849A" w14:textId="77777777" w:rsidR="00000000" w:rsidRDefault="00D6065B">
      <w:pPr>
        <w:pStyle w:val="a3"/>
        <w:spacing w:before="0" w:beforeAutospacing="0" w:after="0" w:afterAutospacing="0"/>
        <w:ind w:firstLine="720"/>
        <w:jc w:val="both"/>
        <w:rPr>
          <w:sz w:val="20"/>
          <w:szCs w:val="20"/>
        </w:rPr>
      </w:pPr>
      <w:r>
        <w:rPr>
          <w:sz w:val="20"/>
          <w:szCs w:val="20"/>
        </w:rPr>
        <w:t>Non-operating income (expense) for the six months ended June 30, 2021 and 2020 consists of the following:</w:t>
      </w:r>
    </w:p>
    <w:p w14:paraId="7DE2E17B" w14:textId="77777777" w:rsidR="00000000" w:rsidRDefault="00D6065B">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72D624D2" w14:textId="77777777">
        <w:tc>
          <w:tcPr>
            <w:tcW w:w="0" w:type="auto"/>
            <w:tcMar>
              <w:top w:w="0" w:type="dxa"/>
              <w:left w:w="0" w:type="dxa"/>
              <w:bottom w:w="30" w:type="dxa"/>
              <w:right w:w="0" w:type="dxa"/>
            </w:tcMar>
            <w:vAlign w:val="bottom"/>
            <w:hideMark/>
          </w:tcPr>
          <w:p w14:paraId="03F12E36"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869147"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3802B76" w14:textId="77777777" w:rsidR="00000000" w:rsidRDefault="00D6065B">
            <w:pPr>
              <w:jc w:val="center"/>
              <w:rPr>
                <w:rFonts w:eastAsia="Times New Roman"/>
                <w:sz w:val="20"/>
                <w:szCs w:val="20"/>
              </w:rPr>
            </w:pPr>
            <w:r>
              <w:rPr>
                <w:rFonts w:eastAsia="Times New Roman"/>
                <w:sz w:val="20"/>
                <w:szCs w:val="20"/>
              </w:rPr>
              <w:t>Six months ended June 30, 2021</w:t>
            </w:r>
          </w:p>
        </w:tc>
        <w:tc>
          <w:tcPr>
            <w:tcW w:w="0" w:type="auto"/>
            <w:tcMar>
              <w:top w:w="0" w:type="dxa"/>
              <w:left w:w="0" w:type="dxa"/>
              <w:bottom w:w="30" w:type="dxa"/>
              <w:right w:w="0" w:type="dxa"/>
            </w:tcMar>
            <w:vAlign w:val="bottom"/>
            <w:hideMark/>
          </w:tcPr>
          <w:p w14:paraId="670FF919"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D42CDD"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8CA12FE" w14:textId="77777777" w:rsidR="00000000" w:rsidRDefault="00D6065B">
            <w:pPr>
              <w:jc w:val="center"/>
              <w:rPr>
                <w:rFonts w:eastAsia="Times New Roman"/>
                <w:sz w:val="20"/>
                <w:szCs w:val="20"/>
              </w:rPr>
            </w:pPr>
            <w:r>
              <w:rPr>
                <w:rFonts w:eastAsia="Times New Roman"/>
                <w:sz w:val="20"/>
                <w:szCs w:val="20"/>
              </w:rPr>
              <w:t>Six months ended June 30, 2020</w:t>
            </w:r>
          </w:p>
        </w:tc>
        <w:tc>
          <w:tcPr>
            <w:tcW w:w="0" w:type="auto"/>
            <w:tcMar>
              <w:top w:w="0" w:type="dxa"/>
              <w:left w:w="0" w:type="dxa"/>
              <w:bottom w:w="30" w:type="dxa"/>
              <w:right w:w="0" w:type="dxa"/>
            </w:tcMar>
            <w:vAlign w:val="bottom"/>
            <w:hideMark/>
          </w:tcPr>
          <w:p w14:paraId="2B478C17" w14:textId="77777777" w:rsidR="00000000" w:rsidRDefault="00D6065B">
            <w:pPr>
              <w:rPr>
                <w:rFonts w:eastAsia="Times New Roman"/>
                <w:sz w:val="20"/>
                <w:szCs w:val="20"/>
              </w:rPr>
            </w:pPr>
            <w:r>
              <w:rPr>
                <w:rFonts w:eastAsia="Times New Roman"/>
                <w:sz w:val="20"/>
                <w:szCs w:val="20"/>
              </w:rPr>
              <w:t> </w:t>
            </w:r>
          </w:p>
        </w:tc>
      </w:tr>
      <w:tr w:rsidR="00000000" w14:paraId="1060BA04" w14:textId="77777777">
        <w:tc>
          <w:tcPr>
            <w:tcW w:w="3000" w:type="pct"/>
            <w:shd w:val="clear" w:color="auto" w:fill="CCEEFF"/>
            <w:vAlign w:val="bottom"/>
            <w:hideMark/>
          </w:tcPr>
          <w:p w14:paraId="1C4F7DA8" w14:textId="77777777" w:rsidR="00000000" w:rsidRDefault="00D6065B">
            <w:pPr>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30946921"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91DB53"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1E97CBCE" w14:textId="77777777" w:rsidR="00000000" w:rsidRDefault="00D6065B">
            <w:pPr>
              <w:jc w:val="right"/>
              <w:rPr>
                <w:rFonts w:eastAsia="Times New Roman"/>
                <w:sz w:val="20"/>
                <w:szCs w:val="20"/>
              </w:rPr>
            </w:pPr>
            <w:r>
              <w:rPr>
                <w:rFonts w:eastAsia="Times New Roman"/>
                <w:sz w:val="20"/>
                <w:szCs w:val="20"/>
              </w:rPr>
              <w:t>(13,051</w:t>
            </w:r>
          </w:p>
        </w:tc>
        <w:tc>
          <w:tcPr>
            <w:tcW w:w="50" w:type="pct"/>
            <w:shd w:val="clear" w:color="auto" w:fill="CCEEFF"/>
            <w:vAlign w:val="bottom"/>
            <w:hideMark/>
          </w:tcPr>
          <w:p w14:paraId="407270B5" w14:textId="77777777" w:rsidR="00000000" w:rsidRDefault="00D6065B">
            <w:pPr>
              <w:rPr>
                <w:rFonts w:eastAsia="Times New Roman"/>
                <w:sz w:val="20"/>
                <w:szCs w:val="20"/>
              </w:rPr>
            </w:pPr>
            <w:r>
              <w:rPr>
                <w:rFonts w:eastAsia="Times New Roman"/>
                <w:sz w:val="20"/>
                <w:szCs w:val="20"/>
              </w:rPr>
              <w:t>)</w:t>
            </w:r>
          </w:p>
        </w:tc>
        <w:tc>
          <w:tcPr>
            <w:tcW w:w="100" w:type="pct"/>
            <w:shd w:val="clear" w:color="auto" w:fill="CCEEFF"/>
            <w:vAlign w:val="bottom"/>
            <w:hideMark/>
          </w:tcPr>
          <w:p w14:paraId="015AA58D"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8DC4E1"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12C69720" w14:textId="77777777" w:rsidR="00000000" w:rsidRDefault="00D6065B">
            <w:pPr>
              <w:jc w:val="right"/>
              <w:rPr>
                <w:rFonts w:eastAsia="Times New Roman"/>
                <w:sz w:val="20"/>
                <w:szCs w:val="20"/>
              </w:rPr>
            </w:pPr>
            <w:r>
              <w:rPr>
                <w:rFonts w:eastAsia="Times New Roman"/>
                <w:sz w:val="20"/>
                <w:szCs w:val="20"/>
              </w:rPr>
              <w:t>(273,491</w:t>
            </w:r>
          </w:p>
        </w:tc>
        <w:tc>
          <w:tcPr>
            <w:tcW w:w="50" w:type="pct"/>
            <w:shd w:val="clear" w:color="auto" w:fill="CCEEFF"/>
            <w:vAlign w:val="bottom"/>
            <w:hideMark/>
          </w:tcPr>
          <w:p w14:paraId="67A06C1E" w14:textId="77777777" w:rsidR="00000000" w:rsidRDefault="00D6065B">
            <w:pPr>
              <w:rPr>
                <w:rFonts w:eastAsia="Times New Roman"/>
                <w:sz w:val="20"/>
                <w:szCs w:val="20"/>
              </w:rPr>
            </w:pPr>
            <w:r>
              <w:rPr>
                <w:rFonts w:eastAsia="Times New Roman"/>
                <w:sz w:val="20"/>
                <w:szCs w:val="20"/>
              </w:rPr>
              <w:t>)</w:t>
            </w:r>
          </w:p>
        </w:tc>
      </w:tr>
      <w:tr w:rsidR="00000000" w14:paraId="638E9ED1" w14:textId="77777777">
        <w:tc>
          <w:tcPr>
            <w:tcW w:w="0" w:type="auto"/>
            <w:shd w:val="clear" w:color="auto" w:fill="FFFFFF"/>
            <w:vAlign w:val="bottom"/>
            <w:hideMark/>
          </w:tcPr>
          <w:p w14:paraId="69CCF807" w14:textId="77777777" w:rsidR="00000000" w:rsidRDefault="00D6065B">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14:paraId="775416C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BDD1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E7A2D"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81E5B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58CD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A0B1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598273" w14:textId="77777777" w:rsidR="00000000" w:rsidRDefault="00D6065B">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14:paraId="0EEE35B2" w14:textId="77777777" w:rsidR="00000000" w:rsidRDefault="00D6065B">
            <w:pPr>
              <w:rPr>
                <w:rFonts w:eastAsia="Times New Roman"/>
                <w:sz w:val="20"/>
                <w:szCs w:val="20"/>
              </w:rPr>
            </w:pPr>
            <w:r>
              <w:rPr>
                <w:rFonts w:eastAsia="Times New Roman"/>
                <w:sz w:val="20"/>
                <w:szCs w:val="20"/>
              </w:rPr>
              <w:t> </w:t>
            </w:r>
          </w:p>
        </w:tc>
      </w:tr>
      <w:tr w:rsidR="00000000" w14:paraId="55602142" w14:textId="77777777">
        <w:tc>
          <w:tcPr>
            <w:tcW w:w="0" w:type="auto"/>
            <w:shd w:val="clear" w:color="auto" w:fill="CCEEFF"/>
            <w:vAlign w:val="bottom"/>
            <w:hideMark/>
          </w:tcPr>
          <w:p w14:paraId="716F97C2" w14:textId="77777777" w:rsidR="00000000" w:rsidRDefault="00D6065B">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14:paraId="611DD38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8CB2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70465" w14:textId="77777777" w:rsidR="00000000" w:rsidRDefault="00D6065B">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14:paraId="09604D05"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7760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B93F7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C52E25"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48820D3" w14:textId="77777777" w:rsidR="00000000" w:rsidRDefault="00D6065B">
            <w:pPr>
              <w:rPr>
                <w:rFonts w:eastAsia="Times New Roman"/>
                <w:sz w:val="20"/>
                <w:szCs w:val="20"/>
              </w:rPr>
            </w:pPr>
            <w:r>
              <w:rPr>
                <w:rFonts w:eastAsia="Times New Roman"/>
                <w:sz w:val="20"/>
                <w:szCs w:val="20"/>
              </w:rPr>
              <w:t> </w:t>
            </w:r>
          </w:p>
        </w:tc>
      </w:tr>
      <w:tr w:rsidR="00000000" w14:paraId="1AA95E64" w14:textId="77777777">
        <w:tc>
          <w:tcPr>
            <w:tcW w:w="0" w:type="auto"/>
            <w:shd w:val="clear" w:color="auto" w:fill="FFFFFF"/>
            <w:tcMar>
              <w:top w:w="0" w:type="dxa"/>
              <w:left w:w="0" w:type="dxa"/>
              <w:bottom w:w="30" w:type="dxa"/>
              <w:right w:w="0" w:type="dxa"/>
            </w:tcMar>
            <w:vAlign w:val="bottom"/>
            <w:hideMark/>
          </w:tcPr>
          <w:p w14:paraId="63E8BC50" w14:textId="77777777" w:rsidR="00000000" w:rsidRDefault="00D6065B">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14:paraId="728D330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EACDC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E56DD1" w14:textId="77777777" w:rsidR="00000000" w:rsidRDefault="00D6065B">
            <w:pPr>
              <w:jc w:val="right"/>
              <w:rPr>
                <w:rFonts w:eastAsia="Times New Roman"/>
                <w:sz w:val="20"/>
                <w:szCs w:val="20"/>
              </w:rPr>
            </w:pPr>
            <w:r>
              <w:rPr>
                <w:rFonts w:eastAsia="Times New Roman"/>
                <w:sz w:val="20"/>
                <w:szCs w:val="20"/>
              </w:rPr>
              <w:t>(176,295</w:t>
            </w:r>
          </w:p>
        </w:tc>
        <w:tc>
          <w:tcPr>
            <w:tcW w:w="0" w:type="auto"/>
            <w:shd w:val="clear" w:color="auto" w:fill="FFFFFF"/>
            <w:tcMar>
              <w:top w:w="0" w:type="dxa"/>
              <w:left w:w="0" w:type="dxa"/>
              <w:bottom w:w="30" w:type="dxa"/>
              <w:right w:w="0" w:type="dxa"/>
            </w:tcMar>
            <w:vAlign w:val="bottom"/>
            <w:hideMark/>
          </w:tcPr>
          <w:p w14:paraId="33B29D94"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654088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D769F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085962"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259D0BB" w14:textId="77777777" w:rsidR="00000000" w:rsidRDefault="00D6065B">
            <w:pPr>
              <w:rPr>
                <w:rFonts w:eastAsia="Times New Roman"/>
                <w:sz w:val="20"/>
                <w:szCs w:val="20"/>
              </w:rPr>
            </w:pPr>
            <w:r>
              <w:rPr>
                <w:rFonts w:eastAsia="Times New Roman"/>
                <w:sz w:val="20"/>
                <w:szCs w:val="20"/>
              </w:rPr>
              <w:t> </w:t>
            </w:r>
          </w:p>
        </w:tc>
      </w:tr>
      <w:tr w:rsidR="00000000" w14:paraId="53F5CFC9" w14:textId="77777777">
        <w:tc>
          <w:tcPr>
            <w:tcW w:w="0" w:type="auto"/>
            <w:shd w:val="clear" w:color="auto" w:fill="CCEEFF"/>
            <w:tcMar>
              <w:top w:w="0" w:type="dxa"/>
              <w:left w:w="0" w:type="dxa"/>
              <w:bottom w:w="50" w:type="dxa"/>
              <w:right w:w="0" w:type="dxa"/>
            </w:tcMar>
            <w:vAlign w:val="bottom"/>
            <w:hideMark/>
          </w:tcPr>
          <w:p w14:paraId="6E96EE9A" w14:textId="77777777" w:rsidR="00000000" w:rsidRDefault="00D6065B">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14:paraId="2F4C86B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5D86B81"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AA0EB9B" w14:textId="77777777" w:rsidR="00000000" w:rsidRDefault="00D6065B">
            <w:pPr>
              <w:jc w:val="right"/>
              <w:rPr>
                <w:rFonts w:eastAsia="Times New Roman"/>
                <w:sz w:val="20"/>
                <w:szCs w:val="20"/>
              </w:rPr>
            </w:pPr>
            <w:r>
              <w:rPr>
                <w:rFonts w:eastAsia="Times New Roman"/>
                <w:sz w:val="20"/>
                <w:szCs w:val="20"/>
              </w:rPr>
              <w:t>(59,601</w:t>
            </w:r>
          </w:p>
        </w:tc>
        <w:tc>
          <w:tcPr>
            <w:tcW w:w="0" w:type="auto"/>
            <w:shd w:val="clear" w:color="auto" w:fill="CCEEFF"/>
            <w:tcMar>
              <w:top w:w="0" w:type="dxa"/>
              <w:left w:w="0" w:type="dxa"/>
              <w:bottom w:w="50" w:type="dxa"/>
              <w:right w:w="0" w:type="dxa"/>
            </w:tcMar>
            <w:vAlign w:val="bottom"/>
            <w:hideMark/>
          </w:tcPr>
          <w:p w14:paraId="0A7B9EE9"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8BFF0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C373BA"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13B8BA7" w14:textId="77777777" w:rsidR="00000000" w:rsidRDefault="00D6065B">
            <w:pPr>
              <w:jc w:val="right"/>
              <w:rPr>
                <w:rFonts w:eastAsia="Times New Roman"/>
                <w:sz w:val="20"/>
                <w:szCs w:val="20"/>
              </w:rPr>
            </w:pPr>
            <w:r>
              <w:rPr>
                <w:rFonts w:eastAsia="Times New Roman"/>
                <w:sz w:val="20"/>
                <w:szCs w:val="20"/>
              </w:rPr>
              <w:t>(270,491</w:t>
            </w:r>
          </w:p>
        </w:tc>
        <w:tc>
          <w:tcPr>
            <w:tcW w:w="0" w:type="auto"/>
            <w:shd w:val="clear" w:color="auto" w:fill="CCEEFF"/>
            <w:tcMar>
              <w:top w:w="0" w:type="dxa"/>
              <w:left w:w="0" w:type="dxa"/>
              <w:bottom w:w="50" w:type="dxa"/>
              <w:right w:w="0" w:type="dxa"/>
            </w:tcMar>
            <w:vAlign w:val="bottom"/>
            <w:hideMark/>
          </w:tcPr>
          <w:p w14:paraId="04693A7F" w14:textId="77777777" w:rsidR="00000000" w:rsidRDefault="00D6065B">
            <w:pPr>
              <w:rPr>
                <w:rFonts w:eastAsia="Times New Roman"/>
                <w:sz w:val="20"/>
                <w:szCs w:val="20"/>
              </w:rPr>
            </w:pPr>
            <w:r>
              <w:rPr>
                <w:rFonts w:eastAsia="Times New Roman"/>
                <w:sz w:val="20"/>
                <w:szCs w:val="20"/>
              </w:rPr>
              <w:t>)</w:t>
            </w:r>
          </w:p>
        </w:tc>
      </w:tr>
    </w:tbl>
    <w:p w14:paraId="18312DF6" w14:textId="77777777" w:rsidR="00000000" w:rsidRDefault="00D6065B">
      <w:pPr>
        <w:pStyle w:val="a3"/>
        <w:spacing w:before="0" w:beforeAutospacing="0" w:after="0" w:afterAutospacing="0"/>
        <w:ind w:firstLine="720"/>
        <w:rPr>
          <w:sz w:val="20"/>
          <w:szCs w:val="20"/>
        </w:rPr>
      </w:pPr>
      <w:r>
        <w:rPr>
          <w:sz w:val="20"/>
          <w:szCs w:val="20"/>
        </w:rPr>
        <w:t> </w:t>
      </w:r>
    </w:p>
    <w:p w14:paraId="31BCE4F9" w14:textId="77777777" w:rsidR="00000000" w:rsidRDefault="00D6065B">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six months ended June 30, 2021 varied from the six months ended June 30, 2020 primarily due to a decrease in interest expense from $273,491 for the six months ended June 30, 2020 to $13,051 for the six months ended June 30, 2021 as</w:t>
      </w:r>
      <w:r>
        <w:rPr>
          <w:sz w:val="20"/>
          <w:szCs w:val="20"/>
        </w:rPr>
        <w:t xml:space="preserve"> a result of conversions of notes payable. The majority of the interest recorded by the Company consists of amortization of debt discount, BCF discount and the exchange premium resulting in additional shares to the noteholders on conversion. In addition, t</w:t>
      </w:r>
      <w:r>
        <w:rPr>
          <w:sz w:val="20"/>
          <w:szCs w:val="20"/>
        </w:rPr>
        <w:t>he Company converted a note in January 2021 which resulted in a loss on conversion and recognized a gain on forgiveness of debt on old payables as they satisfied the agreement with this vendor to pay a portion of the payable with the remaining amount forgi</w:t>
      </w:r>
      <w:r>
        <w:rPr>
          <w:sz w:val="20"/>
          <w:szCs w:val="20"/>
        </w:rPr>
        <w:t>ven.</w:t>
      </w:r>
    </w:p>
    <w:p w14:paraId="36A8FD8C" w14:textId="77777777" w:rsidR="00000000" w:rsidRDefault="00D6065B">
      <w:pPr>
        <w:pStyle w:val="a3"/>
        <w:spacing w:before="0" w:beforeAutospacing="0" w:after="0" w:afterAutospacing="0"/>
        <w:jc w:val="both"/>
        <w:rPr>
          <w:sz w:val="20"/>
          <w:szCs w:val="20"/>
        </w:rPr>
      </w:pPr>
      <w:r>
        <w:rPr>
          <w:sz w:val="20"/>
          <w:szCs w:val="20"/>
        </w:rPr>
        <w:t> </w:t>
      </w:r>
    </w:p>
    <w:p w14:paraId="0C13BC94" w14:textId="77777777" w:rsidR="00000000" w:rsidRDefault="00D6065B">
      <w:pPr>
        <w:pStyle w:val="a3"/>
        <w:spacing w:before="0" w:beforeAutospacing="0" w:after="0" w:afterAutospacing="0"/>
        <w:jc w:val="both"/>
        <w:rPr>
          <w:sz w:val="20"/>
          <w:szCs w:val="20"/>
        </w:rPr>
      </w:pPr>
      <w:r>
        <w:rPr>
          <w:b/>
          <w:bCs/>
          <w:i/>
          <w:iCs/>
          <w:sz w:val="20"/>
          <w:szCs w:val="20"/>
          <w:u w:val="single"/>
        </w:rPr>
        <w:t>Net Loss</w:t>
      </w:r>
    </w:p>
    <w:p w14:paraId="6C362FA3" w14:textId="77777777" w:rsidR="00000000" w:rsidRDefault="00D6065B">
      <w:pPr>
        <w:pStyle w:val="a3"/>
        <w:spacing w:before="0" w:beforeAutospacing="0" w:after="0" w:afterAutospacing="0"/>
        <w:ind w:firstLine="720"/>
        <w:jc w:val="both"/>
        <w:rPr>
          <w:sz w:val="20"/>
          <w:szCs w:val="20"/>
        </w:rPr>
      </w:pPr>
      <w:r>
        <w:rPr>
          <w:sz w:val="20"/>
          <w:szCs w:val="20"/>
        </w:rPr>
        <w:t> </w:t>
      </w:r>
    </w:p>
    <w:p w14:paraId="75CE710E" w14:textId="77777777" w:rsidR="00000000" w:rsidRDefault="00D6065B">
      <w:pPr>
        <w:pStyle w:val="a3"/>
        <w:spacing w:before="0" w:beforeAutospacing="0" w:after="0" w:afterAutospacing="0"/>
        <w:ind w:firstLine="720"/>
        <w:jc w:val="both"/>
        <w:rPr>
          <w:sz w:val="20"/>
          <w:szCs w:val="20"/>
        </w:rPr>
      </w:pPr>
      <w:r>
        <w:rPr>
          <w:sz w:val="20"/>
          <w:szCs w:val="20"/>
        </w:rPr>
        <w:t>Our net loss for the six months ended June 30, 2021 and 2020 was $(2,148,376) and $(519,318), respectively.</w:t>
      </w:r>
    </w:p>
    <w:p w14:paraId="0BD41535" w14:textId="77777777" w:rsidR="00000000" w:rsidRDefault="00D6065B">
      <w:pPr>
        <w:pStyle w:val="a3"/>
        <w:spacing w:before="0" w:beforeAutospacing="0" w:after="0" w:afterAutospacing="0"/>
        <w:jc w:val="both"/>
        <w:rPr>
          <w:sz w:val="20"/>
          <w:szCs w:val="20"/>
        </w:rPr>
      </w:pPr>
      <w:r>
        <w:rPr>
          <w:sz w:val="20"/>
          <w:szCs w:val="20"/>
        </w:rPr>
        <w:t> </w:t>
      </w:r>
    </w:p>
    <w:p w14:paraId="623E541D" w14:textId="77777777" w:rsidR="00000000" w:rsidRDefault="00D6065B">
      <w:pPr>
        <w:pStyle w:val="a3"/>
        <w:spacing w:before="0" w:beforeAutospacing="0" w:after="0" w:afterAutospacing="0"/>
        <w:jc w:val="both"/>
        <w:rPr>
          <w:sz w:val="20"/>
          <w:szCs w:val="20"/>
        </w:rPr>
      </w:pPr>
      <w:r>
        <w:rPr>
          <w:b/>
          <w:bCs/>
          <w:i/>
          <w:iCs/>
          <w:sz w:val="20"/>
          <w:szCs w:val="20"/>
          <w:u w:val="single"/>
        </w:rPr>
        <w:t>Comparison of the Three Months Ended June 30, 2021 and 2020</w:t>
      </w:r>
    </w:p>
    <w:p w14:paraId="0C2DCFC7" w14:textId="77777777" w:rsidR="00000000" w:rsidRDefault="00D6065B">
      <w:pPr>
        <w:pStyle w:val="a3"/>
        <w:spacing w:before="0" w:beforeAutospacing="0" w:after="0" w:afterAutospacing="0"/>
        <w:ind w:firstLine="720"/>
        <w:jc w:val="both"/>
        <w:rPr>
          <w:sz w:val="20"/>
          <w:szCs w:val="20"/>
        </w:rPr>
      </w:pPr>
      <w:r>
        <w:rPr>
          <w:sz w:val="20"/>
          <w:szCs w:val="20"/>
        </w:rPr>
        <w:t> </w:t>
      </w:r>
    </w:p>
    <w:p w14:paraId="5488C6B4" w14:textId="77777777" w:rsidR="00000000" w:rsidRDefault="00D6065B">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our statements of operations for the three months ended June 30, 2021 and 2020:</w:t>
      </w:r>
    </w:p>
    <w:p w14:paraId="1E3BD730"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224B9B2F" w14:textId="77777777">
        <w:tc>
          <w:tcPr>
            <w:tcW w:w="0" w:type="auto"/>
            <w:tcMar>
              <w:top w:w="0" w:type="dxa"/>
              <w:left w:w="0" w:type="dxa"/>
              <w:bottom w:w="30" w:type="dxa"/>
              <w:right w:w="0" w:type="dxa"/>
            </w:tcMar>
            <w:vAlign w:val="bottom"/>
            <w:hideMark/>
          </w:tcPr>
          <w:p w14:paraId="78BB0036"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904052A"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A46E550" w14:textId="77777777" w:rsidR="00000000" w:rsidRDefault="00D6065B">
            <w:pPr>
              <w:jc w:val="center"/>
              <w:rPr>
                <w:rFonts w:eastAsia="Times New Roman"/>
                <w:sz w:val="20"/>
                <w:szCs w:val="20"/>
              </w:rPr>
            </w:pPr>
            <w:r>
              <w:rPr>
                <w:rFonts w:eastAsia="Times New Roman"/>
                <w:sz w:val="20"/>
                <w:szCs w:val="20"/>
              </w:rPr>
              <w:t>Three Months Ended June 30, 2021</w:t>
            </w:r>
          </w:p>
        </w:tc>
        <w:tc>
          <w:tcPr>
            <w:tcW w:w="0" w:type="auto"/>
            <w:tcMar>
              <w:top w:w="0" w:type="dxa"/>
              <w:left w:w="0" w:type="dxa"/>
              <w:bottom w:w="30" w:type="dxa"/>
              <w:right w:w="0" w:type="dxa"/>
            </w:tcMar>
            <w:vAlign w:val="bottom"/>
            <w:hideMark/>
          </w:tcPr>
          <w:p w14:paraId="3CD80BB9"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4693FE"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9A864AA" w14:textId="77777777" w:rsidR="00000000" w:rsidRDefault="00D6065B">
            <w:pPr>
              <w:jc w:val="center"/>
              <w:rPr>
                <w:rFonts w:eastAsia="Times New Roman"/>
                <w:sz w:val="20"/>
                <w:szCs w:val="20"/>
              </w:rPr>
            </w:pPr>
            <w:r>
              <w:rPr>
                <w:rFonts w:eastAsia="Times New Roman"/>
                <w:sz w:val="20"/>
                <w:szCs w:val="20"/>
              </w:rPr>
              <w:t>Three Months Ended June 30, 2020</w:t>
            </w:r>
          </w:p>
        </w:tc>
        <w:tc>
          <w:tcPr>
            <w:tcW w:w="0" w:type="auto"/>
            <w:tcMar>
              <w:top w:w="0" w:type="dxa"/>
              <w:left w:w="0" w:type="dxa"/>
              <w:bottom w:w="30" w:type="dxa"/>
              <w:right w:w="0" w:type="dxa"/>
            </w:tcMar>
            <w:vAlign w:val="bottom"/>
            <w:hideMark/>
          </w:tcPr>
          <w:p w14:paraId="4C2AD574" w14:textId="77777777" w:rsidR="00000000" w:rsidRDefault="00D6065B">
            <w:pPr>
              <w:rPr>
                <w:rFonts w:eastAsia="Times New Roman"/>
                <w:sz w:val="20"/>
                <w:szCs w:val="20"/>
              </w:rPr>
            </w:pPr>
            <w:r>
              <w:rPr>
                <w:rFonts w:eastAsia="Times New Roman"/>
                <w:sz w:val="20"/>
                <w:szCs w:val="20"/>
              </w:rPr>
              <w:t> </w:t>
            </w:r>
          </w:p>
        </w:tc>
      </w:tr>
      <w:tr w:rsidR="00000000" w14:paraId="5F8D436F" w14:textId="77777777">
        <w:tc>
          <w:tcPr>
            <w:tcW w:w="0" w:type="auto"/>
            <w:shd w:val="clear" w:color="auto" w:fill="CCEEFF"/>
            <w:vAlign w:val="bottom"/>
            <w:hideMark/>
          </w:tcPr>
          <w:p w14:paraId="498D1DF6" w14:textId="77777777" w:rsidR="00000000" w:rsidRDefault="00D6065B">
            <w:pPr>
              <w:rPr>
                <w:rFonts w:eastAsia="Times New Roman"/>
                <w:sz w:val="20"/>
                <w:szCs w:val="20"/>
              </w:rPr>
            </w:pPr>
            <w:r>
              <w:rPr>
                <w:rFonts w:eastAsia="Times New Roman"/>
                <w:sz w:val="20"/>
                <w:szCs w:val="20"/>
              </w:rPr>
              <w:t>Revenues</w:t>
            </w:r>
          </w:p>
        </w:tc>
        <w:tc>
          <w:tcPr>
            <w:tcW w:w="0" w:type="auto"/>
            <w:shd w:val="clear" w:color="auto" w:fill="CCEEFF"/>
            <w:vAlign w:val="bottom"/>
            <w:hideMark/>
          </w:tcPr>
          <w:p w14:paraId="45C32F9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04DFA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120443C3"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8A857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928EB"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3B6BC"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7EE60B68"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508F10" w14:textId="77777777" w:rsidR="00000000" w:rsidRDefault="00D6065B">
            <w:pPr>
              <w:rPr>
                <w:rFonts w:eastAsia="Times New Roman"/>
                <w:sz w:val="20"/>
                <w:szCs w:val="20"/>
              </w:rPr>
            </w:pPr>
            <w:r>
              <w:rPr>
                <w:rFonts w:eastAsia="Times New Roman"/>
                <w:sz w:val="20"/>
                <w:szCs w:val="20"/>
              </w:rPr>
              <w:t> </w:t>
            </w:r>
          </w:p>
        </w:tc>
      </w:tr>
      <w:tr w:rsidR="00000000" w14:paraId="1E1DBA9E" w14:textId="77777777">
        <w:tc>
          <w:tcPr>
            <w:tcW w:w="3000" w:type="pct"/>
            <w:shd w:val="clear" w:color="auto" w:fill="FFFFFF"/>
            <w:tcMar>
              <w:top w:w="0" w:type="dxa"/>
              <w:left w:w="0" w:type="dxa"/>
              <w:bottom w:w="30" w:type="dxa"/>
              <w:right w:w="0" w:type="dxa"/>
            </w:tcMar>
            <w:vAlign w:val="bottom"/>
            <w:hideMark/>
          </w:tcPr>
          <w:p w14:paraId="4960E55F" w14:textId="77777777" w:rsidR="00000000" w:rsidRDefault="00D6065B">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14:paraId="254C4481"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79ECDE47" w14:textId="77777777" w:rsidR="00000000" w:rsidRDefault="00D6065B">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0F184CB2" w14:textId="77777777" w:rsidR="00000000" w:rsidRDefault="00D6065B">
            <w:pPr>
              <w:jc w:val="right"/>
              <w:rPr>
                <w:rFonts w:eastAsia="Times New Roman"/>
                <w:sz w:val="20"/>
                <w:szCs w:val="20"/>
              </w:rPr>
            </w:pPr>
            <w:r>
              <w:rPr>
                <w:rFonts w:eastAsia="Times New Roman"/>
                <w:sz w:val="20"/>
                <w:szCs w:val="20"/>
              </w:rPr>
              <w:t>(1,853,685</w:t>
            </w:r>
          </w:p>
        </w:tc>
        <w:tc>
          <w:tcPr>
            <w:tcW w:w="50" w:type="pct"/>
            <w:shd w:val="clear" w:color="auto" w:fill="FFFFFF"/>
            <w:tcMar>
              <w:top w:w="0" w:type="dxa"/>
              <w:left w:w="0" w:type="dxa"/>
              <w:bottom w:w="30" w:type="dxa"/>
              <w:right w:w="0" w:type="dxa"/>
            </w:tcMar>
            <w:vAlign w:val="bottom"/>
            <w:hideMark/>
          </w:tcPr>
          <w:p w14:paraId="324308BB" w14:textId="77777777" w:rsidR="00000000" w:rsidRDefault="00D6065B">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50B2AD06" w14:textId="77777777" w:rsidR="00000000" w:rsidRDefault="00D6065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71A496C5" w14:textId="77777777" w:rsidR="00000000" w:rsidRDefault="00D6065B">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5238EA5E" w14:textId="77777777" w:rsidR="00000000" w:rsidRDefault="00D6065B">
            <w:pPr>
              <w:jc w:val="right"/>
              <w:rPr>
                <w:rFonts w:eastAsia="Times New Roman"/>
                <w:sz w:val="20"/>
                <w:szCs w:val="20"/>
              </w:rPr>
            </w:pPr>
            <w:r>
              <w:rPr>
                <w:rFonts w:eastAsia="Times New Roman"/>
                <w:sz w:val="20"/>
                <w:szCs w:val="20"/>
              </w:rPr>
              <w:t>(128,453</w:t>
            </w:r>
          </w:p>
        </w:tc>
        <w:tc>
          <w:tcPr>
            <w:tcW w:w="50" w:type="pct"/>
            <w:shd w:val="clear" w:color="auto" w:fill="FFFFFF"/>
            <w:tcMar>
              <w:top w:w="0" w:type="dxa"/>
              <w:left w:w="0" w:type="dxa"/>
              <w:bottom w:w="30" w:type="dxa"/>
              <w:right w:w="0" w:type="dxa"/>
            </w:tcMar>
            <w:vAlign w:val="bottom"/>
            <w:hideMark/>
          </w:tcPr>
          <w:p w14:paraId="6C83FA14" w14:textId="77777777" w:rsidR="00000000" w:rsidRDefault="00D6065B">
            <w:pPr>
              <w:rPr>
                <w:rFonts w:eastAsia="Times New Roman"/>
                <w:sz w:val="20"/>
                <w:szCs w:val="20"/>
              </w:rPr>
            </w:pPr>
            <w:r>
              <w:rPr>
                <w:rFonts w:eastAsia="Times New Roman"/>
                <w:sz w:val="20"/>
                <w:szCs w:val="20"/>
              </w:rPr>
              <w:t>)</w:t>
            </w:r>
          </w:p>
        </w:tc>
      </w:tr>
      <w:tr w:rsidR="00000000" w14:paraId="5AF098E9" w14:textId="77777777">
        <w:tc>
          <w:tcPr>
            <w:tcW w:w="0" w:type="auto"/>
            <w:shd w:val="clear" w:color="auto" w:fill="CCEEFF"/>
            <w:vAlign w:val="bottom"/>
            <w:hideMark/>
          </w:tcPr>
          <w:p w14:paraId="758D01DB" w14:textId="77777777" w:rsidR="00000000" w:rsidRDefault="00D6065B">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3D8D332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F1590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16246" w14:textId="77777777" w:rsidR="00000000" w:rsidRDefault="00D6065B">
            <w:pPr>
              <w:jc w:val="right"/>
              <w:rPr>
                <w:rFonts w:eastAsia="Times New Roman"/>
                <w:sz w:val="20"/>
                <w:szCs w:val="20"/>
              </w:rPr>
            </w:pPr>
            <w:r>
              <w:rPr>
                <w:rFonts w:eastAsia="Times New Roman"/>
                <w:sz w:val="20"/>
                <w:szCs w:val="20"/>
              </w:rPr>
              <w:t>(1,853,685</w:t>
            </w:r>
          </w:p>
        </w:tc>
        <w:tc>
          <w:tcPr>
            <w:tcW w:w="0" w:type="auto"/>
            <w:shd w:val="clear" w:color="auto" w:fill="CCEEFF"/>
            <w:vAlign w:val="bottom"/>
            <w:hideMark/>
          </w:tcPr>
          <w:p w14:paraId="2453CD4E"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vAlign w:val="bottom"/>
            <w:hideMark/>
          </w:tcPr>
          <w:p w14:paraId="3DF7F3D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1788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9F0EC" w14:textId="77777777" w:rsidR="00000000" w:rsidRDefault="00D6065B">
            <w:pPr>
              <w:jc w:val="right"/>
              <w:rPr>
                <w:rFonts w:eastAsia="Times New Roman"/>
                <w:sz w:val="20"/>
                <w:szCs w:val="20"/>
              </w:rPr>
            </w:pPr>
            <w:r>
              <w:rPr>
                <w:rFonts w:eastAsia="Times New Roman"/>
                <w:sz w:val="20"/>
                <w:szCs w:val="20"/>
              </w:rPr>
              <w:t>(128,453</w:t>
            </w:r>
          </w:p>
        </w:tc>
        <w:tc>
          <w:tcPr>
            <w:tcW w:w="0" w:type="auto"/>
            <w:shd w:val="clear" w:color="auto" w:fill="CCEEFF"/>
            <w:vAlign w:val="bottom"/>
            <w:hideMark/>
          </w:tcPr>
          <w:p w14:paraId="22EC366C" w14:textId="77777777" w:rsidR="00000000" w:rsidRDefault="00D6065B">
            <w:pPr>
              <w:rPr>
                <w:rFonts w:eastAsia="Times New Roman"/>
                <w:sz w:val="20"/>
                <w:szCs w:val="20"/>
              </w:rPr>
            </w:pPr>
            <w:r>
              <w:rPr>
                <w:rFonts w:eastAsia="Times New Roman"/>
                <w:sz w:val="20"/>
                <w:szCs w:val="20"/>
              </w:rPr>
              <w:t>)</w:t>
            </w:r>
          </w:p>
        </w:tc>
      </w:tr>
      <w:tr w:rsidR="00000000" w14:paraId="67EA137D" w14:textId="77777777">
        <w:tc>
          <w:tcPr>
            <w:tcW w:w="0" w:type="auto"/>
            <w:shd w:val="clear" w:color="auto" w:fill="FFFFFF"/>
            <w:tcMar>
              <w:top w:w="0" w:type="dxa"/>
              <w:left w:w="0" w:type="dxa"/>
              <w:bottom w:w="30" w:type="dxa"/>
              <w:right w:w="0" w:type="dxa"/>
            </w:tcMar>
            <w:vAlign w:val="bottom"/>
            <w:hideMark/>
          </w:tcPr>
          <w:p w14:paraId="5B270E04" w14:textId="77777777" w:rsidR="00000000" w:rsidRDefault="00D6065B">
            <w:pPr>
              <w:pStyle w:val="a3"/>
              <w:spacing w:before="0" w:beforeAutospacing="0" w:after="0" w:afterAutospacing="0"/>
              <w:rPr>
                <w:sz w:val="20"/>
                <w:szCs w:val="20"/>
              </w:rPr>
            </w:pPr>
            <w:r>
              <w:rPr>
                <w:sz w:val="20"/>
                <w:szCs w:val="20"/>
              </w:rPr>
              <w:t>Non-operating income (expense)</w:t>
            </w:r>
          </w:p>
        </w:tc>
        <w:tc>
          <w:tcPr>
            <w:tcW w:w="0" w:type="auto"/>
            <w:shd w:val="clear" w:color="auto" w:fill="FFFFFF"/>
            <w:tcMar>
              <w:top w:w="0" w:type="dxa"/>
              <w:left w:w="0" w:type="dxa"/>
              <w:bottom w:w="30" w:type="dxa"/>
              <w:right w:w="0" w:type="dxa"/>
            </w:tcMar>
            <w:vAlign w:val="bottom"/>
            <w:hideMark/>
          </w:tcPr>
          <w:p w14:paraId="0451947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B920A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265979" w14:textId="77777777" w:rsidR="00000000" w:rsidRDefault="00D6065B">
            <w:pPr>
              <w:jc w:val="right"/>
              <w:rPr>
                <w:rFonts w:eastAsia="Times New Roman"/>
                <w:sz w:val="20"/>
                <w:szCs w:val="20"/>
              </w:rPr>
            </w:pPr>
            <w:r>
              <w:rPr>
                <w:rFonts w:eastAsia="Times New Roman"/>
                <w:sz w:val="20"/>
                <w:szCs w:val="20"/>
              </w:rPr>
              <w:t>(6,502</w:t>
            </w:r>
          </w:p>
        </w:tc>
        <w:tc>
          <w:tcPr>
            <w:tcW w:w="0" w:type="auto"/>
            <w:shd w:val="clear" w:color="auto" w:fill="FFFFFF"/>
            <w:tcMar>
              <w:top w:w="0" w:type="dxa"/>
              <w:left w:w="0" w:type="dxa"/>
              <w:bottom w:w="30" w:type="dxa"/>
              <w:right w:w="0" w:type="dxa"/>
            </w:tcMar>
            <w:vAlign w:val="bottom"/>
            <w:hideMark/>
          </w:tcPr>
          <w:p w14:paraId="37433047" w14:textId="77777777" w:rsidR="00000000" w:rsidRDefault="00D6065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79FEBE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2A1FF6"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1903CD" w14:textId="77777777" w:rsidR="00000000" w:rsidRDefault="00D6065B">
            <w:pPr>
              <w:jc w:val="right"/>
              <w:rPr>
                <w:rFonts w:eastAsia="Times New Roman"/>
                <w:sz w:val="20"/>
                <w:szCs w:val="20"/>
              </w:rPr>
            </w:pPr>
            <w:r>
              <w:rPr>
                <w:rFonts w:eastAsia="Times New Roman"/>
                <w:sz w:val="20"/>
                <w:szCs w:val="20"/>
              </w:rPr>
              <w:t>(30,634</w:t>
            </w:r>
          </w:p>
        </w:tc>
        <w:tc>
          <w:tcPr>
            <w:tcW w:w="0" w:type="auto"/>
            <w:shd w:val="clear" w:color="auto" w:fill="FFFFFF"/>
            <w:tcMar>
              <w:top w:w="0" w:type="dxa"/>
              <w:left w:w="0" w:type="dxa"/>
              <w:bottom w:w="30" w:type="dxa"/>
              <w:right w:w="0" w:type="dxa"/>
            </w:tcMar>
            <w:vAlign w:val="bottom"/>
            <w:hideMark/>
          </w:tcPr>
          <w:p w14:paraId="1EB38460" w14:textId="77777777" w:rsidR="00000000" w:rsidRDefault="00D6065B">
            <w:pPr>
              <w:rPr>
                <w:rFonts w:eastAsia="Times New Roman"/>
                <w:sz w:val="20"/>
                <w:szCs w:val="20"/>
              </w:rPr>
            </w:pPr>
            <w:r>
              <w:rPr>
                <w:rFonts w:eastAsia="Times New Roman"/>
                <w:sz w:val="20"/>
                <w:szCs w:val="20"/>
              </w:rPr>
              <w:t>)</w:t>
            </w:r>
          </w:p>
        </w:tc>
      </w:tr>
      <w:tr w:rsidR="00000000" w14:paraId="4D60425F" w14:textId="77777777">
        <w:tc>
          <w:tcPr>
            <w:tcW w:w="0" w:type="auto"/>
            <w:shd w:val="clear" w:color="auto" w:fill="CCEEFF"/>
            <w:tcMar>
              <w:top w:w="0" w:type="dxa"/>
              <w:left w:w="0" w:type="dxa"/>
              <w:bottom w:w="50" w:type="dxa"/>
              <w:right w:w="0" w:type="dxa"/>
            </w:tcMar>
            <w:vAlign w:val="bottom"/>
            <w:hideMark/>
          </w:tcPr>
          <w:p w14:paraId="19FAA098" w14:textId="77777777" w:rsidR="00000000" w:rsidRDefault="00D6065B">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3EEF9633"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61F819"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1779B31" w14:textId="77777777" w:rsidR="00000000" w:rsidRDefault="00D6065B">
            <w:pPr>
              <w:jc w:val="right"/>
              <w:rPr>
                <w:rFonts w:eastAsia="Times New Roman"/>
                <w:sz w:val="20"/>
                <w:szCs w:val="20"/>
              </w:rPr>
            </w:pPr>
            <w:r>
              <w:rPr>
                <w:rFonts w:eastAsia="Times New Roman"/>
                <w:sz w:val="20"/>
                <w:szCs w:val="20"/>
              </w:rPr>
              <w:t>(1,860,187</w:t>
            </w:r>
          </w:p>
        </w:tc>
        <w:tc>
          <w:tcPr>
            <w:tcW w:w="0" w:type="auto"/>
            <w:shd w:val="clear" w:color="auto" w:fill="CCEEFF"/>
            <w:tcMar>
              <w:top w:w="0" w:type="dxa"/>
              <w:left w:w="0" w:type="dxa"/>
              <w:bottom w:w="50" w:type="dxa"/>
              <w:right w:w="0" w:type="dxa"/>
            </w:tcMar>
            <w:vAlign w:val="bottom"/>
            <w:hideMark/>
          </w:tcPr>
          <w:p w14:paraId="548984E9"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ABCBDE1"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CD3567"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C86BA5C" w14:textId="77777777" w:rsidR="00000000" w:rsidRDefault="00D6065B">
            <w:pPr>
              <w:jc w:val="right"/>
              <w:rPr>
                <w:rFonts w:eastAsia="Times New Roman"/>
                <w:sz w:val="20"/>
                <w:szCs w:val="20"/>
              </w:rPr>
            </w:pPr>
            <w:r>
              <w:rPr>
                <w:rFonts w:eastAsia="Times New Roman"/>
                <w:sz w:val="20"/>
                <w:szCs w:val="20"/>
              </w:rPr>
              <w:t>(159,087</w:t>
            </w:r>
          </w:p>
        </w:tc>
        <w:tc>
          <w:tcPr>
            <w:tcW w:w="0" w:type="auto"/>
            <w:shd w:val="clear" w:color="auto" w:fill="CCEEFF"/>
            <w:tcMar>
              <w:top w:w="0" w:type="dxa"/>
              <w:left w:w="0" w:type="dxa"/>
              <w:bottom w:w="50" w:type="dxa"/>
              <w:right w:w="0" w:type="dxa"/>
            </w:tcMar>
            <w:vAlign w:val="bottom"/>
            <w:hideMark/>
          </w:tcPr>
          <w:p w14:paraId="37A844B2" w14:textId="77777777" w:rsidR="00000000" w:rsidRDefault="00D6065B">
            <w:pPr>
              <w:rPr>
                <w:rFonts w:eastAsia="Times New Roman"/>
                <w:sz w:val="20"/>
                <w:szCs w:val="20"/>
              </w:rPr>
            </w:pPr>
            <w:r>
              <w:rPr>
                <w:rFonts w:eastAsia="Times New Roman"/>
                <w:sz w:val="20"/>
                <w:szCs w:val="20"/>
              </w:rPr>
              <w:t>)</w:t>
            </w:r>
          </w:p>
        </w:tc>
      </w:tr>
    </w:tbl>
    <w:p w14:paraId="00DF0AF6" w14:textId="77777777" w:rsidR="00000000" w:rsidRDefault="00D6065B">
      <w:pPr>
        <w:pStyle w:val="a3"/>
        <w:spacing w:before="0" w:beforeAutospacing="0" w:after="0" w:afterAutospacing="0"/>
        <w:ind w:firstLine="720"/>
        <w:jc w:val="both"/>
        <w:rPr>
          <w:sz w:val="20"/>
          <w:szCs w:val="20"/>
        </w:rPr>
      </w:pPr>
      <w:r>
        <w:rPr>
          <w:sz w:val="20"/>
          <w:szCs w:val="20"/>
        </w:rPr>
        <w:t> </w:t>
      </w:r>
    </w:p>
    <w:p w14:paraId="07B427AF" w14:textId="77777777" w:rsidR="00000000" w:rsidRDefault="00D6065B">
      <w:pPr>
        <w:pStyle w:val="a3"/>
        <w:spacing w:before="0" w:beforeAutospacing="0" w:after="0" w:afterAutospacing="0"/>
        <w:jc w:val="both"/>
        <w:rPr>
          <w:sz w:val="20"/>
          <w:szCs w:val="20"/>
        </w:rPr>
      </w:pPr>
      <w:r>
        <w:rPr>
          <w:b/>
          <w:bCs/>
          <w:i/>
          <w:iCs/>
          <w:sz w:val="20"/>
          <w:szCs w:val="20"/>
          <w:u w:val="single"/>
        </w:rPr>
        <w:t>Revenue</w:t>
      </w:r>
    </w:p>
    <w:p w14:paraId="25630D6A" w14:textId="77777777" w:rsidR="00000000" w:rsidRDefault="00D6065B">
      <w:pPr>
        <w:pStyle w:val="a3"/>
        <w:spacing w:before="0" w:beforeAutospacing="0" w:after="0" w:afterAutospacing="0"/>
        <w:ind w:firstLine="720"/>
        <w:jc w:val="both"/>
        <w:rPr>
          <w:sz w:val="20"/>
          <w:szCs w:val="20"/>
        </w:rPr>
      </w:pPr>
      <w:r>
        <w:rPr>
          <w:sz w:val="20"/>
          <w:szCs w:val="20"/>
        </w:rPr>
        <w:t> </w:t>
      </w:r>
    </w:p>
    <w:p w14:paraId="64065A42" w14:textId="77777777" w:rsidR="00000000" w:rsidRDefault="00D6065B">
      <w:pPr>
        <w:pStyle w:val="a3"/>
        <w:spacing w:before="0" w:beforeAutospacing="0" w:after="0" w:afterAutospacing="0"/>
        <w:ind w:firstLine="720"/>
        <w:jc w:val="both"/>
        <w:rPr>
          <w:sz w:val="20"/>
          <w:szCs w:val="20"/>
        </w:rPr>
      </w:pPr>
      <w:r>
        <w:rPr>
          <w:sz w:val="20"/>
          <w:szCs w:val="20"/>
        </w:rPr>
        <w:t xml:space="preserve">Revenue </w:t>
      </w:r>
      <w:r>
        <w:rPr>
          <w:sz w:val="20"/>
          <w:szCs w:val="20"/>
        </w:rPr>
        <w:t>was $0 for the three months ended June 30, 2021 and 2020, respectively.</w:t>
      </w:r>
    </w:p>
    <w:p w14:paraId="62C187C1" w14:textId="77777777" w:rsidR="00000000" w:rsidRDefault="00D6065B">
      <w:pPr>
        <w:pStyle w:val="a3"/>
        <w:spacing w:before="0" w:beforeAutospacing="0" w:after="0" w:afterAutospacing="0"/>
        <w:ind w:firstLine="720"/>
        <w:jc w:val="both"/>
        <w:rPr>
          <w:sz w:val="20"/>
          <w:szCs w:val="20"/>
        </w:rPr>
      </w:pPr>
      <w:r>
        <w:rPr>
          <w:sz w:val="20"/>
          <w:szCs w:val="20"/>
        </w:rPr>
        <w:t> </w:t>
      </w:r>
    </w:p>
    <w:p w14:paraId="3581DD51" w14:textId="77777777" w:rsidR="00000000" w:rsidRDefault="00D6065B">
      <w:pPr>
        <w:pStyle w:val="a3"/>
        <w:spacing w:before="0" w:beforeAutospacing="0" w:after="0" w:afterAutospacing="0"/>
        <w:jc w:val="both"/>
        <w:rPr>
          <w:sz w:val="20"/>
          <w:szCs w:val="20"/>
        </w:rPr>
      </w:pPr>
      <w:r>
        <w:rPr>
          <w:b/>
          <w:bCs/>
          <w:i/>
          <w:iCs/>
          <w:sz w:val="20"/>
          <w:szCs w:val="20"/>
          <w:u w:val="single"/>
        </w:rPr>
        <w:t>Operating Expenses</w:t>
      </w:r>
    </w:p>
    <w:p w14:paraId="52143CF9" w14:textId="77777777" w:rsidR="00000000" w:rsidRDefault="00D6065B">
      <w:pPr>
        <w:pStyle w:val="a3"/>
        <w:spacing w:before="0" w:beforeAutospacing="0" w:after="0" w:afterAutospacing="0"/>
        <w:ind w:firstLine="720"/>
        <w:jc w:val="both"/>
        <w:rPr>
          <w:sz w:val="20"/>
          <w:szCs w:val="20"/>
        </w:rPr>
      </w:pPr>
      <w:r>
        <w:rPr>
          <w:sz w:val="20"/>
          <w:szCs w:val="20"/>
        </w:rPr>
        <w:t> </w:t>
      </w:r>
    </w:p>
    <w:p w14:paraId="6D740069" w14:textId="77777777" w:rsidR="00000000" w:rsidRDefault="00D6065B">
      <w:pPr>
        <w:pStyle w:val="a3"/>
        <w:spacing w:before="0" w:beforeAutospacing="0" w:after="0" w:afterAutospacing="0"/>
        <w:ind w:firstLine="720"/>
        <w:jc w:val="both"/>
        <w:rPr>
          <w:sz w:val="20"/>
          <w:szCs w:val="20"/>
        </w:rPr>
      </w:pPr>
      <w:r>
        <w:rPr>
          <w:sz w:val="20"/>
          <w:szCs w:val="20"/>
        </w:rPr>
        <w:t>Operating expenses for the three months ended June 30, 2021 and 2020, respectively consists of the following:</w:t>
      </w:r>
    </w:p>
    <w:p w14:paraId="1640A1D3"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683738E3" w14:textId="77777777">
        <w:tc>
          <w:tcPr>
            <w:tcW w:w="0" w:type="auto"/>
            <w:tcMar>
              <w:top w:w="0" w:type="dxa"/>
              <w:left w:w="0" w:type="dxa"/>
              <w:bottom w:w="30" w:type="dxa"/>
              <w:right w:w="0" w:type="dxa"/>
            </w:tcMar>
            <w:vAlign w:val="bottom"/>
            <w:hideMark/>
          </w:tcPr>
          <w:p w14:paraId="488CE1DC"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C19654"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0B0F374" w14:textId="77777777" w:rsidR="00000000" w:rsidRDefault="00D6065B">
            <w:pPr>
              <w:jc w:val="center"/>
              <w:rPr>
                <w:rFonts w:eastAsia="Times New Roman"/>
                <w:sz w:val="20"/>
                <w:szCs w:val="20"/>
              </w:rPr>
            </w:pPr>
            <w:r>
              <w:rPr>
                <w:rFonts w:eastAsia="Times New Roman"/>
                <w:sz w:val="20"/>
                <w:szCs w:val="20"/>
              </w:rPr>
              <w:t>Three months ended June 30, 2021</w:t>
            </w:r>
          </w:p>
        </w:tc>
        <w:tc>
          <w:tcPr>
            <w:tcW w:w="0" w:type="auto"/>
            <w:tcMar>
              <w:top w:w="0" w:type="dxa"/>
              <w:left w:w="0" w:type="dxa"/>
              <w:bottom w:w="30" w:type="dxa"/>
              <w:right w:w="0" w:type="dxa"/>
            </w:tcMar>
            <w:vAlign w:val="bottom"/>
            <w:hideMark/>
          </w:tcPr>
          <w:p w14:paraId="3F7861F0"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5201E4"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D1F492A" w14:textId="77777777" w:rsidR="00000000" w:rsidRDefault="00D6065B">
            <w:pPr>
              <w:jc w:val="center"/>
              <w:rPr>
                <w:rFonts w:eastAsia="Times New Roman"/>
                <w:sz w:val="20"/>
                <w:szCs w:val="20"/>
              </w:rPr>
            </w:pPr>
            <w:r>
              <w:rPr>
                <w:rFonts w:eastAsia="Times New Roman"/>
                <w:sz w:val="20"/>
                <w:szCs w:val="20"/>
              </w:rPr>
              <w:t>Three months ended June 30, 2020</w:t>
            </w:r>
          </w:p>
        </w:tc>
        <w:tc>
          <w:tcPr>
            <w:tcW w:w="0" w:type="auto"/>
            <w:tcMar>
              <w:top w:w="0" w:type="dxa"/>
              <w:left w:w="0" w:type="dxa"/>
              <w:bottom w:w="30" w:type="dxa"/>
              <w:right w:w="0" w:type="dxa"/>
            </w:tcMar>
            <w:vAlign w:val="bottom"/>
            <w:hideMark/>
          </w:tcPr>
          <w:p w14:paraId="4446B915" w14:textId="77777777" w:rsidR="00000000" w:rsidRDefault="00D6065B">
            <w:pPr>
              <w:rPr>
                <w:rFonts w:eastAsia="Times New Roman"/>
                <w:sz w:val="20"/>
                <w:szCs w:val="20"/>
              </w:rPr>
            </w:pPr>
            <w:r>
              <w:rPr>
                <w:rFonts w:eastAsia="Times New Roman"/>
                <w:sz w:val="20"/>
                <w:szCs w:val="20"/>
              </w:rPr>
              <w:t> </w:t>
            </w:r>
          </w:p>
        </w:tc>
      </w:tr>
      <w:tr w:rsidR="00000000" w14:paraId="00CC12CA" w14:textId="77777777">
        <w:tc>
          <w:tcPr>
            <w:tcW w:w="3000" w:type="pct"/>
            <w:shd w:val="clear" w:color="auto" w:fill="CCEEFF"/>
            <w:vAlign w:val="bottom"/>
            <w:hideMark/>
          </w:tcPr>
          <w:p w14:paraId="298E49A3" w14:textId="77777777" w:rsidR="00000000" w:rsidRDefault="00D6065B">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14:paraId="52ABBEA4"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BD7DE9"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7D940F6F" w14:textId="77777777" w:rsidR="00000000" w:rsidRDefault="00D6065B">
            <w:pPr>
              <w:jc w:val="right"/>
              <w:rPr>
                <w:rFonts w:eastAsia="Times New Roman"/>
                <w:sz w:val="20"/>
                <w:szCs w:val="20"/>
              </w:rPr>
            </w:pPr>
            <w:r>
              <w:rPr>
                <w:rFonts w:eastAsia="Times New Roman"/>
                <w:sz w:val="20"/>
                <w:szCs w:val="20"/>
              </w:rPr>
              <w:t>38,231</w:t>
            </w:r>
          </w:p>
        </w:tc>
        <w:tc>
          <w:tcPr>
            <w:tcW w:w="50" w:type="pct"/>
            <w:shd w:val="clear" w:color="auto" w:fill="CCEEFF"/>
            <w:vAlign w:val="bottom"/>
            <w:hideMark/>
          </w:tcPr>
          <w:p w14:paraId="34211394" w14:textId="77777777" w:rsidR="00000000" w:rsidRDefault="00D6065B">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F8F126"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483D96"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5E6F63DB" w14:textId="77777777" w:rsidR="00000000" w:rsidRDefault="00D6065B">
            <w:pPr>
              <w:jc w:val="right"/>
              <w:rPr>
                <w:rFonts w:eastAsia="Times New Roman"/>
                <w:sz w:val="20"/>
                <w:szCs w:val="20"/>
              </w:rPr>
            </w:pPr>
            <w:r>
              <w:rPr>
                <w:rFonts w:eastAsia="Times New Roman"/>
                <w:sz w:val="20"/>
                <w:szCs w:val="20"/>
              </w:rPr>
              <w:t>57,277</w:t>
            </w:r>
          </w:p>
        </w:tc>
        <w:tc>
          <w:tcPr>
            <w:tcW w:w="50" w:type="pct"/>
            <w:shd w:val="clear" w:color="auto" w:fill="CCEEFF"/>
            <w:vAlign w:val="bottom"/>
            <w:hideMark/>
          </w:tcPr>
          <w:p w14:paraId="7256A385" w14:textId="77777777" w:rsidR="00000000" w:rsidRDefault="00D6065B">
            <w:pPr>
              <w:rPr>
                <w:rFonts w:eastAsia="Times New Roman"/>
                <w:sz w:val="20"/>
                <w:szCs w:val="20"/>
              </w:rPr>
            </w:pPr>
            <w:r>
              <w:rPr>
                <w:rFonts w:eastAsia="Times New Roman"/>
                <w:sz w:val="20"/>
                <w:szCs w:val="20"/>
              </w:rPr>
              <w:t> </w:t>
            </w:r>
          </w:p>
        </w:tc>
      </w:tr>
      <w:tr w:rsidR="00000000" w14:paraId="4B5DDCB8" w14:textId="77777777">
        <w:tc>
          <w:tcPr>
            <w:tcW w:w="0" w:type="auto"/>
            <w:shd w:val="clear" w:color="auto" w:fill="FFFFFF"/>
            <w:vAlign w:val="bottom"/>
            <w:hideMark/>
          </w:tcPr>
          <w:p w14:paraId="2FF99165" w14:textId="77777777" w:rsidR="00000000" w:rsidRDefault="00D6065B">
            <w:pPr>
              <w:rPr>
                <w:rFonts w:eastAsia="Times New Roman"/>
                <w:sz w:val="20"/>
                <w:szCs w:val="20"/>
              </w:rPr>
            </w:pPr>
            <w:r>
              <w:rPr>
                <w:rFonts w:eastAsia="Times New Roman"/>
                <w:sz w:val="20"/>
                <w:szCs w:val="20"/>
              </w:rPr>
              <w:t>Stock-based compensation</w:t>
            </w:r>
          </w:p>
        </w:tc>
        <w:tc>
          <w:tcPr>
            <w:tcW w:w="0" w:type="auto"/>
            <w:shd w:val="clear" w:color="auto" w:fill="FFFFFF"/>
            <w:vAlign w:val="bottom"/>
            <w:hideMark/>
          </w:tcPr>
          <w:p w14:paraId="144BAA8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901E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AAD61" w14:textId="77777777" w:rsidR="00000000" w:rsidRDefault="00D6065B">
            <w:pPr>
              <w:jc w:val="right"/>
              <w:rPr>
                <w:rFonts w:eastAsia="Times New Roman"/>
                <w:sz w:val="20"/>
                <w:szCs w:val="20"/>
              </w:rPr>
            </w:pPr>
            <w:r>
              <w:rPr>
                <w:rFonts w:eastAsia="Times New Roman"/>
                <w:sz w:val="20"/>
                <w:szCs w:val="20"/>
              </w:rPr>
              <w:t>1,614,000</w:t>
            </w:r>
          </w:p>
        </w:tc>
        <w:tc>
          <w:tcPr>
            <w:tcW w:w="0" w:type="auto"/>
            <w:shd w:val="clear" w:color="auto" w:fill="FFFFFF"/>
            <w:vAlign w:val="bottom"/>
            <w:hideMark/>
          </w:tcPr>
          <w:p w14:paraId="3D4A5C1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B05B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71BE3"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5CE92" w14:textId="77777777" w:rsidR="00000000" w:rsidRDefault="00D6065B">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14:paraId="02E2A197" w14:textId="77777777" w:rsidR="00000000" w:rsidRDefault="00D6065B">
            <w:pPr>
              <w:rPr>
                <w:rFonts w:eastAsia="Times New Roman"/>
                <w:sz w:val="20"/>
                <w:szCs w:val="20"/>
              </w:rPr>
            </w:pPr>
            <w:r>
              <w:rPr>
                <w:rFonts w:eastAsia="Times New Roman"/>
                <w:sz w:val="20"/>
                <w:szCs w:val="20"/>
              </w:rPr>
              <w:t> </w:t>
            </w:r>
          </w:p>
        </w:tc>
      </w:tr>
      <w:tr w:rsidR="00000000" w14:paraId="5F2E4291" w14:textId="77777777">
        <w:tc>
          <w:tcPr>
            <w:tcW w:w="0" w:type="auto"/>
            <w:shd w:val="clear" w:color="auto" w:fill="CCEEFF"/>
            <w:vAlign w:val="bottom"/>
            <w:hideMark/>
          </w:tcPr>
          <w:p w14:paraId="6AE967E5" w14:textId="77777777" w:rsidR="00000000" w:rsidRDefault="00D6065B">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14:paraId="1743A00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5DD161"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6449D" w14:textId="77777777" w:rsidR="00000000" w:rsidRDefault="00D6065B">
            <w:pPr>
              <w:jc w:val="right"/>
              <w:rPr>
                <w:rFonts w:eastAsia="Times New Roman"/>
                <w:sz w:val="20"/>
                <w:szCs w:val="20"/>
              </w:rPr>
            </w:pPr>
            <w:r>
              <w:rPr>
                <w:rFonts w:eastAsia="Times New Roman"/>
                <w:sz w:val="20"/>
                <w:szCs w:val="20"/>
              </w:rPr>
              <w:t>82,500</w:t>
            </w:r>
          </w:p>
        </w:tc>
        <w:tc>
          <w:tcPr>
            <w:tcW w:w="0" w:type="auto"/>
            <w:shd w:val="clear" w:color="auto" w:fill="CCEEFF"/>
            <w:vAlign w:val="bottom"/>
            <w:hideMark/>
          </w:tcPr>
          <w:p w14:paraId="56F314B9"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EE74E"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AC7CF8"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430392" w14:textId="77777777" w:rsidR="00000000" w:rsidRDefault="00D6065B">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14:paraId="68ECCAD5" w14:textId="77777777" w:rsidR="00000000" w:rsidRDefault="00D6065B">
            <w:pPr>
              <w:rPr>
                <w:rFonts w:eastAsia="Times New Roman"/>
                <w:sz w:val="20"/>
                <w:szCs w:val="20"/>
              </w:rPr>
            </w:pPr>
            <w:r>
              <w:rPr>
                <w:rFonts w:eastAsia="Times New Roman"/>
                <w:sz w:val="20"/>
                <w:szCs w:val="20"/>
              </w:rPr>
              <w:t> </w:t>
            </w:r>
          </w:p>
        </w:tc>
      </w:tr>
      <w:tr w:rsidR="00000000" w14:paraId="602088BA" w14:textId="77777777">
        <w:tc>
          <w:tcPr>
            <w:tcW w:w="0" w:type="auto"/>
            <w:shd w:val="clear" w:color="auto" w:fill="FFFFFF"/>
            <w:vAlign w:val="bottom"/>
            <w:hideMark/>
          </w:tcPr>
          <w:p w14:paraId="0CBC91D1" w14:textId="77777777" w:rsidR="00000000" w:rsidRDefault="00D6065B">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3932A9EF"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AE19B4"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CED1A" w14:textId="77777777" w:rsidR="00000000" w:rsidRDefault="00D6065B">
            <w:pPr>
              <w:jc w:val="right"/>
              <w:rPr>
                <w:rFonts w:eastAsia="Times New Roman"/>
                <w:sz w:val="20"/>
                <w:szCs w:val="20"/>
              </w:rPr>
            </w:pPr>
            <w:r>
              <w:rPr>
                <w:rFonts w:eastAsia="Times New Roman"/>
                <w:sz w:val="20"/>
                <w:szCs w:val="20"/>
              </w:rPr>
              <w:t>88,624</w:t>
            </w:r>
          </w:p>
        </w:tc>
        <w:tc>
          <w:tcPr>
            <w:tcW w:w="0" w:type="auto"/>
            <w:shd w:val="clear" w:color="auto" w:fill="FFFFFF"/>
            <w:vAlign w:val="bottom"/>
            <w:hideMark/>
          </w:tcPr>
          <w:p w14:paraId="79C0C8B2"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05517"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D3A16"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A12AA" w14:textId="77777777" w:rsidR="00000000" w:rsidRDefault="00D6065B">
            <w:pPr>
              <w:jc w:val="right"/>
              <w:rPr>
                <w:rFonts w:eastAsia="Times New Roman"/>
                <w:sz w:val="20"/>
                <w:szCs w:val="20"/>
              </w:rPr>
            </w:pPr>
            <w:r>
              <w:rPr>
                <w:rFonts w:eastAsia="Times New Roman"/>
                <w:sz w:val="20"/>
                <w:szCs w:val="20"/>
              </w:rPr>
              <w:t>16,397</w:t>
            </w:r>
          </w:p>
        </w:tc>
        <w:tc>
          <w:tcPr>
            <w:tcW w:w="0" w:type="auto"/>
            <w:shd w:val="clear" w:color="auto" w:fill="FFFFFF"/>
            <w:vAlign w:val="bottom"/>
            <w:hideMark/>
          </w:tcPr>
          <w:p w14:paraId="1D4AF833" w14:textId="77777777" w:rsidR="00000000" w:rsidRDefault="00D6065B">
            <w:pPr>
              <w:rPr>
                <w:rFonts w:eastAsia="Times New Roman"/>
                <w:sz w:val="20"/>
                <w:szCs w:val="20"/>
              </w:rPr>
            </w:pPr>
            <w:r>
              <w:rPr>
                <w:rFonts w:eastAsia="Times New Roman"/>
                <w:sz w:val="20"/>
                <w:szCs w:val="20"/>
              </w:rPr>
              <w:t> </w:t>
            </w:r>
          </w:p>
        </w:tc>
      </w:tr>
      <w:tr w:rsidR="00000000" w14:paraId="4A346A95" w14:textId="77777777">
        <w:tc>
          <w:tcPr>
            <w:tcW w:w="0" w:type="auto"/>
            <w:shd w:val="clear" w:color="auto" w:fill="CCEEFF"/>
            <w:tcMar>
              <w:top w:w="0" w:type="dxa"/>
              <w:left w:w="0" w:type="dxa"/>
              <w:bottom w:w="30" w:type="dxa"/>
              <w:right w:w="0" w:type="dxa"/>
            </w:tcMar>
            <w:vAlign w:val="bottom"/>
            <w:hideMark/>
          </w:tcPr>
          <w:p w14:paraId="5B2A3D5B" w14:textId="77777777" w:rsidR="00000000" w:rsidRDefault="00D6065B">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14:paraId="7E80BA93"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829689"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D5C66F" w14:textId="77777777" w:rsidR="00000000" w:rsidRDefault="00D6065B">
            <w:pPr>
              <w:jc w:val="right"/>
              <w:rPr>
                <w:rFonts w:eastAsia="Times New Roman"/>
                <w:sz w:val="20"/>
                <w:szCs w:val="20"/>
              </w:rPr>
            </w:pPr>
            <w:r>
              <w:rPr>
                <w:rFonts w:eastAsia="Times New Roman"/>
                <w:sz w:val="20"/>
                <w:szCs w:val="20"/>
              </w:rPr>
              <w:t>30,330</w:t>
            </w:r>
          </w:p>
        </w:tc>
        <w:tc>
          <w:tcPr>
            <w:tcW w:w="0" w:type="auto"/>
            <w:shd w:val="clear" w:color="auto" w:fill="CCEEFF"/>
            <w:tcMar>
              <w:top w:w="0" w:type="dxa"/>
              <w:left w:w="0" w:type="dxa"/>
              <w:bottom w:w="30" w:type="dxa"/>
              <w:right w:w="0" w:type="dxa"/>
            </w:tcMar>
            <w:vAlign w:val="bottom"/>
            <w:hideMark/>
          </w:tcPr>
          <w:p w14:paraId="632A60C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BD04F1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773585"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4CF513" w14:textId="77777777" w:rsidR="00000000" w:rsidRDefault="00D6065B">
            <w:pPr>
              <w:jc w:val="right"/>
              <w:rPr>
                <w:rFonts w:eastAsia="Times New Roman"/>
                <w:sz w:val="20"/>
                <w:szCs w:val="20"/>
              </w:rPr>
            </w:pPr>
            <w:r>
              <w:rPr>
                <w:rFonts w:eastAsia="Times New Roman"/>
                <w:sz w:val="20"/>
                <w:szCs w:val="20"/>
              </w:rPr>
              <w:t>22,603</w:t>
            </w:r>
          </w:p>
        </w:tc>
        <w:tc>
          <w:tcPr>
            <w:tcW w:w="0" w:type="auto"/>
            <w:shd w:val="clear" w:color="auto" w:fill="CCEEFF"/>
            <w:tcMar>
              <w:top w:w="0" w:type="dxa"/>
              <w:left w:w="0" w:type="dxa"/>
              <w:bottom w:w="30" w:type="dxa"/>
              <w:right w:w="0" w:type="dxa"/>
            </w:tcMar>
            <w:vAlign w:val="bottom"/>
            <w:hideMark/>
          </w:tcPr>
          <w:p w14:paraId="3462B7DD" w14:textId="77777777" w:rsidR="00000000" w:rsidRDefault="00D6065B">
            <w:pPr>
              <w:rPr>
                <w:rFonts w:eastAsia="Times New Roman"/>
                <w:sz w:val="20"/>
                <w:szCs w:val="20"/>
              </w:rPr>
            </w:pPr>
            <w:r>
              <w:rPr>
                <w:rFonts w:eastAsia="Times New Roman"/>
                <w:sz w:val="20"/>
                <w:szCs w:val="20"/>
              </w:rPr>
              <w:t> </w:t>
            </w:r>
          </w:p>
        </w:tc>
      </w:tr>
      <w:tr w:rsidR="00000000" w14:paraId="5B904043" w14:textId="77777777">
        <w:tc>
          <w:tcPr>
            <w:tcW w:w="0" w:type="auto"/>
            <w:shd w:val="clear" w:color="auto" w:fill="FFFFFF"/>
            <w:tcMar>
              <w:top w:w="0" w:type="dxa"/>
              <w:left w:w="0" w:type="dxa"/>
              <w:bottom w:w="50" w:type="dxa"/>
              <w:right w:w="0" w:type="dxa"/>
            </w:tcMar>
            <w:vAlign w:val="bottom"/>
            <w:hideMark/>
          </w:tcPr>
          <w:p w14:paraId="57E9B30A" w14:textId="77777777" w:rsidR="00000000" w:rsidRDefault="00D6065B">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14:paraId="3B866977"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E88C41C"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FD843C2" w14:textId="77777777" w:rsidR="00000000" w:rsidRDefault="00D6065B">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50" w:type="dxa"/>
              <w:right w:w="0" w:type="dxa"/>
            </w:tcMar>
            <w:vAlign w:val="bottom"/>
            <w:hideMark/>
          </w:tcPr>
          <w:p w14:paraId="36AC3E4C"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8DEB4C4"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2C97DCC"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6EBD698" w14:textId="77777777" w:rsidR="00000000" w:rsidRDefault="00D6065B">
            <w:pPr>
              <w:jc w:val="right"/>
              <w:rPr>
                <w:rFonts w:eastAsia="Times New Roman"/>
                <w:sz w:val="20"/>
                <w:szCs w:val="20"/>
              </w:rPr>
            </w:pPr>
            <w:r>
              <w:rPr>
                <w:rFonts w:eastAsia="Times New Roman"/>
                <w:sz w:val="20"/>
                <w:szCs w:val="20"/>
              </w:rPr>
              <w:t>128,453</w:t>
            </w:r>
          </w:p>
        </w:tc>
        <w:tc>
          <w:tcPr>
            <w:tcW w:w="0" w:type="auto"/>
            <w:shd w:val="clear" w:color="auto" w:fill="FFFFFF"/>
            <w:tcMar>
              <w:top w:w="0" w:type="dxa"/>
              <w:left w:w="0" w:type="dxa"/>
              <w:bottom w:w="50" w:type="dxa"/>
              <w:right w:w="0" w:type="dxa"/>
            </w:tcMar>
            <w:vAlign w:val="bottom"/>
            <w:hideMark/>
          </w:tcPr>
          <w:p w14:paraId="00947D1C" w14:textId="77777777" w:rsidR="00000000" w:rsidRDefault="00D6065B">
            <w:pPr>
              <w:rPr>
                <w:rFonts w:eastAsia="Times New Roman"/>
                <w:sz w:val="20"/>
                <w:szCs w:val="20"/>
              </w:rPr>
            </w:pPr>
            <w:r>
              <w:rPr>
                <w:rFonts w:eastAsia="Times New Roman"/>
                <w:sz w:val="20"/>
                <w:szCs w:val="20"/>
              </w:rPr>
              <w:t> </w:t>
            </w:r>
          </w:p>
        </w:tc>
      </w:tr>
    </w:tbl>
    <w:p w14:paraId="47FE20CF" w14:textId="77777777" w:rsidR="00000000" w:rsidRDefault="00D6065B">
      <w:pPr>
        <w:pStyle w:val="a3"/>
        <w:spacing w:before="0" w:beforeAutospacing="0" w:after="0" w:afterAutospacing="0"/>
        <w:rPr>
          <w:sz w:val="20"/>
          <w:szCs w:val="20"/>
        </w:rPr>
      </w:pPr>
      <w:r>
        <w:rPr>
          <w:sz w:val="20"/>
          <w:szCs w:val="20"/>
        </w:rPr>
        <w:t> </w:t>
      </w:r>
    </w:p>
    <w:p w14:paraId="7B3D7BAA" w14:textId="77777777" w:rsidR="00000000" w:rsidRDefault="00D6065B">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June 30, 2021 and 2020 was $1,853,685 and $128,453, respectively. The increase in operating expenses from 2020 to 2021 can be attributed to the decrease in professional fees ($57,277 for the three months ended June 30, 2</w:t>
      </w:r>
      <w:r>
        <w:rPr>
          <w:sz w:val="20"/>
          <w:szCs w:val="20"/>
        </w:rPr>
        <w:t>020 versus $38,231 for the three months ended June 30, 2021) as the Company utilized less services for the consultants engaged; the increase in general and administrative expense ($22,603 for the three months ended June 30, 2020 versus $30,330 for the thre</w:t>
      </w:r>
      <w:r>
        <w:rPr>
          <w:sz w:val="20"/>
          <w:szCs w:val="20"/>
        </w:rPr>
        <w:t>e months ended June 30, 2021); the increase in research and development ($16,397 for the three months ended June 30, 2020 versus $88,624 for the three months ended June 30, 2021) as the Company ramped up the development of their products with the recent ra</w:t>
      </w:r>
      <w:r>
        <w:rPr>
          <w:sz w:val="20"/>
          <w:szCs w:val="20"/>
        </w:rPr>
        <w:t>ising of capital , and an increase in payroll expenses ($30,000 for the three months ended June 30, 2020 versus $82,500 for the three months ended June 30, 2021) related to the deferred compensation criteria in the CEOs employment contract taking effect, a</w:t>
      </w:r>
      <w:r>
        <w:rPr>
          <w:sz w:val="20"/>
          <w:szCs w:val="20"/>
        </w:rPr>
        <w:t>nd an increase in stock-based compensation related to RSUs granted to consultants ($2,176 for the three months ended June 30, 2020 versus $1,614,000 for the three months ended June 30, 2021).</w:t>
      </w:r>
    </w:p>
    <w:p w14:paraId="00BE1A21"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774D8B" w14:textId="77777777">
        <w:trPr>
          <w:divId w:val="2001617695"/>
        </w:trPr>
        <w:tc>
          <w:tcPr>
            <w:tcW w:w="5000" w:type="pct"/>
            <w:hideMark/>
          </w:tcPr>
          <w:p w14:paraId="17FD10B9"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4C6DB2DC" w14:textId="77777777">
        <w:tc>
          <w:tcPr>
            <w:tcW w:w="5000" w:type="pct"/>
            <w:hideMark/>
          </w:tcPr>
          <w:p w14:paraId="15E6A5A7" w14:textId="77777777" w:rsidR="00000000" w:rsidRDefault="00D6065B">
            <w:pPr>
              <w:jc w:val="center"/>
              <w:rPr>
                <w:rFonts w:eastAsia="Times New Roman"/>
                <w:sz w:val="20"/>
                <w:szCs w:val="20"/>
              </w:rPr>
            </w:pPr>
            <w:r>
              <w:rPr>
                <w:rFonts w:eastAsia="Times New Roman"/>
                <w:sz w:val="20"/>
                <w:szCs w:val="20"/>
              </w:rPr>
              <w:t> </w:t>
            </w:r>
          </w:p>
        </w:tc>
      </w:tr>
    </w:tbl>
    <w:p w14:paraId="27738ECB" w14:textId="77777777" w:rsidR="00000000" w:rsidRDefault="00D6065B">
      <w:pPr>
        <w:pStyle w:val="a3"/>
        <w:spacing w:before="0" w:beforeAutospacing="0" w:after="0" w:afterAutospacing="0"/>
        <w:rPr>
          <w:sz w:val="20"/>
          <w:szCs w:val="20"/>
        </w:rPr>
      </w:pPr>
      <w:r>
        <w:rPr>
          <w:sz w:val="20"/>
          <w:szCs w:val="20"/>
        </w:rPr>
        <w:t> </w:t>
      </w:r>
    </w:p>
    <w:p w14:paraId="1739D8AA" w14:textId="77777777" w:rsidR="00000000" w:rsidRDefault="00D6065B">
      <w:pPr>
        <w:pStyle w:val="a3"/>
        <w:spacing w:before="0" w:beforeAutospacing="0" w:after="0" w:afterAutospacing="0"/>
        <w:jc w:val="both"/>
        <w:rPr>
          <w:sz w:val="20"/>
          <w:szCs w:val="20"/>
        </w:rPr>
      </w:pPr>
      <w:r>
        <w:rPr>
          <w:b/>
          <w:bCs/>
          <w:i/>
          <w:iCs/>
          <w:sz w:val="20"/>
          <w:szCs w:val="20"/>
          <w:u w:val="single"/>
        </w:rPr>
        <w:t>Non-Operating Income (Expense)</w:t>
      </w:r>
    </w:p>
    <w:p w14:paraId="2139C036" w14:textId="77777777" w:rsidR="00000000" w:rsidRDefault="00D6065B">
      <w:pPr>
        <w:pStyle w:val="a3"/>
        <w:spacing w:before="0" w:beforeAutospacing="0" w:after="0" w:afterAutospacing="0"/>
        <w:ind w:firstLine="720"/>
        <w:jc w:val="both"/>
        <w:rPr>
          <w:sz w:val="20"/>
          <w:szCs w:val="20"/>
        </w:rPr>
      </w:pPr>
      <w:r>
        <w:rPr>
          <w:sz w:val="20"/>
          <w:szCs w:val="20"/>
        </w:rPr>
        <w:t> </w:t>
      </w:r>
    </w:p>
    <w:p w14:paraId="3F8F91E9" w14:textId="77777777" w:rsidR="00000000" w:rsidRDefault="00D6065B">
      <w:pPr>
        <w:pStyle w:val="a3"/>
        <w:spacing w:before="0" w:beforeAutospacing="0" w:after="0" w:afterAutospacing="0"/>
        <w:ind w:firstLine="720"/>
        <w:jc w:val="both"/>
        <w:rPr>
          <w:sz w:val="20"/>
          <w:szCs w:val="20"/>
        </w:rPr>
      </w:pPr>
      <w:r>
        <w:rPr>
          <w:sz w:val="20"/>
          <w:szCs w:val="20"/>
        </w:rPr>
        <w:t>Non-operating income (expense) for the three months ended June 30, 2021 and 2020 consists of the following:</w:t>
      </w:r>
    </w:p>
    <w:p w14:paraId="01DD7DA0" w14:textId="77777777" w:rsidR="00000000" w:rsidRDefault="00D6065B">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294F3726" w14:textId="77777777">
        <w:tc>
          <w:tcPr>
            <w:tcW w:w="0" w:type="auto"/>
            <w:tcMar>
              <w:top w:w="0" w:type="dxa"/>
              <w:left w:w="0" w:type="dxa"/>
              <w:bottom w:w="30" w:type="dxa"/>
              <w:right w:w="0" w:type="dxa"/>
            </w:tcMar>
            <w:vAlign w:val="bottom"/>
            <w:hideMark/>
          </w:tcPr>
          <w:p w14:paraId="29291EC5"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8E3586"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FA82ADF" w14:textId="77777777" w:rsidR="00000000" w:rsidRDefault="00D6065B">
            <w:pPr>
              <w:jc w:val="center"/>
              <w:rPr>
                <w:rFonts w:eastAsia="Times New Roman"/>
                <w:sz w:val="20"/>
                <w:szCs w:val="20"/>
              </w:rPr>
            </w:pPr>
            <w:r>
              <w:rPr>
                <w:rFonts w:eastAsia="Times New Roman"/>
                <w:sz w:val="20"/>
                <w:szCs w:val="20"/>
              </w:rPr>
              <w:t>Three months ended June 30, 2021</w:t>
            </w:r>
          </w:p>
        </w:tc>
        <w:tc>
          <w:tcPr>
            <w:tcW w:w="0" w:type="auto"/>
            <w:tcMar>
              <w:top w:w="0" w:type="dxa"/>
              <w:left w:w="0" w:type="dxa"/>
              <w:bottom w:w="30" w:type="dxa"/>
              <w:right w:w="0" w:type="dxa"/>
            </w:tcMar>
            <w:vAlign w:val="bottom"/>
            <w:hideMark/>
          </w:tcPr>
          <w:p w14:paraId="01819B03" w14:textId="77777777" w:rsidR="00000000" w:rsidRDefault="00D6065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246814" w14:textId="77777777" w:rsidR="00000000" w:rsidRDefault="00D6065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3B9A4A0" w14:textId="77777777" w:rsidR="00000000" w:rsidRDefault="00D6065B">
            <w:pPr>
              <w:jc w:val="center"/>
              <w:rPr>
                <w:rFonts w:eastAsia="Times New Roman"/>
                <w:sz w:val="20"/>
                <w:szCs w:val="20"/>
              </w:rPr>
            </w:pPr>
            <w:r>
              <w:rPr>
                <w:rFonts w:eastAsia="Times New Roman"/>
                <w:sz w:val="20"/>
                <w:szCs w:val="20"/>
              </w:rPr>
              <w:t>Three months ended June 30, 2020</w:t>
            </w:r>
          </w:p>
        </w:tc>
        <w:tc>
          <w:tcPr>
            <w:tcW w:w="0" w:type="auto"/>
            <w:tcMar>
              <w:top w:w="0" w:type="dxa"/>
              <w:left w:w="0" w:type="dxa"/>
              <w:bottom w:w="30" w:type="dxa"/>
              <w:right w:w="0" w:type="dxa"/>
            </w:tcMar>
            <w:vAlign w:val="bottom"/>
            <w:hideMark/>
          </w:tcPr>
          <w:p w14:paraId="63ED7FDD" w14:textId="77777777" w:rsidR="00000000" w:rsidRDefault="00D6065B">
            <w:pPr>
              <w:rPr>
                <w:rFonts w:eastAsia="Times New Roman"/>
                <w:sz w:val="20"/>
                <w:szCs w:val="20"/>
              </w:rPr>
            </w:pPr>
            <w:r>
              <w:rPr>
                <w:rFonts w:eastAsia="Times New Roman"/>
                <w:sz w:val="20"/>
                <w:szCs w:val="20"/>
              </w:rPr>
              <w:t> </w:t>
            </w:r>
          </w:p>
        </w:tc>
      </w:tr>
      <w:tr w:rsidR="00000000" w14:paraId="24DBB322" w14:textId="77777777">
        <w:tc>
          <w:tcPr>
            <w:tcW w:w="3000" w:type="pct"/>
            <w:shd w:val="clear" w:color="auto" w:fill="CCEEFF"/>
            <w:vAlign w:val="bottom"/>
            <w:hideMark/>
          </w:tcPr>
          <w:p w14:paraId="5F037BED" w14:textId="77777777" w:rsidR="00000000" w:rsidRDefault="00D6065B">
            <w:pPr>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23B62C1C"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C6EF10"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50CDF7D4" w14:textId="77777777" w:rsidR="00000000" w:rsidRDefault="00D6065B">
            <w:pPr>
              <w:jc w:val="right"/>
              <w:rPr>
                <w:rFonts w:eastAsia="Times New Roman"/>
                <w:sz w:val="20"/>
                <w:szCs w:val="20"/>
              </w:rPr>
            </w:pPr>
            <w:r>
              <w:rPr>
                <w:rFonts w:eastAsia="Times New Roman"/>
                <w:sz w:val="20"/>
                <w:szCs w:val="20"/>
              </w:rPr>
              <w:t>(6,502</w:t>
            </w:r>
          </w:p>
        </w:tc>
        <w:tc>
          <w:tcPr>
            <w:tcW w:w="50" w:type="pct"/>
            <w:shd w:val="clear" w:color="auto" w:fill="CCEEFF"/>
            <w:vAlign w:val="bottom"/>
            <w:hideMark/>
          </w:tcPr>
          <w:p w14:paraId="08A950A4" w14:textId="77777777" w:rsidR="00000000" w:rsidRDefault="00D6065B">
            <w:pPr>
              <w:rPr>
                <w:rFonts w:eastAsia="Times New Roman"/>
                <w:sz w:val="20"/>
                <w:szCs w:val="20"/>
              </w:rPr>
            </w:pPr>
            <w:r>
              <w:rPr>
                <w:rFonts w:eastAsia="Times New Roman"/>
                <w:sz w:val="20"/>
                <w:szCs w:val="20"/>
              </w:rPr>
              <w:t>)</w:t>
            </w:r>
          </w:p>
        </w:tc>
        <w:tc>
          <w:tcPr>
            <w:tcW w:w="100" w:type="pct"/>
            <w:shd w:val="clear" w:color="auto" w:fill="CCEEFF"/>
            <w:vAlign w:val="bottom"/>
            <w:hideMark/>
          </w:tcPr>
          <w:p w14:paraId="62876823" w14:textId="77777777" w:rsidR="00000000" w:rsidRDefault="00D6065B">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B2E845" w14:textId="77777777" w:rsidR="00000000" w:rsidRDefault="00D6065B">
            <w:pPr>
              <w:rPr>
                <w:rFonts w:eastAsia="Times New Roman"/>
                <w:sz w:val="20"/>
                <w:szCs w:val="20"/>
              </w:rPr>
            </w:pPr>
            <w:r>
              <w:rPr>
                <w:rFonts w:eastAsia="Times New Roman"/>
                <w:sz w:val="20"/>
                <w:szCs w:val="20"/>
              </w:rPr>
              <w:t>$</w:t>
            </w:r>
          </w:p>
        </w:tc>
        <w:tc>
          <w:tcPr>
            <w:tcW w:w="800" w:type="pct"/>
            <w:shd w:val="clear" w:color="auto" w:fill="CCEEFF"/>
            <w:vAlign w:val="bottom"/>
            <w:hideMark/>
          </w:tcPr>
          <w:p w14:paraId="0D858BF1" w14:textId="77777777" w:rsidR="00000000" w:rsidRDefault="00D6065B">
            <w:pPr>
              <w:jc w:val="right"/>
              <w:rPr>
                <w:rFonts w:eastAsia="Times New Roman"/>
                <w:sz w:val="20"/>
                <w:szCs w:val="20"/>
              </w:rPr>
            </w:pPr>
            <w:r>
              <w:rPr>
                <w:rFonts w:eastAsia="Times New Roman"/>
                <w:sz w:val="20"/>
                <w:szCs w:val="20"/>
              </w:rPr>
              <w:t>(33,634</w:t>
            </w:r>
          </w:p>
        </w:tc>
        <w:tc>
          <w:tcPr>
            <w:tcW w:w="50" w:type="pct"/>
            <w:shd w:val="clear" w:color="auto" w:fill="CCEEFF"/>
            <w:vAlign w:val="bottom"/>
            <w:hideMark/>
          </w:tcPr>
          <w:p w14:paraId="57564D2E" w14:textId="77777777" w:rsidR="00000000" w:rsidRDefault="00D6065B">
            <w:pPr>
              <w:rPr>
                <w:rFonts w:eastAsia="Times New Roman"/>
                <w:sz w:val="20"/>
                <w:szCs w:val="20"/>
              </w:rPr>
            </w:pPr>
            <w:r>
              <w:rPr>
                <w:rFonts w:eastAsia="Times New Roman"/>
                <w:sz w:val="20"/>
                <w:szCs w:val="20"/>
              </w:rPr>
              <w:t>)</w:t>
            </w:r>
          </w:p>
        </w:tc>
      </w:tr>
      <w:tr w:rsidR="00000000" w14:paraId="47DEE74E" w14:textId="77777777">
        <w:tc>
          <w:tcPr>
            <w:tcW w:w="0" w:type="auto"/>
            <w:shd w:val="clear" w:color="auto" w:fill="FFFFFF"/>
            <w:tcMar>
              <w:top w:w="0" w:type="dxa"/>
              <w:left w:w="0" w:type="dxa"/>
              <w:bottom w:w="30" w:type="dxa"/>
              <w:right w:w="0" w:type="dxa"/>
            </w:tcMar>
            <w:vAlign w:val="bottom"/>
            <w:hideMark/>
          </w:tcPr>
          <w:p w14:paraId="1B73D587" w14:textId="77777777" w:rsidR="00000000" w:rsidRDefault="00D6065B">
            <w:pPr>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14:paraId="45D35C08"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7E7D64"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9D410B" w14:textId="77777777" w:rsidR="00000000" w:rsidRDefault="00D6065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6D50310" w14:textId="77777777" w:rsidR="00000000" w:rsidRDefault="00D6065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4E33BE7"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7DE482"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B43607" w14:textId="77777777" w:rsidR="00000000" w:rsidRDefault="00D6065B">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14:paraId="50898C79" w14:textId="77777777" w:rsidR="00000000" w:rsidRDefault="00D6065B">
            <w:pPr>
              <w:rPr>
                <w:rFonts w:eastAsia="Times New Roman"/>
                <w:sz w:val="20"/>
                <w:szCs w:val="20"/>
              </w:rPr>
            </w:pPr>
            <w:r>
              <w:rPr>
                <w:rFonts w:eastAsia="Times New Roman"/>
                <w:sz w:val="20"/>
                <w:szCs w:val="20"/>
              </w:rPr>
              <w:t> </w:t>
            </w:r>
          </w:p>
        </w:tc>
      </w:tr>
      <w:tr w:rsidR="00000000" w14:paraId="49006CD7" w14:textId="77777777">
        <w:tc>
          <w:tcPr>
            <w:tcW w:w="0" w:type="auto"/>
            <w:shd w:val="clear" w:color="auto" w:fill="CCEEFF"/>
            <w:tcMar>
              <w:top w:w="0" w:type="dxa"/>
              <w:left w:w="0" w:type="dxa"/>
              <w:bottom w:w="50" w:type="dxa"/>
              <w:right w:w="0" w:type="dxa"/>
            </w:tcMar>
            <w:vAlign w:val="bottom"/>
            <w:hideMark/>
          </w:tcPr>
          <w:p w14:paraId="4D5C8403" w14:textId="77777777" w:rsidR="00000000" w:rsidRDefault="00D6065B">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14:paraId="71413769"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DF7AC8E"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1A3B5B3" w14:textId="77777777" w:rsidR="00000000" w:rsidRDefault="00D6065B">
            <w:pPr>
              <w:jc w:val="right"/>
              <w:rPr>
                <w:rFonts w:eastAsia="Times New Roman"/>
                <w:sz w:val="20"/>
                <w:szCs w:val="20"/>
              </w:rPr>
            </w:pPr>
            <w:r>
              <w:rPr>
                <w:rFonts w:eastAsia="Times New Roman"/>
                <w:sz w:val="20"/>
                <w:szCs w:val="20"/>
              </w:rPr>
              <w:t>(6,502</w:t>
            </w:r>
          </w:p>
        </w:tc>
        <w:tc>
          <w:tcPr>
            <w:tcW w:w="0" w:type="auto"/>
            <w:shd w:val="clear" w:color="auto" w:fill="CCEEFF"/>
            <w:tcMar>
              <w:top w:w="0" w:type="dxa"/>
              <w:left w:w="0" w:type="dxa"/>
              <w:bottom w:w="50" w:type="dxa"/>
              <w:right w:w="0" w:type="dxa"/>
            </w:tcMar>
            <w:vAlign w:val="bottom"/>
            <w:hideMark/>
          </w:tcPr>
          <w:p w14:paraId="107E8672" w14:textId="77777777" w:rsidR="00000000" w:rsidRDefault="00D6065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0F884E6" w14:textId="77777777" w:rsidR="00000000" w:rsidRDefault="00D6065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0F6251" w14:textId="77777777" w:rsidR="00000000" w:rsidRDefault="00D6065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E3B9372" w14:textId="77777777" w:rsidR="00000000" w:rsidRDefault="00D6065B">
            <w:pPr>
              <w:jc w:val="right"/>
              <w:rPr>
                <w:rFonts w:eastAsia="Times New Roman"/>
                <w:sz w:val="20"/>
                <w:szCs w:val="20"/>
              </w:rPr>
            </w:pPr>
            <w:r>
              <w:rPr>
                <w:rFonts w:eastAsia="Times New Roman"/>
                <w:sz w:val="20"/>
                <w:szCs w:val="20"/>
              </w:rPr>
              <w:t>(30,634</w:t>
            </w:r>
          </w:p>
        </w:tc>
        <w:tc>
          <w:tcPr>
            <w:tcW w:w="0" w:type="auto"/>
            <w:shd w:val="clear" w:color="auto" w:fill="CCEEFF"/>
            <w:tcMar>
              <w:top w:w="0" w:type="dxa"/>
              <w:left w:w="0" w:type="dxa"/>
              <w:bottom w:w="50" w:type="dxa"/>
              <w:right w:w="0" w:type="dxa"/>
            </w:tcMar>
            <w:vAlign w:val="bottom"/>
            <w:hideMark/>
          </w:tcPr>
          <w:p w14:paraId="6E9443F8" w14:textId="77777777" w:rsidR="00000000" w:rsidRDefault="00D6065B">
            <w:pPr>
              <w:rPr>
                <w:rFonts w:eastAsia="Times New Roman"/>
                <w:sz w:val="20"/>
                <w:szCs w:val="20"/>
              </w:rPr>
            </w:pPr>
            <w:r>
              <w:rPr>
                <w:rFonts w:eastAsia="Times New Roman"/>
                <w:sz w:val="20"/>
                <w:szCs w:val="20"/>
              </w:rPr>
              <w:t>)</w:t>
            </w:r>
          </w:p>
        </w:tc>
      </w:tr>
    </w:tbl>
    <w:p w14:paraId="305C55BD" w14:textId="77777777" w:rsidR="00000000" w:rsidRDefault="00D6065B">
      <w:pPr>
        <w:pStyle w:val="a3"/>
        <w:spacing w:before="0" w:beforeAutospacing="0" w:after="0" w:afterAutospacing="0"/>
        <w:ind w:firstLine="720"/>
        <w:rPr>
          <w:sz w:val="20"/>
          <w:szCs w:val="20"/>
        </w:rPr>
      </w:pPr>
      <w:r>
        <w:rPr>
          <w:sz w:val="20"/>
          <w:szCs w:val="20"/>
        </w:rPr>
        <w:t> </w:t>
      </w:r>
    </w:p>
    <w:p w14:paraId="61520122" w14:textId="77777777" w:rsidR="00000000" w:rsidRDefault="00D6065B">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June 30, 2021 varied from the three months ended June 30, 2020 primarily due to a decrease in interest expense from $30,634 for the three months ended June 30, 2020 to $6,502 for the three months ended June 30, 2</w:t>
      </w:r>
      <w:r>
        <w:rPr>
          <w:sz w:val="20"/>
          <w:szCs w:val="20"/>
        </w:rPr>
        <w:t>021 as a result of conversions of notes payable. The majority of the interest recorded by the Company consists of amortization of debt discount, BCF discount and the exchange premium resulting in additional shares to the noteholders on conversion. In addit</w:t>
      </w:r>
      <w:r>
        <w:rPr>
          <w:sz w:val="20"/>
          <w:szCs w:val="20"/>
        </w:rPr>
        <w:t>ion, the Company converted a note in January 2021 which resulted in a loss on conversion and recognized a gain on forgiveness of debt on old payables as they satisfied the agreement with this vendor to pay a portion of the payable with the remaining amount</w:t>
      </w:r>
      <w:r>
        <w:rPr>
          <w:sz w:val="20"/>
          <w:szCs w:val="20"/>
        </w:rPr>
        <w:t xml:space="preserve"> forgiven.</w:t>
      </w:r>
    </w:p>
    <w:p w14:paraId="22026E83" w14:textId="77777777" w:rsidR="00000000" w:rsidRDefault="00D6065B">
      <w:pPr>
        <w:pStyle w:val="a3"/>
        <w:spacing w:before="0" w:beforeAutospacing="0" w:after="0" w:afterAutospacing="0"/>
        <w:jc w:val="both"/>
        <w:rPr>
          <w:sz w:val="20"/>
          <w:szCs w:val="20"/>
        </w:rPr>
      </w:pPr>
      <w:r>
        <w:rPr>
          <w:sz w:val="20"/>
          <w:szCs w:val="20"/>
        </w:rPr>
        <w:t> </w:t>
      </w:r>
    </w:p>
    <w:p w14:paraId="5256666A" w14:textId="77777777" w:rsidR="00000000" w:rsidRDefault="00D6065B">
      <w:pPr>
        <w:pStyle w:val="a3"/>
        <w:spacing w:before="0" w:beforeAutospacing="0" w:after="0" w:afterAutospacing="0"/>
        <w:jc w:val="both"/>
        <w:rPr>
          <w:sz w:val="20"/>
          <w:szCs w:val="20"/>
        </w:rPr>
      </w:pPr>
      <w:r>
        <w:rPr>
          <w:b/>
          <w:bCs/>
          <w:i/>
          <w:iCs/>
          <w:sz w:val="20"/>
          <w:szCs w:val="20"/>
          <w:u w:val="single"/>
        </w:rPr>
        <w:t>Net Loss</w:t>
      </w:r>
    </w:p>
    <w:p w14:paraId="57A3CDA4" w14:textId="77777777" w:rsidR="00000000" w:rsidRDefault="00D6065B">
      <w:pPr>
        <w:pStyle w:val="a3"/>
        <w:spacing w:before="0" w:beforeAutospacing="0" w:after="0" w:afterAutospacing="0"/>
        <w:ind w:firstLine="720"/>
        <w:jc w:val="both"/>
        <w:rPr>
          <w:sz w:val="20"/>
          <w:szCs w:val="20"/>
        </w:rPr>
      </w:pPr>
      <w:r>
        <w:rPr>
          <w:sz w:val="20"/>
          <w:szCs w:val="20"/>
        </w:rPr>
        <w:t> </w:t>
      </w:r>
    </w:p>
    <w:p w14:paraId="42150450" w14:textId="77777777" w:rsidR="00000000" w:rsidRDefault="00D6065B">
      <w:pPr>
        <w:pStyle w:val="a3"/>
        <w:spacing w:before="0" w:beforeAutospacing="0" w:after="0" w:afterAutospacing="0"/>
        <w:ind w:firstLine="720"/>
        <w:jc w:val="both"/>
        <w:rPr>
          <w:sz w:val="20"/>
          <w:szCs w:val="20"/>
        </w:rPr>
      </w:pPr>
      <w:r>
        <w:rPr>
          <w:sz w:val="20"/>
          <w:szCs w:val="20"/>
        </w:rPr>
        <w:t>Our net loss for the three months ended June 30, 2021 and 2020 was $(1,860,187) and $(159,087), respectively.</w:t>
      </w:r>
    </w:p>
    <w:p w14:paraId="3B5354F1" w14:textId="77777777" w:rsidR="00000000" w:rsidRDefault="00D6065B">
      <w:pPr>
        <w:pStyle w:val="a3"/>
        <w:spacing w:before="0" w:beforeAutospacing="0" w:after="0" w:afterAutospacing="0"/>
        <w:jc w:val="both"/>
        <w:rPr>
          <w:sz w:val="20"/>
          <w:szCs w:val="20"/>
        </w:rPr>
      </w:pPr>
      <w:r>
        <w:rPr>
          <w:b/>
          <w:bCs/>
          <w:sz w:val="20"/>
          <w:szCs w:val="20"/>
        </w:rPr>
        <w:t> </w:t>
      </w:r>
    </w:p>
    <w:p w14:paraId="06EE8044" w14:textId="77777777" w:rsidR="00000000" w:rsidRDefault="00D6065B">
      <w:pPr>
        <w:pStyle w:val="a3"/>
        <w:spacing w:before="0" w:beforeAutospacing="0" w:after="0" w:afterAutospacing="0"/>
        <w:jc w:val="both"/>
        <w:rPr>
          <w:sz w:val="20"/>
          <w:szCs w:val="20"/>
        </w:rPr>
      </w:pPr>
      <w:r>
        <w:rPr>
          <w:b/>
          <w:bCs/>
          <w:sz w:val="20"/>
          <w:szCs w:val="20"/>
          <w:u w:val="single"/>
        </w:rPr>
        <w:t>Liquidity and Capital Resources</w:t>
      </w:r>
    </w:p>
    <w:p w14:paraId="06BB5499" w14:textId="77777777" w:rsidR="00000000" w:rsidRDefault="00D6065B">
      <w:pPr>
        <w:pStyle w:val="a3"/>
        <w:spacing w:before="0" w:beforeAutospacing="0" w:after="0" w:afterAutospacing="0"/>
        <w:ind w:firstLine="720"/>
        <w:jc w:val="both"/>
        <w:rPr>
          <w:sz w:val="20"/>
          <w:szCs w:val="20"/>
        </w:rPr>
      </w:pPr>
      <w:r>
        <w:rPr>
          <w:sz w:val="20"/>
          <w:szCs w:val="20"/>
        </w:rPr>
        <w:t> </w:t>
      </w:r>
    </w:p>
    <w:p w14:paraId="5BA92548" w14:textId="77777777" w:rsidR="00000000" w:rsidRDefault="00D6065B">
      <w:pPr>
        <w:pStyle w:val="a3"/>
        <w:spacing w:before="0" w:beforeAutospacing="0" w:after="0" w:afterAutospacing="0"/>
        <w:ind w:firstLine="720"/>
        <w:jc w:val="both"/>
        <w:rPr>
          <w:sz w:val="20"/>
          <w:szCs w:val="20"/>
        </w:rPr>
      </w:pPr>
      <w:r>
        <w:rPr>
          <w:sz w:val="20"/>
          <w:szCs w:val="20"/>
        </w:rPr>
        <w:t xml:space="preserve">At </w:t>
      </w:r>
      <w:r>
        <w:rPr>
          <w:sz w:val="20"/>
          <w:szCs w:val="20"/>
        </w:rPr>
        <w:t>June 30, 2021, the Company had working capital of $1,625,561, as compared to working capital of $32,034 at December 31, 2020. During the six months ended June 30, 2021, the Company experienced negative cash flow from operations of $550,273 and realized $1,</w:t>
      </w:r>
      <w:r>
        <w:rPr>
          <w:sz w:val="20"/>
          <w:szCs w:val="20"/>
        </w:rPr>
        <w:t>811,238 of cash flows from financing activities. As of June 30, 2021, the Company did not have any commitments for capital expenditures.</w:t>
      </w:r>
    </w:p>
    <w:p w14:paraId="030821BD" w14:textId="77777777" w:rsidR="00000000" w:rsidRDefault="00D6065B">
      <w:pPr>
        <w:pStyle w:val="a3"/>
        <w:spacing w:before="0" w:beforeAutospacing="0" w:after="0" w:afterAutospacing="0"/>
        <w:ind w:firstLine="720"/>
        <w:jc w:val="both"/>
        <w:rPr>
          <w:sz w:val="20"/>
          <w:szCs w:val="20"/>
        </w:rPr>
      </w:pPr>
      <w:r>
        <w:rPr>
          <w:sz w:val="20"/>
          <w:szCs w:val="20"/>
        </w:rPr>
        <w:t> </w:t>
      </w:r>
    </w:p>
    <w:p w14:paraId="6A02F652" w14:textId="77777777" w:rsidR="00000000" w:rsidRDefault="00D6065B">
      <w:pPr>
        <w:pStyle w:val="a3"/>
        <w:spacing w:before="0" w:beforeAutospacing="0" w:after="0" w:afterAutospacing="0"/>
        <w:ind w:firstLine="720"/>
        <w:jc w:val="both"/>
        <w:rPr>
          <w:sz w:val="20"/>
          <w:szCs w:val="20"/>
        </w:rPr>
      </w:pPr>
      <w:r>
        <w:rPr>
          <w:sz w:val="20"/>
          <w:szCs w:val="20"/>
        </w:rPr>
        <w:t xml:space="preserve">Cash used in operating activities increased from $326,306 for the six months ended June 30, 2020 to $550,273 for the </w:t>
      </w:r>
      <w:r>
        <w:rPr>
          <w:sz w:val="20"/>
          <w:szCs w:val="20"/>
        </w:rPr>
        <w:t>six months ended June 30, 2021 due to the Company’s non-cash items, such as loss from operations, stock-based compensation, loss conversion of debt as well as forgiveness of debt as well as the changes in prepaid expenses and accounts payable. Cash provide</w:t>
      </w:r>
      <w:r>
        <w:rPr>
          <w:sz w:val="20"/>
          <w:szCs w:val="20"/>
        </w:rPr>
        <w:t>d from financing activities increased from $554,780 for the six months ended June 30, 2020 to $1,811,238 for the six months ended June 30, 2021. The increase in cash provided from financing activities was primarily a result of increase in proceeds from the</w:t>
      </w:r>
      <w:r>
        <w:rPr>
          <w:sz w:val="20"/>
          <w:szCs w:val="20"/>
        </w:rPr>
        <w:t xml:space="preserve"> Regulation A+ where the Company raised $1,811,238 from common stock and warrant issuances in 2021 versus, the proceeds from convertible notes and related party notes of $100,000, proceeds from the sale of common stock of $504,780 and payment on the redemp</w:t>
      </w:r>
      <w:r>
        <w:rPr>
          <w:sz w:val="20"/>
          <w:szCs w:val="20"/>
        </w:rPr>
        <w:t>tion of preferred stock of $50,000 in 2020.</w:t>
      </w:r>
    </w:p>
    <w:p w14:paraId="0EB09D82" w14:textId="77777777" w:rsidR="00000000" w:rsidRDefault="00D6065B">
      <w:pPr>
        <w:pStyle w:val="a3"/>
        <w:spacing w:before="0" w:beforeAutospacing="0" w:after="0" w:afterAutospacing="0"/>
        <w:ind w:firstLine="720"/>
        <w:jc w:val="both"/>
        <w:rPr>
          <w:sz w:val="20"/>
          <w:szCs w:val="20"/>
        </w:rPr>
      </w:pPr>
      <w:r>
        <w:rPr>
          <w:sz w:val="20"/>
          <w:szCs w:val="20"/>
        </w:rPr>
        <w:t> </w:t>
      </w:r>
    </w:p>
    <w:p w14:paraId="2897360E" w14:textId="77777777" w:rsidR="00000000" w:rsidRDefault="00D6065B">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$2,148,376 for the six months ended June 30, 2021, and a net loss of $519,318 for the six months ended June 30,</w:t>
      </w:r>
      <w:r>
        <w:rPr>
          <w:sz w:val="20"/>
          <w:szCs w:val="20"/>
        </w:rPr>
        <w:t xml:space="preserve"> 2020. The Company expects to continue to experience net operating losses for the foreseeable future. Historically, the Company has relied upon investor funds to maintain its operations and develop the Company’s business. The Company anticipates raising ad</w:t>
      </w:r>
      <w:r>
        <w:rPr>
          <w:sz w:val="20"/>
          <w:szCs w:val="20"/>
        </w:rPr>
        <w:t>ditional capital within the next twelve months for working capital as well as business expansion, although the Company can provide no assurance that additional capital will be available on terms acceptable to the Company, if at all. If the Company is unabl</w:t>
      </w:r>
      <w:r>
        <w:rPr>
          <w:sz w:val="20"/>
          <w:szCs w:val="20"/>
        </w:rPr>
        <w:t>e to obtain additional financing to meet its working capital requirements, it may have to curtail its business or cease all operations.</w:t>
      </w:r>
    </w:p>
    <w:p w14:paraId="4C0188E8" w14:textId="77777777" w:rsidR="00000000" w:rsidRDefault="00D6065B">
      <w:pPr>
        <w:pStyle w:val="a3"/>
        <w:spacing w:before="0" w:beforeAutospacing="0" w:after="0" w:afterAutospacing="0"/>
        <w:ind w:firstLine="720"/>
        <w:jc w:val="both"/>
        <w:rPr>
          <w:sz w:val="20"/>
          <w:szCs w:val="20"/>
        </w:rPr>
      </w:pPr>
      <w:r>
        <w:rPr>
          <w:sz w:val="20"/>
          <w:szCs w:val="20"/>
        </w:rPr>
        <w:t> </w:t>
      </w:r>
    </w:p>
    <w:p w14:paraId="71EE139B" w14:textId="77777777" w:rsidR="00000000" w:rsidRDefault="00D6065B">
      <w:pPr>
        <w:pStyle w:val="a3"/>
        <w:spacing w:before="0" w:beforeAutospacing="0" w:after="0" w:afterAutospacing="0"/>
        <w:ind w:firstLine="720"/>
        <w:jc w:val="both"/>
        <w:rPr>
          <w:sz w:val="20"/>
          <w:szCs w:val="20"/>
        </w:rPr>
      </w:pPr>
      <w:r>
        <w:rPr>
          <w:sz w:val="20"/>
          <w:szCs w:val="20"/>
        </w:rPr>
        <w:t>Over the next 12 to 24 months, the Company believes it will cost approximately $2 million to fund: (1) fund the FDA ap</w:t>
      </w:r>
      <w:r>
        <w:rPr>
          <w:sz w:val="20"/>
          <w:szCs w:val="20"/>
        </w:rPr>
        <w:t>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w:t>
      </w:r>
      <w:r>
        <w:rPr>
          <w:sz w:val="20"/>
          <w:szCs w:val="20"/>
        </w:rPr>
        <w:t>reate a template for future international manufacturing, and (5) initiate regulatory approval processes outside of the United States.</w:t>
      </w:r>
    </w:p>
    <w:p w14:paraId="55730DA7"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D6B672" w14:textId="77777777">
        <w:trPr>
          <w:divId w:val="2098089830"/>
        </w:trPr>
        <w:tc>
          <w:tcPr>
            <w:tcW w:w="5000" w:type="pct"/>
            <w:hideMark/>
          </w:tcPr>
          <w:p w14:paraId="39DFB2AF" w14:textId="77777777" w:rsidR="00000000" w:rsidRDefault="00D6065B">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19C80F45" w14:textId="77777777">
        <w:tc>
          <w:tcPr>
            <w:tcW w:w="5000" w:type="pct"/>
            <w:hideMark/>
          </w:tcPr>
          <w:p w14:paraId="29220935" w14:textId="77777777" w:rsidR="00000000" w:rsidRDefault="00D6065B">
            <w:pPr>
              <w:jc w:val="center"/>
              <w:rPr>
                <w:rFonts w:eastAsia="Times New Roman"/>
                <w:sz w:val="20"/>
                <w:szCs w:val="20"/>
              </w:rPr>
            </w:pPr>
            <w:r>
              <w:rPr>
                <w:rFonts w:eastAsia="Times New Roman"/>
                <w:sz w:val="20"/>
                <w:szCs w:val="20"/>
              </w:rPr>
              <w:t> </w:t>
            </w:r>
          </w:p>
        </w:tc>
      </w:tr>
    </w:tbl>
    <w:p w14:paraId="2AFE9BD1" w14:textId="77777777" w:rsidR="00000000" w:rsidRDefault="00D6065B">
      <w:pPr>
        <w:pStyle w:val="a3"/>
        <w:spacing w:before="0" w:beforeAutospacing="0" w:after="0" w:afterAutospacing="0"/>
        <w:rPr>
          <w:sz w:val="20"/>
          <w:szCs w:val="20"/>
        </w:rPr>
      </w:pPr>
      <w:r>
        <w:rPr>
          <w:sz w:val="20"/>
          <w:szCs w:val="20"/>
        </w:rPr>
        <w:t> </w:t>
      </w:r>
    </w:p>
    <w:p w14:paraId="04AC5AED" w14:textId="77777777" w:rsidR="00000000" w:rsidRDefault="00D6065B">
      <w:pPr>
        <w:pStyle w:val="a3"/>
        <w:spacing w:before="0" w:beforeAutospacing="0" w:after="0" w:afterAutospacing="0"/>
        <w:ind w:firstLine="720"/>
        <w:jc w:val="both"/>
        <w:rPr>
          <w:sz w:val="20"/>
          <w:szCs w:val="20"/>
        </w:rPr>
      </w:pPr>
      <w:r>
        <w:rPr>
          <w:sz w:val="20"/>
          <w:szCs w:val="20"/>
        </w:rPr>
        <w:t xml:space="preserve">The principal variables in the timing and amount of spending for the brachytherapy products in the next 12 to </w:t>
      </w:r>
      <w:r>
        <w:rPr>
          <w:sz w:val="20"/>
          <w:szCs w:val="20"/>
        </w:rPr>
        <w:t>24 months will be the FDA’s classification of the Company’s brachytherapy products as Class II or Class III devices (or otherwise) and any requirements for additional studies, which may possibly include clinical studies. Thereafter, the principal variables</w:t>
      </w:r>
      <w:r>
        <w:rPr>
          <w:sz w:val="20"/>
          <w:szCs w:val="20"/>
        </w:rPr>
        <w:t xml:space="preserve"> in the amount of the Company’s spending and its financing requirements would be the timing of any approvals and the nature of the Company’s arrangements with third parties for manufacturing, sales, distribution and licensing of those products and the prod</w:t>
      </w:r>
      <w:r>
        <w:rPr>
          <w:sz w:val="20"/>
          <w:szCs w:val="20"/>
        </w:rPr>
        <w:t>ucts’ success in the U.S. and elsewhere. The Company intends to fund its activities through strategic transactions such as licensing and partnership agreements or additional capital raises.</w:t>
      </w:r>
    </w:p>
    <w:p w14:paraId="6328D9D6" w14:textId="77777777" w:rsidR="00000000" w:rsidRDefault="00D6065B">
      <w:pPr>
        <w:pStyle w:val="a3"/>
        <w:spacing w:before="0" w:beforeAutospacing="0" w:after="0" w:afterAutospacing="0"/>
        <w:jc w:val="both"/>
        <w:rPr>
          <w:sz w:val="20"/>
          <w:szCs w:val="20"/>
        </w:rPr>
      </w:pPr>
      <w:r>
        <w:rPr>
          <w:sz w:val="20"/>
          <w:szCs w:val="20"/>
        </w:rPr>
        <w:t> </w:t>
      </w:r>
    </w:p>
    <w:p w14:paraId="3139D93C" w14:textId="77777777" w:rsidR="00000000" w:rsidRDefault="00D6065B">
      <w:pPr>
        <w:pStyle w:val="a3"/>
        <w:spacing w:before="0" w:beforeAutospacing="0" w:after="0" w:afterAutospacing="0"/>
        <w:ind w:firstLine="720"/>
        <w:jc w:val="both"/>
        <w:rPr>
          <w:sz w:val="20"/>
          <w:szCs w:val="20"/>
        </w:rPr>
      </w:pPr>
      <w:r>
        <w:rPr>
          <w:sz w:val="20"/>
          <w:szCs w:val="20"/>
        </w:rPr>
        <w:t xml:space="preserve">Although the Company is seeking to raise additional capital and </w:t>
      </w:r>
      <w:r>
        <w:rPr>
          <w:sz w:val="20"/>
          <w:szCs w:val="20"/>
        </w:rPr>
        <w:t>has engaged in numerous discussions with investment bankers and investors, to date, the Company has not received firm commitments for the required funding. Based upon its discussions, the Company anticipates that if the Company is able to obtain the fundin</w:t>
      </w:r>
      <w:r>
        <w:rPr>
          <w:sz w:val="20"/>
          <w:szCs w:val="20"/>
        </w:rPr>
        <w:t>g required to retire outstanding debt, pay past due payables and maintain its current operating activities, that the terms associated with such funding will result in material dilution to existing shareholders.</w:t>
      </w:r>
    </w:p>
    <w:p w14:paraId="134F9B41" w14:textId="77777777" w:rsidR="00000000" w:rsidRDefault="00D6065B">
      <w:pPr>
        <w:pStyle w:val="a3"/>
        <w:spacing w:before="0" w:beforeAutospacing="0" w:after="0" w:afterAutospacing="0"/>
        <w:jc w:val="both"/>
        <w:rPr>
          <w:sz w:val="20"/>
          <w:szCs w:val="20"/>
        </w:rPr>
      </w:pPr>
      <w:r>
        <w:rPr>
          <w:sz w:val="20"/>
          <w:szCs w:val="20"/>
        </w:rPr>
        <w:t> </w:t>
      </w:r>
    </w:p>
    <w:p w14:paraId="7003D8E3" w14:textId="77777777" w:rsidR="00000000" w:rsidRDefault="00D6065B">
      <w:pPr>
        <w:pStyle w:val="a3"/>
        <w:spacing w:before="0" w:beforeAutospacing="0" w:after="0" w:afterAutospacing="0"/>
        <w:ind w:firstLine="720"/>
        <w:jc w:val="both"/>
        <w:rPr>
          <w:sz w:val="20"/>
          <w:szCs w:val="20"/>
        </w:rPr>
      </w:pPr>
      <w:r>
        <w:rPr>
          <w:sz w:val="20"/>
          <w:szCs w:val="20"/>
        </w:rPr>
        <w:t xml:space="preserve">Recent </w:t>
      </w:r>
      <w:r>
        <w:rPr>
          <w:sz w:val="20"/>
          <w:szCs w:val="20"/>
        </w:rPr>
        <w:t>geopolitical events, including the inherent instability and volatility in global capital markets, as well as the lack of liquidity in the capital markets, could impact the Company’s ability to obtain financing and its ability to execute its business plan.</w:t>
      </w:r>
    </w:p>
    <w:p w14:paraId="5EA47938" w14:textId="77777777" w:rsidR="00000000" w:rsidRDefault="00D6065B">
      <w:pPr>
        <w:pStyle w:val="a3"/>
        <w:spacing w:before="0" w:beforeAutospacing="0" w:after="0" w:afterAutospacing="0"/>
        <w:jc w:val="both"/>
        <w:rPr>
          <w:sz w:val="20"/>
          <w:szCs w:val="20"/>
        </w:rPr>
      </w:pPr>
      <w:r>
        <w:rPr>
          <w:sz w:val="20"/>
          <w:szCs w:val="20"/>
        </w:rPr>
        <w:t> </w:t>
      </w:r>
    </w:p>
    <w:p w14:paraId="66CB43D1" w14:textId="77777777" w:rsidR="00000000" w:rsidRDefault="00D6065B">
      <w:pPr>
        <w:pStyle w:val="a3"/>
        <w:spacing w:before="0" w:beforeAutospacing="0" w:after="0" w:afterAutospacing="0"/>
        <w:jc w:val="both"/>
        <w:rPr>
          <w:sz w:val="20"/>
          <w:szCs w:val="20"/>
        </w:rPr>
      </w:pPr>
      <w:r>
        <w:rPr>
          <w:b/>
          <w:bCs/>
          <w:sz w:val="20"/>
          <w:szCs w:val="20"/>
          <w:u w:val="single"/>
        </w:rPr>
        <w:t>Accounting Policies and Estimates</w:t>
      </w:r>
    </w:p>
    <w:p w14:paraId="1EF5870A" w14:textId="77777777" w:rsidR="00000000" w:rsidRDefault="00D6065B">
      <w:pPr>
        <w:pStyle w:val="a3"/>
        <w:spacing w:before="0" w:beforeAutospacing="0" w:after="0" w:afterAutospacing="0"/>
        <w:ind w:firstLine="720"/>
        <w:jc w:val="both"/>
        <w:rPr>
          <w:sz w:val="20"/>
          <w:szCs w:val="20"/>
        </w:rPr>
      </w:pPr>
      <w:r>
        <w:rPr>
          <w:sz w:val="20"/>
          <w:szCs w:val="20"/>
        </w:rPr>
        <w:t> </w:t>
      </w:r>
    </w:p>
    <w:p w14:paraId="4C4A4381" w14:textId="77777777" w:rsidR="00000000" w:rsidRDefault="00D6065B">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in the United States of America requires management to make estimates and assumptions that aff</w:t>
      </w:r>
      <w:r>
        <w:rPr>
          <w:sz w:val="20"/>
          <w:szCs w:val="20"/>
        </w:rPr>
        <w:t>ect the amounts reported in the unaudited condensed consolidated financial statements and accompanying notes. Management bases its estimates on historical experience and on various other assumptions that are believed to be reasonable under the circumstance</w:t>
      </w:r>
      <w:r>
        <w:rPr>
          <w:sz w:val="20"/>
          <w:szCs w:val="20"/>
        </w:rPr>
        <w:t>s. Actual results could differ from these estimates under different assumptions or conditions. During the period ended June 30, 2021, we believe there have been no significant changes to the items disclosed as significant accounting policies in management’</w:t>
      </w:r>
      <w:r>
        <w:rPr>
          <w:sz w:val="20"/>
          <w:szCs w:val="20"/>
        </w:rPr>
        <w:t>s notes to the consolidated financial statements in our annual report on Form 10-K for the year ended December 31, 2020, filed on March 24, 2021.</w:t>
      </w:r>
    </w:p>
    <w:p w14:paraId="580C8088" w14:textId="77777777" w:rsidR="00000000" w:rsidRDefault="00D6065B">
      <w:pPr>
        <w:pStyle w:val="a3"/>
        <w:spacing w:before="0" w:beforeAutospacing="0" w:after="0" w:afterAutospacing="0"/>
        <w:rPr>
          <w:sz w:val="20"/>
          <w:szCs w:val="20"/>
        </w:rPr>
      </w:pPr>
      <w:r>
        <w:rPr>
          <w:sz w:val="20"/>
          <w:szCs w:val="20"/>
        </w:rPr>
        <w:t> </w:t>
      </w:r>
    </w:p>
    <w:p w14:paraId="72ABC4FC" w14:textId="77777777" w:rsidR="00000000" w:rsidRDefault="00D6065B">
      <w:pPr>
        <w:pStyle w:val="a3"/>
        <w:spacing w:before="0" w:beforeAutospacing="0" w:after="0" w:afterAutospacing="0"/>
        <w:jc w:val="both"/>
        <w:rPr>
          <w:sz w:val="20"/>
          <w:szCs w:val="20"/>
        </w:rPr>
      </w:pPr>
      <w:r>
        <w:rPr>
          <w:b/>
          <w:bCs/>
          <w:sz w:val="20"/>
          <w:szCs w:val="20"/>
          <w:u w:val="single"/>
        </w:rPr>
        <w:t>Off-Balance Sheet Arrangements</w:t>
      </w:r>
    </w:p>
    <w:p w14:paraId="42B0E0BF" w14:textId="77777777" w:rsidR="00000000" w:rsidRDefault="00D6065B">
      <w:pPr>
        <w:pStyle w:val="a3"/>
        <w:spacing w:before="0" w:beforeAutospacing="0" w:after="0" w:afterAutospacing="0"/>
        <w:ind w:firstLine="720"/>
        <w:jc w:val="both"/>
        <w:rPr>
          <w:sz w:val="20"/>
          <w:szCs w:val="20"/>
        </w:rPr>
      </w:pPr>
      <w:r>
        <w:rPr>
          <w:sz w:val="20"/>
          <w:szCs w:val="20"/>
        </w:rPr>
        <w:t> </w:t>
      </w:r>
    </w:p>
    <w:p w14:paraId="16AADA21" w14:textId="77777777" w:rsidR="00000000" w:rsidRDefault="00D6065B">
      <w:pPr>
        <w:pStyle w:val="a3"/>
        <w:spacing w:before="0" w:beforeAutospacing="0" w:after="0" w:afterAutospacing="0"/>
        <w:ind w:firstLine="720"/>
        <w:jc w:val="both"/>
        <w:rPr>
          <w:sz w:val="20"/>
          <w:szCs w:val="20"/>
        </w:rPr>
      </w:pPr>
      <w:r>
        <w:rPr>
          <w:sz w:val="20"/>
          <w:szCs w:val="20"/>
        </w:rPr>
        <w:t>The Company does not have any off-balance sheet arrangements that are reaso</w:t>
      </w:r>
      <w:r>
        <w:rPr>
          <w:sz w:val="20"/>
          <w:szCs w:val="20"/>
        </w:rPr>
        <w:t>nably likely to have a current or future effect on the Company’s financial condition, revenues, results of operations, liquidity or capital expenditures.</w:t>
      </w:r>
    </w:p>
    <w:p w14:paraId="337ED631" w14:textId="77777777" w:rsidR="00000000" w:rsidRDefault="00D6065B">
      <w:pPr>
        <w:pStyle w:val="a3"/>
        <w:spacing w:before="0" w:beforeAutospacing="0" w:after="0" w:afterAutospacing="0"/>
        <w:ind w:firstLine="720"/>
        <w:jc w:val="both"/>
        <w:rPr>
          <w:sz w:val="20"/>
          <w:szCs w:val="20"/>
        </w:rPr>
      </w:pPr>
      <w:r>
        <w:rPr>
          <w:sz w:val="20"/>
          <w:szCs w:val="20"/>
        </w:rPr>
        <w:t> </w:t>
      </w:r>
    </w:p>
    <w:p w14:paraId="23EBE41A" w14:textId="77777777" w:rsidR="00000000" w:rsidRDefault="00D6065B">
      <w:pPr>
        <w:pStyle w:val="a3"/>
        <w:spacing w:before="0" w:beforeAutospacing="0" w:after="0" w:afterAutospacing="0"/>
        <w:jc w:val="both"/>
        <w:rPr>
          <w:sz w:val="20"/>
          <w:szCs w:val="20"/>
        </w:rPr>
      </w:pPr>
      <w:r>
        <w:rPr>
          <w:b/>
          <w:bCs/>
          <w:sz w:val="20"/>
          <w:szCs w:val="20"/>
        </w:rPr>
        <w:t>Item 3. Quantitative and Qualitative Disclosures About Market Risk.</w:t>
      </w:r>
    </w:p>
    <w:p w14:paraId="2B9A8C2B" w14:textId="77777777" w:rsidR="00000000" w:rsidRDefault="00D6065B">
      <w:pPr>
        <w:pStyle w:val="a3"/>
        <w:spacing w:before="0" w:beforeAutospacing="0" w:after="0" w:afterAutospacing="0"/>
        <w:ind w:firstLine="720"/>
        <w:jc w:val="both"/>
        <w:rPr>
          <w:sz w:val="20"/>
          <w:szCs w:val="20"/>
        </w:rPr>
      </w:pPr>
      <w:r>
        <w:rPr>
          <w:sz w:val="20"/>
          <w:szCs w:val="20"/>
        </w:rPr>
        <w:t> </w:t>
      </w:r>
    </w:p>
    <w:p w14:paraId="6300157A" w14:textId="77777777" w:rsidR="00000000" w:rsidRDefault="00D6065B">
      <w:pPr>
        <w:pStyle w:val="a3"/>
        <w:spacing w:before="0" w:beforeAutospacing="0" w:after="0" w:afterAutospacing="0"/>
        <w:ind w:firstLine="720"/>
        <w:jc w:val="both"/>
        <w:rPr>
          <w:sz w:val="20"/>
          <w:szCs w:val="20"/>
        </w:rPr>
      </w:pPr>
      <w:r>
        <w:rPr>
          <w:sz w:val="20"/>
          <w:szCs w:val="20"/>
        </w:rPr>
        <w:t>This item is not applicable to</w:t>
      </w:r>
      <w:r>
        <w:rPr>
          <w:sz w:val="20"/>
          <w:szCs w:val="20"/>
        </w:rPr>
        <w:t xml:space="preserve"> us because we are a smaller reporting company as defined by Rule 12b-2 under the Securities Exchange Act of 1934.</w:t>
      </w:r>
    </w:p>
    <w:p w14:paraId="1544CA95" w14:textId="77777777" w:rsidR="00000000" w:rsidRDefault="00D6065B">
      <w:pPr>
        <w:pStyle w:val="a3"/>
        <w:spacing w:before="0" w:beforeAutospacing="0" w:after="0" w:afterAutospacing="0"/>
        <w:ind w:firstLine="720"/>
        <w:jc w:val="both"/>
        <w:rPr>
          <w:sz w:val="20"/>
          <w:szCs w:val="20"/>
        </w:rPr>
      </w:pPr>
      <w:r>
        <w:rPr>
          <w:sz w:val="20"/>
          <w:szCs w:val="20"/>
        </w:rPr>
        <w:t> </w:t>
      </w:r>
    </w:p>
    <w:p w14:paraId="0B1C60C4" w14:textId="77777777" w:rsidR="00000000" w:rsidRDefault="00D6065B">
      <w:pPr>
        <w:pStyle w:val="a3"/>
        <w:spacing w:before="0" w:beforeAutospacing="0" w:after="0" w:afterAutospacing="0"/>
        <w:jc w:val="both"/>
        <w:rPr>
          <w:sz w:val="20"/>
          <w:szCs w:val="20"/>
        </w:rPr>
      </w:pPr>
      <w:r>
        <w:rPr>
          <w:b/>
          <w:bCs/>
          <w:sz w:val="20"/>
          <w:szCs w:val="20"/>
        </w:rPr>
        <w:t>Item 4. Controls and Procedures.</w:t>
      </w:r>
    </w:p>
    <w:p w14:paraId="5AB9003D" w14:textId="77777777" w:rsidR="00000000" w:rsidRDefault="00D6065B">
      <w:pPr>
        <w:pStyle w:val="a3"/>
        <w:spacing w:before="0" w:beforeAutospacing="0" w:after="0" w:afterAutospacing="0"/>
        <w:ind w:firstLine="720"/>
        <w:jc w:val="both"/>
        <w:rPr>
          <w:sz w:val="20"/>
          <w:szCs w:val="20"/>
        </w:rPr>
      </w:pPr>
      <w:r>
        <w:rPr>
          <w:sz w:val="20"/>
          <w:szCs w:val="20"/>
        </w:rPr>
        <w:t> </w:t>
      </w:r>
    </w:p>
    <w:p w14:paraId="064B177B" w14:textId="77777777" w:rsidR="00000000" w:rsidRDefault="00D6065B">
      <w:pPr>
        <w:pStyle w:val="a3"/>
        <w:spacing w:before="0" w:beforeAutospacing="0" w:after="0" w:afterAutospacing="0"/>
        <w:jc w:val="both"/>
        <w:rPr>
          <w:sz w:val="20"/>
          <w:szCs w:val="20"/>
        </w:rPr>
      </w:pPr>
      <w:r>
        <w:rPr>
          <w:b/>
          <w:bCs/>
          <w:sz w:val="20"/>
          <w:szCs w:val="20"/>
          <w:u w:val="single"/>
        </w:rPr>
        <w:t>Disclosure Controls and Procedures</w:t>
      </w:r>
    </w:p>
    <w:p w14:paraId="09D06BB4" w14:textId="77777777" w:rsidR="00000000" w:rsidRDefault="00D6065B">
      <w:pPr>
        <w:pStyle w:val="a3"/>
        <w:spacing w:before="0" w:beforeAutospacing="0" w:after="0" w:afterAutospacing="0"/>
        <w:ind w:firstLine="720"/>
        <w:jc w:val="both"/>
        <w:rPr>
          <w:sz w:val="20"/>
          <w:szCs w:val="20"/>
        </w:rPr>
      </w:pPr>
      <w:r>
        <w:rPr>
          <w:sz w:val="20"/>
          <w:szCs w:val="20"/>
        </w:rPr>
        <w:t> </w:t>
      </w:r>
    </w:p>
    <w:p w14:paraId="1BC09DB4" w14:textId="77777777" w:rsidR="00000000" w:rsidRDefault="00D6065B">
      <w:pPr>
        <w:pStyle w:val="a3"/>
        <w:spacing w:before="0" w:beforeAutospacing="0" w:after="0" w:afterAutospacing="0"/>
        <w:ind w:firstLine="720"/>
        <w:jc w:val="both"/>
        <w:rPr>
          <w:sz w:val="20"/>
          <w:szCs w:val="20"/>
        </w:rPr>
      </w:pPr>
      <w:r>
        <w:rPr>
          <w:sz w:val="20"/>
          <w:szCs w:val="20"/>
        </w:rPr>
        <w:t xml:space="preserve">Based </w:t>
      </w:r>
      <w:r>
        <w:rPr>
          <w:sz w:val="20"/>
          <w:szCs w:val="20"/>
        </w:rPr>
        <w:t xml:space="preserve">on an evaluation as of the date of the end of the period covered by this report, the Company’s Chief Executive Officer and Interim Chief Financial Officer conducted an evaluation of the effectiveness of the design and operation of the Company’s disclosure </w:t>
      </w:r>
      <w:r>
        <w:rPr>
          <w:sz w:val="20"/>
          <w:szCs w:val="20"/>
        </w:rPr>
        <w:t>controls and procedures, as required by Exchange Act Rule 13a-15. Based on that evaluation, the Company’s Chief Executive Officer and Interim Chief Financial Officer concluded that, because of the disclosed material weaknesses in the Company’s internal con</w:t>
      </w:r>
      <w:r>
        <w:rPr>
          <w:sz w:val="20"/>
          <w:szCs w:val="20"/>
        </w:rPr>
        <w:t xml:space="preserve">trol over financial reporting, the Company’s disclosure controls and procedures were ineffective as of the end of the period covered by this report to ensure that information required to be disclosed by the Company in the reports that the Company files or </w:t>
      </w:r>
      <w:r>
        <w:rPr>
          <w:sz w:val="20"/>
          <w:szCs w:val="20"/>
        </w:rPr>
        <w:t>submits under the Exchange Act is recorded, processed, summarized and reported within the time periods specified by the SEC’s rules and forms.</w:t>
      </w:r>
    </w:p>
    <w:p w14:paraId="476EB68A"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F21F733" w14:textId="77777777">
        <w:trPr>
          <w:divId w:val="1239167167"/>
        </w:trPr>
        <w:tc>
          <w:tcPr>
            <w:tcW w:w="5000" w:type="pct"/>
            <w:hideMark/>
          </w:tcPr>
          <w:p w14:paraId="7D5DB627" w14:textId="77777777" w:rsidR="00000000" w:rsidRDefault="00D6065B">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33506D01" w14:textId="77777777">
        <w:tc>
          <w:tcPr>
            <w:tcW w:w="5000" w:type="pct"/>
            <w:hideMark/>
          </w:tcPr>
          <w:p w14:paraId="25150AEA" w14:textId="77777777" w:rsidR="00000000" w:rsidRDefault="00D6065B">
            <w:pPr>
              <w:jc w:val="center"/>
              <w:rPr>
                <w:rFonts w:eastAsia="Times New Roman"/>
                <w:sz w:val="20"/>
                <w:szCs w:val="20"/>
              </w:rPr>
            </w:pPr>
            <w:r>
              <w:rPr>
                <w:rFonts w:eastAsia="Times New Roman"/>
                <w:sz w:val="20"/>
                <w:szCs w:val="20"/>
              </w:rPr>
              <w:t> </w:t>
            </w:r>
          </w:p>
        </w:tc>
      </w:tr>
    </w:tbl>
    <w:p w14:paraId="2F728978" w14:textId="77777777" w:rsidR="00000000" w:rsidRDefault="00D6065B">
      <w:pPr>
        <w:pStyle w:val="a3"/>
        <w:spacing w:before="0" w:beforeAutospacing="0" w:after="0" w:afterAutospacing="0"/>
        <w:rPr>
          <w:sz w:val="20"/>
          <w:szCs w:val="20"/>
        </w:rPr>
      </w:pPr>
      <w:r>
        <w:rPr>
          <w:sz w:val="20"/>
          <w:szCs w:val="20"/>
        </w:rPr>
        <w:t> </w:t>
      </w:r>
    </w:p>
    <w:p w14:paraId="58108CB8" w14:textId="77777777" w:rsidR="00000000" w:rsidRDefault="00D6065B">
      <w:pPr>
        <w:pStyle w:val="a3"/>
        <w:spacing w:before="0" w:beforeAutospacing="0" w:after="0" w:afterAutospacing="0"/>
        <w:ind w:firstLine="720"/>
        <w:jc w:val="both"/>
        <w:rPr>
          <w:sz w:val="20"/>
          <w:szCs w:val="20"/>
        </w:rPr>
      </w:pPr>
      <w:r>
        <w:rPr>
          <w:sz w:val="20"/>
          <w:szCs w:val="20"/>
        </w:rPr>
        <w:t xml:space="preserve">Disclosure </w:t>
      </w:r>
      <w:r>
        <w:rPr>
          <w:sz w:val="20"/>
          <w:szCs w:val="20"/>
        </w:rPr>
        <w:t>controls and procedures are controls and other procedures that are designed to ensure that information required to be disclosed in the Company’s reports filed or submitted under the Exchange Act is recorded, processed, summarized and reported, within the t</w:t>
      </w:r>
      <w:r>
        <w:rPr>
          <w:sz w:val="20"/>
          <w:szCs w:val="20"/>
        </w:rPr>
        <w:t>ime periods specified in the SEC’s rules and forms. Disclosure controls and procedures include, without limitation, controls and procedures designed to ensure that information required to be disclosed in the Company’s reports filed under the Exchange Act i</w:t>
      </w:r>
      <w:r>
        <w:rPr>
          <w:sz w:val="20"/>
          <w:szCs w:val="20"/>
        </w:rPr>
        <w:t>s accumulated and communicated to management, including the Company’s Chief Executive Officer and the Company’s Interim Chief Financial Officer, to allow timely decisions regarding required disclosure.</w:t>
      </w:r>
    </w:p>
    <w:p w14:paraId="0DF35DAB" w14:textId="77777777" w:rsidR="00000000" w:rsidRDefault="00D6065B">
      <w:pPr>
        <w:pStyle w:val="a3"/>
        <w:spacing w:before="0" w:beforeAutospacing="0" w:after="0" w:afterAutospacing="0"/>
        <w:jc w:val="both"/>
        <w:rPr>
          <w:sz w:val="20"/>
          <w:szCs w:val="20"/>
        </w:rPr>
      </w:pPr>
      <w:r>
        <w:rPr>
          <w:sz w:val="20"/>
          <w:szCs w:val="20"/>
        </w:rPr>
        <w:t> </w:t>
      </w:r>
    </w:p>
    <w:p w14:paraId="4C5D0F09" w14:textId="77777777" w:rsidR="00000000" w:rsidRDefault="00D6065B">
      <w:pPr>
        <w:pStyle w:val="a3"/>
        <w:spacing w:before="0" w:beforeAutospacing="0" w:after="0" w:afterAutospacing="0"/>
        <w:jc w:val="both"/>
        <w:rPr>
          <w:sz w:val="20"/>
          <w:szCs w:val="20"/>
        </w:rPr>
      </w:pPr>
      <w:r>
        <w:rPr>
          <w:b/>
          <w:bCs/>
          <w:sz w:val="20"/>
          <w:szCs w:val="20"/>
          <w:u w:val="single"/>
        </w:rPr>
        <w:t>Changes in Internal Control Over Financial Reporting</w:t>
      </w:r>
    </w:p>
    <w:p w14:paraId="2916A2AA" w14:textId="77777777" w:rsidR="00000000" w:rsidRDefault="00D6065B">
      <w:pPr>
        <w:pStyle w:val="a3"/>
        <w:spacing w:before="0" w:beforeAutospacing="0" w:after="0" w:afterAutospacing="0"/>
        <w:ind w:firstLine="720"/>
        <w:jc w:val="both"/>
        <w:rPr>
          <w:sz w:val="20"/>
          <w:szCs w:val="20"/>
        </w:rPr>
      </w:pPr>
      <w:r>
        <w:rPr>
          <w:sz w:val="20"/>
          <w:szCs w:val="20"/>
        </w:rPr>
        <w:t> </w:t>
      </w:r>
    </w:p>
    <w:p w14:paraId="646B17CA" w14:textId="77777777" w:rsidR="00000000" w:rsidRDefault="00D6065B">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occurred during the period ended June 30, 2021 that has materially affected, or is reasonably likely to materially affect, the Company’s internal control over fin</w:t>
      </w:r>
      <w:r>
        <w:rPr>
          <w:sz w:val="20"/>
          <w:szCs w:val="20"/>
        </w:rPr>
        <w:t>ancial reporting.</w:t>
      </w:r>
    </w:p>
    <w:p w14:paraId="7B7C9DE2" w14:textId="77777777" w:rsidR="00000000" w:rsidRDefault="00D6065B">
      <w:pPr>
        <w:pStyle w:val="a3"/>
        <w:spacing w:before="0" w:beforeAutospacing="0" w:after="0" w:afterAutospacing="0"/>
        <w:ind w:firstLine="720"/>
        <w:jc w:val="both"/>
        <w:rPr>
          <w:sz w:val="20"/>
          <w:szCs w:val="20"/>
        </w:rPr>
      </w:pPr>
      <w:r>
        <w:rPr>
          <w:sz w:val="20"/>
          <w:szCs w:val="20"/>
        </w:rPr>
        <w:t> </w:t>
      </w:r>
    </w:p>
    <w:p w14:paraId="76C1F0D1" w14:textId="77777777" w:rsidR="00000000" w:rsidRDefault="00D6065B">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of, the registrant’s principal executive and principal financial officers, or persons performing similar functions, and e</w:t>
      </w:r>
      <w:r>
        <w:rPr>
          <w:sz w:val="20"/>
          <w:szCs w:val="20"/>
        </w:rPr>
        <w:t xml:space="preserve">ffected by the registrant’s board of directors, management and other personnel, to provide reasonable assurance regarding the reliability of financial reporting and the preparation of financial statements for external purposes in accordance with generally </w:t>
      </w:r>
      <w:r>
        <w:rPr>
          <w:sz w:val="20"/>
          <w:szCs w:val="20"/>
        </w:rPr>
        <w:t>accepted accounting principles and includes those policies and procedures that:</w:t>
      </w:r>
    </w:p>
    <w:p w14:paraId="09407CBD" w14:textId="77777777" w:rsidR="00000000" w:rsidRDefault="00D6065B">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3509905A" w14:textId="77777777">
        <w:tc>
          <w:tcPr>
            <w:tcW w:w="360" w:type="dxa"/>
            <w:hideMark/>
          </w:tcPr>
          <w:p w14:paraId="09FE070D" w14:textId="77777777" w:rsidR="00000000" w:rsidRDefault="00D6065B">
            <w:pPr>
              <w:rPr>
                <w:rFonts w:eastAsia="Times New Roman"/>
                <w:sz w:val="20"/>
                <w:szCs w:val="20"/>
              </w:rPr>
            </w:pPr>
            <w:r>
              <w:rPr>
                <w:rFonts w:eastAsia="Times New Roman"/>
                <w:sz w:val="20"/>
                <w:szCs w:val="20"/>
              </w:rPr>
              <w:t> </w:t>
            </w:r>
          </w:p>
        </w:tc>
        <w:tc>
          <w:tcPr>
            <w:tcW w:w="720" w:type="dxa"/>
            <w:hideMark/>
          </w:tcPr>
          <w:p w14:paraId="71612D86" w14:textId="77777777" w:rsidR="00000000" w:rsidRDefault="00D6065B">
            <w:pPr>
              <w:rPr>
                <w:rFonts w:eastAsia="Times New Roman"/>
                <w:sz w:val="20"/>
                <w:szCs w:val="20"/>
              </w:rPr>
            </w:pPr>
            <w:r>
              <w:rPr>
                <w:rFonts w:eastAsia="Times New Roman"/>
                <w:sz w:val="20"/>
                <w:szCs w:val="20"/>
              </w:rPr>
              <w:t>(a)</w:t>
            </w:r>
          </w:p>
        </w:tc>
        <w:tc>
          <w:tcPr>
            <w:tcW w:w="0" w:type="auto"/>
            <w:hideMark/>
          </w:tcPr>
          <w:p w14:paraId="381C6989" w14:textId="77777777" w:rsidR="00000000" w:rsidRDefault="00D6065B">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14:paraId="6171562D" w14:textId="77777777">
        <w:tc>
          <w:tcPr>
            <w:tcW w:w="0" w:type="auto"/>
            <w:hideMark/>
          </w:tcPr>
          <w:p w14:paraId="4AF38F88" w14:textId="77777777" w:rsidR="00000000" w:rsidRDefault="00D6065B">
            <w:pPr>
              <w:rPr>
                <w:rFonts w:eastAsia="Times New Roman"/>
                <w:sz w:val="20"/>
                <w:szCs w:val="20"/>
              </w:rPr>
            </w:pPr>
            <w:r>
              <w:rPr>
                <w:rFonts w:eastAsia="Times New Roman"/>
                <w:sz w:val="20"/>
                <w:szCs w:val="20"/>
              </w:rPr>
              <w:t> </w:t>
            </w:r>
          </w:p>
        </w:tc>
        <w:tc>
          <w:tcPr>
            <w:tcW w:w="0" w:type="auto"/>
            <w:hideMark/>
          </w:tcPr>
          <w:p w14:paraId="7CD62F24" w14:textId="77777777" w:rsidR="00000000" w:rsidRDefault="00D6065B">
            <w:pPr>
              <w:rPr>
                <w:rFonts w:eastAsia="Times New Roman"/>
                <w:sz w:val="20"/>
                <w:szCs w:val="20"/>
              </w:rPr>
            </w:pPr>
            <w:r>
              <w:rPr>
                <w:rFonts w:eastAsia="Times New Roman"/>
                <w:sz w:val="20"/>
                <w:szCs w:val="20"/>
              </w:rPr>
              <w:t> </w:t>
            </w:r>
          </w:p>
        </w:tc>
        <w:tc>
          <w:tcPr>
            <w:tcW w:w="0" w:type="auto"/>
            <w:hideMark/>
          </w:tcPr>
          <w:p w14:paraId="3FDB7702" w14:textId="77777777" w:rsidR="00000000" w:rsidRDefault="00D6065B">
            <w:pPr>
              <w:rPr>
                <w:rFonts w:eastAsia="Times New Roman"/>
                <w:sz w:val="20"/>
                <w:szCs w:val="20"/>
              </w:rPr>
            </w:pPr>
            <w:r>
              <w:rPr>
                <w:rFonts w:eastAsia="Times New Roman"/>
                <w:sz w:val="20"/>
                <w:szCs w:val="20"/>
              </w:rPr>
              <w:t> </w:t>
            </w:r>
          </w:p>
        </w:tc>
      </w:tr>
      <w:tr w:rsidR="00000000" w14:paraId="6F466CFD" w14:textId="77777777">
        <w:tc>
          <w:tcPr>
            <w:tcW w:w="0" w:type="auto"/>
            <w:hideMark/>
          </w:tcPr>
          <w:p w14:paraId="5403DD01" w14:textId="77777777" w:rsidR="00000000" w:rsidRDefault="00D6065B">
            <w:pPr>
              <w:rPr>
                <w:rFonts w:eastAsia="Times New Roman"/>
                <w:sz w:val="20"/>
                <w:szCs w:val="20"/>
              </w:rPr>
            </w:pPr>
            <w:r>
              <w:rPr>
                <w:rFonts w:eastAsia="Times New Roman"/>
                <w:sz w:val="20"/>
                <w:szCs w:val="20"/>
              </w:rPr>
              <w:t> </w:t>
            </w:r>
          </w:p>
        </w:tc>
        <w:tc>
          <w:tcPr>
            <w:tcW w:w="0" w:type="auto"/>
            <w:hideMark/>
          </w:tcPr>
          <w:p w14:paraId="33425557" w14:textId="77777777" w:rsidR="00000000" w:rsidRDefault="00D6065B">
            <w:pPr>
              <w:rPr>
                <w:rFonts w:eastAsia="Times New Roman"/>
                <w:sz w:val="20"/>
                <w:szCs w:val="20"/>
              </w:rPr>
            </w:pPr>
            <w:r>
              <w:rPr>
                <w:rFonts w:eastAsia="Times New Roman"/>
                <w:sz w:val="20"/>
                <w:szCs w:val="20"/>
              </w:rPr>
              <w:t>(b)</w:t>
            </w:r>
          </w:p>
        </w:tc>
        <w:tc>
          <w:tcPr>
            <w:tcW w:w="0" w:type="auto"/>
            <w:hideMark/>
          </w:tcPr>
          <w:p w14:paraId="12D0CC9D" w14:textId="77777777" w:rsidR="00000000" w:rsidRDefault="00D6065B">
            <w:pPr>
              <w:jc w:val="both"/>
              <w:rPr>
                <w:rFonts w:eastAsia="Times New Roman"/>
                <w:sz w:val="20"/>
                <w:szCs w:val="20"/>
              </w:rPr>
            </w:pPr>
            <w:r>
              <w:rPr>
                <w:rFonts w:eastAsia="Times New Roman"/>
                <w:sz w:val="20"/>
                <w:szCs w:val="20"/>
              </w:rPr>
              <w:t>Provide reasonable assurance that transactions are recorded as necessary to permit preparation of financial statements in accordance with generally accepted accounting principles, and that receipts and expenditures of the registrant are being made o</w:t>
            </w:r>
            <w:r>
              <w:rPr>
                <w:rFonts w:eastAsia="Times New Roman"/>
                <w:sz w:val="20"/>
                <w:szCs w:val="20"/>
              </w:rPr>
              <w:t>nly in accordance with authorizations of management and directors of the registrant; and</w:t>
            </w:r>
          </w:p>
        </w:tc>
      </w:tr>
      <w:tr w:rsidR="00000000" w14:paraId="407BBB13" w14:textId="77777777">
        <w:tc>
          <w:tcPr>
            <w:tcW w:w="0" w:type="auto"/>
            <w:hideMark/>
          </w:tcPr>
          <w:p w14:paraId="7BD00A76" w14:textId="77777777" w:rsidR="00000000" w:rsidRDefault="00D6065B">
            <w:pPr>
              <w:rPr>
                <w:rFonts w:eastAsia="Times New Roman"/>
                <w:sz w:val="20"/>
                <w:szCs w:val="20"/>
              </w:rPr>
            </w:pPr>
            <w:r>
              <w:rPr>
                <w:rFonts w:eastAsia="Times New Roman"/>
                <w:sz w:val="20"/>
                <w:szCs w:val="20"/>
              </w:rPr>
              <w:t> </w:t>
            </w:r>
          </w:p>
        </w:tc>
        <w:tc>
          <w:tcPr>
            <w:tcW w:w="0" w:type="auto"/>
            <w:hideMark/>
          </w:tcPr>
          <w:p w14:paraId="772E4813" w14:textId="77777777" w:rsidR="00000000" w:rsidRDefault="00D6065B">
            <w:pPr>
              <w:rPr>
                <w:rFonts w:eastAsia="Times New Roman"/>
                <w:sz w:val="20"/>
                <w:szCs w:val="20"/>
              </w:rPr>
            </w:pPr>
            <w:r>
              <w:rPr>
                <w:rFonts w:eastAsia="Times New Roman"/>
                <w:sz w:val="20"/>
                <w:szCs w:val="20"/>
              </w:rPr>
              <w:t> </w:t>
            </w:r>
          </w:p>
        </w:tc>
        <w:tc>
          <w:tcPr>
            <w:tcW w:w="0" w:type="auto"/>
            <w:hideMark/>
          </w:tcPr>
          <w:p w14:paraId="459000CE" w14:textId="77777777" w:rsidR="00000000" w:rsidRDefault="00D6065B">
            <w:pPr>
              <w:rPr>
                <w:rFonts w:eastAsia="Times New Roman"/>
                <w:sz w:val="20"/>
                <w:szCs w:val="20"/>
              </w:rPr>
            </w:pPr>
            <w:r>
              <w:rPr>
                <w:rFonts w:eastAsia="Times New Roman"/>
                <w:sz w:val="20"/>
                <w:szCs w:val="20"/>
              </w:rPr>
              <w:t> </w:t>
            </w:r>
          </w:p>
        </w:tc>
      </w:tr>
      <w:tr w:rsidR="00000000" w14:paraId="04DE9ABF" w14:textId="77777777">
        <w:tc>
          <w:tcPr>
            <w:tcW w:w="0" w:type="auto"/>
            <w:hideMark/>
          </w:tcPr>
          <w:p w14:paraId="65C49261" w14:textId="77777777" w:rsidR="00000000" w:rsidRDefault="00D6065B">
            <w:pPr>
              <w:rPr>
                <w:rFonts w:eastAsia="Times New Roman"/>
                <w:sz w:val="20"/>
                <w:szCs w:val="20"/>
              </w:rPr>
            </w:pPr>
            <w:r>
              <w:rPr>
                <w:rFonts w:eastAsia="Times New Roman"/>
                <w:sz w:val="20"/>
                <w:szCs w:val="20"/>
              </w:rPr>
              <w:t> </w:t>
            </w:r>
          </w:p>
        </w:tc>
        <w:tc>
          <w:tcPr>
            <w:tcW w:w="0" w:type="auto"/>
            <w:hideMark/>
          </w:tcPr>
          <w:p w14:paraId="41308235" w14:textId="77777777" w:rsidR="00000000" w:rsidRDefault="00D6065B">
            <w:pPr>
              <w:rPr>
                <w:rFonts w:eastAsia="Times New Roman"/>
                <w:sz w:val="20"/>
                <w:szCs w:val="20"/>
              </w:rPr>
            </w:pPr>
            <w:r>
              <w:rPr>
                <w:rFonts w:eastAsia="Times New Roman"/>
                <w:sz w:val="20"/>
                <w:szCs w:val="20"/>
              </w:rPr>
              <w:t>(c)</w:t>
            </w:r>
          </w:p>
        </w:tc>
        <w:tc>
          <w:tcPr>
            <w:tcW w:w="0" w:type="auto"/>
            <w:hideMark/>
          </w:tcPr>
          <w:p w14:paraId="7D000577" w14:textId="77777777" w:rsidR="00000000" w:rsidRDefault="00D6065B">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w:t>
            </w:r>
            <w:r>
              <w:rPr>
                <w:rFonts w:eastAsia="Times New Roman"/>
                <w:sz w:val="20"/>
                <w:szCs w:val="20"/>
              </w:rPr>
              <w:t>ld have a material effect on the financial statements.</w:t>
            </w:r>
          </w:p>
        </w:tc>
      </w:tr>
    </w:tbl>
    <w:p w14:paraId="6AE3563E"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DCFBE2E" w14:textId="77777777">
        <w:trPr>
          <w:divId w:val="96681485"/>
        </w:trPr>
        <w:tc>
          <w:tcPr>
            <w:tcW w:w="5000" w:type="pct"/>
            <w:hideMark/>
          </w:tcPr>
          <w:p w14:paraId="2E7085F4" w14:textId="77777777" w:rsidR="00000000" w:rsidRDefault="00D6065B">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75047382" w14:textId="77777777">
        <w:tc>
          <w:tcPr>
            <w:tcW w:w="5000" w:type="pct"/>
            <w:hideMark/>
          </w:tcPr>
          <w:p w14:paraId="15BFAAB4" w14:textId="77777777" w:rsidR="00000000" w:rsidRDefault="00D6065B">
            <w:pPr>
              <w:jc w:val="center"/>
              <w:rPr>
                <w:rFonts w:eastAsia="Times New Roman"/>
                <w:sz w:val="20"/>
                <w:szCs w:val="20"/>
              </w:rPr>
            </w:pPr>
            <w:r>
              <w:rPr>
                <w:rFonts w:eastAsia="Times New Roman"/>
                <w:sz w:val="20"/>
                <w:szCs w:val="20"/>
              </w:rPr>
              <w:t> </w:t>
            </w:r>
          </w:p>
        </w:tc>
      </w:tr>
    </w:tbl>
    <w:p w14:paraId="46D0444D" w14:textId="77777777" w:rsidR="00000000" w:rsidRDefault="00D6065B">
      <w:pPr>
        <w:pStyle w:val="a3"/>
        <w:spacing w:before="0" w:beforeAutospacing="0" w:after="0" w:afterAutospacing="0"/>
        <w:rPr>
          <w:sz w:val="20"/>
          <w:szCs w:val="20"/>
        </w:rPr>
      </w:pPr>
      <w:r>
        <w:rPr>
          <w:sz w:val="20"/>
          <w:szCs w:val="20"/>
        </w:rPr>
        <w:t> </w:t>
      </w:r>
    </w:p>
    <w:p w14:paraId="3ED92466" w14:textId="77777777" w:rsidR="00000000" w:rsidRDefault="00D6065B">
      <w:pPr>
        <w:pStyle w:val="a3"/>
        <w:spacing w:before="0" w:beforeAutospacing="0" w:after="0" w:afterAutospacing="0"/>
        <w:jc w:val="both"/>
        <w:rPr>
          <w:sz w:val="20"/>
          <w:szCs w:val="20"/>
        </w:rPr>
      </w:pPr>
      <w:r>
        <w:rPr>
          <w:b/>
          <w:bCs/>
          <w:sz w:val="20"/>
          <w:szCs w:val="20"/>
        </w:rPr>
        <w:t>PART II</w:t>
      </w:r>
    </w:p>
    <w:p w14:paraId="2B564282" w14:textId="77777777" w:rsidR="00000000" w:rsidRDefault="00D6065B">
      <w:pPr>
        <w:pStyle w:val="a3"/>
        <w:spacing w:before="0" w:beforeAutospacing="0" w:after="0" w:afterAutospacing="0"/>
        <w:ind w:firstLine="720"/>
        <w:jc w:val="both"/>
        <w:rPr>
          <w:sz w:val="20"/>
          <w:szCs w:val="20"/>
        </w:rPr>
      </w:pPr>
      <w:r>
        <w:rPr>
          <w:sz w:val="20"/>
          <w:szCs w:val="20"/>
        </w:rPr>
        <w:t> </w:t>
      </w:r>
    </w:p>
    <w:p w14:paraId="27424CD2" w14:textId="77777777" w:rsidR="00000000" w:rsidRDefault="00D6065B">
      <w:pPr>
        <w:pStyle w:val="a3"/>
        <w:spacing w:before="0" w:beforeAutospacing="0" w:after="0" w:afterAutospacing="0"/>
        <w:jc w:val="both"/>
        <w:rPr>
          <w:sz w:val="20"/>
          <w:szCs w:val="20"/>
        </w:rPr>
      </w:pPr>
      <w:r>
        <w:rPr>
          <w:b/>
          <w:bCs/>
          <w:sz w:val="20"/>
          <w:szCs w:val="20"/>
        </w:rPr>
        <w:t>Item 1. Legal Proceedings</w:t>
      </w:r>
    </w:p>
    <w:p w14:paraId="3589D4BA" w14:textId="77777777" w:rsidR="00000000" w:rsidRDefault="00D6065B">
      <w:pPr>
        <w:pStyle w:val="a3"/>
        <w:spacing w:before="0" w:beforeAutospacing="0" w:after="0" w:afterAutospacing="0"/>
        <w:ind w:firstLine="720"/>
        <w:jc w:val="both"/>
        <w:rPr>
          <w:sz w:val="20"/>
          <w:szCs w:val="20"/>
        </w:rPr>
      </w:pPr>
      <w:r>
        <w:rPr>
          <w:sz w:val="20"/>
          <w:szCs w:val="20"/>
        </w:rPr>
        <w:t> </w:t>
      </w:r>
    </w:p>
    <w:p w14:paraId="03B2C581" w14:textId="77777777" w:rsidR="00000000" w:rsidRDefault="00D6065B">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14:paraId="7C4FA8D9" w14:textId="77777777" w:rsidR="00000000" w:rsidRDefault="00D6065B">
      <w:pPr>
        <w:pStyle w:val="a3"/>
        <w:spacing w:before="0" w:beforeAutospacing="0" w:after="0" w:afterAutospacing="0"/>
        <w:ind w:firstLine="720"/>
        <w:jc w:val="both"/>
        <w:rPr>
          <w:sz w:val="20"/>
          <w:szCs w:val="20"/>
        </w:rPr>
      </w:pPr>
      <w:r>
        <w:rPr>
          <w:sz w:val="20"/>
          <w:szCs w:val="20"/>
        </w:rPr>
        <w:t> </w:t>
      </w:r>
    </w:p>
    <w:p w14:paraId="170D7582" w14:textId="77777777" w:rsidR="00000000" w:rsidRDefault="00D6065B">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14:paraId="7A61CC9F" w14:textId="77777777" w:rsidR="00000000" w:rsidRDefault="00D6065B">
      <w:pPr>
        <w:pStyle w:val="a3"/>
        <w:spacing w:before="0" w:beforeAutospacing="0" w:after="0" w:afterAutospacing="0"/>
        <w:jc w:val="both"/>
        <w:rPr>
          <w:sz w:val="20"/>
          <w:szCs w:val="20"/>
        </w:rPr>
      </w:pPr>
      <w:r>
        <w:rPr>
          <w:sz w:val="20"/>
          <w:szCs w:val="20"/>
        </w:rPr>
        <w:t> </w:t>
      </w:r>
    </w:p>
    <w:p w14:paraId="14F3EC25" w14:textId="77777777" w:rsidR="00000000" w:rsidRDefault="00D6065B">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issued 500,000 shares of common stock and 500,000 warrants to the Plaintiff, made an initial payment of $33,503 by December 4, 2019 and beginning on December 16, 2019, the Company made payments of $10,</w:t>
      </w:r>
      <w:r>
        <w:rPr>
          <w:sz w:val="20"/>
          <w:szCs w:val="20"/>
        </w:rPr>
        <w:t>000 per month for 10 months in full satisfaction of the Separation Agreement and General Release originally entered into on July 21, 2017.</w:t>
      </w:r>
    </w:p>
    <w:p w14:paraId="6CB70EFF" w14:textId="77777777" w:rsidR="00000000" w:rsidRDefault="00D6065B">
      <w:pPr>
        <w:pStyle w:val="a3"/>
        <w:spacing w:before="0" w:beforeAutospacing="0" w:after="0" w:afterAutospacing="0"/>
        <w:ind w:firstLine="720"/>
        <w:jc w:val="both"/>
        <w:rPr>
          <w:sz w:val="20"/>
          <w:szCs w:val="20"/>
        </w:rPr>
      </w:pPr>
      <w:r>
        <w:rPr>
          <w:sz w:val="20"/>
          <w:szCs w:val="20"/>
        </w:rPr>
        <w:t> </w:t>
      </w:r>
    </w:p>
    <w:p w14:paraId="45C73862" w14:textId="77777777" w:rsidR="00000000" w:rsidRDefault="00D6065B">
      <w:pPr>
        <w:pStyle w:val="a3"/>
        <w:spacing w:before="0" w:beforeAutospacing="0" w:after="0" w:afterAutospacing="0"/>
        <w:jc w:val="both"/>
        <w:rPr>
          <w:sz w:val="20"/>
          <w:szCs w:val="20"/>
        </w:rPr>
      </w:pPr>
      <w:r>
        <w:rPr>
          <w:b/>
          <w:bCs/>
          <w:sz w:val="20"/>
          <w:szCs w:val="20"/>
        </w:rPr>
        <w:t>Item 2. Unregistered Sales of Equity Securities</w:t>
      </w:r>
    </w:p>
    <w:p w14:paraId="06CAE93D" w14:textId="77777777" w:rsidR="00000000" w:rsidRDefault="00D6065B">
      <w:pPr>
        <w:pStyle w:val="a3"/>
        <w:spacing w:before="0" w:beforeAutospacing="0" w:after="0" w:afterAutospacing="0"/>
        <w:ind w:firstLine="720"/>
        <w:jc w:val="both"/>
        <w:rPr>
          <w:sz w:val="20"/>
          <w:szCs w:val="20"/>
        </w:rPr>
      </w:pPr>
      <w:r>
        <w:rPr>
          <w:sz w:val="20"/>
          <w:szCs w:val="20"/>
        </w:rPr>
        <w:t> </w:t>
      </w:r>
    </w:p>
    <w:p w14:paraId="31627046" w14:textId="77777777" w:rsidR="00000000" w:rsidRDefault="00D6065B">
      <w:pPr>
        <w:pStyle w:val="a3"/>
        <w:spacing w:before="0" w:beforeAutospacing="0" w:after="0" w:afterAutospacing="0"/>
        <w:ind w:firstLine="720"/>
        <w:jc w:val="both"/>
        <w:rPr>
          <w:sz w:val="20"/>
          <w:szCs w:val="20"/>
        </w:rPr>
      </w:pPr>
      <w:r>
        <w:rPr>
          <w:sz w:val="20"/>
          <w:szCs w:val="20"/>
        </w:rPr>
        <w:t>In January 2021, the Company issued 384,445 shares of common stoc</w:t>
      </w:r>
      <w:r>
        <w:rPr>
          <w:sz w:val="20"/>
          <w:szCs w:val="20"/>
        </w:rPr>
        <w:t>k in a settlement of accounts payable valued at $50,000.</w:t>
      </w:r>
    </w:p>
    <w:p w14:paraId="287A003A" w14:textId="77777777" w:rsidR="00000000" w:rsidRDefault="00D6065B">
      <w:pPr>
        <w:pStyle w:val="a3"/>
        <w:spacing w:before="0" w:beforeAutospacing="0" w:after="0" w:afterAutospacing="0"/>
        <w:jc w:val="both"/>
        <w:rPr>
          <w:sz w:val="20"/>
          <w:szCs w:val="20"/>
        </w:rPr>
      </w:pPr>
      <w:r>
        <w:rPr>
          <w:sz w:val="20"/>
          <w:szCs w:val="20"/>
        </w:rPr>
        <w:t> </w:t>
      </w:r>
    </w:p>
    <w:p w14:paraId="6B677FE4" w14:textId="77777777" w:rsidR="00000000" w:rsidRDefault="00D6065B">
      <w:pPr>
        <w:pStyle w:val="a3"/>
        <w:spacing w:before="0" w:beforeAutospacing="0" w:after="0" w:afterAutospacing="0"/>
        <w:ind w:firstLine="720"/>
        <w:jc w:val="both"/>
        <w:rPr>
          <w:sz w:val="20"/>
          <w:szCs w:val="20"/>
        </w:rPr>
      </w:pPr>
      <w:r>
        <w:rPr>
          <w:sz w:val="20"/>
          <w:szCs w:val="20"/>
        </w:rPr>
        <w:t>In January 2021, the Company issued 1,259,250 shares of common stock in conversion of a note payable and accrued interest totaling $50,370. The conversion resulted in a loss on conversion of $176,2</w:t>
      </w:r>
      <w:r>
        <w:rPr>
          <w:sz w:val="20"/>
          <w:szCs w:val="20"/>
        </w:rPr>
        <w:t>95 that is reflected in the Condensed Statement of Operations for the six months ended June 30, 2021.</w:t>
      </w:r>
    </w:p>
    <w:p w14:paraId="7CA25153" w14:textId="77777777" w:rsidR="00000000" w:rsidRDefault="00D6065B">
      <w:pPr>
        <w:pStyle w:val="a3"/>
        <w:spacing w:before="0" w:beforeAutospacing="0" w:after="0" w:afterAutospacing="0"/>
        <w:jc w:val="both"/>
        <w:rPr>
          <w:sz w:val="20"/>
          <w:szCs w:val="20"/>
        </w:rPr>
      </w:pPr>
      <w:r>
        <w:rPr>
          <w:sz w:val="20"/>
          <w:szCs w:val="20"/>
        </w:rPr>
        <w:t> </w:t>
      </w:r>
    </w:p>
    <w:p w14:paraId="7A16D4F6" w14:textId="77777777" w:rsidR="00000000" w:rsidRDefault="00D6065B">
      <w:pPr>
        <w:pStyle w:val="a3"/>
        <w:spacing w:before="0" w:beforeAutospacing="0" w:after="0" w:afterAutospacing="0"/>
        <w:ind w:firstLine="720"/>
        <w:jc w:val="both"/>
        <w:rPr>
          <w:sz w:val="20"/>
          <w:szCs w:val="20"/>
        </w:rPr>
      </w:pPr>
      <w:r>
        <w:rPr>
          <w:sz w:val="20"/>
          <w:szCs w:val="20"/>
        </w:rPr>
        <w:t>In March 2021, the Company issued 22,500,000 shares of common stock along with 11,237,500 warrants under the Regulation A+ for cash proceeds of $1,800,0</w:t>
      </w:r>
      <w:r>
        <w:rPr>
          <w:sz w:val="20"/>
          <w:szCs w:val="20"/>
        </w:rPr>
        <w:t>00 for the common stock and the warrants were purchased for $11,238.</w:t>
      </w:r>
    </w:p>
    <w:p w14:paraId="58F4CC4A" w14:textId="77777777" w:rsidR="00000000" w:rsidRDefault="00D6065B">
      <w:pPr>
        <w:pStyle w:val="a3"/>
        <w:spacing w:before="0" w:beforeAutospacing="0" w:after="0" w:afterAutospacing="0"/>
        <w:jc w:val="both"/>
        <w:rPr>
          <w:sz w:val="20"/>
          <w:szCs w:val="20"/>
        </w:rPr>
      </w:pPr>
      <w:r>
        <w:rPr>
          <w:sz w:val="20"/>
          <w:szCs w:val="20"/>
        </w:rPr>
        <w:t> </w:t>
      </w:r>
    </w:p>
    <w:p w14:paraId="424E1484" w14:textId="77777777" w:rsidR="00000000" w:rsidRDefault="00D6065B">
      <w:pPr>
        <w:pStyle w:val="a3"/>
        <w:spacing w:before="0" w:beforeAutospacing="0" w:after="0" w:afterAutospacing="0"/>
        <w:ind w:firstLine="720"/>
        <w:jc w:val="both"/>
        <w:rPr>
          <w:sz w:val="20"/>
          <w:szCs w:val="20"/>
        </w:rPr>
      </w:pPr>
      <w:r>
        <w:rPr>
          <w:sz w:val="20"/>
          <w:szCs w:val="20"/>
        </w:rPr>
        <w:t xml:space="preserve">Between </w:t>
      </w:r>
      <w:r>
        <w:rPr>
          <w:sz w:val="20"/>
          <w:szCs w:val="20"/>
        </w:rPr>
        <w:t>January 8, 2021 and January 29, 2021, the Company issued 3,870,428 shares of common stock in the cashless exercise of 5,430,000 warrants.</w:t>
      </w:r>
    </w:p>
    <w:p w14:paraId="4875D96E" w14:textId="77777777" w:rsidR="00000000" w:rsidRDefault="00D6065B">
      <w:pPr>
        <w:pStyle w:val="a3"/>
        <w:spacing w:before="0" w:beforeAutospacing="0" w:after="0" w:afterAutospacing="0"/>
        <w:ind w:firstLine="720"/>
        <w:jc w:val="both"/>
        <w:rPr>
          <w:sz w:val="20"/>
          <w:szCs w:val="20"/>
        </w:rPr>
      </w:pPr>
      <w:r>
        <w:rPr>
          <w:sz w:val="20"/>
          <w:szCs w:val="20"/>
        </w:rPr>
        <w:t> </w:t>
      </w:r>
    </w:p>
    <w:p w14:paraId="6C2323C1" w14:textId="77777777" w:rsidR="00000000" w:rsidRDefault="00D6065B">
      <w:pPr>
        <w:pStyle w:val="a3"/>
        <w:spacing w:before="0" w:beforeAutospacing="0" w:after="0" w:afterAutospacing="0"/>
        <w:ind w:firstLine="720"/>
        <w:jc w:val="both"/>
        <w:rPr>
          <w:sz w:val="20"/>
          <w:szCs w:val="20"/>
        </w:rPr>
      </w:pPr>
      <w:r>
        <w:rPr>
          <w:sz w:val="20"/>
          <w:szCs w:val="20"/>
        </w:rPr>
        <w:t>On June 28, 2021, the Company issued 2,500,000 shares of common stock for the exercise of 2,500,000 stock options to</w:t>
      </w:r>
      <w:r>
        <w:rPr>
          <w:sz w:val="20"/>
          <w:szCs w:val="20"/>
        </w:rPr>
        <w:t xml:space="preserve"> the Chief Executive Officer. In this transaction, the Company canceled 375,000 shares of common stock as partial payment for the exercise of the stock options.</w:t>
      </w:r>
    </w:p>
    <w:p w14:paraId="1B1F984E" w14:textId="77777777" w:rsidR="00000000" w:rsidRDefault="00D6065B">
      <w:pPr>
        <w:pStyle w:val="a3"/>
        <w:spacing w:before="0" w:beforeAutospacing="0" w:after="0" w:afterAutospacing="0"/>
        <w:ind w:firstLine="720"/>
        <w:jc w:val="both"/>
        <w:rPr>
          <w:sz w:val="20"/>
          <w:szCs w:val="20"/>
        </w:rPr>
      </w:pPr>
      <w:r>
        <w:rPr>
          <w:sz w:val="20"/>
          <w:szCs w:val="20"/>
        </w:rPr>
        <w:t> </w:t>
      </w:r>
    </w:p>
    <w:p w14:paraId="26229F1C" w14:textId="77777777" w:rsidR="00000000" w:rsidRDefault="00D6065B">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w:t>
      </w:r>
      <w:r>
        <w:rPr>
          <w:sz w:val="20"/>
          <w:szCs w:val="20"/>
        </w:rPr>
        <w:t>sions. None of the sales of securities described or referred to above was registered under the Securities Act of 1933, as amended (the “Securities Act”). For sales made pursuant to an exemption from registration contained in Section 4(a)(2) of the Securiti</w:t>
      </w:r>
      <w:r>
        <w:rPr>
          <w:sz w:val="20"/>
          <w:szCs w:val="20"/>
        </w:rPr>
        <w:t>es Act, no general solicitation was used in connection with the sales.</w:t>
      </w:r>
    </w:p>
    <w:p w14:paraId="193EC68C"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228F95" w14:textId="77777777">
        <w:trPr>
          <w:divId w:val="607742652"/>
        </w:trPr>
        <w:tc>
          <w:tcPr>
            <w:tcW w:w="5000" w:type="pct"/>
            <w:hideMark/>
          </w:tcPr>
          <w:p w14:paraId="1853A661" w14:textId="77777777" w:rsidR="00000000" w:rsidRDefault="00D6065B">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3EC67473" w14:textId="77777777">
        <w:tc>
          <w:tcPr>
            <w:tcW w:w="5000" w:type="pct"/>
            <w:hideMark/>
          </w:tcPr>
          <w:p w14:paraId="34EB37BF" w14:textId="77777777" w:rsidR="00000000" w:rsidRDefault="00D6065B">
            <w:pPr>
              <w:jc w:val="center"/>
              <w:rPr>
                <w:rFonts w:eastAsia="Times New Roman"/>
                <w:sz w:val="20"/>
                <w:szCs w:val="20"/>
              </w:rPr>
            </w:pPr>
            <w:r>
              <w:rPr>
                <w:rFonts w:eastAsia="Times New Roman"/>
                <w:sz w:val="20"/>
                <w:szCs w:val="20"/>
              </w:rPr>
              <w:t> </w:t>
            </w:r>
          </w:p>
        </w:tc>
      </w:tr>
    </w:tbl>
    <w:p w14:paraId="5E6E465A" w14:textId="77777777" w:rsidR="00000000" w:rsidRDefault="00D6065B">
      <w:pPr>
        <w:pStyle w:val="a3"/>
        <w:spacing w:before="0" w:beforeAutospacing="0" w:after="0" w:afterAutospacing="0"/>
        <w:rPr>
          <w:sz w:val="20"/>
          <w:szCs w:val="20"/>
        </w:rPr>
      </w:pPr>
      <w:r>
        <w:rPr>
          <w:sz w:val="20"/>
          <w:szCs w:val="20"/>
        </w:rPr>
        <w:t> </w:t>
      </w:r>
    </w:p>
    <w:p w14:paraId="478DDE16" w14:textId="77777777" w:rsidR="00000000" w:rsidRDefault="00D6065B">
      <w:pPr>
        <w:pStyle w:val="a3"/>
        <w:spacing w:before="0" w:beforeAutospacing="0" w:after="0" w:afterAutospacing="0"/>
        <w:jc w:val="both"/>
        <w:rPr>
          <w:sz w:val="20"/>
          <w:szCs w:val="20"/>
        </w:rPr>
      </w:pPr>
      <w:r>
        <w:rPr>
          <w:b/>
          <w:bCs/>
          <w:sz w:val="20"/>
          <w:szCs w:val="20"/>
        </w:rPr>
        <w:t>Item 6. Exhibits.</w:t>
      </w:r>
    </w:p>
    <w:p w14:paraId="288DC158" w14:textId="77777777" w:rsidR="00000000" w:rsidRDefault="00D6065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0644A2F0" w14:textId="77777777">
        <w:tc>
          <w:tcPr>
            <w:tcW w:w="1080" w:type="dxa"/>
            <w:hideMark/>
          </w:tcPr>
          <w:p w14:paraId="613F0E28" w14:textId="77777777" w:rsidR="00000000" w:rsidRDefault="00D6065B">
            <w:pPr>
              <w:jc w:val="center"/>
              <w:rPr>
                <w:rFonts w:eastAsia="Times New Roman"/>
                <w:sz w:val="20"/>
                <w:szCs w:val="20"/>
              </w:rPr>
            </w:pPr>
            <w:r>
              <w:rPr>
                <w:rFonts w:eastAsia="Times New Roman"/>
                <w:b/>
                <w:bCs/>
                <w:sz w:val="20"/>
                <w:szCs w:val="20"/>
              </w:rPr>
              <w:t>Exhibit</w:t>
            </w:r>
          </w:p>
        </w:tc>
        <w:tc>
          <w:tcPr>
            <w:tcW w:w="144" w:type="dxa"/>
            <w:hideMark/>
          </w:tcPr>
          <w:p w14:paraId="4B0EEF6B" w14:textId="77777777" w:rsidR="00000000" w:rsidRDefault="00D6065B">
            <w:pPr>
              <w:rPr>
                <w:rFonts w:eastAsia="Times New Roman"/>
                <w:sz w:val="20"/>
                <w:szCs w:val="20"/>
              </w:rPr>
            </w:pPr>
            <w:r>
              <w:rPr>
                <w:rFonts w:eastAsia="Times New Roman"/>
                <w:sz w:val="20"/>
                <w:szCs w:val="20"/>
              </w:rPr>
              <w:t> </w:t>
            </w:r>
          </w:p>
        </w:tc>
        <w:tc>
          <w:tcPr>
            <w:tcW w:w="0" w:type="auto"/>
            <w:hideMark/>
          </w:tcPr>
          <w:p w14:paraId="1703C260" w14:textId="77777777" w:rsidR="00000000" w:rsidRDefault="00D6065B">
            <w:pPr>
              <w:rPr>
                <w:rFonts w:eastAsia="Times New Roman"/>
                <w:sz w:val="20"/>
                <w:szCs w:val="20"/>
              </w:rPr>
            </w:pPr>
            <w:r>
              <w:rPr>
                <w:rFonts w:eastAsia="Times New Roman"/>
                <w:sz w:val="20"/>
                <w:szCs w:val="20"/>
              </w:rPr>
              <w:t> </w:t>
            </w:r>
          </w:p>
        </w:tc>
      </w:tr>
      <w:tr w:rsidR="00000000" w14:paraId="687301AF" w14:textId="77777777">
        <w:tc>
          <w:tcPr>
            <w:tcW w:w="0" w:type="auto"/>
            <w:tcBorders>
              <w:bottom w:val="single" w:sz="12" w:space="0" w:color="000000"/>
            </w:tcBorders>
            <w:hideMark/>
          </w:tcPr>
          <w:p w14:paraId="122B7E4C" w14:textId="77777777" w:rsidR="00000000" w:rsidRDefault="00D6065B">
            <w:pPr>
              <w:jc w:val="center"/>
              <w:rPr>
                <w:rFonts w:eastAsia="Times New Roman"/>
                <w:sz w:val="20"/>
                <w:szCs w:val="20"/>
              </w:rPr>
            </w:pPr>
            <w:r>
              <w:rPr>
                <w:rFonts w:eastAsia="Times New Roman"/>
                <w:b/>
                <w:bCs/>
                <w:sz w:val="20"/>
                <w:szCs w:val="20"/>
              </w:rPr>
              <w:t>Number</w:t>
            </w:r>
          </w:p>
        </w:tc>
        <w:tc>
          <w:tcPr>
            <w:tcW w:w="0" w:type="auto"/>
            <w:tcMar>
              <w:top w:w="0" w:type="dxa"/>
              <w:left w:w="0" w:type="dxa"/>
              <w:bottom w:w="30" w:type="dxa"/>
              <w:right w:w="0" w:type="dxa"/>
            </w:tcMar>
            <w:hideMark/>
          </w:tcPr>
          <w:p w14:paraId="2998EA6D" w14:textId="77777777" w:rsidR="00000000" w:rsidRDefault="00D6065B">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6A660FA4" w14:textId="77777777" w:rsidR="00000000" w:rsidRDefault="00D6065B">
            <w:pPr>
              <w:rPr>
                <w:rFonts w:eastAsia="Times New Roman"/>
                <w:sz w:val="20"/>
                <w:szCs w:val="20"/>
              </w:rPr>
            </w:pPr>
            <w:r>
              <w:rPr>
                <w:rFonts w:eastAsia="Times New Roman"/>
                <w:b/>
                <w:bCs/>
                <w:sz w:val="20"/>
                <w:szCs w:val="20"/>
              </w:rPr>
              <w:t>Description</w:t>
            </w:r>
          </w:p>
        </w:tc>
      </w:tr>
      <w:tr w:rsidR="00000000" w14:paraId="683E1AE3" w14:textId="77777777">
        <w:tc>
          <w:tcPr>
            <w:tcW w:w="0" w:type="auto"/>
            <w:hideMark/>
          </w:tcPr>
          <w:p w14:paraId="1F148120" w14:textId="77777777" w:rsidR="00000000" w:rsidRDefault="00D6065B">
            <w:pPr>
              <w:rPr>
                <w:rFonts w:eastAsia="Times New Roman"/>
                <w:sz w:val="20"/>
                <w:szCs w:val="20"/>
              </w:rPr>
            </w:pPr>
            <w:r>
              <w:rPr>
                <w:rFonts w:eastAsia="Times New Roman"/>
                <w:sz w:val="20"/>
                <w:szCs w:val="20"/>
              </w:rPr>
              <w:t> </w:t>
            </w:r>
          </w:p>
        </w:tc>
        <w:tc>
          <w:tcPr>
            <w:tcW w:w="0" w:type="auto"/>
            <w:hideMark/>
          </w:tcPr>
          <w:p w14:paraId="70AA6756" w14:textId="77777777" w:rsidR="00000000" w:rsidRDefault="00D6065B">
            <w:pPr>
              <w:rPr>
                <w:rFonts w:eastAsia="Times New Roman"/>
                <w:sz w:val="20"/>
                <w:szCs w:val="20"/>
              </w:rPr>
            </w:pPr>
            <w:r>
              <w:rPr>
                <w:rFonts w:eastAsia="Times New Roman"/>
                <w:sz w:val="20"/>
                <w:szCs w:val="20"/>
              </w:rPr>
              <w:t> </w:t>
            </w:r>
          </w:p>
        </w:tc>
        <w:tc>
          <w:tcPr>
            <w:tcW w:w="0" w:type="auto"/>
            <w:hideMark/>
          </w:tcPr>
          <w:p w14:paraId="544B4FB8" w14:textId="77777777" w:rsidR="00000000" w:rsidRDefault="00D6065B">
            <w:pPr>
              <w:rPr>
                <w:rFonts w:eastAsia="Times New Roman"/>
                <w:sz w:val="20"/>
                <w:szCs w:val="20"/>
              </w:rPr>
            </w:pPr>
            <w:r>
              <w:rPr>
                <w:rFonts w:eastAsia="Times New Roman"/>
                <w:sz w:val="20"/>
                <w:szCs w:val="20"/>
              </w:rPr>
              <w:t> </w:t>
            </w:r>
          </w:p>
        </w:tc>
      </w:tr>
      <w:tr w:rsidR="00000000" w14:paraId="46F5BDF4" w14:textId="77777777">
        <w:tc>
          <w:tcPr>
            <w:tcW w:w="0" w:type="auto"/>
            <w:hideMark/>
          </w:tcPr>
          <w:p w14:paraId="319A5686" w14:textId="77777777" w:rsidR="00000000" w:rsidRDefault="00D6065B">
            <w:pPr>
              <w:jc w:val="center"/>
              <w:rPr>
                <w:rFonts w:eastAsia="Times New Roman"/>
                <w:sz w:val="20"/>
                <w:szCs w:val="20"/>
              </w:rPr>
            </w:pPr>
            <w:r>
              <w:rPr>
                <w:rFonts w:eastAsia="Times New Roman"/>
                <w:sz w:val="20"/>
                <w:szCs w:val="20"/>
              </w:rPr>
              <w:t>31.1*</w:t>
            </w:r>
          </w:p>
        </w:tc>
        <w:tc>
          <w:tcPr>
            <w:tcW w:w="0" w:type="auto"/>
            <w:hideMark/>
          </w:tcPr>
          <w:p w14:paraId="08F62747" w14:textId="77777777" w:rsidR="00000000" w:rsidRDefault="00D6065B">
            <w:pPr>
              <w:rPr>
                <w:rFonts w:eastAsia="Times New Roman"/>
                <w:sz w:val="20"/>
                <w:szCs w:val="20"/>
              </w:rPr>
            </w:pPr>
            <w:r>
              <w:rPr>
                <w:rFonts w:eastAsia="Times New Roman"/>
                <w:sz w:val="20"/>
                <w:szCs w:val="20"/>
              </w:rPr>
              <w:t> </w:t>
            </w:r>
          </w:p>
        </w:tc>
        <w:tc>
          <w:tcPr>
            <w:tcW w:w="0" w:type="auto"/>
            <w:hideMark/>
          </w:tcPr>
          <w:p w14:paraId="664D850A" w14:textId="77777777" w:rsidR="00000000" w:rsidRDefault="00D6065B">
            <w:pPr>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14:paraId="0575E66D" w14:textId="77777777">
        <w:tc>
          <w:tcPr>
            <w:tcW w:w="0" w:type="auto"/>
            <w:hideMark/>
          </w:tcPr>
          <w:p w14:paraId="5C851401" w14:textId="77777777" w:rsidR="00000000" w:rsidRDefault="00D6065B">
            <w:pPr>
              <w:rPr>
                <w:rFonts w:eastAsia="Times New Roman"/>
                <w:sz w:val="20"/>
                <w:szCs w:val="20"/>
              </w:rPr>
            </w:pPr>
            <w:r>
              <w:rPr>
                <w:rFonts w:eastAsia="Times New Roman"/>
                <w:sz w:val="20"/>
                <w:szCs w:val="20"/>
              </w:rPr>
              <w:t> </w:t>
            </w:r>
          </w:p>
        </w:tc>
        <w:tc>
          <w:tcPr>
            <w:tcW w:w="0" w:type="auto"/>
            <w:hideMark/>
          </w:tcPr>
          <w:p w14:paraId="785D4672" w14:textId="77777777" w:rsidR="00000000" w:rsidRDefault="00D6065B">
            <w:pPr>
              <w:rPr>
                <w:rFonts w:eastAsia="Times New Roman"/>
                <w:sz w:val="20"/>
                <w:szCs w:val="20"/>
              </w:rPr>
            </w:pPr>
            <w:r>
              <w:rPr>
                <w:rFonts w:eastAsia="Times New Roman"/>
                <w:sz w:val="20"/>
                <w:szCs w:val="20"/>
              </w:rPr>
              <w:t> </w:t>
            </w:r>
          </w:p>
        </w:tc>
        <w:tc>
          <w:tcPr>
            <w:tcW w:w="0" w:type="auto"/>
            <w:hideMark/>
          </w:tcPr>
          <w:p w14:paraId="2D648CAF" w14:textId="77777777" w:rsidR="00000000" w:rsidRDefault="00D6065B">
            <w:pPr>
              <w:rPr>
                <w:rFonts w:eastAsia="Times New Roman"/>
                <w:sz w:val="20"/>
                <w:szCs w:val="20"/>
              </w:rPr>
            </w:pPr>
            <w:r>
              <w:rPr>
                <w:rFonts w:eastAsia="Times New Roman"/>
                <w:sz w:val="20"/>
                <w:szCs w:val="20"/>
              </w:rPr>
              <w:t> </w:t>
            </w:r>
          </w:p>
        </w:tc>
      </w:tr>
      <w:tr w:rsidR="00000000" w14:paraId="7FCB75F4" w14:textId="77777777">
        <w:tc>
          <w:tcPr>
            <w:tcW w:w="0" w:type="auto"/>
            <w:hideMark/>
          </w:tcPr>
          <w:p w14:paraId="171596B4" w14:textId="77777777" w:rsidR="00000000" w:rsidRDefault="00D6065B">
            <w:pPr>
              <w:jc w:val="center"/>
              <w:rPr>
                <w:rFonts w:eastAsia="Times New Roman"/>
                <w:sz w:val="20"/>
                <w:szCs w:val="20"/>
              </w:rPr>
            </w:pPr>
            <w:r>
              <w:rPr>
                <w:rFonts w:eastAsia="Times New Roman"/>
                <w:sz w:val="20"/>
                <w:szCs w:val="20"/>
              </w:rPr>
              <w:t>31.2*</w:t>
            </w:r>
          </w:p>
        </w:tc>
        <w:tc>
          <w:tcPr>
            <w:tcW w:w="0" w:type="auto"/>
            <w:hideMark/>
          </w:tcPr>
          <w:p w14:paraId="32432639" w14:textId="77777777" w:rsidR="00000000" w:rsidRDefault="00D6065B">
            <w:pPr>
              <w:rPr>
                <w:rFonts w:eastAsia="Times New Roman"/>
                <w:sz w:val="20"/>
                <w:szCs w:val="20"/>
              </w:rPr>
            </w:pPr>
            <w:r>
              <w:rPr>
                <w:rFonts w:eastAsia="Times New Roman"/>
                <w:sz w:val="20"/>
                <w:szCs w:val="20"/>
              </w:rPr>
              <w:t> </w:t>
            </w:r>
          </w:p>
        </w:tc>
        <w:tc>
          <w:tcPr>
            <w:tcW w:w="0" w:type="auto"/>
            <w:hideMark/>
          </w:tcPr>
          <w:p w14:paraId="551E2056" w14:textId="77777777" w:rsidR="00000000" w:rsidRDefault="00D6065B">
            <w:pPr>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14:paraId="6212E221" w14:textId="77777777">
        <w:tc>
          <w:tcPr>
            <w:tcW w:w="0" w:type="auto"/>
            <w:hideMark/>
          </w:tcPr>
          <w:p w14:paraId="3B79155D" w14:textId="77777777" w:rsidR="00000000" w:rsidRDefault="00D6065B">
            <w:pPr>
              <w:rPr>
                <w:rFonts w:eastAsia="Times New Roman"/>
                <w:sz w:val="20"/>
                <w:szCs w:val="20"/>
              </w:rPr>
            </w:pPr>
            <w:r>
              <w:rPr>
                <w:rFonts w:eastAsia="Times New Roman"/>
                <w:sz w:val="20"/>
                <w:szCs w:val="20"/>
              </w:rPr>
              <w:t> </w:t>
            </w:r>
          </w:p>
        </w:tc>
        <w:tc>
          <w:tcPr>
            <w:tcW w:w="0" w:type="auto"/>
            <w:hideMark/>
          </w:tcPr>
          <w:p w14:paraId="2F357737" w14:textId="77777777" w:rsidR="00000000" w:rsidRDefault="00D6065B">
            <w:pPr>
              <w:rPr>
                <w:rFonts w:eastAsia="Times New Roman"/>
                <w:sz w:val="20"/>
                <w:szCs w:val="20"/>
              </w:rPr>
            </w:pPr>
            <w:r>
              <w:rPr>
                <w:rFonts w:eastAsia="Times New Roman"/>
                <w:sz w:val="20"/>
                <w:szCs w:val="20"/>
              </w:rPr>
              <w:t> </w:t>
            </w:r>
          </w:p>
        </w:tc>
        <w:tc>
          <w:tcPr>
            <w:tcW w:w="0" w:type="auto"/>
            <w:hideMark/>
          </w:tcPr>
          <w:p w14:paraId="312B3812" w14:textId="77777777" w:rsidR="00000000" w:rsidRDefault="00D6065B">
            <w:pPr>
              <w:rPr>
                <w:rFonts w:eastAsia="Times New Roman"/>
                <w:sz w:val="20"/>
                <w:szCs w:val="20"/>
              </w:rPr>
            </w:pPr>
            <w:r>
              <w:rPr>
                <w:rFonts w:eastAsia="Times New Roman"/>
                <w:sz w:val="20"/>
                <w:szCs w:val="20"/>
              </w:rPr>
              <w:t> </w:t>
            </w:r>
          </w:p>
        </w:tc>
      </w:tr>
      <w:tr w:rsidR="00000000" w14:paraId="596A8BD1" w14:textId="77777777">
        <w:tc>
          <w:tcPr>
            <w:tcW w:w="0" w:type="auto"/>
            <w:hideMark/>
          </w:tcPr>
          <w:p w14:paraId="0979F2CB" w14:textId="77777777" w:rsidR="00000000" w:rsidRDefault="00D6065B">
            <w:pPr>
              <w:jc w:val="center"/>
              <w:rPr>
                <w:rFonts w:eastAsia="Times New Roman"/>
                <w:sz w:val="20"/>
                <w:szCs w:val="20"/>
              </w:rPr>
            </w:pPr>
            <w:r>
              <w:rPr>
                <w:rFonts w:eastAsia="Times New Roman"/>
                <w:sz w:val="20"/>
                <w:szCs w:val="20"/>
              </w:rPr>
              <w:t>32.1*</w:t>
            </w:r>
          </w:p>
        </w:tc>
        <w:tc>
          <w:tcPr>
            <w:tcW w:w="0" w:type="auto"/>
            <w:hideMark/>
          </w:tcPr>
          <w:p w14:paraId="26641151" w14:textId="77777777" w:rsidR="00000000" w:rsidRDefault="00D6065B">
            <w:pPr>
              <w:rPr>
                <w:rFonts w:eastAsia="Times New Roman"/>
                <w:sz w:val="20"/>
                <w:szCs w:val="20"/>
              </w:rPr>
            </w:pPr>
            <w:r>
              <w:rPr>
                <w:rFonts w:eastAsia="Times New Roman"/>
                <w:sz w:val="20"/>
                <w:szCs w:val="20"/>
              </w:rPr>
              <w:t> </w:t>
            </w:r>
          </w:p>
        </w:tc>
        <w:tc>
          <w:tcPr>
            <w:tcW w:w="0" w:type="auto"/>
            <w:hideMark/>
          </w:tcPr>
          <w:p w14:paraId="67F91369" w14:textId="77777777" w:rsidR="00000000" w:rsidRDefault="00D6065B">
            <w:pPr>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14:paraId="56744F7E" w14:textId="77777777">
        <w:tc>
          <w:tcPr>
            <w:tcW w:w="0" w:type="auto"/>
            <w:hideMark/>
          </w:tcPr>
          <w:p w14:paraId="6782C79C" w14:textId="77777777" w:rsidR="00000000" w:rsidRDefault="00D6065B">
            <w:pPr>
              <w:rPr>
                <w:rFonts w:eastAsia="Times New Roman"/>
                <w:sz w:val="20"/>
                <w:szCs w:val="20"/>
              </w:rPr>
            </w:pPr>
            <w:r>
              <w:rPr>
                <w:rFonts w:eastAsia="Times New Roman"/>
                <w:sz w:val="20"/>
                <w:szCs w:val="20"/>
              </w:rPr>
              <w:t> </w:t>
            </w:r>
          </w:p>
        </w:tc>
        <w:tc>
          <w:tcPr>
            <w:tcW w:w="0" w:type="auto"/>
            <w:hideMark/>
          </w:tcPr>
          <w:p w14:paraId="1F30A116" w14:textId="77777777" w:rsidR="00000000" w:rsidRDefault="00D6065B">
            <w:pPr>
              <w:rPr>
                <w:rFonts w:eastAsia="Times New Roman"/>
                <w:sz w:val="20"/>
                <w:szCs w:val="20"/>
              </w:rPr>
            </w:pPr>
            <w:r>
              <w:rPr>
                <w:rFonts w:eastAsia="Times New Roman"/>
                <w:sz w:val="20"/>
                <w:szCs w:val="20"/>
              </w:rPr>
              <w:t> </w:t>
            </w:r>
          </w:p>
        </w:tc>
        <w:tc>
          <w:tcPr>
            <w:tcW w:w="0" w:type="auto"/>
            <w:hideMark/>
          </w:tcPr>
          <w:p w14:paraId="27A094AC" w14:textId="77777777" w:rsidR="00000000" w:rsidRDefault="00D6065B">
            <w:pPr>
              <w:rPr>
                <w:rFonts w:eastAsia="Times New Roman"/>
                <w:sz w:val="20"/>
                <w:szCs w:val="20"/>
              </w:rPr>
            </w:pPr>
            <w:r>
              <w:rPr>
                <w:rFonts w:eastAsia="Times New Roman"/>
                <w:sz w:val="20"/>
                <w:szCs w:val="20"/>
              </w:rPr>
              <w:t> </w:t>
            </w:r>
          </w:p>
        </w:tc>
      </w:tr>
      <w:tr w:rsidR="00000000" w14:paraId="52EDBAE1" w14:textId="77777777">
        <w:tc>
          <w:tcPr>
            <w:tcW w:w="0" w:type="auto"/>
            <w:hideMark/>
          </w:tcPr>
          <w:p w14:paraId="471A79C7" w14:textId="77777777" w:rsidR="00000000" w:rsidRDefault="00D6065B">
            <w:pPr>
              <w:jc w:val="center"/>
              <w:rPr>
                <w:rFonts w:eastAsia="Times New Roman"/>
                <w:sz w:val="20"/>
                <w:szCs w:val="20"/>
              </w:rPr>
            </w:pPr>
            <w:r>
              <w:rPr>
                <w:rFonts w:eastAsia="Times New Roman"/>
                <w:sz w:val="20"/>
                <w:szCs w:val="20"/>
              </w:rPr>
              <w:t>101.INS</w:t>
            </w:r>
          </w:p>
        </w:tc>
        <w:tc>
          <w:tcPr>
            <w:tcW w:w="0" w:type="auto"/>
            <w:hideMark/>
          </w:tcPr>
          <w:p w14:paraId="5DBE9B70" w14:textId="77777777" w:rsidR="00000000" w:rsidRDefault="00D6065B">
            <w:pPr>
              <w:rPr>
                <w:rFonts w:eastAsia="Times New Roman"/>
                <w:sz w:val="20"/>
                <w:szCs w:val="20"/>
              </w:rPr>
            </w:pPr>
            <w:r>
              <w:rPr>
                <w:rFonts w:eastAsia="Times New Roman"/>
                <w:sz w:val="20"/>
                <w:szCs w:val="20"/>
              </w:rPr>
              <w:t> </w:t>
            </w:r>
          </w:p>
        </w:tc>
        <w:tc>
          <w:tcPr>
            <w:tcW w:w="0" w:type="auto"/>
            <w:hideMark/>
          </w:tcPr>
          <w:p w14:paraId="745DF0D9" w14:textId="77777777" w:rsidR="00000000" w:rsidRDefault="00D6065B">
            <w:pPr>
              <w:rPr>
                <w:rFonts w:eastAsia="Times New Roman"/>
                <w:sz w:val="20"/>
                <w:szCs w:val="20"/>
              </w:rPr>
            </w:pPr>
            <w:r>
              <w:rPr>
                <w:rFonts w:eastAsia="Times New Roman"/>
                <w:sz w:val="20"/>
                <w:szCs w:val="20"/>
              </w:rPr>
              <w:t>XBRL Instance Document</w:t>
            </w:r>
          </w:p>
        </w:tc>
      </w:tr>
      <w:tr w:rsidR="00000000" w14:paraId="7E29A907" w14:textId="77777777">
        <w:tc>
          <w:tcPr>
            <w:tcW w:w="0" w:type="auto"/>
            <w:hideMark/>
          </w:tcPr>
          <w:p w14:paraId="052721EF" w14:textId="77777777" w:rsidR="00000000" w:rsidRDefault="00D6065B">
            <w:pPr>
              <w:jc w:val="center"/>
              <w:rPr>
                <w:rFonts w:eastAsia="Times New Roman"/>
                <w:sz w:val="20"/>
                <w:szCs w:val="20"/>
              </w:rPr>
            </w:pPr>
            <w:r>
              <w:rPr>
                <w:rFonts w:eastAsia="Times New Roman"/>
                <w:sz w:val="20"/>
                <w:szCs w:val="20"/>
              </w:rPr>
              <w:t> </w:t>
            </w:r>
          </w:p>
        </w:tc>
        <w:tc>
          <w:tcPr>
            <w:tcW w:w="0" w:type="auto"/>
            <w:hideMark/>
          </w:tcPr>
          <w:p w14:paraId="494D7948" w14:textId="77777777" w:rsidR="00000000" w:rsidRDefault="00D6065B">
            <w:pPr>
              <w:rPr>
                <w:rFonts w:eastAsia="Times New Roman"/>
                <w:sz w:val="20"/>
                <w:szCs w:val="20"/>
              </w:rPr>
            </w:pPr>
            <w:r>
              <w:rPr>
                <w:rFonts w:eastAsia="Times New Roman"/>
                <w:sz w:val="20"/>
                <w:szCs w:val="20"/>
              </w:rPr>
              <w:t> </w:t>
            </w:r>
          </w:p>
        </w:tc>
        <w:tc>
          <w:tcPr>
            <w:tcW w:w="0" w:type="auto"/>
            <w:hideMark/>
          </w:tcPr>
          <w:p w14:paraId="3C32A67C" w14:textId="77777777" w:rsidR="00000000" w:rsidRDefault="00D6065B">
            <w:pPr>
              <w:rPr>
                <w:rFonts w:eastAsia="Times New Roman"/>
                <w:sz w:val="20"/>
                <w:szCs w:val="20"/>
              </w:rPr>
            </w:pPr>
            <w:r>
              <w:rPr>
                <w:rFonts w:eastAsia="Times New Roman"/>
                <w:sz w:val="20"/>
                <w:szCs w:val="20"/>
              </w:rPr>
              <w:t> </w:t>
            </w:r>
          </w:p>
        </w:tc>
      </w:tr>
      <w:tr w:rsidR="00000000" w14:paraId="530E5221" w14:textId="77777777">
        <w:tc>
          <w:tcPr>
            <w:tcW w:w="0" w:type="auto"/>
            <w:hideMark/>
          </w:tcPr>
          <w:p w14:paraId="1F466469" w14:textId="77777777" w:rsidR="00000000" w:rsidRDefault="00D6065B">
            <w:pPr>
              <w:jc w:val="center"/>
              <w:rPr>
                <w:rFonts w:eastAsia="Times New Roman"/>
                <w:sz w:val="20"/>
                <w:szCs w:val="20"/>
              </w:rPr>
            </w:pPr>
            <w:r>
              <w:rPr>
                <w:rFonts w:eastAsia="Times New Roman"/>
                <w:sz w:val="20"/>
                <w:szCs w:val="20"/>
              </w:rPr>
              <w:t>101.SCH</w:t>
            </w:r>
          </w:p>
        </w:tc>
        <w:tc>
          <w:tcPr>
            <w:tcW w:w="0" w:type="auto"/>
            <w:hideMark/>
          </w:tcPr>
          <w:p w14:paraId="6A86D527" w14:textId="77777777" w:rsidR="00000000" w:rsidRDefault="00D6065B">
            <w:pPr>
              <w:rPr>
                <w:rFonts w:eastAsia="Times New Roman"/>
                <w:sz w:val="20"/>
                <w:szCs w:val="20"/>
              </w:rPr>
            </w:pPr>
            <w:r>
              <w:rPr>
                <w:rFonts w:eastAsia="Times New Roman"/>
                <w:sz w:val="20"/>
                <w:szCs w:val="20"/>
              </w:rPr>
              <w:t> </w:t>
            </w:r>
          </w:p>
        </w:tc>
        <w:tc>
          <w:tcPr>
            <w:tcW w:w="0" w:type="auto"/>
            <w:hideMark/>
          </w:tcPr>
          <w:p w14:paraId="51AC1E2C" w14:textId="77777777" w:rsidR="00000000" w:rsidRDefault="00D6065B">
            <w:pPr>
              <w:rPr>
                <w:rFonts w:eastAsia="Times New Roman"/>
                <w:sz w:val="20"/>
                <w:szCs w:val="20"/>
              </w:rPr>
            </w:pPr>
            <w:r>
              <w:rPr>
                <w:rFonts w:eastAsia="Times New Roman"/>
                <w:sz w:val="20"/>
                <w:szCs w:val="20"/>
              </w:rPr>
              <w:t>XBRL Taxonomy Extension Schema</w:t>
            </w:r>
          </w:p>
        </w:tc>
      </w:tr>
      <w:tr w:rsidR="00000000" w14:paraId="687FF6EA" w14:textId="77777777">
        <w:tc>
          <w:tcPr>
            <w:tcW w:w="0" w:type="auto"/>
            <w:hideMark/>
          </w:tcPr>
          <w:p w14:paraId="67719527" w14:textId="77777777" w:rsidR="00000000" w:rsidRDefault="00D6065B">
            <w:pPr>
              <w:rPr>
                <w:rFonts w:eastAsia="Times New Roman"/>
                <w:sz w:val="20"/>
                <w:szCs w:val="20"/>
              </w:rPr>
            </w:pPr>
            <w:r>
              <w:rPr>
                <w:rFonts w:eastAsia="Times New Roman"/>
                <w:sz w:val="20"/>
                <w:szCs w:val="20"/>
              </w:rPr>
              <w:t> </w:t>
            </w:r>
          </w:p>
        </w:tc>
        <w:tc>
          <w:tcPr>
            <w:tcW w:w="0" w:type="auto"/>
            <w:hideMark/>
          </w:tcPr>
          <w:p w14:paraId="0B73D8DB" w14:textId="77777777" w:rsidR="00000000" w:rsidRDefault="00D6065B">
            <w:pPr>
              <w:rPr>
                <w:rFonts w:eastAsia="Times New Roman"/>
                <w:sz w:val="20"/>
                <w:szCs w:val="20"/>
              </w:rPr>
            </w:pPr>
            <w:r>
              <w:rPr>
                <w:rFonts w:eastAsia="Times New Roman"/>
                <w:sz w:val="20"/>
                <w:szCs w:val="20"/>
              </w:rPr>
              <w:t> </w:t>
            </w:r>
          </w:p>
        </w:tc>
        <w:tc>
          <w:tcPr>
            <w:tcW w:w="0" w:type="auto"/>
            <w:hideMark/>
          </w:tcPr>
          <w:p w14:paraId="7652FB4F" w14:textId="77777777" w:rsidR="00000000" w:rsidRDefault="00D6065B">
            <w:pPr>
              <w:rPr>
                <w:rFonts w:eastAsia="Times New Roman"/>
                <w:sz w:val="20"/>
                <w:szCs w:val="20"/>
              </w:rPr>
            </w:pPr>
            <w:r>
              <w:rPr>
                <w:rFonts w:eastAsia="Times New Roman"/>
                <w:sz w:val="20"/>
                <w:szCs w:val="20"/>
              </w:rPr>
              <w:t> </w:t>
            </w:r>
          </w:p>
        </w:tc>
      </w:tr>
      <w:tr w:rsidR="00000000" w14:paraId="213D1FB2" w14:textId="77777777">
        <w:tc>
          <w:tcPr>
            <w:tcW w:w="0" w:type="auto"/>
            <w:hideMark/>
          </w:tcPr>
          <w:p w14:paraId="10305A88" w14:textId="77777777" w:rsidR="00000000" w:rsidRDefault="00D6065B">
            <w:pPr>
              <w:jc w:val="center"/>
              <w:rPr>
                <w:rFonts w:eastAsia="Times New Roman"/>
                <w:sz w:val="20"/>
                <w:szCs w:val="20"/>
              </w:rPr>
            </w:pPr>
            <w:r>
              <w:rPr>
                <w:rFonts w:eastAsia="Times New Roman"/>
                <w:sz w:val="20"/>
                <w:szCs w:val="20"/>
              </w:rPr>
              <w:t>101.CAL</w:t>
            </w:r>
          </w:p>
        </w:tc>
        <w:tc>
          <w:tcPr>
            <w:tcW w:w="0" w:type="auto"/>
            <w:hideMark/>
          </w:tcPr>
          <w:p w14:paraId="2A0DDFFC" w14:textId="77777777" w:rsidR="00000000" w:rsidRDefault="00D6065B">
            <w:pPr>
              <w:rPr>
                <w:rFonts w:eastAsia="Times New Roman"/>
                <w:sz w:val="20"/>
                <w:szCs w:val="20"/>
              </w:rPr>
            </w:pPr>
            <w:r>
              <w:rPr>
                <w:rFonts w:eastAsia="Times New Roman"/>
                <w:sz w:val="20"/>
                <w:szCs w:val="20"/>
              </w:rPr>
              <w:t> </w:t>
            </w:r>
          </w:p>
        </w:tc>
        <w:tc>
          <w:tcPr>
            <w:tcW w:w="0" w:type="auto"/>
            <w:hideMark/>
          </w:tcPr>
          <w:p w14:paraId="71569272" w14:textId="77777777" w:rsidR="00000000" w:rsidRDefault="00D6065B">
            <w:pPr>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14:paraId="7454880E" w14:textId="77777777">
        <w:tc>
          <w:tcPr>
            <w:tcW w:w="0" w:type="auto"/>
            <w:hideMark/>
          </w:tcPr>
          <w:p w14:paraId="40F5A1F1" w14:textId="77777777" w:rsidR="00000000" w:rsidRDefault="00D6065B">
            <w:pPr>
              <w:rPr>
                <w:rFonts w:eastAsia="Times New Roman"/>
                <w:sz w:val="20"/>
                <w:szCs w:val="20"/>
              </w:rPr>
            </w:pPr>
            <w:r>
              <w:rPr>
                <w:rFonts w:eastAsia="Times New Roman"/>
                <w:sz w:val="20"/>
                <w:szCs w:val="20"/>
              </w:rPr>
              <w:t> </w:t>
            </w:r>
          </w:p>
        </w:tc>
        <w:tc>
          <w:tcPr>
            <w:tcW w:w="0" w:type="auto"/>
            <w:hideMark/>
          </w:tcPr>
          <w:p w14:paraId="2A526FD2" w14:textId="77777777" w:rsidR="00000000" w:rsidRDefault="00D6065B">
            <w:pPr>
              <w:rPr>
                <w:rFonts w:eastAsia="Times New Roman"/>
                <w:sz w:val="20"/>
                <w:szCs w:val="20"/>
              </w:rPr>
            </w:pPr>
            <w:r>
              <w:rPr>
                <w:rFonts w:eastAsia="Times New Roman"/>
                <w:sz w:val="20"/>
                <w:szCs w:val="20"/>
              </w:rPr>
              <w:t> </w:t>
            </w:r>
          </w:p>
        </w:tc>
        <w:tc>
          <w:tcPr>
            <w:tcW w:w="0" w:type="auto"/>
            <w:hideMark/>
          </w:tcPr>
          <w:p w14:paraId="379899E4" w14:textId="77777777" w:rsidR="00000000" w:rsidRDefault="00D6065B">
            <w:pPr>
              <w:rPr>
                <w:rFonts w:eastAsia="Times New Roman"/>
                <w:sz w:val="20"/>
                <w:szCs w:val="20"/>
              </w:rPr>
            </w:pPr>
            <w:r>
              <w:rPr>
                <w:rFonts w:eastAsia="Times New Roman"/>
                <w:sz w:val="20"/>
                <w:szCs w:val="20"/>
              </w:rPr>
              <w:t> </w:t>
            </w:r>
          </w:p>
        </w:tc>
      </w:tr>
      <w:tr w:rsidR="00000000" w14:paraId="0EBA467C" w14:textId="77777777">
        <w:tc>
          <w:tcPr>
            <w:tcW w:w="0" w:type="auto"/>
            <w:hideMark/>
          </w:tcPr>
          <w:p w14:paraId="69F4852F" w14:textId="77777777" w:rsidR="00000000" w:rsidRDefault="00D6065B">
            <w:pPr>
              <w:jc w:val="center"/>
              <w:rPr>
                <w:rFonts w:eastAsia="Times New Roman"/>
                <w:sz w:val="20"/>
                <w:szCs w:val="20"/>
              </w:rPr>
            </w:pPr>
            <w:r>
              <w:rPr>
                <w:rFonts w:eastAsia="Times New Roman"/>
                <w:sz w:val="20"/>
                <w:szCs w:val="20"/>
              </w:rPr>
              <w:t>101.DEF</w:t>
            </w:r>
          </w:p>
        </w:tc>
        <w:tc>
          <w:tcPr>
            <w:tcW w:w="0" w:type="auto"/>
            <w:hideMark/>
          </w:tcPr>
          <w:p w14:paraId="64A63EE7" w14:textId="77777777" w:rsidR="00000000" w:rsidRDefault="00D6065B">
            <w:pPr>
              <w:rPr>
                <w:rFonts w:eastAsia="Times New Roman"/>
                <w:sz w:val="20"/>
                <w:szCs w:val="20"/>
              </w:rPr>
            </w:pPr>
            <w:r>
              <w:rPr>
                <w:rFonts w:eastAsia="Times New Roman"/>
                <w:sz w:val="20"/>
                <w:szCs w:val="20"/>
              </w:rPr>
              <w:t> </w:t>
            </w:r>
          </w:p>
        </w:tc>
        <w:tc>
          <w:tcPr>
            <w:tcW w:w="0" w:type="auto"/>
            <w:hideMark/>
          </w:tcPr>
          <w:p w14:paraId="58C81429" w14:textId="77777777" w:rsidR="00000000" w:rsidRDefault="00D6065B">
            <w:pPr>
              <w:rPr>
                <w:rFonts w:eastAsia="Times New Roman"/>
                <w:sz w:val="20"/>
                <w:szCs w:val="20"/>
              </w:rPr>
            </w:pPr>
            <w:r>
              <w:rPr>
                <w:rFonts w:eastAsia="Times New Roman"/>
                <w:sz w:val="20"/>
                <w:szCs w:val="20"/>
              </w:rPr>
              <w:t>XBRL Taxonomy Extension Definition Linkbase</w:t>
            </w:r>
          </w:p>
        </w:tc>
      </w:tr>
      <w:tr w:rsidR="00000000" w14:paraId="38287EA2" w14:textId="77777777">
        <w:tc>
          <w:tcPr>
            <w:tcW w:w="0" w:type="auto"/>
            <w:hideMark/>
          </w:tcPr>
          <w:p w14:paraId="1B2EB181" w14:textId="77777777" w:rsidR="00000000" w:rsidRDefault="00D6065B">
            <w:pPr>
              <w:rPr>
                <w:rFonts w:eastAsia="Times New Roman"/>
                <w:sz w:val="20"/>
                <w:szCs w:val="20"/>
              </w:rPr>
            </w:pPr>
            <w:r>
              <w:rPr>
                <w:rFonts w:eastAsia="Times New Roman"/>
                <w:sz w:val="20"/>
                <w:szCs w:val="20"/>
              </w:rPr>
              <w:t> </w:t>
            </w:r>
          </w:p>
        </w:tc>
        <w:tc>
          <w:tcPr>
            <w:tcW w:w="0" w:type="auto"/>
            <w:hideMark/>
          </w:tcPr>
          <w:p w14:paraId="695C6D04" w14:textId="77777777" w:rsidR="00000000" w:rsidRDefault="00D6065B">
            <w:pPr>
              <w:rPr>
                <w:rFonts w:eastAsia="Times New Roman"/>
                <w:sz w:val="20"/>
                <w:szCs w:val="20"/>
              </w:rPr>
            </w:pPr>
            <w:r>
              <w:rPr>
                <w:rFonts w:eastAsia="Times New Roman"/>
                <w:sz w:val="20"/>
                <w:szCs w:val="20"/>
              </w:rPr>
              <w:t> </w:t>
            </w:r>
          </w:p>
        </w:tc>
        <w:tc>
          <w:tcPr>
            <w:tcW w:w="0" w:type="auto"/>
            <w:hideMark/>
          </w:tcPr>
          <w:p w14:paraId="19CF136A" w14:textId="77777777" w:rsidR="00000000" w:rsidRDefault="00D6065B">
            <w:pPr>
              <w:rPr>
                <w:rFonts w:eastAsia="Times New Roman"/>
                <w:sz w:val="20"/>
                <w:szCs w:val="20"/>
              </w:rPr>
            </w:pPr>
            <w:r>
              <w:rPr>
                <w:rFonts w:eastAsia="Times New Roman"/>
                <w:sz w:val="20"/>
                <w:szCs w:val="20"/>
              </w:rPr>
              <w:t> </w:t>
            </w:r>
          </w:p>
        </w:tc>
      </w:tr>
      <w:tr w:rsidR="00000000" w14:paraId="12FE3EB4" w14:textId="77777777">
        <w:tc>
          <w:tcPr>
            <w:tcW w:w="0" w:type="auto"/>
            <w:hideMark/>
          </w:tcPr>
          <w:p w14:paraId="048EDE61" w14:textId="77777777" w:rsidR="00000000" w:rsidRDefault="00D6065B">
            <w:pPr>
              <w:jc w:val="center"/>
              <w:rPr>
                <w:rFonts w:eastAsia="Times New Roman"/>
                <w:sz w:val="20"/>
                <w:szCs w:val="20"/>
              </w:rPr>
            </w:pPr>
            <w:r>
              <w:rPr>
                <w:rFonts w:eastAsia="Times New Roman"/>
                <w:sz w:val="20"/>
                <w:szCs w:val="20"/>
              </w:rPr>
              <w:t>101.LAB</w:t>
            </w:r>
          </w:p>
        </w:tc>
        <w:tc>
          <w:tcPr>
            <w:tcW w:w="0" w:type="auto"/>
            <w:hideMark/>
          </w:tcPr>
          <w:p w14:paraId="77F5D453" w14:textId="77777777" w:rsidR="00000000" w:rsidRDefault="00D6065B">
            <w:pPr>
              <w:rPr>
                <w:rFonts w:eastAsia="Times New Roman"/>
                <w:sz w:val="20"/>
                <w:szCs w:val="20"/>
              </w:rPr>
            </w:pPr>
            <w:r>
              <w:rPr>
                <w:rFonts w:eastAsia="Times New Roman"/>
                <w:sz w:val="20"/>
                <w:szCs w:val="20"/>
              </w:rPr>
              <w:t> </w:t>
            </w:r>
          </w:p>
        </w:tc>
        <w:tc>
          <w:tcPr>
            <w:tcW w:w="0" w:type="auto"/>
            <w:hideMark/>
          </w:tcPr>
          <w:p w14:paraId="2CDF70FC" w14:textId="77777777" w:rsidR="00000000" w:rsidRDefault="00D6065B">
            <w:pPr>
              <w:rPr>
                <w:rFonts w:eastAsia="Times New Roman"/>
                <w:sz w:val="20"/>
                <w:szCs w:val="20"/>
              </w:rPr>
            </w:pPr>
            <w:r>
              <w:rPr>
                <w:rFonts w:eastAsia="Times New Roman"/>
                <w:sz w:val="20"/>
                <w:szCs w:val="20"/>
              </w:rPr>
              <w:t>XBRL Taxonomy Extension Label Linkbase</w:t>
            </w:r>
          </w:p>
        </w:tc>
      </w:tr>
      <w:tr w:rsidR="00000000" w14:paraId="05CF6D34" w14:textId="77777777">
        <w:tc>
          <w:tcPr>
            <w:tcW w:w="0" w:type="auto"/>
            <w:hideMark/>
          </w:tcPr>
          <w:p w14:paraId="3EB839FC" w14:textId="77777777" w:rsidR="00000000" w:rsidRDefault="00D6065B">
            <w:pPr>
              <w:rPr>
                <w:rFonts w:eastAsia="Times New Roman"/>
                <w:sz w:val="20"/>
                <w:szCs w:val="20"/>
              </w:rPr>
            </w:pPr>
            <w:r>
              <w:rPr>
                <w:rFonts w:eastAsia="Times New Roman"/>
                <w:sz w:val="20"/>
                <w:szCs w:val="20"/>
              </w:rPr>
              <w:t> </w:t>
            </w:r>
          </w:p>
        </w:tc>
        <w:tc>
          <w:tcPr>
            <w:tcW w:w="0" w:type="auto"/>
            <w:hideMark/>
          </w:tcPr>
          <w:p w14:paraId="3C955409" w14:textId="77777777" w:rsidR="00000000" w:rsidRDefault="00D6065B">
            <w:pPr>
              <w:rPr>
                <w:rFonts w:eastAsia="Times New Roman"/>
                <w:sz w:val="20"/>
                <w:szCs w:val="20"/>
              </w:rPr>
            </w:pPr>
            <w:r>
              <w:rPr>
                <w:rFonts w:eastAsia="Times New Roman"/>
                <w:sz w:val="20"/>
                <w:szCs w:val="20"/>
              </w:rPr>
              <w:t> </w:t>
            </w:r>
          </w:p>
        </w:tc>
        <w:tc>
          <w:tcPr>
            <w:tcW w:w="0" w:type="auto"/>
            <w:hideMark/>
          </w:tcPr>
          <w:p w14:paraId="47C5AECB" w14:textId="77777777" w:rsidR="00000000" w:rsidRDefault="00D6065B">
            <w:pPr>
              <w:rPr>
                <w:rFonts w:eastAsia="Times New Roman"/>
                <w:sz w:val="20"/>
                <w:szCs w:val="20"/>
              </w:rPr>
            </w:pPr>
            <w:r>
              <w:rPr>
                <w:rFonts w:eastAsia="Times New Roman"/>
                <w:sz w:val="20"/>
                <w:szCs w:val="20"/>
              </w:rPr>
              <w:t> </w:t>
            </w:r>
          </w:p>
        </w:tc>
      </w:tr>
      <w:tr w:rsidR="00000000" w14:paraId="2E9012D0" w14:textId="77777777">
        <w:tc>
          <w:tcPr>
            <w:tcW w:w="0" w:type="auto"/>
            <w:hideMark/>
          </w:tcPr>
          <w:p w14:paraId="019D1400" w14:textId="77777777" w:rsidR="00000000" w:rsidRDefault="00D6065B">
            <w:pPr>
              <w:jc w:val="center"/>
              <w:rPr>
                <w:rFonts w:eastAsia="Times New Roman"/>
                <w:sz w:val="20"/>
                <w:szCs w:val="20"/>
              </w:rPr>
            </w:pPr>
            <w:r>
              <w:rPr>
                <w:rFonts w:eastAsia="Times New Roman"/>
                <w:sz w:val="20"/>
                <w:szCs w:val="20"/>
              </w:rPr>
              <w:t>101.PRE</w:t>
            </w:r>
          </w:p>
        </w:tc>
        <w:tc>
          <w:tcPr>
            <w:tcW w:w="0" w:type="auto"/>
            <w:hideMark/>
          </w:tcPr>
          <w:p w14:paraId="0214E8A5" w14:textId="77777777" w:rsidR="00000000" w:rsidRDefault="00D6065B">
            <w:pPr>
              <w:rPr>
                <w:rFonts w:eastAsia="Times New Roman"/>
                <w:sz w:val="20"/>
                <w:szCs w:val="20"/>
              </w:rPr>
            </w:pPr>
            <w:r>
              <w:rPr>
                <w:rFonts w:eastAsia="Times New Roman"/>
                <w:sz w:val="20"/>
                <w:szCs w:val="20"/>
              </w:rPr>
              <w:t> </w:t>
            </w:r>
          </w:p>
        </w:tc>
        <w:tc>
          <w:tcPr>
            <w:tcW w:w="0" w:type="auto"/>
            <w:hideMark/>
          </w:tcPr>
          <w:p w14:paraId="772DAE99" w14:textId="77777777" w:rsidR="00000000" w:rsidRDefault="00D6065B">
            <w:pPr>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14:paraId="682E7E04" w14:textId="77777777" w:rsidR="00000000" w:rsidRDefault="00D6065B">
      <w:pPr>
        <w:pStyle w:val="a3"/>
        <w:spacing w:before="0" w:beforeAutospacing="0" w:after="0" w:afterAutospacing="0"/>
        <w:jc w:val="both"/>
        <w:rPr>
          <w:sz w:val="20"/>
          <w:szCs w:val="20"/>
        </w:rPr>
      </w:pPr>
      <w:r>
        <w:rPr>
          <w:sz w:val="20"/>
          <w:szCs w:val="20"/>
        </w:rPr>
        <w:t> </w:t>
      </w:r>
    </w:p>
    <w:p w14:paraId="5AA55218" w14:textId="77777777" w:rsidR="00000000" w:rsidRDefault="00D6065B">
      <w:pPr>
        <w:pStyle w:val="a3"/>
        <w:spacing w:before="0" w:beforeAutospacing="0" w:after="0" w:afterAutospacing="0"/>
        <w:jc w:val="both"/>
        <w:rPr>
          <w:sz w:val="20"/>
          <w:szCs w:val="20"/>
        </w:rPr>
      </w:pPr>
      <w:r>
        <w:rPr>
          <w:sz w:val="20"/>
          <w:szCs w:val="20"/>
        </w:rPr>
        <w:t>* Filed herewith.</w:t>
      </w:r>
    </w:p>
    <w:p w14:paraId="134B391D" w14:textId="77777777" w:rsidR="00000000" w:rsidRDefault="00D6065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0A6A52F" w14:textId="77777777">
        <w:trPr>
          <w:divId w:val="1550529356"/>
        </w:trPr>
        <w:tc>
          <w:tcPr>
            <w:tcW w:w="5000" w:type="pct"/>
            <w:hideMark/>
          </w:tcPr>
          <w:p w14:paraId="47DAD192" w14:textId="77777777" w:rsidR="00000000" w:rsidRDefault="00D6065B">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6979579" w14:textId="77777777">
        <w:tc>
          <w:tcPr>
            <w:tcW w:w="5000" w:type="pct"/>
            <w:hideMark/>
          </w:tcPr>
          <w:p w14:paraId="041BB912" w14:textId="77777777" w:rsidR="00000000" w:rsidRDefault="00D6065B">
            <w:pPr>
              <w:jc w:val="center"/>
              <w:rPr>
                <w:rFonts w:eastAsia="Times New Roman"/>
                <w:sz w:val="20"/>
                <w:szCs w:val="20"/>
              </w:rPr>
            </w:pPr>
            <w:r>
              <w:rPr>
                <w:rFonts w:eastAsia="Times New Roman"/>
                <w:sz w:val="20"/>
                <w:szCs w:val="20"/>
              </w:rPr>
              <w:t> </w:t>
            </w:r>
          </w:p>
        </w:tc>
      </w:tr>
    </w:tbl>
    <w:p w14:paraId="704E03B1" w14:textId="77777777" w:rsidR="00000000" w:rsidRDefault="00D6065B">
      <w:pPr>
        <w:pStyle w:val="a3"/>
        <w:spacing w:before="0" w:beforeAutospacing="0" w:after="0" w:afterAutospacing="0"/>
        <w:jc w:val="center"/>
        <w:rPr>
          <w:sz w:val="20"/>
          <w:szCs w:val="20"/>
        </w:rPr>
      </w:pPr>
      <w:r>
        <w:rPr>
          <w:sz w:val="20"/>
          <w:szCs w:val="20"/>
        </w:rPr>
        <w:t> </w:t>
      </w:r>
    </w:p>
    <w:p w14:paraId="7BF09B1A" w14:textId="77777777" w:rsidR="00000000" w:rsidRDefault="00D6065B">
      <w:pPr>
        <w:pStyle w:val="a3"/>
        <w:spacing w:before="0" w:beforeAutospacing="0" w:after="0" w:afterAutospacing="0"/>
        <w:jc w:val="center"/>
        <w:rPr>
          <w:sz w:val="20"/>
          <w:szCs w:val="20"/>
        </w:rPr>
      </w:pPr>
      <w:r>
        <w:rPr>
          <w:b/>
          <w:bCs/>
          <w:sz w:val="20"/>
          <w:szCs w:val="20"/>
        </w:rPr>
        <w:t>SIGNATURES</w:t>
      </w:r>
    </w:p>
    <w:p w14:paraId="587B33BF" w14:textId="77777777" w:rsidR="00000000" w:rsidRDefault="00D6065B">
      <w:pPr>
        <w:pStyle w:val="a3"/>
        <w:spacing w:before="0" w:beforeAutospacing="0" w:after="0" w:afterAutospacing="0"/>
        <w:jc w:val="center"/>
        <w:rPr>
          <w:sz w:val="20"/>
          <w:szCs w:val="20"/>
        </w:rPr>
      </w:pPr>
      <w:r>
        <w:rPr>
          <w:sz w:val="20"/>
          <w:szCs w:val="20"/>
        </w:rPr>
        <w:t> </w:t>
      </w:r>
    </w:p>
    <w:p w14:paraId="097D179B" w14:textId="77777777" w:rsidR="00000000" w:rsidRDefault="00D6065B">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14:paraId="1EFF5A65" w14:textId="77777777" w:rsidR="00000000" w:rsidRDefault="00D6065B">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14:paraId="52BF4F2D" w14:textId="77777777">
        <w:tc>
          <w:tcPr>
            <w:tcW w:w="0" w:type="auto"/>
            <w:hideMark/>
          </w:tcPr>
          <w:p w14:paraId="453B9A4D" w14:textId="77777777" w:rsidR="00000000" w:rsidRDefault="00D6065B">
            <w:pPr>
              <w:rPr>
                <w:rFonts w:eastAsia="Times New Roman"/>
                <w:sz w:val="20"/>
                <w:szCs w:val="20"/>
              </w:rPr>
            </w:pPr>
            <w:r>
              <w:rPr>
                <w:rFonts w:eastAsia="Times New Roman"/>
                <w:sz w:val="20"/>
                <w:szCs w:val="20"/>
              </w:rPr>
              <w:t> </w:t>
            </w:r>
          </w:p>
        </w:tc>
        <w:tc>
          <w:tcPr>
            <w:tcW w:w="0" w:type="auto"/>
            <w:gridSpan w:val="2"/>
            <w:hideMark/>
          </w:tcPr>
          <w:p w14:paraId="1A9B4C00" w14:textId="77777777" w:rsidR="00000000" w:rsidRDefault="00D6065B">
            <w:pPr>
              <w:rPr>
                <w:rFonts w:eastAsia="Times New Roman"/>
                <w:sz w:val="20"/>
                <w:szCs w:val="20"/>
              </w:rPr>
            </w:pPr>
            <w:r>
              <w:rPr>
                <w:rFonts w:eastAsia="Times New Roman"/>
                <w:sz w:val="20"/>
                <w:szCs w:val="20"/>
              </w:rPr>
              <w:t>Vivos Inc.</w:t>
            </w:r>
          </w:p>
        </w:tc>
      </w:tr>
      <w:tr w:rsidR="00000000" w14:paraId="293AE9D4" w14:textId="77777777">
        <w:tc>
          <w:tcPr>
            <w:tcW w:w="2500" w:type="pct"/>
            <w:hideMark/>
          </w:tcPr>
          <w:p w14:paraId="104D4D83" w14:textId="77777777" w:rsidR="00000000" w:rsidRDefault="00D6065B">
            <w:pPr>
              <w:rPr>
                <w:rFonts w:eastAsia="Times New Roman"/>
                <w:sz w:val="20"/>
                <w:szCs w:val="20"/>
              </w:rPr>
            </w:pPr>
            <w:r>
              <w:rPr>
                <w:rFonts w:eastAsia="Times New Roman"/>
                <w:sz w:val="20"/>
                <w:szCs w:val="20"/>
              </w:rPr>
              <w:t> </w:t>
            </w:r>
          </w:p>
        </w:tc>
        <w:tc>
          <w:tcPr>
            <w:tcW w:w="250" w:type="pct"/>
            <w:hideMark/>
          </w:tcPr>
          <w:p w14:paraId="00A35E1B" w14:textId="77777777" w:rsidR="00000000" w:rsidRDefault="00D6065B">
            <w:pPr>
              <w:rPr>
                <w:rFonts w:eastAsia="Times New Roman"/>
                <w:sz w:val="20"/>
                <w:szCs w:val="20"/>
              </w:rPr>
            </w:pPr>
            <w:r>
              <w:rPr>
                <w:rFonts w:eastAsia="Times New Roman"/>
                <w:sz w:val="20"/>
                <w:szCs w:val="20"/>
              </w:rPr>
              <w:t> </w:t>
            </w:r>
          </w:p>
        </w:tc>
        <w:tc>
          <w:tcPr>
            <w:tcW w:w="2250" w:type="pct"/>
            <w:hideMark/>
          </w:tcPr>
          <w:p w14:paraId="165DD82D" w14:textId="77777777" w:rsidR="00000000" w:rsidRDefault="00D6065B">
            <w:pPr>
              <w:rPr>
                <w:rFonts w:eastAsia="Times New Roman"/>
                <w:sz w:val="20"/>
                <w:szCs w:val="20"/>
              </w:rPr>
            </w:pPr>
            <w:r>
              <w:rPr>
                <w:rFonts w:eastAsia="Times New Roman"/>
                <w:sz w:val="20"/>
                <w:szCs w:val="20"/>
              </w:rPr>
              <w:t> </w:t>
            </w:r>
          </w:p>
        </w:tc>
      </w:tr>
      <w:tr w:rsidR="00000000" w14:paraId="23A4A006" w14:textId="77777777">
        <w:tc>
          <w:tcPr>
            <w:tcW w:w="0" w:type="auto"/>
            <w:tcMar>
              <w:top w:w="0" w:type="dxa"/>
              <w:left w:w="0" w:type="dxa"/>
              <w:bottom w:w="30" w:type="dxa"/>
              <w:right w:w="0" w:type="dxa"/>
            </w:tcMar>
            <w:hideMark/>
          </w:tcPr>
          <w:p w14:paraId="542920D3" w14:textId="77777777" w:rsidR="00000000" w:rsidRDefault="00D6065B">
            <w:pPr>
              <w:rPr>
                <w:rFonts w:eastAsia="Times New Roman"/>
                <w:sz w:val="20"/>
                <w:szCs w:val="20"/>
              </w:rPr>
            </w:pPr>
            <w:r>
              <w:rPr>
                <w:rFonts w:eastAsia="Times New Roman"/>
                <w:sz w:val="20"/>
                <w:szCs w:val="20"/>
              </w:rPr>
              <w:t>Date: August 2, 2021</w:t>
            </w:r>
          </w:p>
        </w:tc>
        <w:tc>
          <w:tcPr>
            <w:tcW w:w="0" w:type="auto"/>
            <w:tcMar>
              <w:top w:w="0" w:type="dxa"/>
              <w:left w:w="0" w:type="dxa"/>
              <w:bottom w:w="30" w:type="dxa"/>
              <w:right w:w="0" w:type="dxa"/>
            </w:tcMar>
            <w:hideMark/>
          </w:tcPr>
          <w:p w14:paraId="48DD26B1" w14:textId="77777777" w:rsidR="00000000" w:rsidRDefault="00D6065B">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72222F9" w14:textId="77777777" w:rsidR="00000000" w:rsidRDefault="00D6065B">
            <w:pPr>
              <w:rPr>
                <w:rFonts w:eastAsia="Times New Roman"/>
                <w:sz w:val="20"/>
                <w:szCs w:val="20"/>
              </w:rPr>
            </w:pPr>
            <w:r>
              <w:rPr>
                <w:rFonts w:eastAsia="Times New Roman"/>
                <w:i/>
                <w:iCs/>
                <w:sz w:val="20"/>
                <w:szCs w:val="20"/>
              </w:rPr>
              <w:t>/s/ Michael Korenko</w:t>
            </w:r>
          </w:p>
        </w:tc>
      </w:tr>
      <w:tr w:rsidR="00000000" w14:paraId="4ED90B25" w14:textId="77777777">
        <w:tc>
          <w:tcPr>
            <w:tcW w:w="0" w:type="auto"/>
            <w:hideMark/>
          </w:tcPr>
          <w:p w14:paraId="7D9BB96D" w14:textId="77777777" w:rsidR="00000000" w:rsidRDefault="00D6065B">
            <w:pPr>
              <w:rPr>
                <w:rFonts w:eastAsia="Times New Roman"/>
                <w:sz w:val="20"/>
                <w:szCs w:val="20"/>
              </w:rPr>
            </w:pPr>
            <w:r>
              <w:rPr>
                <w:rFonts w:eastAsia="Times New Roman"/>
                <w:sz w:val="20"/>
                <w:szCs w:val="20"/>
              </w:rPr>
              <w:t> </w:t>
            </w:r>
          </w:p>
        </w:tc>
        <w:tc>
          <w:tcPr>
            <w:tcW w:w="0" w:type="auto"/>
            <w:hideMark/>
          </w:tcPr>
          <w:p w14:paraId="5A259417" w14:textId="77777777" w:rsidR="00000000" w:rsidRDefault="00D6065B">
            <w:pPr>
              <w:rPr>
                <w:rFonts w:eastAsia="Times New Roman"/>
                <w:sz w:val="20"/>
                <w:szCs w:val="20"/>
              </w:rPr>
            </w:pPr>
            <w:r>
              <w:rPr>
                <w:rFonts w:eastAsia="Times New Roman"/>
                <w:sz w:val="20"/>
                <w:szCs w:val="20"/>
              </w:rPr>
              <w:t>Name:</w:t>
            </w:r>
          </w:p>
        </w:tc>
        <w:tc>
          <w:tcPr>
            <w:tcW w:w="0" w:type="auto"/>
            <w:hideMark/>
          </w:tcPr>
          <w:p w14:paraId="6EAF1C2E" w14:textId="77777777" w:rsidR="00000000" w:rsidRDefault="00D6065B">
            <w:pPr>
              <w:rPr>
                <w:rFonts w:eastAsia="Times New Roman"/>
                <w:sz w:val="20"/>
                <w:szCs w:val="20"/>
              </w:rPr>
            </w:pPr>
            <w:r>
              <w:rPr>
                <w:rFonts w:eastAsia="Times New Roman"/>
                <w:sz w:val="20"/>
                <w:szCs w:val="20"/>
              </w:rPr>
              <w:t>Michael K. Korenko</w:t>
            </w:r>
          </w:p>
        </w:tc>
      </w:tr>
      <w:tr w:rsidR="00000000" w14:paraId="5FD6DC78" w14:textId="77777777">
        <w:tc>
          <w:tcPr>
            <w:tcW w:w="0" w:type="auto"/>
            <w:hideMark/>
          </w:tcPr>
          <w:p w14:paraId="778D5CC9" w14:textId="77777777" w:rsidR="00000000" w:rsidRDefault="00D6065B">
            <w:pPr>
              <w:rPr>
                <w:rFonts w:eastAsia="Times New Roman"/>
                <w:sz w:val="20"/>
                <w:szCs w:val="20"/>
              </w:rPr>
            </w:pPr>
            <w:r>
              <w:rPr>
                <w:rFonts w:eastAsia="Times New Roman"/>
                <w:sz w:val="20"/>
                <w:szCs w:val="20"/>
              </w:rPr>
              <w:t> </w:t>
            </w:r>
          </w:p>
        </w:tc>
        <w:tc>
          <w:tcPr>
            <w:tcW w:w="0" w:type="auto"/>
            <w:hideMark/>
          </w:tcPr>
          <w:p w14:paraId="052D7CC4" w14:textId="77777777" w:rsidR="00000000" w:rsidRDefault="00D6065B">
            <w:pPr>
              <w:rPr>
                <w:rFonts w:eastAsia="Times New Roman"/>
                <w:sz w:val="20"/>
                <w:szCs w:val="20"/>
              </w:rPr>
            </w:pPr>
            <w:r>
              <w:rPr>
                <w:rFonts w:eastAsia="Times New Roman"/>
                <w:sz w:val="20"/>
                <w:szCs w:val="20"/>
              </w:rPr>
              <w:t>Title:</w:t>
            </w:r>
          </w:p>
        </w:tc>
        <w:tc>
          <w:tcPr>
            <w:tcW w:w="0" w:type="auto"/>
            <w:hideMark/>
          </w:tcPr>
          <w:p w14:paraId="3D18147D" w14:textId="77777777" w:rsidR="00000000" w:rsidRDefault="00D6065B">
            <w:pPr>
              <w:rPr>
                <w:rFonts w:eastAsia="Times New Roman"/>
                <w:sz w:val="20"/>
                <w:szCs w:val="20"/>
              </w:rPr>
            </w:pPr>
            <w:r>
              <w:rPr>
                <w:rFonts w:eastAsia="Times New Roman"/>
                <w:sz w:val="20"/>
                <w:szCs w:val="20"/>
              </w:rPr>
              <w:t>Chief Executive Officer</w:t>
            </w:r>
          </w:p>
        </w:tc>
      </w:tr>
      <w:tr w:rsidR="00000000" w14:paraId="352898D1" w14:textId="77777777">
        <w:tc>
          <w:tcPr>
            <w:tcW w:w="0" w:type="auto"/>
            <w:hideMark/>
          </w:tcPr>
          <w:p w14:paraId="50D4D85C" w14:textId="77777777" w:rsidR="00000000" w:rsidRDefault="00D6065B">
            <w:pPr>
              <w:rPr>
                <w:rFonts w:eastAsia="Times New Roman"/>
                <w:sz w:val="20"/>
                <w:szCs w:val="20"/>
              </w:rPr>
            </w:pPr>
            <w:r>
              <w:rPr>
                <w:rFonts w:eastAsia="Times New Roman"/>
                <w:sz w:val="20"/>
                <w:szCs w:val="20"/>
              </w:rPr>
              <w:t> </w:t>
            </w:r>
          </w:p>
        </w:tc>
        <w:tc>
          <w:tcPr>
            <w:tcW w:w="0" w:type="auto"/>
            <w:hideMark/>
          </w:tcPr>
          <w:p w14:paraId="107D296D" w14:textId="77777777" w:rsidR="00000000" w:rsidRDefault="00D6065B">
            <w:pPr>
              <w:rPr>
                <w:rFonts w:eastAsia="Times New Roman"/>
                <w:sz w:val="20"/>
                <w:szCs w:val="20"/>
              </w:rPr>
            </w:pPr>
            <w:r>
              <w:rPr>
                <w:rFonts w:eastAsia="Times New Roman"/>
                <w:sz w:val="20"/>
                <w:szCs w:val="20"/>
              </w:rPr>
              <w:t> </w:t>
            </w:r>
          </w:p>
        </w:tc>
        <w:tc>
          <w:tcPr>
            <w:tcW w:w="0" w:type="auto"/>
            <w:hideMark/>
          </w:tcPr>
          <w:p w14:paraId="2CAAF292" w14:textId="77777777" w:rsidR="00000000" w:rsidRDefault="00D6065B">
            <w:pPr>
              <w:rPr>
                <w:rFonts w:eastAsia="Times New Roman"/>
                <w:sz w:val="20"/>
                <w:szCs w:val="20"/>
              </w:rPr>
            </w:pPr>
            <w:r>
              <w:rPr>
                <w:rFonts w:eastAsia="Times New Roman"/>
                <w:sz w:val="20"/>
                <w:szCs w:val="20"/>
              </w:rPr>
              <w:t>(Principal Executive Officer)</w:t>
            </w:r>
          </w:p>
        </w:tc>
      </w:tr>
    </w:tbl>
    <w:p w14:paraId="717B523B" w14:textId="77777777" w:rsidR="00000000" w:rsidRDefault="00D6065B">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14:paraId="16AFC185" w14:textId="77777777">
        <w:tc>
          <w:tcPr>
            <w:tcW w:w="2500" w:type="pct"/>
            <w:tcMar>
              <w:top w:w="0" w:type="dxa"/>
              <w:left w:w="0" w:type="dxa"/>
              <w:bottom w:w="30" w:type="dxa"/>
              <w:right w:w="0" w:type="dxa"/>
            </w:tcMar>
            <w:hideMark/>
          </w:tcPr>
          <w:p w14:paraId="230E8624" w14:textId="77777777" w:rsidR="00000000" w:rsidRDefault="00D6065B">
            <w:pPr>
              <w:rPr>
                <w:rFonts w:eastAsia="Times New Roman"/>
                <w:sz w:val="20"/>
                <w:szCs w:val="20"/>
              </w:rPr>
            </w:pPr>
            <w:r>
              <w:rPr>
                <w:rFonts w:eastAsia="Times New Roman"/>
                <w:sz w:val="20"/>
                <w:szCs w:val="20"/>
              </w:rPr>
              <w:t>Date: August 2, 2021</w:t>
            </w:r>
          </w:p>
        </w:tc>
        <w:tc>
          <w:tcPr>
            <w:tcW w:w="250" w:type="pct"/>
            <w:tcMar>
              <w:top w:w="0" w:type="dxa"/>
              <w:left w:w="0" w:type="dxa"/>
              <w:bottom w:w="30" w:type="dxa"/>
              <w:right w:w="0" w:type="dxa"/>
            </w:tcMar>
            <w:hideMark/>
          </w:tcPr>
          <w:p w14:paraId="7F3CCB59" w14:textId="77777777" w:rsidR="00000000" w:rsidRDefault="00D6065B">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14:paraId="5A51FEFB" w14:textId="77777777" w:rsidR="00000000" w:rsidRDefault="00D6065B">
            <w:pPr>
              <w:rPr>
                <w:rFonts w:eastAsia="Times New Roman"/>
                <w:sz w:val="20"/>
                <w:szCs w:val="20"/>
              </w:rPr>
            </w:pPr>
            <w:r>
              <w:rPr>
                <w:rFonts w:eastAsia="Times New Roman"/>
                <w:i/>
                <w:iCs/>
                <w:sz w:val="20"/>
                <w:szCs w:val="20"/>
              </w:rPr>
              <w:t>/s/ Michael Pollack</w:t>
            </w:r>
          </w:p>
        </w:tc>
      </w:tr>
      <w:tr w:rsidR="00000000" w14:paraId="1C50649C" w14:textId="77777777">
        <w:tc>
          <w:tcPr>
            <w:tcW w:w="0" w:type="auto"/>
            <w:hideMark/>
          </w:tcPr>
          <w:p w14:paraId="6F9FD917" w14:textId="77777777" w:rsidR="00000000" w:rsidRDefault="00D6065B">
            <w:pPr>
              <w:rPr>
                <w:rFonts w:eastAsia="Times New Roman"/>
                <w:sz w:val="20"/>
                <w:szCs w:val="20"/>
              </w:rPr>
            </w:pPr>
            <w:r>
              <w:rPr>
                <w:rFonts w:eastAsia="Times New Roman"/>
                <w:sz w:val="20"/>
                <w:szCs w:val="20"/>
              </w:rPr>
              <w:t> </w:t>
            </w:r>
          </w:p>
        </w:tc>
        <w:tc>
          <w:tcPr>
            <w:tcW w:w="0" w:type="auto"/>
            <w:hideMark/>
          </w:tcPr>
          <w:p w14:paraId="62583606" w14:textId="77777777" w:rsidR="00000000" w:rsidRDefault="00D6065B">
            <w:pPr>
              <w:rPr>
                <w:rFonts w:eastAsia="Times New Roman"/>
                <w:sz w:val="20"/>
                <w:szCs w:val="20"/>
              </w:rPr>
            </w:pPr>
            <w:r>
              <w:rPr>
                <w:rFonts w:eastAsia="Times New Roman"/>
                <w:sz w:val="20"/>
                <w:szCs w:val="20"/>
              </w:rPr>
              <w:t>Name:</w:t>
            </w:r>
          </w:p>
        </w:tc>
        <w:tc>
          <w:tcPr>
            <w:tcW w:w="0" w:type="auto"/>
            <w:hideMark/>
          </w:tcPr>
          <w:p w14:paraId="6D1D68F5" w14:textId="77777777" w:rsidR="00000000" w:rsidRDefault="00D6065B">
            <w:pPr>
              <w:rPr>
                <w:rFonts w:eastAsia="Times New Roman"/>
                <w:sz w:val="20"/>
                <w:szCs w:val="20"/>
              </w:rPr>
            </w:pPr>
            <w:r>
              <w:rPr>
                <w:rFonts w:eastAsia="Times New Roman"/>
                <w:sz w:val="20"/>
                <w:szCs w:val="20"/>
              </w:rPr>
              <w:t>Michael Pollack</w:t>
            </w:r>
          </w:p>
        </w:tc>
      </w:tr>
      <w:tr w:rsidR="00000000" w14:paraId="694FD3F9" w14:textId="77777777">
        <w:tc>
          <w:tcPr>
            <w:tcW w:w="0" w:type="auto"/>
            <w:hideMark/>
          </w:tcPr>
          <w:p w14:paraId="533073D6" w14:textId="77777777" w:rsidR="00000000" w:rsidRDefault="00D6065B">
            <w:pPr>
              <w:rPr>
                <w:rFonts w:eastAsia="Times New Roman"/>
                <w:sz w:val="20"/>
                <w:szCs w:val="20"/>
              </w:rPr>
            </w:pPr>
            <w:r>
              <w:rPr>
                <w:rFonts w:eastAsia="Times New Roman"/>
                <w:sz w:val="20"/>
                <w:szCs w:val="20"/>
              </w:rPr>
              <w:t> </w:t>
            </w:r>
          </w:p>
        </w:tc>
        <w:tc>
          <w:tcPr>
            <w:tcW w:w="0" w:type="auto"/>
            <w:hideMark/>
          </w:tcPr>
          <w:p w14:paraId="04D8B74E" w14:textId="77777777" w:rsidR="00000000" w:rsidRDefault="00D6065B">
            <w:pPr>
              <w:rPr>
                <w:rFonts w:eastAsia="Times New Roman"/>
                <w:sz w:val="20"/>
                <w:szCs w:val="20"/>
              </w:rPr>
            </w:pPr>
            <w:r>
              <w:rPr>
                <w:rFonts w:eastAsia="Times New Roman"/>
                <w:sz w:val="20"/>
                <w:szCs w:val="20"/>
              </w:rPr>
              <w:t>Title:</w:t>
            </w:r>
          </w:p>
        </w:tc>
        <w:tc>
          <w:tcPr>
            <w:tcW w:w="0" w:type="auto"/>
            <w:hideMark/>
          </w:tcPr>
          <w:p w14:paraId="08FCE7A8" w14:textId="77777777" w:rsidR="00000000" w:rsidRDefault="00D6065B">
            <w:pPr>
              <w:rPr>
                <w:rFonts w:eastAsia="Times New Roman"/>
                <w:sz w:val="20"/>
                <w:szCs w:val="20"/>
              </w:rPr>
            </w:pPr>
            <w:r>
              <w:rPr>
                <w:rFonts w:eastAsia="Times New Roman"/>
                <w:sz w:val="20"/>
                <w:szCs w:val="20"/>
              </w:rPr>
              <w:t>Interim Chief Financial Officer</w:t>
            </w:r>
          </w:p>
        </w:tc>
      </w:tr>
      <w:tr w:rsidR="00000000" w14:paraId="0399D29B" w14:textId="77777777">
        <w:tc>
          <w:tcPr>
            <w:tcW w:w="0" w:type="auto"/>
            <w:hideMark/>
          </w:tcPr>
          <w:p w14:paraId="3683DD49" w14:textId="77777777" w:rsidR="00000000" w:rsidRDefault="00D6065B">
            <w:pPr>
              <w:rPr>
                <w:rFonts w:eastAsia="Times New Roman"/>
                <w:sz w:val="20"/>
                <w:szCs w:val="20"/>
              </w:rPr>
            </w:pPr>
            <w:r>
              <w:rPr>
                <w:rFonts w:eastAsia="Times New Roman"/>
                <w:sz w:val="20"/>
                <w:szCs w:val="20"/>
              </w:rPr>
              <w:t> </w:t>
            </w:r>
          </w:p>
        </w:tc>
        <w:tc>
          <w:tcPr>
            <w:tcW w:w="0" w:type="auto"/>
            <w:hideMark/>
          </w:tcPr>
          <w:p w14:paraId="7BCD0D96" w14:textId="77777777" w:rsidR="00000000" w:rsidRDefault="00D6065B">
            <w:pPr>
              <w:rPr>
                <w:rFonts w:eastAsia="Times New Roman"/>
                <w:sz w:val="20"/>
                <w:szCs w:val="20"/>
              </w:rPr>
            </w:pPr>
            <w:r>
              <w:rPr>
                <w:rFonts w:eastAsia="Times New Roman"/>
                <w:sz w:val="20"/>
                <w:szCs w:val="20"/>
              </w:rPr>
              <w:t> </w:t>
            </w:r>
          </w:p>
        </w:tc>
        <w:tc>
          <w:tcPr>
            <w:tcW w:w="0" w:type="auto"/>
            <w:hideMark/>
          </w:tcPr>
          <w:p w14:paraId="048F2C0E" w14:textId="77777777" w:rsidR="00000000" w:rsidRDefault="00D6065B">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14:paraId="3F313CA8" w14:textId="77777777" w:rsidR="00000000" w:rsidRDefault="00D6065B">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80A195" w14:textId="77777777">
        <w:trPr>
          <w:divId w:val="956108360"/>
        </w:trPr>
        <w:tc>
          <w:tcPr>
            <w:tcW w:w="5000" w:type="pct"/>
            <w:hideMark/>
          </w:tcPr>
          <w:p w14:paraId="5EF0C349" w14:textId="77777777" w:rsidR="00000000" w:rsidRDefault="00D6065B">
            <w:pPr>
              <w:jc w:val="center"/>
              <w:rPr>
                <w:rFonts w:eastAsia="Times New Roman"/>
                <w:sz w:val="20"/>
                <w:szCs w:val="20"/>
              </w:rPr>
            </w:pPr>
            <w:r>
              <w:rPr>
                <w:rFonts w:eastAsia="Times New Roman"/>
                <w:sz w:val="20"/>
                <w:szCs w:val="20"/>
              </w:rPr>
              <w:t>4</w:t>
            </w:r>
            <w:r>
              <w:rPr>
                <w:rFonts w:eastAsia="Times New Roman"/>
                <w:sz w:val="20"/>
                <w:szCs w:val="20"/>
              </w:rPr>
              <w:t>4</w:t>
            </w:r>
          </w:p>
        </w:tc>
      </w:tr>
    </w:tbl>
    <w:p w14:paraId="42C3B7B5" w14:textId="77777777" w:rsidR="00D6065B" w:rsidRDefault="00D6065B">
      <w:pPr>
        <w:pStyle w:val="a3"/>
        <w:spacing w:before="0" w:beforeAutospacing="0" w:after="0" w:afterAutospacing="0"/>
        <w:rPr>
          <w:sz w:val="20"/>
          <w:szCs w:val="20"/>
        </w:rPr>
      </w:pPr>
      <w:r>
        <w:rPr>
          <w:sz w:val="20"/>
          <w:szCs w:val="20"/>
        </w:rPr>
        <w:t> </w:t>
      </w:r>
    </w:p>
    <w:sectPr w:rsidR="00D6065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065B"/>
    <w:rsid w:val="00D6065B"/>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radiogel.com/2021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9330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fjftefuruqguefsvfkgvfjbtlnbq1rjt04gkerldgfpbhmpichqyxjlbnrozxrpy2fskqa">
    <w:name w:val="xdx_phnt_rglzy2xvc3vyzsatifndsevevuxfie9gifjftefuruqguefsvfkgvfjbtlnbq1rjt04gkerldgfpbhmpichqyxjlbnrozxrpy2fskqa_"/>
    <w:basedOn w:val="a0"/>
  </w:style>
  <w:style w:type="character" w:customStyle="1" w:styleId="xdxphntrglzy2xvc3vyzsatifndsevevuxfie9gienptlzfulrjqkxfie5pvevtifbbwufcteugkerldgfpbhmpichqyxjlbnrozxrpy2fskqa">
    <w:name w:val="xdx_phnt_rglzy2xvc3vyzsatifndsevevuxfie9gienptlzfulrjqkxfie5pvevtifbbwufcteugkerldgfpbhmpichqyxjlbnrozxrpy2fskqa_"/>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967">
      <w:marLeft w:val="0"/>
      <w:marRight w:val="0"/>
      <w:marTop w:val="0"/>
      <w:marBottom w:val="120"/>
      <w:divBdr>
        <w:top w:val="none" w:sz="0" w:space="0" w:color="auto"/>
        <w:left w:val="none" w:sz="0" w:space="0" w:color="auto"/>
        <w:bottom w:val="single" w:sz="12" w:space="0" w:color="000000"/>
        <w:right w:val="none" w:sz="0" w:space="0" w:color="auto"/>
      </w:divBdr>
    </w:div>
    <w:div w:id="53629402">
      <w:marLeft w:val="0"/>
      <w:marRight w:val="0"/>
      <w:marTop w:val="0"/>
      <w:marBottom w:val="0"/>
      <w:divBdr>
        <w:top w:val="none" w:sz="0" w:space="0" w:color="auto"/>
        <w:left w:val="none" w:sz="0" w:space="0" w:color="auto"/>
        <w:bottom w:val="none" w:sz="0" w:space="0" w:color="auto"/>
        <w:right w:val="none" w:sz="0" w:space="0" w:color="auto"/>
      </w:divBdr>
      <w:divsChild>
        <w:div w:id="160202684">
          <w:marLeft w:val="0"/>
          <w:marRight w:val="0"/>
          <w:marTop w:val="0"/>
          <w:marBottom w:val="0"/>
          <w:divBdr>
            <w:top w:val="single" w:sz="36" w:space="0" w:color="000000"/>
            <w:left w:val="none" w:sz="0" w:space="0" w:color="auto"/>
            <w:bottom w:val="single" w:sz="12" w:space="0" w:color="000000"/>
            <w:right w:val="none" w:sz="0" w:space="0" w:color="auto"/>
          </w:divBdr>
        </w:div>
      </w:divsChild>
    </w:div>
    <w:div w:id="89934543">
      <w:marLeft w:val="0"/>
      <w:marRight w:val="0"/>
      <w:marTop w:val="0"/>
      <w:marBottom w:val="120"/>
      <w:divBdr>
        <w:top w:val="none" w:sz="0" w:space="0" w:color="auto"/>
        <w:left w:val="none" w:sz="0" w:space="0" w:color="auto"/>
        <w:bottom w:val="single" w:sz="12" w:space="0" w:color="000000"/>
        <w:right w:val="none" w:sz="0" w:space="0" w:color="auto"/>
      </w:divBdr>
    </w:div>
    <w:div w:id="96681485">
      <w:marLeft w:val="0"/>
      <w:marRight w:val="0"/>
      <w:marTop w:val="0"/>
      <w:marBottom w:val="120"/>
      <w:divBdr>
        <w:top w:val="none" w:sz="0" w:space="0" w:color="auto"/>
        <w:left w:val="none" w:sz="0" w:space="0" w:color="auto"/>
        <w:bottom w:val="single" w:sz="12" w:space="0" w:color="000000"/>
        <w:right w:val="none" w:sz="0" w:space="0" w:color="auto"/>
      </w:divBdr>
    </w:div>
    <w:div w:id="132017810">
      <w:marLeft w:val="0"/>
      <w:marRight w:val="0"/>
      <w:marTop w:val="0"/>
      <w:marBottom w:val="120"/>
      <w:divBdr>
        <w:top w:val="none" w:sz="0" w:space="0" w:color="auto"/>
        <w:left w:val="none" w:sz="0" w:space="0" w:color="auto"/>
        <w:bottom w:val="single" w:sz="12" w:space="0" w:color="000000"/>
        <w:right w:val="none" w:sz="0" w:space="0" w:color="auto"/>
      </w:divBdr>
    </w:div>
    <w:div w:id="135145946">
      <w:marLeft w:val="0"/>
      <w:marRight w:val="0"/>
      <w:marTop w:val="0"/>
      <w:marBottom w:val="120"/>
      <w:divBdr>
        <w:top w:val="none" w:sz="0" w:space="0" w:color="auto"/>
        <w:left w:val="none" w:sz="0" w:space="0" w:color="auto"/>
        <w:bottom w:val="single" w:sz="12" w:space="0" w:color="000000"/>
        <w:right w:val="none" w:sz="0" w:space="0" w:color="auto"/>
      </w:divBdr>
    </w:div>
    <w:div w:id="139152872">
      <w:marLeft w:val="0"/>
      <w:marRight w:val="0"/>
      <w:marTop w:val="0"/>
      <w:marBottom w:val="0"/>
      <w:divBdr>
        <w:top w:val="none" w:sz="0" w:space="0" w:color="auto"/>
        <w:left w:val="none" w:sz="0" w:space="0" w:color="auto"/>
        <w:bottom w:val="none" w:sz="0" w:space="0" w:color="auto"/>
        <w:right w:val="none" w:sz="0" w:space="0" w:color="auto"/>
      </w:divBdr>
      <w:divsChild>
        <w:div w:id="2102414261">
          <w:marLeft w:val="0"/>
          <w:marRight w:val="0"/>
          <w:marTop w:val="0"/>
          <w:marBottom w:val="0"/>
          <w:divBdr>
            <w:top w:val="single" w:sz="12" w:space="0" w:color="000000"/>
            <w:left w:val="none" w:sz="0" w:space="0" w:color="auto"/>
            <w:bottom w:val="single" w:sz="36" w:space="0" w:color="000000"/>
            <w:right w:val="none" w:sz="0" w:space="0" w:color="auto"/>
          </w:divBdr>
        </w:div>
      </w:divsChild>
    </w:div>
    <w:div w:id="141393585">
      <w:marLeft w:val="0"/>
      <w:marRight w:val="0"/>
      <w:marTop w:val="0"/>
      <w:marBottom w:val="120"/>
      <w:divBdr>
        <w:top w:val="none" w:sz="0" w:space="0" w:color="auto"/>
        <w:left w:val="none" w:sz="0" w:space="0" w:color="auto"/>
        <w:bottom w:val="single" w:sz="12" w:space="0" w:color="000000"/>
        <w:right w:val="none" w:sz="0" w:space="0" w:color="auto"/>
      </w:divBdr>
    </w:div>
    <w:div w:id="208222879">
      <w:marLeft w:val="0"/>
      <w:marRight w:val="0"/>
      <w:marTop w:val="0"/>
      <w:marBottom w:val="120"/>
      <w:divBdr>
        <w:top w:val="none" w:sz="0" w:space="0" w:color="auto"/>
        <w:left w:val="none" w:sz="0" w:space="0" w:color="auto"/>
        <w:bottom w:val="single" w:sz="12" w:space="0" w:color="000000"/>
        <w:right w:val="none" w:sz="0" w:space="0" w:color="auto"/>
      </w:divBdr>
    </w:div>
    <w:div w:id="217984440">
      <w:marLeft w:val="0"/>
      <w:marRight w:val="0"/>
      <w:marTop w:val="0"/>
      <w:marBottom w:val="120"/>
      <w:divBdr>
        <w:top w:val="none" w:sz="0" w:space="0" w:color="auto"/>
        <w:left w:val="none" w:sz="0" w:space="0" w:color="auto"/>
        <w:bottom w:val="single" w:sz="12" w:space="0" w:color="000000"/>
        <w:right w:val="none" w:sz="0" w:space="0" w:color="auto"/>
      </w:divBdr>
    </w:div>
    <w:div w:id="254873563">
      <w:marLeft w:val="0"/>
      <w:marRight w:val="0"/>
      <w:marTop w:val="0"/>
      <w:marBottom w:val="120"/>
      <w:divBdr>
        <w:top w:val="none" w:sz="0" w:space="0" w:color="auto"/>
        <w:left w:val="none" w:sz="0" w:space="0" w:color="auto"/>
        <w:bottom w:val="single" w:sz="12" w:space="0" w:color="000000"/>
        <w:right w:val="none" w:sz="0" w:space="0" w:color="auto"/>
      </w:divBdr>
    </w:div>
    <w:div w:id="267126424">
      <w:marLeft w:val="0"/>
      <w:marRight w:val="0"/>
      <w:marTop w:val="0"/>
      <w:marBottom w:val="120"/>
      <w:divBdr>
        <w:top w:val="none" w:sz="0" w:space="0" w:color="auto"/>
        <w:left w:val="none" w:sz="0" w:space="0" w:color="auto"/>
        <w:bottom w:val="single" w:sz="12" w:space="0" w:color="000000"/>
        <w:right w:val="none" w:sz="0" w:space="0" w:color="auto"/>
      </w:divBdr>
    </w:div>
    <w:div w:id="386026668">
      <w:marLeft w:val="0"/>
      <w:marRight w:val="0"/>
      <w:marTop w:val="0"/>
      <w:marBottom w:val="120"/>
      <w:divBdr>
        <w:top w:val="none" w:sz="0" w:space="0" w:color="auto"/>
        <w:left w:val="none" w:sz="0" w:space="0" w:color="auto"/>
        <w:bottom w:val="single" w:sz="12" w:space="0" w:color="000000"/>
        <w:right w:val="none" w:sz="0" w:space="0" w:color="auto"/>
      </w:divBdr>
    </w:div>
    <w:div w:id="386295255">
      <w:marLeft w:val="0"/>
      <w:marRight w:val="0"/>
      <w:marTop w:val="0"/>
      <w:marBottom w:val="120"/>
      <w:divBdr>
        <w:top w:val="none" w:sz="0" w:space="0" w:color="auto"/>
        <w:left w:val="none" w:sz="0" w:space="0" w:color="auto"/>
        <w:bottom w:val="single" w:sz="12" w:space="0" w:color="000000"/>
        <w:right w:val="none" w:sz="0" w:space="0" w:color="auto"/>
      </w:divBdr>
    </w:div>
    <w:div w:id="405228688">
      <w:marLeft w:val="0"/>
      <w:marRight w:val="0"/>
      <w:marTop w:val="0"/>
      <w:marBottom w:val="120"/>
      <w:divBdr>
        <w:top w:val="none" w:sz="0" w:space="0" w:color="auto"/>
        <w:left w:val="none" w:sz="0" w:space="0" w:color="auto"/>
        <w:bottom w:val="single" w:sz="12" w:space="0" w:color="000000"/>
        <w:right w:val="none" w:sz="0" w:space="0" w:color="auto"/>
      </w:divBdr>
    </w:div>
    <w:div w:id="409470201">
      <w:marLeft w:val="0"/>
      <w:marRight w:val="0"/>
      <w:marTop w:val="0"/>
      <w:marBottom w:val="120"/>
      <w:divBdr>
        <w:top w:val="none" w:sz="0" w:space="0" w:color="auto"/>
        <w:left w:val="none" w:sz="0" w:space="0" w:color="auto"/>
        <w:bottom w:val="single" w:sz="12" w:space="0" w:color="000000"/>
        <w:right w:val="none" w:sz="0" w:space="0" w:color="auto"/>
      </w:divBdr>
    </w:div>
    <w:div w:id="465778466">
      <w:marLeft w:val="0"/>
      <w:marRight w:val="0"/>
      <w:marTop w:val="0"/>
      <w:marBottom w:val="120"/>
      <w:divBdr>
        <w:top w:val="none" w:sz="0" w:space="0" w:color="auto"/>
        <w:left w:val="none" w:sz="0" w:space="0" w:color="auto"/>
        <w:bottom w:val="single" w:sz="12" w:space="0" w:color="000000"/>
        <w:right w:val="none" w:sz="0" w:space="0" w:color="auto"/>
      </w:divBdr>
    </w:div>
    <w:div w:id="596714293">
      <w:marLeft w:val="0"/>
      <w:marRight w:val="0"/>
      <w:marTop w:val="0"/>
      <w:marBottom w:val="120"/>
      <w:divBdr>
        <w:top w:val="none" w:sz="0" w:space="0" w:color="auto"/>
        <w:left w:val="none" w:sz="0" w:space="0" w:color="auto"/>
        <w:bottom w:val="single" w:sz="12" w:space="0" w:color="000000"/>
        <w:right w:val="none" w:sz="0" w:space="0" w:color="auto"/>
      </w:divBdr>
    </w:div>
    <w:div w:id="607742652">
      <w:marLeft w:val="0"/>
      <w:marRight w:val="0"/>
      <w:marTop w:val="0"/>
      <w:marBottom w:val="120"/>
      <w:divBdr>
        <w:top w:val="none" w:sz="0" w:space="0" w:color="auto"/>
        <w:left w:val="none" w:sz="0" w:space="0" w:color="auto"/>
        <w:bottom w:val="single" w:sz="12" w:space="0" w:color="000000"/>
        <w:right w:val="none" w:sz="0" w:space="0" w:color="auto"/>
      </w:divBdr>
    </w:div>
    <w:div w:id="620116512">
      <w:marLeft w:val="0"/>
      <w:marRight w:val="0"/>
      <w:marTop w:val="0"/>
      <w:marBottom w:val="120"/>
      <w:divBdr>
        <w:top w:val="none" w:sz="0" w:space="0" w:color="auto"/>
        <w:left w:val="none" w:sz="0" w:space="0" w:color="auto"/>
        <w:bottom w:val="single" w:sz="12" w:space="0" w:color="000000"/>
        <w:right w:val="none" w:sz="0" w:space="0" w:color="auto"/>
      </w:divBdr>
    </w:div>
    <w:div w:id="633407001">
      <w:marLeft w:val="0"/>
      <w:marRight w:val="0"/>
      <w:marTop w:val="0"/>
      <w:marBottom w:val="120"/>
      <w:divBdr>
        <w:top w:val="none" w:sz="0" w:space="0" w:color="auto"/>
        <w:left w:val="none" w:sz="0" w:space="0" w:color="auto"/>
        <w:bottom w:val="single" w:sz="12" w:space="0" w:color="000000"/>
        <w:right w:val="none" w:sz="0" w:space="0" w:color="auto"/>
      </w:divBdr>
    </w:div>
    <w:div w:id="644549297">
      <w:marLeft w:val="0"/>
      <w:marRight w:val="0"/>
      <w:marTop w:val="0"/>
      <w:marBottom w:val="120"/>
      <w:divBdr>
        <w:top w:val="none" w:sz="0" w:space="0" w:color="auto"/>
        <w:left w:val="none" w:sz="0" w:space="0" w:color="auto"/>
        <w:bottom w:val="single" w:sz="12" w:space="0" w:color="000000"/>
        <w:right w:val="none" w:sz="0" w:space="0" w:color="auto"/>
      </w:divBdr>
    </w:div>
    <w:div w:id="689373648">
      <w:marLeft w:val="0"/>
      <w:marRight w:val="0"/>
      <w:marTop w:val="0"/>
      <w:marBottom w:val="0"/>
      <w:divBdr>
        <w:top w:val="none" w:sz="0" w:space="0" w:color="auto"/>
        <w:left w:val="none" w:sz="0" w:space="0" w:color="auto"/>
        <w:bottom w:val="none" w:sz="0" w:space="0" w:color="auto"/>
        <w:right w:val="none" w:sz="0" w:space="0" w:color="auto"/>
      </w:divBdr>
    </w:div>
    <w:div w:id="702364931">
      <w:marLeft w:val="0"/>
      <w:marRight w:val="0"/>
      <w:marTop w:val="0"/>
      <w:marBottom w:val="120"/>
      <w:divBdr>
        <w:top w:val="none" w:sz="0" w:space="0" w:color="auto"/>
        <w:left w:val="none" w:sz="0" w:space="0" w:color="auto"/>
        <w:bottom w:val="single" w:sz="12" w:space="0" w:color="000000"/>
        <w:right w:val="none" w:sz="0" w:space="0" w:color="auto"/>
      </w:divBdr>
    </w:div>
    <w:div w:id="734356056">
      <w:marLeft w:val="0"/>
      <w:marRight w:val="0"/>
      <w:marTop w:val="0"/>
      <w:marBottom w:val="120"/>
      <w:divBdr>
        <w:top w:val="none" w:sz="0" w:space="0" w:color="auto"/>
        <w:left w:val="none" w:sz="0" w:space="0" w:color="auto"/>
        <w:bottom w:val="single" w:sz="12" w:space="0" w:color="000000"/>
        <w:right w:val="none" w:sz="0" w:space="0" w:color="auto"/>
      </w:divBdr>
    </w:div>
    <w:div w:id="903637234">
      <w:marLeft w:val="0"/>
      <w:marRight w:val="0"/>
      <w:marTop w:val="0"/>
      <w:marBottom w:val="120"/>
      <w:divBdr>
        <w:top w:val="none" w:sz="0" w:space="0" w:color="auto"/>
        <w:left w:val="none" w:sz="0" w:space="0" w:color="auto"/>
        <w:bottom w:val="single" w:sz="12" w:space="0" w:color="000000"/>
        <w:right w:val="none" w:sz="0" w:space="0" w:color="auto"/>
      </w:divBdr>
    </w:div>
    <w:div w:id="956108360">
      <w:marLeft w:val="0"/>
      <w:marRight w:val="0"/>
      <w:marTop w:val="0"/>
      <w:marBottom w:val="120"/>
      <w:divBdr>
        <w:top w:val="none" w:sz="0" w:space="0" w:color="auto"/>
        <w:left w:val="none" w:sz="0" w:space="0" w:color="auto"/>
        <w:bottom w:val="single" w:sz="12" w:space="0" w:color="000000"/>
        <w:right w:val="none" w:sz="0" w:space="0" w:color="auto"/>
      </w:divBdr>
    </w:div>
    <w:div w:id="975334789">
      <w:marLeft w:val="0"/>
      <w:marRight w:val="0"/>
      <w:marTop w:val="0"/>
      <w:marBottom w:val="120"/>
      <w:divBdr>
        <w:top w:val="none" w:sz="0" w:space="0" w:color="auto"/>
        <w:left w:val="none" w:sz="0" w:space="0" w:color="auto"/>
        <w:bottom w:val="single" w:sz="12" w:space="0" w:color="000000"/>
        <w:right w:val="none" w:sz="0" w:space="0" w:color="auto"/>
      </w:divBdr>
    </w:div>
    <w:div w:id="995760910">
      <w:marLeft w:val="0"/>
      <w:marRight w:val="0"/>
      <w:marTop w:val="0"/>
      <w:marBottom w:val="120"/>
      <w:divBdr>
        <w:top w:val="none" w:sz="0" w:space="0" w:color="auto"/>
        <w:left w:val="none" w:sz="0" w:space="0" w:color="auto"/>
        <w:bottom w:val="single" w:sz="12" w:space="0" w:color="000000"/>
        <w:right w:val="none" w:sz="0" w:space="0" w:color="auto"/>
      </w:divBdr>
    </w:div>
    <w:div w:id="1090852864">
      <w:marLeft w:val="0"/>
      <w:marRight w:val="0"/>
      <w:marTop w:val="0"/>
      <w:marBottom w:val="120"/>
      <w:divBdr>
        <w:top w:val="none" w:sz="0" w:space="0" w:color="auto"/>
        <w:left w:val="none" w:sz="0" w:space="0" w:color="auto"/>
        <w:bottom w:val="single" w:sz="12" w:space="0" w:color="000000"/>
        <w:right w:val="none" w:sz="0" w:space="0" w:color="auto"/>
      </w:divBdr>
    </w:div>
    <w:div w:id="1110586171">
      <w:marLeft w:val="0"/>
      <w:marRight w:val="0"/>
      <w:marTop w:val="0"/>
      <w:marBottom w:val="120"/>
      <w:divBdr>
        <w:top w:val="none" w:sz="0" w:space="0" w:color="auto"/>
        <w:left w:val="none" w:sz="0" w:space="0" w:color="auto"/>
        <w:bottom w:val="single" w:sz="12" w:space="0" w:color="000000"/>
        <w:right w:val="none" w:sz="0" w:space="0" w:color="auto"/>
      </w:divBdr>
    </w:div>
    <w:div w:id="1183976303">
      <w:marLeft w:val="0"/>
      <w:marRight w:val="0"/>
      <w:marTop w:val="0"/>
      <w:marBottom w:val="120"/>
      <w:divBdr>
        <w:top w:val="none" w:sz="0" w:space="0" w:color="auto"/>
        <w:left w:val="none" w:sz="0" w:space="0" w:color="auto"/>
        <w:bottom w:val="single" w:sz="12" w:space="0" w:color="000000"/>
        <w:right w:val="none" w:sz="0" w:space="0" w:color="auto"/>
      </w:divBdr>
    </w:div>
    <w:div w:id="1209299019">
      <w:marLeft w:val="0"/>
      <w:marRight w:val="0"/>
      <w:marTop w:val="0"/>
      <w:marBottom w:val="120"/>
      <w:divBdr>
        <w:top w:val="none" w:sz="0" w:space="0" w:color="auto"/>
        <w:left w:val="none" w:sz="0" w:space="0" w:color="auto"/>
        <w:bottom w:val="single" w:sz="12" w:space="0" w:color="000000"/>
        <w:right w:val="none" w:sz="0" w:space="0" w:color="auto"/>
      </w:divBdr>
    </w:div>
    <w:div w:id="1239167167">
      <w:marLeft w:val="0"/>
      <w:marRight w:val="0"/>
      <w:marTop w:val="0"/>
      <w:marBottom w:val="120"/>
      <w:divBdr>
        <w:top w:val="none" w:sz="0" w:space="0" w:color="auto"/>
        <w:left w:val="none" w:sz="0" w:space="0" w:color="auto"/>
        <w:bottom w:val="single" w:sz="12" w:space="0" w:color="000000"/>
        <w:right w:val="none" w:sz="0" w:space="0" w:color="auto"/>
      </w:divBdr>
    </w:div>
    <w:div w:id="1258636867">
      <w:marLeft w:val="0"/>
      <w:marRight w:val="0"/>
      <w:marTop w:val="0"/>
      <w:marBottom w:val="120"/>
      <w:divBdr>
        <w:top w:val="none" w:sz="0" w:space="0" w:color="auto"/>
        <w:left w:val="none" w:sz="0" w:space="0" w:color="auto"/>
        <w:bottom w:val="single" w:sz="12" w:space="0" w:color="000000"/>
        <w:right w:val="none" w:sz="0" w:space="0" w:color="auto"/>
      </w:divBdr>
    </w:div>
    <w:div w:id="1264529640">
      <w:marLeft w:val="0"/>
      <w:marRight w:val="0"/>
      <w:marTop w:val="0"/>
      <w:marBottom w:val="120"/>
      <w:divBdr>
        <w:top w:val="none" w:sz="0" w:space="0" w:color="auto"/>
        <w:left w:val="none" w:sz="0" w:space="0" w:color="auto"/>
        <w:bottom w:val="single" w:sz="12" w:space="0" w:color="000000"/>
        <w:right w:val="none" w:sz="0" w:space="0" w:color="auto"/>
      </w:divBdr>
    </w:div>
    <w:div w:id="1314720674">
      <w:marLeft w:val="0"/>
      <w:marRight w:val="0"/>
      <w:marTop w:val="0"/>
      <w:marBottom w:val="120"/>
      <w:divBdr>
        <w:top w:val="none" w:sz="0" w:space="0" w:color="auto"/>
        <w:left w:val="none" w:sz="0" w:space="0" w:color="auto"/>
        <w:bottom w:val="single" w:sz="12" w:space="0" w:color="000000"/>
        <w:right w:val="none" w:sz="0" w:space="0" w:color="auto"/>
      </w:divBdr>
    </w:div>
    <w:div w:id="1356612177">
      <w:marLeft w:val="0"/>
      <w:marRight w:val="0"/>
      <w:marTop w:val="0"/>
      <w:marBottom w:val="120"/>
      <w:divBdr>
        <w:top w:val="none" w:sz="0" w:space="0" w:color="auto"/>
        <w:left w:val="none" w:sz="0" w:space="0" w:color="auto"/>
        <w:bottom w:val="single" w:sz="12" w:space="0" w:color="000000"/>
        <w:right w:val="none" w:sz="0" w:space="0" w:color="auto"/>
      </w:divBdr>
    </w:div>
    <w:div w:id="1475217349">
      <w:marLeft w:val="0"/>
      <w:marRight w:val="0"/>
      <w:marTop w:val="0"/>
      <w:marBottom w:val="120"/>
      <w:divBdr>
        <w:top w:val="none" w:sz="0" w:space="0" w:color="auto"/>
        <w:left w:val="none" w:sz="0" w:space="0" w:color="auto"/>
        <w:bottom w:val="single" w:sz="12" w:space="0" w:color="000000"/>
        <w:right w:val="none" w:sz="0" w:space="0" w:color="auto"/>
      </w:divBdr>
    </w:div>
    <w:div w:id="1550529356">
      <w:marLeft w:val="0"/>
      <w:marRight w:val="0"/>
      <w:marTop w:val="0"/>
      <w:marBottom w:val="120"/>
      <w:divBdr>
        <w:top w:val="none" w:sz="0" w:space="0" w:color="auto"/>
        <w:left w:val="none" w:sz="0" w:space="0" w:color="auto"/>
        <w:bottom w:val="single" w:sz="12" w:space="0" w:color="000000"/>
        <w:right w:val="none" w:sz="0" w:space="0" w:color="auto"/>
      </w:divBdr>
    </w:div>
    <w:div w:id="1620912609">
      <w:marLeft w:val="0"/>
      <w:marRight w:val="0"/>
      <w:marTop w:val="0"/>
      <w:marBottom w:val="120"/>
      <w:divBdr>
        <w:top w:val="none" w:sz="0" w:space="0" w:color="auto"/>
        <w:left w:val="none" w:sz="0" w:space="0" w:color="auto"/>
        <w:bottom w:val="single" w:sz="12" w:space="0" w:color="000000"/>
        <w:right w:val="none" w:sz="0" w:space="0" w:color="auto"/>
      </w:divBdr>
    </w:div>
    <w:div w:id="1837914813">
      <w:marLeft w:val="0"/>
      <w:marRight w:val="0"/>
      <w:marTop w:val="0"/>
      <w:marBottom w:val="120"/>
      <w:divBdr>
        <w:top w:val="none" w:sz="0" w:space="0" w:color="auto"/>
        <w:left w:val="none" w:sz="0" w:space="0" w:color="auto"/>
        <w:bottom w:val="single" w:sz="12" w:space="0" w:color="000000"/>
        <w:right w:val="none" w:sz="0" w:space="0" w:color="auto"/>
      </w:divBdr>
    </w:div>
    <w:div w:id="1845046660">
      <w:marLeft w:val="0"/>
      <w:marRight w:val="0"/>
      <w:marTop w:val="0"/>
      <w:marBottom w:val="120"/>
      <w:divBdr>
        <w:top w:val="none" w:sz="0" w:space="0" w:color="auto"/>
        <w:left w:val="none" w:sz="0" w:space="0" w:color="auto"/>
        <w:bottom w:val="single" w:sz="12" w:space="0" w:color="000000"/>
        <w:right w:val="none" w:sz="0" w:space="0" w:color="auto"/>
      </w:divBdr>
    </w:div>
    <w:div w:id="1880050302">
      <w:marLeft w:val="0"/>
      <w:marRight w:val="0"/>
      <w:marTop w:val="0"/>
      <w:marBottom w:val="120"/>
      <w:divBdr>
        <w:top w:val="none" w:sz="0" w:space="0" w:color="auto"/>
        <w:left w:val="none" w:sz="0" w:space="0" w:color="auto"/>
        <w:bottom w:val="single" w:sz="12" w:space="0" w:color="000000"/>
        <w:right w:val="none" w:sz="0" w:space="0" w:color="auto"/>
      </w:divBdr>
    </w:div>
    <w:div w:id="1906797976">
      <w:marLeft w:val="0"/>
      <w:marRight w:val="0"/>
      <w:marTop w:val="0"/>
      <w:marBottom w:val="120"/>
      <w:divBdr>
        <w:top w:val="none" w:sz="0" w:space="0" w:color="auto"/>
        <w:left w:val="none" w:sz="0" w:space="0" w:color="auto"/>
        <w:bottom w:val="single" w:sz="12" w:space="0" w:color="000000"/>
        <w:right w:val="none" w:sz="0" w:space="0" w:color="auto"/>
      </w:divBdr>
    </w:div>
    <w:div w:id="1977833515">
      <w:marLeft w:val="0"/>
      <w:marRight w:val="0"/>
      <w:marTop w:val="0"/>
      <w:marBottom w:val="120"/>
      <w:divBdr>
        <w:top w:val="none" w:sz="0" w:space="0" w:color="auto"/>
        <w:left w:val="none" w:sz="0" w:space="0" w:color="auto"/>
        <w:bottom w:val="single" w:sz="12" w:space="0" w:color="000000"/>
        <w:right w:val="none" w:sz="0" w:space="0" w:color="auto"/>
      </w:divBdr>
    </w:div>
    <w:div w:id="2001617695">
      <w:marLeft w:val="0"/>
      <w:marRight w:val="0"/>
      <w:marTop w:val="0"/>
      <w:marBottom w:val="120"/>
      <w:divBdr>
        <w:top w:val="none" w:sz="0" w:space="0" w:color="auto"/>
        <w:left w:val="none" w:sz="0" w:space="0" w:color="auto"/>
        <w:bottom w:val="single" w:sz="12" w:space="0" w:color="000000"/>
        <w:right w:val="none" w:sz="0" w:space="0" w:color="auto"/>
      </w:divBdr>
    </w:div>
    <w:div w:id="2092849666">
      <w:marLeft w:val="0"/>
      <w:marRight w:val="0"/>
      <w:marTop w:val="0"/>
      <w:marBottom w:val="120"/>
      <w:divBdr>
        <w:top w:val="none" w:sz="0" w:space="0" w:color="auto"/>
        <w:left w:val="none" w:sz="0" w:space="0" w:color="auto"/>
        <w:bottom w:val="single" w:sz="12" w:space="0" w:color="000000"/>
        <w:right w:val="none" w:sz="0" w:space="0" w:color="auto"/>
      </w:divBdr>
    </w:div>
    <w:div w:id="2098089830">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28156</Words>
  <Characters>160492</Characters>
  <Application>Microsoft Office Word</Application>
  <DocSecurity>0</DocSecurity>
  <Lines>1337</Lines>
  <Paragraphs>376</Paragraphs>
  <ScaleCrop>false</ScaleCrop>
  <Company/>
  <LinksUpToDate>false</LinksUpToDate>
  <CharactersWithSpaces>188272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