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A7678">
      <w:pPr>
        <w:divId w:val="2014456412"/>
        <w:rPr>
          <w:rFonts w:eastAsia="Times New Roman"/>
          <w:vanish/>
          <w:sz w:val="20"/>
          <w:szCs w:val="20"/>
        </w:rPr>
      </w:pPr>
      <w:r>
        <w:rPr>
          <w:rFonts w:eastAsia="Times New Roman"/>
          <w:vanish/>
          <w:sz w:val="20"/>
          <w:szCs w:val="20"/>
        </w:rPr>
        <w:t xml:space="preserve">0001449349 false FY P2Y 0001449349 2022-01-01 2022-12-31 0001449349 2022-06-30 0001449349 2023-03-01 0001449349 2022-12-31 0001449349 2021-12-31 0001449349 RDGL:SeriesAConvertiblePreferredStockMember 2022-12-31 0001449349 </w:t>
      </w:r>
      <w:r>
        <w:rPr>
          <w:rFonts w:eastAsia="Times New Roman"/>
          <w:vanish/>
          <w:sz w:val="20"/>
          <w:szCs w:val="20"/>
        </w:rPr>
        <w:t>RDGL:SeriesAConvertiblePreferredStockMember 2021-12-31 0001449349 RDGL:SeriesBConvertiblePreferredStockMember 2022-12-31 0001449349 RDGL:SeriesBConvertiblePreferredStockMember 2021-12-31 0001449349 RDGL:SeriesCConvertiblePreferredStockMember 2022-12-31 000</w:t>
      </w:r>
      <w:r>
        <w:rPr>
          <w:rFonts w:eastAsia="Times New Roman"/>
          <w:vanish/>
          <w:sz w:val="20"/>
          <w:szCs w:val="20"/>
        </w:rPr>
        <w:t>1449349 RDGL:SeriesCConvertiblePreferredStockMember 2021-12-31 0001449349 2021-01-01 2021-12-31 0001449349 us-gaap:PreferredStockMember us-gaap:SeriesAPreferredStockMember 2020-12-31 0001449349 us-gaap:PreferredStockMember RDGL:AdditionalPaidInCapitalSerie</w:t>
      </w:r>
      <w:r>
        <w:rPr>
          <w:rFonts w:eastAsia="Times New Roman"/>
          <w:vanish/>
          <w:sz w:val="20"/>
          <w:szCs w:val="20"/>
        </w:rPr>
        <w:t>sAPreferredMember 2020-12-31 0001449349 us-gaap:PreferredStockMember us-gaap:SeriesBPreferredStockMember 2020-12-31 0001449349 us-gaap:PreferredStockMember RDGL:AdditionalPaidInCapitalSeriesBPreferredMember 2020-12-31 0001449349 us-gaap:PreferredStockMembe</w:t>
      </w:r>
      <w:r>
        <w:rPr>
          <w:rFonts w:eastAsia="Times New Roman"/>
          <w:vanish/>
          <w:sz w:val="20"/>
          <w:szCs w:val="20"/>
        </w:rPr>
        <w:t>r us-gaap:SeriesCPreferredStockMember 2020-12-31 0001449349 us-gaap:PreferredStockMember RDGL:AdditionalPaidInCapitalSeriesCPreferredMember 2020-12-31 0001449349 us-gaap:CommonStockMember 2020-12-31 0001449349 us-gaap:AdditionalPaidInCapitalMember 2020-12-</w:t>
      </w:r>
      <w:r>
        <w:rPr>
          <w:rFonts w:eastAsia="Times New Roman"/>
          <w:vanish/>
          <w:sz w:val="20"/>
          <w:szCs w:val="20"/>
        </w:rPr>
        <w:t xml:space="preserve">31 0001449349 us-gaap:RetainedEarningsMember 2020-12-31 0001449349 2020-12-31 0001449349 us-gaap:PreferredStockMember us-gaap:SeriesAPreferredStockMember 2021-12-31 0001449349 us-gaap:PreferredStockMember RDGL:AdditionalPaidInCapitalSeriesAPreferredMember </w:t>
      </w:r>
      <w:r>
        <w:rPr>
          <w:rFonts w:eastAsia="Times New Roman"/>
          <w:vanish/>
          <w:sz w:val="20"/>
          <w:szCs w:val="20"/>
        </w:rPr>
        <w:t>2021-12-31 0001449349 us-gaap:PreferredStockMember us-gaap:SeriesBPreferredStockMember 2021-12-31 0001449349 us-gaap:PreferredStockMember RDGL:AdditionalPaidInCapitalSeriesBPreferredMember 2021-12-31 0001449349 us-gaap:PreferredStockMember us-gaap:SeriesCP</w:t>
      </w:r>
      <w:r>
        <w:rPr>
          <w:rFonts w:eastAsia="Times New Roman"/>
          <w:vanish/>
          <w:sz w:val="20"/>
          <w:szCs w:val="20"/>
        </w:rPr>
        <w:t>referredStockMember 2021-12-31 0001449349 us-gaap:PreferredStockMember RDGL:AdditionalPaidInCapitalSeriesCPreferredMember 2021-12-31 0001449349 us-gaap:CommonStockMember 2021-12-31 0001449349 us-gaap:AdditionalPaidInCapitalMember 2021-12-31 0001449349 us-g</w:t>
      </w:r>
      <w:r>
        <w:rPr>
          <w:rFonts w:eastAsia="Times New Roman"/>
          <w:vanish/>
          <w:sz w:val="20"/>
          <w:szCs w:val="20"/>
        </w:rPr>
        <w:t>aap:RetainedEarningsMember 2021-12-31 0001449349 us-gaap:PreferredStockMember us-gaap:SeriesAPreferredStockMember 2021-01-01 2021-12-31 0001449349 us-gaap:PreferredStockMember RDGL:AdditionalPaidInCapitalSeriesAPreferredMember 2021-01-01 2021-12-31 0001449</w:t>
      </w:r>
      <w:r>
        <w:rPr>
          <w:rFonts w:eastAsia="Times New Roman"/>
          <w:vanish/>
          <w:sz w:val="20"/>
          <w:szCs w:val="20"/>
        </w:rPr>
        <w:t>349 us-gaap:PreferredStockMember us-gaap:SeriesBPreferredStockMember 2021-01-01 2021-12-31 0001449349 us-gaap:PreferredStockMember RDGL:AdditionalPaidInCapitalSeriesBPreferredMember 2021-01-01 2021-12-31 0001449349 us-gaap:PreferredStockMember us-gaap:Seri</w:t>
      </w:r>
      <w:r>
        <w:rPr>
          <w:rFonts w:eastAsia="Times New Roman"/>
          <w:vanish/>
          <w:sz w:val="20"/>
          <w:szCs w:val="20"/>
        </w:rPr>
        <w:t>esCPreferredStockMember 2021-01-01 2021-12-31 0001449349 us-gaap:PreferredStockMember RDGL:AdditionalPaidInCapitalSeriesCPreferredMember 2021-01-01 2021-12-31 0001449349 us-gaap:CommonStockMember 2021-01-01 2021-12-31 0001449349 us-gaap:AdditionalPaidInCap</w:t>
      </w:r>
      <w:r>
        <w:rPr>
          <w:rFonts w:eastAsia="Times New Roman"/>
          <w:vanish/>
          <w:sz w:val="20"/>
          <w:szCs w:val="20"/>
        </w:rPr>
        <w:t>italMember 2021-01-01 2021-12-31 0001449349 us-gaap:RetainedEarningsMember 2021-01-01 2021-12-31 0001449349 us-gaap:PreferredStockMember us-gaap:SeriesAPreferredStockMember 2022-01-01 2022-12-31 0001449349 us-gaap:PreferredStockMember RDGL:AdditionalPaidIn</w:t>
      </w:r>
      <w:r>
        <w:rPr>
          <w:rFonts w:eastAsia="Times New Roman"/>
          <w:vanish/>
          <w:sz w:val="20"/>
          <w:szCs w:val="20"/>
        </w:rPr>
        <w:t>CapitalSeriesAPreferredMember 2022-01-01 2022-12-31 0001449349 us-gaap:PreferredStockMember us-gaap:SeriesBPreferredStockMember 2022-01-01 2022-12-31 0001449349 us-gaap:PreferredStockMember RDGL:AdditionalPaidInCapitalSeriesBPreferredMember 2022-01-01 2022</w:t>
      </w:r>
      <w:r>
        <w:rPr>
          <w:rFonts w:eastAsia="Times New Roman"/>
          <w:vanish/>
          <w:sz w:val="20"/>
          <w:szCs w:val="20"/>
        </w:rPr>
        <w:t>-12-31 0001449349 us-gaap:PreferredStockMember us-gaap:SeriesCPreferredStockMember 2022-01-01 2022-12-31 0001449349 us-gaap:PreferredStockMember RDGL:AdditionalPaidInCapitalSeriesCPreferredMember 2022-01-01 2022-12-31 0001449349 us-gaap:CommonStockMember 2</w:t>
      </w:r>
      <w:r>
        <w:rPr>
          <w:rFonts w:eastAsia="Times New Roman"/>
          <w:vanish/>
          <w:sz w:val="20"/>
          <w:szCs w:val="20"/>
        </w:rPr>
        <w:t>022-01-01 2022-12-31 0001449349 us-gaap:AdditionalPaidInCapitalMember 2022-01-01 2022-12-31 0001449349 us-gaap:RetainedEarningsMember 2022-01-01 2022-12-31 0001449349 us-gaap:PreferredStockMember us-gaap:SeriesAPreferredStockMember 2022-12-31 0001449349 us</w:t>
      </w:r>
      <w:r>
        <w:rPr>
          <w:rFonts w:eastAsia="Times New Roman"/>
          <w:vanish/>
          <w:sz w:val="20"/>
          <w:szCs w:val="20"/>
        </w:rPr>
        <w:t>-gaap:PreferredStockMember RDGL:AdditionalPaidInCapitalSeriesAPreferredMember 2022-12-31 0001449349 us-gaap:PreferredStockMember us-gaap:SeriesBPreferredStockMember 2022-12-31 0001449349 us-gaap:PreferredStockMember RDGL:AdditionalPaidInCapitalSeriesBPrefe</w:t>
      </w:r>
      <w:r>
        <w:rPr>
          <w:rFonts w:eastAsia="Times New Roman"/>
          <w:vanish/>
          <w:sz w:val="20"/>
          <w:szCs w:val="20"/>
        </w:rPr>
        <w:t>rredMember 2022-12-31 0001449349 us-gaap:PreferredStockMember us-gaap:SeriesCPreferredStockMember 2022-12-31 0001449349 us-gaap:PreferredStockMember RDGL:AdditionalPaidInCapitalSeriesCPreferredMember 2022-12-31 0001449349 us-gaap:CommonStockMember 2022-12-</w:t>
      </w:r>
      <w:r>
        <w:rPr>
          <w:rFonts w:eastAsia="Times New Roman"/>
          <w:vanish/>
          <w:sz w:val="20"/>
          <w:szCs w:val="20"/>
        </w:rPr>
        <w:t>31 0001449349 us-gaap:AdditionalPaidInCapitalMember 2022-12-31 0001449349 us-gaap:RetainedEarningsMember 2022-12-31 0001449349 2021-09-14 2021-09-15 0001449349 2021-09-15 0001449349 2022-07-27 2022-07-31 0001449349 2022-07-31 0001449349 2022-10-30 2022-10-</w:t>
      </w:r>
      <w:r>
        <w:rPr>
          <w:rFonts w:eastAsia="Times New Roman"/>
          <w:vanish/>
          <w:sz w:val="20"/>
          <w:szCs w:val="20"/>
        </w:rPr>
        <w:t>31 0001449349 srt:MaximumMember 2022-01-01 2022-12-31 0001449349 srt:MinimumMember RDGL:ProductionEquipmentMember 2022-01-01 2022-12-31 0001449349 srt:MaximumMember RDGL:ProductionEquipmentMember 2022-01-01 2022-12-31 0001449349 srt:MinimumMember us-gaap:O</w:t>
      </w:r>
      <w:r>
        <w:rPr>
          <w:rFonts w:eastAsia="Times New Roman"/>
          <w:vanish/>
          <w:sz w:val="20"/>
          <w:szCs w:val="20"/>
        </w:rPr>
        <w:t>fficeEquipmentMember 2022-01-01 2022-12-31 0001449349 srt:MaximumMember us-gaap:OfficeEquipmentMember 2022-01-01 2022-12-31 0001449349 srt:MinimumMember us-gaap:FurnitureAndFixturesMember 2022-01-01 2022-12-31 0001449349 srt:MaximumMember us-gaap:Furniture</w:t>
      </w:r>
      <w:r>
        <w:rPr>
          <w:rFonts w:eastAsia="Times New Roman"/>
          <w:vanish/>
          <w:sz w:val="20"/>
          <w:szCs w:val="20"/>
        </w:rPr>
        <w:t>AndFixturesMember 2022-01-01 2022-12-31 0001449349 us-gaap:PreferredStockMember 2022-01-01 2022-12-31 0001449349 us-gaap:PreferredStockMember 2021-01-01 2021-12-31 0001449349 RDGL:RestrictedStockUnitsMember 2022-01-01 2022-12-31 0001449349 RDGL:RestrictedS</w:t>
      </w:r>
      <w:r>
        <w:rPr>
          <w:rFonts w:eastAsia="Times New Roman"/>
          <w:vanish/>
          <w:sz w:val="20"/>
          <w:szCs w:val="20"/>
        </w:rPr>
        <w:t>tockUnitsMember 2021-01-01 2021-12-31 0001449349 RDGL:CommonStockOptionsMember 2022-01-01 2022-12-31 0001449349 RDGL:CommonStockOptionsMember 2021-01-01 2021-12-31 0001449349 RDGL:CommonStockWarrantsMember 2022-01-01 2022-12-31 0001449349 RDGL:CommonStockW</w:t>
      </w:r>
      <w:r>
        <w:rPr>
          <w:rFonts w:eastAsia="Times New Roman"/>
          <w:vanish/>
          <w:sz w:val="20"/>
          <w:szCs w:val="20"/>
        </w:rPr>
        <w:t>arrantsMember 2021-01-01 2021-12-31 0001449349 srt:ChiefExecutiveOfficerMember 2021-06-01 2021-06-30 0001449349 us-gaap:CommonStockMember 2021-06-01 2021-06-30 0001449349 us-gaap:SeriesAPreferredStockMember 2021-06-01 2021-06-30 0001449349 srt:ChiefExecuti</w:t>
      </w:r>
      <w:r>
        <w:rPr>
          <w:rFonts w:eastAsia="Times New Roman"/>
          <w:vanish/>
          <w:sz w:val="20"/>
          <w:szCs w:val="20"/>
        </w:rPr>
        <w:t>veOfficerMember 2021-05-01 2021-05-31 0001449349 srt:ChiefExecutiveOfficerMember 2021-06-01 2021-06-30 0001449349 srt:ChiefExecutiveOfficerMember 2021-09-30 0001449349 srt:ChiefExecutiveOfficerMember us-gaap:CommonStockMember 2021-09-01 2021-09-30 00014493</w:t>
      </w:r>
      <w:r>
        <w:rPr>
          <w:rFonts w:eastAsia="Times New Roman"/>
          <w:vanish/>
          <w:sz w:val="20"/>
          <w:szCs w:val="20"/>
        </w:rPr>
        <w:t>49 srt:ChiefExecutiveOfficerMember 2022-03-31 0001449349 srt:ChiefExecutiveOfficerMember us-gaap:CommonStockMember 2022-03-01 2022-03-31 0001449349 us-gaap:ConvertibleNotesPayableMember 2022-12-31 0001449349 us-gaap:ConvertibleNotesPayableMember 2021-12-31</w:t>
      </w:r>
      <w:r>
        <w:rPr>
          <w:rFonts w:eastAsia="Times New Roman"/>
          <w:vanish/>
          <w:sz w:val="20"/>
          <w:szCs w:val="20"/>
        </w:rPr>
        <w:t xml:space="preserve"> 0001449349 RDGL:SeriesBConvertiblePreferredStockMember 2018-10-08 0001449349 RDGL:SeriesCConvertiblePreferredStockMember 2019-03-27 0001449349 RDGL:SeriesAConvertiblePreferredStockMember 2015-06-30 0001449349 RDGL:SeriesAConvertiblePreferredStockMember sr</w:t>
      </w:r>
      <w:r>
        <w:rPr>
          <w:rFonts w:eastAsia="Times New Roman"/>
          <w:vanish/>
          <w:sz w:val="20"/>
          <w:szCs w:val="20"/>
        </w:rPr>
        <w:t>t:MinimumMember 2016-03-31 0001449349 RDGL:SeriesAConvertiblePreferredStockMember srt:MaximumMember 2016-03-31 0001449349 RDGL:SeriesAConvertiblePreferredStockMember 2015-06-01 2015-06-30 0001449349 srt:ChiefExecutiveOfficerMember RDGL:SeriesAConvertiblePr</w:t>
      </w:r>
      <w:r>
        <w:rPr>
          <w:rFonts w:eastAsia="Times New Roman"/>
          <w:vanish/>
          <w:sz w:val="20"/>
          <w:szCs w:val="20"/>
        </w:rPr>
        <w:t>eferredStockMember 2021-06-01 2021-06-30 0001449349 RDGL:SeriesBConvertiblePreferredStockMember 2018-10-31 0001449349 RDGL:SeriesBConvertiblePreferredStockMember 2018-10-01 2018-10-31 0001449349 RDGL:SeriesBConvertiblePreferredStockMember 2021-12-01 2021-1</w:t>
      </w:r>
      <w:r>
        <w:rPr>
          <w:rFonts w:eastAsia="Times New Roman"/>
          <w:vanish/>
          <w:sz w:val="20"/>
          <w:szCs w:val="20"/>
        </w:rPr>
        <w:t>2-31 0001449349 us-gaap:CommonStockMember 2021-12-01 2021-12-31 0001449349 RDGL:SeriesCConvertiblePreferredStockMember 2019-03-31 0001449349 RDGL:SeriesCConvertiblePreferredStockMember 2019-03-01 2019-03-31 0001449349 us-gaap:CommonStockMember 2022-03-01 2</w:t>
      </w:r>
      <w:r>
        <w:rPr>
          <w:rFonts w:eastAsia="Times New Roman"/>
          <w:vanish/>
          <w:sz w:val="20"/>
          <w:szCs w:val="20"/>
        </w:rPr>
        <w:t>022-03-31 0001449349 us-gaap:WarrantMember 2022-03-01 2022-03-31 0001449349 2022-06-02 2022-06-30 0001449349 us-gaap:CommonStockMember 2022-07-05 2022-07-07 0001449349 2022-07-07 0001449349 us-gaap:CommonStockMember 2022-07-07 0001449349 RDGL:JuneTwoThousa</w:t>
      </w:r>
      <w:r>
        <w:rPr>
          <w:rFonts w:eastAsia="Times New Roman"/>
          <w:vanish/>
          <w:sz w:val="20"/>
          <w:szCs w:val="20"/>
        </w:rPr>
        <w:t>ndTwentyFiveMember 2022-07-05 2022-07-07 0001449349 RDGL:JuneTwoThousandTwentyFiveMember 2022-07-07 0001449349 RDGL:DecemberTwoThousandTwentyTwoMember 2022-07-05 2022-07-07 0001449349 RDGL:DecemberTwoThousandTwentyTwoMember 2022-07-07 0001449349 us-gaap:Ac</w:t>
      </w:r>
      <w:r>
        <w:rPr>
          <w:rFonts w:eastAsia="Times New Roman"/>
          <w:vanish/>
          <w:sz w:val="20"/>
          <w:szCs w:val="20"/>
        </w:rPr>
        <w:t>countsPayableMember 2022-09-01 2022-09-30 0001449349 us-gaap:WarrantMember 2022-12-01 2022-12-31 0001449349 us-gaap:AccountsPayableMember 2021-01-01 2021-01-31 0001449349 us-gaap:AccountsPayableMember 2021-05-01 2021-05-31 0001449349 us-gaap:CommonStockMem</w:t>
      </w:r>
      <w:r>
        <w:rPr>
          <w:rFonts w:eastAsia="Times New Roman"/>
          <w:vanish/>
          <w:sz w:val="20"/>
          <w:szCs w:val="20"/>
        </w:rPr>
        <w:t>ber 2021-01-01 2021-01-31 0001449349 2021-01-01 2021-09-30 0001449349 us-gaap:CommonStockMember 2021-03-01 2021-03-31 0001449349 us-gaap:CommonStockMember 2021-03-31 0001449349 2021-03-01 2021-03-31 0001449349 2021-03-31 0001449349 us-gaap:CommonStockMembe</w:t>
      </w:r>
      <w:r>
        <w:rPr>
          <w:rFonts w:eastAsia="Times New Roman"/>
          <w:vanish/>
          <w:sz w:val="20"/>
          <w:szCs w:val="20"/>
        </w:rPr>
        <w:t>r 2021-01-08 2021-01-29 0001449349 us-gaap:WarrantMember 2021-01-08 2021-01-29 0001449349 us-gaap:CommonStockMember 2021-06-27 2021-06-28 0001449349 us-gaap:CommonStockMember srt:ChiefExecutiveOfficerMember 2021-06-27 2021-06-28 0001449349 us-gaap:Restrict</w:t>
      </w:r>
      <w:r>
        <w:rPr>
          <w:rFonts w:eastAsia="Times New Roman"/>
          <w:vanish/>
          <w:sz w:val="20"/>
          <w:szCs w:val="20"/>
        </w:rPr>
        <w:t>edStockUnitsRSUMember 2021-06-01 2021-06-30 0001449349 us-gaap:CommonStockMember 2021-07-09 2021-09-24 0001449349 us-gaap:WarrantMember 2021-07-09 2021-09-24 0001449349 us-gaap:CommonStockMember 2021-10-01 2021-10-31 0001449349 us-gaap:WarrantMember 2021-1</w:t>
      </w:r>
      <w:r>
        <w:rPr>
          <w:rFonts w:eastAsia="Times New Roman"/>
          <w:vanish/>
          <w:sz w:val="20"/>
          <w:szCs w:val="20"/>
        </w:rPr>
        <w:t>0-01 2021-10-31 0001449349 2021-11-01 2021-11-30 0001449349 us-gaap:AccountsPayableMember 2021-12-01 2021-12-31 0001449349 2021-12-01 2021-12-31 0001449349 srt:MinimumMember 2020-12-31 0001449349 srt:MaximumMember 2020-12-31 0001449349 2020-01-01 2020-12-3</w:t>
      </w:r>
      <w:r>
        <w:rPr>
          <w:rFonts w:eastAsia="Times New Roman"/>
          <w:vanish/>
          <w:sz w:val="20"/>
          <w:szCs w:val="20"/>
        </w:rPr>
        <w:t>1 0001449349 2019-12-31 0001449349 srt:MinimumMember 2021-12-31 0001449349 srt:MaximumMember 2021-12-31 0001449349 srt:MinimumMember 2022-12-31 0001449349 srt:MaximumMember 2022-12-31 0001449349 srt:ChiefExecutiveOfficerMember 2021-01-01 2021-12-31 0001449</w:t>
      </w:r>
      <w:r>
        <w:rPr>
          <w:rFonts w:eastAsia="Times New Roman"/>
          <w:vanish/>
          <w:sz w:val="20"/>
          <w:szCs w:val="20"/>
        </w:rPr>
        <w:t>349 us-gaap:StockOptionMember 2022-01-01 2022-12-31 0001449349 us-gaap:StockOptionMember 2021-01-01 2021-12-31 0001449349 us-gaap:WarrantMember 2021-03-31 0001449349 us-gaap:WarrantMember 2021-03-01 2021-03-31 0001449349 us-gaap:WarrantMember 2022-06-02 20</w:t>
      </w:r>
      <w:r>
        <w:rPr>
          <w:rFonts w:eastAsia="Times New Roman"/>
          <w:vanish/>
          <w:sz w:val="20"/>
          <w:szCs w:val="20"/>
        </w:rPr>
        <w:t>22-06-30 0001449349 us-gaap:WarrantMember 2022-07-07 0001449349 us-gaap:RestrictedStockUnitsRSUMember 2021-05-02 2021-05-03 0001449349 us-gaap:RestrictedStockUnitsRSUMember RDGL:ConsultantsMember 2021-05-02 2021-05-03 0001449349 us-gaap:RestrictedStockUnit</w:t>
      </w:r>
      <w:r>
        <w:rPr>
          <w:rFonts w:eastAsia="Times New Roman"/>
          <w:vanish/>
          <w:sz w:val="20"/>
          <w:szCs w:val="20"/>
        </w:rPr>
        <w:t>sRSUMember RDGL:OneConsultantsMember 2021-06-01 2021-06-30 0001449349 us-gaap:RestrictedStockUnitsRSUMember RDGL:EmploymentAgreementMember srt:ChiefExecutiveOfficerMember 2021-05-02 2021-05-03 0001449349 us-gaap:RestrictedStockUnitsRSUMember RDGL:Employmen</w:t>
      </w:r>
      <w:r>
        <w:rPr>
          <w:rFonts w:eastAsia="Times New Roman"/>
          <w:vanish/>
          <w:sz w:val="20"/>
          <w:szCs w:val="20"/>
        </w:rPr>
        <w:t>tAgreementMember 2021-05-02 2021-05-03 0001449349 us-gaap:RestrictedStockUnitsRSUMember RDGL:EmploymentAgreementMember RDGL:OnTheGrantDateMember 2021-05-02 2021-05-03 0001449349 us-gaap:RestrictedStockUnitsRSUMember RDGL:EmploymentAgreementMember us-gaap:S</w:t>
      </w:r>
      <w:r>
        <w:rPr>
          <w:rFonts w:eastAsia="Times New Roman"/>
          <w:vanish/>
          <w:sz w:val="20"/>
          <w:szCs w:val="20"/>
        </w:rPr>
        <w:t>hareBasedCompensationAwardTrancheOneMember 2021-05-02 2021-05-03 0001449349 us-gaap:RestrictedStockUnitsRSUMember RDGL:EmploymentAgreementMember us-gaap:ShareBasedCompensationAwardTrancheTwoMember 2021-05-02 2021-05-03 0001449349 us-gaap:RestrictedStockUni</w:t>
      </w:r>
      <w:r>
        <w:rPr>
          <w:rFonts w:eastAsia="Times New Roman"/>
          <w:vanish/>
          <w:sz w:val="20"/>
          <w:szCs w:val="20"/>
        </w:rPr>
        <w:t>tsRSUMember RDGL:EmploymentAgreementMember RDGL:BoardOfDirectorsMember 2021-05-02 2021-05-03 0001449349 us-gaap:RestrictedStockUnitsRSUMember srt:ChiefExecutiveOfficerMember 2022-02-02 2022-02-03 0001449349 us-gaap:RestrictedStockUnitsRSUMember srt:ChiefEx</w:t>
      </w:r>
      <w:r>
        <w:rPr>
          <w:rFonts w:eastAsia="Times New Roman"/>
          <w:vanish/>
          <w:sz w:val="20"/>
          <w:szCs w:val="20"/>
        </w:rPr>
        <w:t>ecutiveOfficerMember 2022-03-02 2022-03-03 0001449349 RDGL:ConsultantMember us-gaap:RestrictedStockUnitsRSUMember 2022-05-30 2022-06-01 0001449349 RDGL:ConsultantMember us-gaap:RestrictedStockUnitsRSUMember 2022-10-29 2022-11-01 0001449349 us-gaap:WarrantM</w:t>
      </w:r>
      <w:r>
        <w:rPr>
          <w:rFonts w:eastAsia="Times New Roman"/>
          <w:vanish/>
          <w:sz w:val="20"/>
          <w:szCs w:val="20"/>
        </w:rPr>
        <w:t>ember 2020-12-31 0001449349 us-gaap:WarrantMember srt:MinimumMember 2020-12-31 0001449349 us-gaap:WarrantMember srt:MaximumMember 2020-12-31 0001449349 us-gaap:WarrantMember 2021-01-01 2021-12-31 0001449349 us-gaap:WarrantMember 2021-12-31 0001449349 us-ga</w:t>
      </w:r>
      <w:r>
        <w:rPr>
          <w:rFonts w:eastAsia="Times New Roman"/>
          <w:vanish/>
          <w:sz w:val="20"/>
          <w:szCs w:val="20"/>
        </w:rPr>
        <w:t>ap:WarrantMember srt:MinimumMember 2021-12-31 0001449349 us-gaap:WarrantMember srt:MaximumMember 2021-12-31 0001449349 us-gaap:WarrantMember 2022-01-01 2022-12-31 0001449349 us-gaap:WarrantMember srt:MinimumMember 2022-01-01 2022-12-31 0001449349 us-gaap:W</w:t>
      </w:r>
      <w:r>
        <w:rPr>
          <w:rFonts w:eastAsia="Times New Roman"/>
          <w:vanish/>
          <w:sz w:val="20"/>
          <w:szCs w:val="20"/>
        </w:rPr>
        <w:t>arrantMember srt:MaximumMember 2022-01-01 2022-12-31 0001449349 us-gaap:WarrantMember 2022-12-31 0001449349 us-gaap:WarrantMember srt:MinimumMember 2022-12-31 0001449349 us-gaap:WarrantMember srt:MaximumMember 2022-12-31 0001449349 srt:MinimumMember 2022-0</w:t>
      </w:r>
      <w:r>
        <w:rPr>
          <w:rFonts w:eastAsia="Times New Roman"/>
          <w:vanish/>
          <w:sz w:val="20"/>
          <w:szCs w:val="20"/>
        </w:rPr>
        <w:t>1-01 2022-12-31 0001449349 srt:MinimumMember 2021-01-01 2021-12-31 0001449349 srt:MaximumMember 2021-01-01 2021-12-31 0001449349 RDGL:RestrictedStockUnitsMember 2020-12-31 0001449349 RDGL:RestrictedStockUnitsMember 2021-01-01 2021-12-31 0001449349 RDGL:Res</w:t>
      </w:r>
      <w:r>
        <w:rPr>
          <w:rFonts w:eastAsia="Times New Roman"/>
          <w:vanish/>
          <w:sz w:val="20"/>
          <w:szCs w:val="20"/>
        </w:rPr>
        <w:t>trictedStockUnitsMember 2021-12-31 0001449349 RDGL:RestrictedStockUnitsMember 2022-01-01 2022-12-31 0001449349 RDGL:RestrictedStockUnitsMember 2022-12-31 0001449349 RDGL:EmploymentAgreementMember RDGL:DrMichaelKKorenkoMember 2019-06-03 2019-06-04 iso4217:U</w:t>
      </w:r>
      <w:r>
        <w:rPr>
          <w:rFonts w:eastAsia="Times New Roman"/>
          <w:vanish/>
          <w:sz w:val="20"/>
          <w:szCs w:val="20"/>
        </w:rPr>
        <w:t xml:space="preserve">SD xbrli:shares iso4217:USD xbrli:shares xbrli:pure </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divId w:val="751586528"/>
        <w:rPr>
          <w:rFonts w:eastAsia="Times New Roman"/>
          <w:sz w:val="2"/>
          <w:szCs w:val="2"/>
        </w:rPr>
      </w:pPr>
      <w:r>
        <w:rPr>
          <w:rFonts w:eastAsia="Times New Roman"/>
          <w:sz w:val="2"/>
          <w:szCs w:val="2"/>
        </w:rPr>
        <w:t> </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center"/>
        <w:rPr>
          <w:sz w:val="20"/>
          <w:szCs w:val="20"/>
        </w:rPr>
      </w:pPr>
      <w:r>
        <w:rPr>
          <w:b/>
          <w:bCs/>
          <w:sz w:val="36"/>
          <w:szCs w:val="36"/>
        </w:rPr>
        <w:t>UNITED STATES</w:t>
      </w:r>
    </w:p>
    <w:p w:rsidR="00000000" w:rsidRDefault="00DA7678">
      <w:pPr>
        <w:pStyle w:val="a3"/>
        <w:spacing w:before="0" w:beforeAutospacing="0" w:after="0" w:afterAutospacing="0"/>
        <w:jc w:val="center"/>
        <w:rPr>
          <w:sz w:val="20"/>
          <w:szCs w:val="20"/>
        </w:rPr>
      </w:pPr>
      <w:r>
        <w:rPr>
          <w:b/>
          <w:bCs/>
          <w:sz w:val="36"/>
          <w:szCs w:val="36"/>
        </w:rPr>
        <w:t>SECURITIES AND EXCHANGE COMMISSION</w:t>
      </w:r>
    </w:p>
    <w:p w:rsidR="00000000" w:rsidRDefault="00DA7678">
      <w:pPr>
        <w:pStyle w:val="a3"/>
        <w:spacing w:before="0" w:beforeAutospacing="0" w:after="0" w:afterAutospacing="0"/>
        <w:jc w:val="center"/>
        <w:rPr>
          <w:sz w:val="20"/>
          <w:szCs w:val="20"/>
        </w:rPr>
      </w:pPr>
      <w:r>
        <w:rPr>
          <w:b/>
          <w:bCs/>
          <w:sz w:val="20"/>
          <w:szCs w:val="20"/>
        </w:rPr>
        <w:t>WASHINGTON, D.C. 20549</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K</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both"/>
        <w:rPr>
          <w:sz w:val="20"/>
          <w:szCs w:val="20"/>
        </w:rPr>
      </w:pPr>
      <w:r>
        <w:rPr>
          <w:rFonts w:ascii="Segoe UI Symbol" w:hAnsi="Segoe UI Symbol" w:cs="Segoe UI Symbol"/>
          <w:sz w:val="20"/>
          <w:szCs w:val="20"/>
        </w:rPr>
        <w:t>☒</w:t>
      </w:r>
      <w:r>
        <w:rPr>
          <w:sz w:val="20"/>
          <w:szCs w:val="20"/>
        </w:rPr>
        <w:t xml:space="preserve"> </w:t>
      </w:r>
      <w:r>
        <w:rPr>
          <w:b/>
          <w:bCs/>
          <w:sz w:val="20"/>
          <w:szCs w:val="20"/>
        </w:rPr>
        <w:t>ANNUAL REPORT UNDER SECTION 13 OR 15(d) OF THE SECURITIES EXCHANGE ACT OF 1934</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center"/>
        <w:rPr>
          <w:sz w:val="20"/>
          <w:szCs w:val="20"/>
        </w:rPr>
      </w:pPr>
      <w:r>
        <w:rPr>
          <w:b/>
          <w:bCs/>
          <w:sz w:val="20"/>
          <w:szCs w:val="20"/>
        </w:rPr>
        <w:t>For the fiscal year ended</w:t>
      </w:r>
      <w:r>
        <w:rPr>
          <w:b/>
          <w:bCs/>
          <w:sz w:val="20"/>
          <w:szCs w:val="20"/>
        </w:rPr>
        <w:t xml:space="preserve"> </w:t>
      </w:r>
      <w:r>
        <w:rPr>
          <w:b/>
          <w:bCs/>
          <w:sz w:val="20"/>
          <w:szCs w:val="20"/>
        </w:rPr>
        <w:t>De</w:t>
      </w:r>
      <w:r>
        <w:rPr>
          <w:b/>
          <w:bCs/>
          <w:sz w:val="20"/>
          <w:szCs w:val="20"/>
        </w:rPr>
        <w:t>cember 3</w:t>
      </w:r>
      <w:r>
        <w:rPr>
          <w:b/>
          <w:bCs/>
          <w:sz w:val="20"/>
          <w:szCs w:val="20"/>
        </w:rPr>
        <w:t>1</w:t>
      </w:r>
      <w:r>
        <w:rPr>
          <w:b/>
          <w:bCs/>
          <w:sz w:val="20"/>
          <w:szCs w:val="20"/>
        </w:rPr>
        <w:t>,</w:t>
      </w:r>
      <w:r>
        <w:rPr>
          <w:b/>
          <w:bCs/>
          <w:sz w:val="20"/>
          <w:szCs w:val="20"/>
        </w:rPr>
        <w:t xml:space="preserve"> </w:t>
      </w:r>
      <w:r>
        <w:rPr>
          <w:b/>
          <w:bCs/>
          <w:sz w:val="20"/>
          <w:szCs w:val="20"/>
        </w:rPr>
        <w:t>202</w:t>
      </w:r>
      <w:r>
        <w:rPr>
          <w:b/>
          <w:bCs/>
          <w:sz w:val="20"/>
          <w:szCs w:val="20"/>
        </w:rPr>
        <w:t>2</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center"/>
        <w:rPr>
          <w:sz w:val="20"/>
          <w:szCs w:val="20"/>
        </w:rPr>
      </w:pPr>
      <w:r>
        <w:rPr>
          <w:sz w:val="20"/>
          <w:szCs w:val="20"/>
        </w:rPr>
        <w:t>or</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both"/>
        <w:rPr>
          <w:sz w:val="20"/>
          <w:szCs w:val="20"/>
        </w:rPr>
      </w:pPr>
      <w:r>
        <w:rPr>
          <w:rFonts w:ascii="Segoe UI Symbol" w:hAnsi="Segoe UI Symbol" w:cs="Segoe UI Symbol"/>
          <w:sz w:val="20"/>
          <w:szCs w:val="20"/>
        </w:rPr>
        <w:t>☐</w:t>
      </w:r>
      <w:r>
        <w:rPr>
          <w:sz w:val="20"/>
          <w:szCs w:val="20"/>
        </w:rPr>
        <w:t xml:space="preserve"> </w:t>
      </w:r>
      <w:r>
        <w:rPr>
          <w:b/>
          <w:bCs/>
          <w:sz w:val="20"/>
          <w:szCs w:val="20"/>
        </w:rPr>
        <w:t>TRANSITION REPORT PURSUANT TO SECTION 13 OR 15(d) OF THE SECURITIES EXCHANGE ACT OF 1934</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center"/>
        <w:rPr>
          <w:sz w:val="20"/>
          <w:szCs w:val="20"/>
        </w:rPr>
      </w:pPr>
      <w:r>
        <w:rPr>
          <w:b/>
          <w:bCs/>
          <w:sz w:val="20"/>
          <w:szCs w:val="20"/>
        </w:rPr>
        <w:t>For the transition period from ________ to _________</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center"/>
        <w:rPr>
          <w:sz w:val="20"/>
          <w:szCs w:val="20"/>
        </w:rPr>
      </w:pPr>
      <w:r>
        <w:rPr>
          <w:b/>
          <w:bCs/>
          <w:sz w:val="20"/>
          <w:szCs w:val="20"/>
        </w:rPr>
        <w:t>Commission file number:</w:t>
      </w:r>
      <w:r>
        <w:rPr>
          <w:b/>
          <w:bCs/>
          <w:sz w:val="20"/>
          <w:szCs w:val="20"/>
        </w:rPr>
        <w:t xml:space="preserve"> </w:t>
      </w:r>
      <w:r>
        <w:rPr>
          <w:b/>
          <w:bCs/>
          <w:sz w:val="20"/>
          <w:szCs w:val="20"/>
        </w:rPr>
        <w:t>0-5349</w:t>
      </w:r>
      <w:r>
        <w:rPr>
          <w:b/>
          <w:bCs/>
          <w:sz w:val="20"/>
          <w:szCs w:val="20"/>
        </w:rPr>
        <w:t>7</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center"/>
        <w:rPr>
          <w:sz w:val="20"/>
          <w:szCs w:val="20"/>
        </w:rPr>
      </w:pPr>
      <w:r>
        <w:rPr>
          <w:b/>
          <w:bCs/>
          <w:sz w:val="36"/>
          <w:szCs w:val="36"/>
          <w:u w:val="single"/>
        </w:rPr>
        <w:t>VIVOS IN</w:t>
      </w:r>
      <w:r>
        <w:rPr>
          <w:b/>
          <w:bCs/>
          <w:sz w:val="36"/>
          <w:szCs w:val="36"/>
          <w:u w:val="single"/>
        </w:rPr>
        <w:t>C</w:t>
      </w:r>
    </w:p>
    <w:p w:rsidR="00000000" w:rsidRDefault="00DA7678">
      <w:pPr>
        <w:pStyle w:val="a3"/>
        <w:spacing w:before="0" w:beforeAutospacing="0" w:after="0" w:afterAutospacing="0"/>
        <w:jc w:val="center"/>
        <w:rPr>
          <w:sz w:val="20"/>
          <w:szCs w:val="20"/>
        </w:rPr>
      </w:pPr>
      <w:r>
        <w:rPr>
          <w:sz w:val="20"/>
          <w:szCs w:val="20"/>
        </w:rPr>
        <w:t>(Exact name of registrant as specified in</w:t>
      </w:r>
      <w:r>
        <w:rPr>
          <w:sz w:val="20"/>
          <w:szCs w:val="20"/>
        </w:rPr>
        <w:t xml:space="preserve"> its charter)</w:t>
      </w:r>
    </w:p>
    <w:p w:rsidR="00000000" w:rsidRDefault="00DA767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tcBorders>
              <w:bottom w:val="single" w:sz="12" w:space="0" w:color="000000"/>
            </w:tcBorders>
            <w:hideMark/>
          </w:tcPr>
          <w:p w:rsidR="00000000" w:rsidRDefault="00DA7678">
            <w:pPr>
              <w:jc w:val="center"/>
              <w:rPr>
                <w:rFonts w:eastAsia="Times New Roman"/>
                <w:sz w:val="20"/>
                <w:szCs w:val="20"/>
              </w:rPr>
            </w:pPr>
            <w:r>
              <w:rPr>
                <w:rFonts w:eastAsia="Times New Roman"/>
                <w:b/>
                <w:bCs/>
                <w:sz w:val="20"/>
                <w:szCs w:val="20"/>
              </w:rPr>
              <w:t>Delawar</w:t>
            </w:r>
            <w:r>
              <w:rPr>
                <w:rFonts w:eastAsia="Times New Roman"/>
                <w:b/>
                <w:bCs/>
                <w:sz w:val="20"/>
                <w:szCs w:val="20"/>
              </w:rPr>
              <w:t>e</w:t>
            </w:r>
          </w:p>
        </w:tc>
        <w:tc>
          <w:tcPr>
            <w:tcW w:w="100" w:type="pct"/>
            <w:hideMark/>
          </w:tcPr>
          <w:p w:rsidR="00000000" w:rsidRDefault="00DA7678">
            <w:pPr>
              <w:jc w:val="center"/>
              <w:rPr>
                <w:rFonts w:eastAsia="Times New Roman"/>
                <w:sz w:val="20"/>
                <w:szCs w:val="20"/>
              </w:rPr>
            </w:pPr>
            <w:r>
              <w:rPr>
                <w:rFonts w:eastAsia="Times New Roman"/>
                <w:sz w:val="20"/>
                <w:szCs w:val="20"/>
              </w:rPr>
              <w:t> </w:t>
            </w:r>
          </w:p>
        </w:tc>
        <w:tc>
          <w:tcPr>
            <w:tcW w:w="2450" w:type="pct"/>
            <w:tcBorders>
              <w:bottom w:val="single" w:sz="12" w:space="0" w:color="000000"/>
            </w:tcBorders>
            <w:hideMark/>
          </w:tcPr>
          <w:p w:rsidR="00000000" w:rsidRDefault="00DA7678">
            <w:pPr>
              <w:jc w:val="center"/>
              <w:rPr>
                <w:rFonts w:eastAsia="Times New Roman"/>
                <w:sz w:val="20"/>
                <w:szCs w:val="20"/>
              </w:rPr>
            </w:pPr>
            <w:r>
              <w:rPr>
                <w:rFonts w:eastAsia="Times New Roman"/>
                <w:b/>
                <w:bCs/>
                <w:sz w:val="20"/>
                <w:szCs w:val="20"/>
              </w:rPr>
              <w:t>80-013893</w:t>
            </w:r>
            <w:r>
              <w:rPr>
                <w:rFonts w:eastAsia="Times New Roman"/>
                <w:b/>
                <w:bCs/>
                <w:sz w:val="20"/>
                <w:szCs w:val="20"/>
              </w:rPr>
              <w:t>7</w:t>
            </w:r>
          </w:p>
        </w:tc>
      </w:tr>
      <w:tr w:rsidR="00000000">
        <w:tc>
          <w:tcPr>
            <w:tcW w:w="0" w:type="auto"/>
            <w:hideMark/>
          </w:tcPr>
          <w:p w:rsidR="00000000" w:rsidRDefault="00DA7678">
            <w:pPr>
              <w:jc w:val="center"/>
              <w:rPr>
                <w:rFonts w:eastAsia="Times New Roman"/>
                <w:sz w:val="20"/>
                <w:szCs w:val="20"/>
              </w:rPr>
            </w:pPr>
            <w:r>
              <w:rPr>
                <w:rFonts w:eastAsia="Times New Roman"/>
                <w:sz w:val="20"/>
                <w:szCs w:val="20"/>
              </w:rPr>
              <w:t>(State or other jurisdiction of</w:t>
            </w:r>
          </w:p>
        </w:tc>
        <w:tc>
          <w:tcPr>
            <w:tcW w:w="0" w:type="auto"/>
            <w:hideMark/>
          </w:tcPr>
          <w:p w:rsidR="00000000" w:rsidRDefault="00DA7678">
            <w:pPr>
              <w:jc w:val="center"/>
              <w:rPr>
                <w:rFonts w:eastAsia="Times New Roman"/>
                <w:sz w:val="20"/>
                <w:szCs w:val="20"/>
              </w:rPr>
            </w:pPr>
            <w:r>
              <w:rPr>
                <w:rFonts w:eastAsia="Times New Roman"/>
                <w:sz w:val="20"/>
                <w:szCs w:val="20"/>
              </w:rPr>
              <w:t> </w:t>
            </w:r>
          </w:p>
        </w:tc>
        <w:tc>
          <w:tcPr>
            <w:tcW w:w="0" w:type="auto"/>
            <w:hideMark/>
          </w:tcPr>
          <w:p w:rsidR="00000000" w:rsidRDefault="00DA7678">
            <w:pPr>
              <w:jc w:val="center"/>
              <w:rPr>
                <w:rFonts w:eastAsia="Times New Roman"/>
                <w:sz w:val="20"/>
                <w:szCs w:val="20"/>
              </w:rPr>
            </w:pPr>
            <w:r>
              <w:rPr>
                <w:rFonts w:eastAsia="Times New Roman"/>
                <w:sz w:val="20"/>
                <w:szCs w:val="20"/>
              </w:rPr>
              <w:t>(I.R.S. Employer</w:t>
            </w:r>
          </w:p>
        </w:tc>
      </w:tr>
      <w:tr w:rsidR="00000000">
        <w:tc>
          <w:tcPr>
            <w:tcW w:w="0" w:type="auto"/>
            <w:hideMark/>
          </w:tcPr>
          <w:p w:rsidR="00000000" w:rsidRDefault="00DA7678">
            <w:pPr>
              <w:jc w:val="center"/>
              <w:rPr>
                <w:rFonts w:eastAsia="Times New Roman"/>
                <w:sz w:val="20"/>
                <w:szCs w:val="20"/>
              </w:rPr>
            </w:pPr>
            <w:r>
              <w:rPr>
                <w:rFonts w:eastAsia="Times New Roman"/>
                <w:sz w:val="20"/>
                <w:szCs w:val="20"/>
              </w:rPr>
              <w:t>incorporation or organization)</w:t>
            </w:r>
          </w:p>
        </w:tc>
        <w:tc>
          <w:tcPr>
            <w:tcW w:w="0" w:type="auto"/>
            <w:hideMark/>
          </w:tcPr>
          <w:p w:rsidR="00000000" w:rsidRDefault="00DA7678">
            <w:pPr>
              <w:jc w:val="center"/>
              <w:rPr>
                <w:rFonts w:eastAsia="Times New Roman"/>
                <w:sz w:val="20"/>
                <w:szCs w:val="20"/>
              </w:rPr>
            </w:pPr>
            <w:r>
              <w:rPr>
                <w:rFonts w:eastAsia="Times New Roman"/>
                <w:sz w:val="20"/>
                <w:szCs w:val="20"/>
              </w:rPr>
              <w:t> </w:t>
            </w:r>
          </w:p>
        </w:tc>
        <w:tc>
          <w:tcPr>
            <w:tcW w:w="0" w:type="auto"/>
            <w:hideMark/>
          </w:tcPr>
          <w:p w:rsidR="00000000" w:rsidRDefault="00DA7678">
            <w:pPr>
              <w:jc w:val="center"/>
              <w:rPr>
                <w:rFonts w:eastAsia="Times New Roman"/>
                <w:sz w:val="20"/>
                <w:szCs w:val="20"/>
              </w:rPr>
            </w:pPr>
            <w:r>
              <w:rPr>
                <w:rFonts w:eastAsia="Times New Roman"/>
                <w:sz w:val="20"/>
                <w:szCs w:val="20"/>
              </w:rPr>
              <w:t>Identification No.)</w:t>
            </w:r>
          </w:p>
        </w:tc>
      </w:tr>
    </w:tbl>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center"/>
        <w:rPr>
          <w:sz w:val="20"/>
          <w:szCs w:val="20"/>
        </w:rPr>
      </w:pPr>
      <w:r>
        <w:rPr>
          <w:b/>
          <w:bCs/>
          <w:sz w:val="20"/>
          <w:szCs w:val="20"/>
          <w:u w:val="single"/>
        </w:rPr>
        <w:t>719 Jadwin Avenu</w:t>
      </w:r>
      <w:r>
        <w:rPr>
          <w:b/>
          <w:bCs/>
          <w:sz w:val="20"/>
          <w:szCs w:val="20"/>
          <w:u w:val="single"/>
        </w:rPr>
        <w:t>e</w:t>
      </w:r>
      <w:r>
        <w:rPr>
          <w:b/>
          <w:bCs/>
          <w:sz w:val="20"/>
          <w:szCs w:val="20"/>
          <w:u w:val="single"/>
        </w:rPr>
        <w:t xml:space="preserve"> </w:t>
      </w:r>
      <w:r>
        <w:rPr>
          <w:b/>
          <w:bCs/>
          <w:sz w:val="20"/>
          <w:szCs w:val="20"/>
          <w:u w:val="single"/>
        </w:rPr>
        <w:t>●</w:t>
      </w:r>
      <w:r>
        <w:rPr>
          <w:b/>
          <w:bCs/>
          <w:sz w:val="20"/>
          <w:szCs w:val="20"/>
          <w:u w:val="single"/>
        </w:rPr>
        <w:t xml:space="preserve"> </w:t>
      </w:r>
      <w:r>
        <w:rPr>
          <w:b/>
          <w:bCs/>
          <w:sz w:val="20"/>
          <w:szCs w:val="20"/>
          <w:u w:val="single"/>
        </w:rPr>
        <w:t>Richlan</w:t>
      </w:r>
      <w:r>
        <w:rPr>
          <w:b/>
          <w:bCs/>
          <w:sz w:val="20"/>
          <w:szCs w:val="20"/>
          <w:u w:val="single"/>
        </w:rPr>
        <w:t>d</w:t>
      </w:r>
      <w:r>
        <w:rPr>
          <w:b/>
          <w:bCs/>
          <w:sz w:val="20"/>
          <w:szCs w:val="20"/>
          <w:u w:val="single"/>
        </w:rPr>
        <w:t>,</w:t>
      </w:r>
      <w:r>
        <w:rPr>
          <w:b/>
          <w:bCs/>
          <w:sz w:val="20"/>
          <w:szCs w:val="20"/>
          <w:u w:val="single"/>
        </w:rPr>
        <w:t xml:space="preserve"> </w:t>
      </w:r>
      <w:r>
        <w:rPr>
          <w:b/>
          <w:bCs/>
          <w:sz w:val="20"/>
          <w:szCs w:val="20"/>
          <w:u w:val="single"/>
        </w:rPr>
        <w:t>Washingto</w:t>
      </w:r>
      <w:r>
        <w:rPr>
          <w:b/>
          <w:bCs/>
          <w:sz w:val="20"/>
          <w:szCs w:val="20"/>
          <w:u w:val="single"/>
        </w:rPr>
        <w:t>n</w:t>
      </w:r>
      <w:r>
        <w:rPr>
          <w:b/>
          <w:bCs/>
          <w:sz w:val="20"/>
          <w:szCs w:val="20"/>
          <w:u w:val="single"/>
        </w:rPr>
        <w:t xml:space="preserve"> </w:t>
      </w:r>
      <w:r>
        <w:rPr>
          <w:b/>
          <w:bCs/>
          <w:sz w:val="20"/>
          <w:szCs w:val="20"/>
          <w:u w:val="single"/>
        </w:rPr>
        <w:t>9935</w:t>
      </w:r>
      <w:r>
        <w:rPr>
          <w:b/>
          <w:bCs/>
          <w:sz w:val="20"/>
          <w:szCs w:val="20"/>
          <w:u w:val="single"/>
        </w:rPr>
        <w:t>2</w:t>
      </w:r>
    </w:p>
    <w:p w:rsidR="00000000" w:rsidRDefault="00DA7678">
      <w:pPr>
        <w:pStyle w:val="a3"/>
        <w:spacing w:before="0" w:beforeAutospacing="0" w:after="0" w:afterAutospacing="0"/>
        <w:jc w:val="center"/>
        <w:rPr>
          <w:sz w:val="20"/>
          <w:szCs w:val="20"/>
        </w:rPr>
      </w:pPr>
      <w:r>
        <w:rPr>
          <w:sz w:val="20"/>
          <w:szCs w:val="20"/>
        </w:rPr>
        <w:t xml:space="preserve">(Address </w:t>
      </w:r>
      <w:r>
        <w:rPr>
          <w:sz w:val="20"/>
          <w:szCs w:val="20"/>
        </w:rPr>
        <w:t>of principal executive offices) (Zip Code)</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center"/>
        <w:rPr>
          <w:sz w:val="20"/>
          <w:szCs w:val="20"/>
        </w:rPr>
      </w:pPr>
      <w:r>
        <w:rPr>
          <w:b/>
          <w:bCs/>
          <w:sz w:val="20"/>
          <w:szCs w:val="20"/>
          <w:u w:val="single"/>
        </w:rPr>
        <w:t>(509</w:t>
      </w:r>
      <w:r>
        <w:rPr>
          <w:b/>
          <w:bCs/>
          <w:sz w:val="20"/>
          <w:szCs w:val="20"/>
          <w:u w:val="single"/>
        </w:rPr>
        <w:t>)</w:t>
      </w:r>
      <w:r>
        <w:rPr>
          <w:b/>
          <w:bCs/>
          <w:sz w:val="20"/>
          <w:szCs w:val="20"/>
          <w:u w:val="single"/>
        </w:rPr>
        <w:t xml:space="preserve"> </w:t>
      </w:r>
      <w:r>
        <w:rPr>
          <w:b/>
          <w:bCs/>
          <w:sz w:val="20"/>
          <w:szCs w:val="20"/>
          <w:u w:val="single"/>
        </w:rPr>
        <w:t>736-400</w:t>
      </w:r>
      <w:r>
        <w:rPr>
          <w:b/>
          <w:bCs/>
          <w:sz w:val="20"/>
          <w:szCs w:val="20"/>
          <w:u w:val="single"/>
        </w:rPr>
        <w:t>0</w:t>
      </w:r>
    </w:p>
    <w:p w:rsidR="00000000" w:rsidRDefault="00DA7678">
      <w:pPr>
        <w:pStyle w:val="a3"/>
        <w:spacing w:before="0" w:beforeAutospacing="0" w:after="0" w:afterAutospacing="0"/>
        <w:jc w:val="center"/>
        <w:rPr>
          <w:sz w:val="20"/>
          <w:szCs w:val="20"/>
        </w:rPr>
      </w:pPr>
      <w:r>
        <w:rPr>
          <w:sz w:val="20"/>
          <w:szCs w:val="20"/>
        </w:rPr>
        <w:t>Registrant’s telephone number, including area code</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Securities registered pursuant to Section 12(b) of the Act: None</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Securities </w:t>
      </w:r>
      <w:r>
        <w:rPr>
          <w:sz w:val="20"/>
          <w:szCs w:val="20"/>
        </w:rPr>
        <w:t>registered pursuant to Section 12(g) of the Act:</w:t>
      </w:r>
      <w:r>
        <w:rPr>
          <w:sz w:val="20"/>
          <w:szCs w:val="20"/>
        </w:rPr>
        <w:t xml:space="preserve"> </w:t>
      </w:r>
      <w:r>
        <w:rPr>
          <w:sz w:val="20"/>
          <w:szCs w:val="20"/>
        </w:rPr>
        <w:t>Common Stock, $0.001 Par Valu</w:t>
      </w:r>
      <w:r>
        <w:rPr>
          <w:sz w:val="20"/>
          <w:szCs w:val="20"/>
        </w:rPr>
        <w:t>e</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Indicate by check mark if the registrant is a well-known seasoned issuer, as defined in Rule 405 of the Securities Act. Yes </w:t>
      </w:r>
      <w:r>
        <w:rPr>
          <w:rFonts w:ascii="Segoe UI Symbol" w:hAnsi="Segoe UI Symbol" w:cs="Segoe UI Symbol"/>
          <w:sz w:val="20"/>
          <w:szCs w:val="20"/>
        </w:rPr>
        <w:t>☐</w:t>
      </w:r>
      <w:r>
        <w:rPr>
          <w:sz w:val="20"/>
          <w:szCs w:val="20"/>
        </w:rPr>
        <w:t xml:space="preserve"> </w:t>
      </w:r>
      <w:r>
        <w:rPr>
          <w:sz w:val="20"/>
          <w:szCs w:val="20"/>
        </w:rPr>
        <w:t>N</w:t>
      </w:r>
      <w:r>
        <w:rPr>
          <w:sz w:val="20"/>
          <w:szCs w:val="20"/>
        </w:rPr>
        <w:t>o</w:t>
      </w:r>
      <w:r>
        <w:rPr>
          <w:sz w:val="20"/>
          <w:szCs w:val="20"/>
        </w:rPr>
        <w:t xml:space="preserve"> </w:t>
      </w:r>
      <w:r>
        <w:rPr>
          <w:rFonts w:ascii="Segoe UI Symbol" w:hAnsi="Segoe UI Symbol" w:cs="Segoe UI Symbol"/>
          <w:sz w:val="20"/>
          <w:szCs w:val="20"/>
        </w:rPr>
        <w:t>☒</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Indicate by check mark if the registrant </w:t>
      </w:r>
      <w:r>
        <w:rPr>
          <w:sz w:val="20"/>
          <w:szCs w:val="20"/>
        </w:rPr>
        <w:t xml:space="preserve">is not required to file reports pursuant to Section 13 or 15(d) of the Act. Yes </w:t>
      </w:r>
      <w:r>
        <w:rPr>
          <w:rFonts w:ascii="Segoe UI Symbol" w:hAnsi="Segoe UI Symbol" w:cs="Segoe UI Symbol"/>
          <w:sz w:val="20"/>
          <w:szCs w:val="20"/>
        </w:rPr>
        <w:t>☐</w:t>
      </w:r>
      <w:r>
        <w:rPr>
          <w:sz w:val="20"/>
          <w:szCs w:val="20"/>
        </w:rPr>
        <w:t xml:space="preserve"> </w:t>
      </w:r>
      <w:r>
        <w:rPr>
          <w:sz w:val="20"/>
          <w:szCs w:val="20"/>
        </w:rPr>
        <w:t>N</w:t>
      </w:r>
      <w:r>
        <w:rPr>
          <w:sz w:val="20"/>
          <w:szCs w:val="20"/>
        </w:rPr>
        <w:t>o</w:t>
      </w:r>
      <w:r>
        <w:rPr>
          <w:sz w:val="20"/>
          <w:szCs w:val="20"/>
        </w:rPr>
        <w:t xml:space="preserve"> </w:t>
      </w:r>
      <w:r>
        <w:rPr>
          <w:rFonts w:ascii="Segoe UI Symbol" w:hAnsi="Segoe UI Symbol" w:cs="Segoe UI Symbol"/>
          <w:sz w:val="20"/>
          <w:szCs w:val="20"/>
        </w:rPr>
        <w:t>☒</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Indicate by check mark whether the registrant (1) has filed all reports required to be filed by Section 13 or 15(d) of the Securities Exchange Act of 1934 during the p</w:t>
      </w:r>
      <w:r>
        <w:rPr>
          <w:sz w:val="20"/>
          <w:szCs w:val="20"/>
        </w:rPr>
        <w:t>receding 12 months (or for such shorter period that the registrant was required to file such reports), and (2) has been subject to such filing requirements for the past 90 days.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Indicate by check mark whether the registrant has submitted elect</w:t>
      </w:r>
      <w:r>
        <w:rPr>
          <w:sz w:val="20"/>
          <w:szCs w:val="20"/>
        </w:rPr>
        <w:t>ronically every Interactive Data File required to be submitted pursuant to Rule 405 of Regulation S-T during the preceding 12 months (or for such shorter period that the registrant was required to submit such files).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lastRenderedPageBreak/>
        <w:t xml:space="preserve">Indicate by check mark if </w:t>
      </w:r>
      <w:r>
        <w:rPr>
          <w:sz w:val="20"/>
          <w:szCs w:val="20"/>
        </w:rPr>
        <w:t>disclosure of delinquent filers pursuant to Item 405 of Regulation S-K is not contained herein, and will not be contained, to the best of registrant’s knowledge, in definitive proxy or information statements incorporated by reference in Part III of this Fo</w:t>
      </w:r>
      <w:r>
        <w:rPr>
          <w:sz w:val="20"/>
          <w:szCs w:val="20"/>
        </w:rPr>
        <w:t xml:space="preserve">rm 10-K or any amendment to this Form 10-K. </w:t>
      </w:r>
      <w:r>
        <w:rPr>
          <w:rFonts w:ascii="Segoe UI Symbol" w:hAnsi="Segoe UI Symbol" w:cs="Segoe UI Symbol"/>
          <w:sz w:val="20"/>
          <w:szCs w:val="20"/>
        </w:rPr>
        <w:t>☐</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Indicate by check mark whether the registrant is a large accelerated filer, an accelerated filer, a non-accelerated filer, a smaller reporting company or an emerging growth company. See the definitions of “la</w:t>
      </w:r>
      <w:r>
        <w:rPr>
          <w:sz w:val="20"/>
          <w:szCs w:val="20"/>
        </w:rPr>
        <w:t>rge accelerated filer,” “accelerated filer,” “smaller reporting company” and “emerging growth company” in Rule 12b-2 of the Exchange Act.</w:t>
      </w:r>
    </w:p>
    <w:p w:rsidR="00000000" w:rsidRDefault="00DA767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07"/>
        <w:gridCol w:w="1246"/>
        <w:gridCol w:w="2907"/>
        <w:gridCol w:w="1246"/>
      </w:tblGrid>
      <w:tr w:rsidR="00000000">
        <w:tc>
          <w:tcPr>
            <w:tcW w:w="1750" w:type="pct"/>
            <w:hideMark/>
          </w:tcPr>
          <w:p w:rsidR="00000000" w:rsidRDefault="00DA7678">
            <w:pPr>
              <w:rPr>
                <w:rFonts w:eastAsia="Times New Roman"/>
                <w:sz w:val="20"/>
                <w:szCs w:val="20"/>
              </w:rPr>
            </w:pPr>
            <w:r>
              <w:rPr>
                <w:rFonts w:eastAsia="Times New Roman"/>
                <w:b/>
                <w:bCs/>
                <w:sz w:val="20"/>
                <w:szCs w:val="20"/>
              </w:rPr>
              <w:t>Large Accelerated Filer</w:t>
            </w:r>
          </w:p>
        </w:tc>
        <w:tc>
          <w:tcPr>
            <w:tcW w:w="750" w:type="pct"/>
            <w:hideMark/>
          </w:tcPr>
          <w:p w:rsidR="00000000" w:rsidRDefault="00DA7678">
            <w:pPr>
              <w:rPr>
                <w:rFonts w:eastAsia="Times New Roman"/>
                <w:sz w:val="20"/>
                <w:szCs w:val="20"/>
              </w:rPr>
            </w:pPr>
            <w:r>
              <w:rPr>
                <w:rFonts w:ascii="Segoe UI Symbol" w:eastAsia="Times New Roman" w:hAnsi="Segoe UI Symbol" w:cs="Segoe UI Symbol"/>
                <w:sz w:val="20"/>
                <w:szCs w:val="20"/>
              </w:rPr>
              <w:t>☐</w:t>
            </w:r>
          </w:p>
        </w:tc>
        <w:tc>
          <w:tcPr>
            <w:tcW w:w="1750" w:type="pct"/>
            <w:hideMark/>
          </w:tcPr>
          <w:p w:rsidR="00000000" w:rsidRDefault="00DA7678">
            <w:pPr>
              <w:rPr>
                <w:rFonts w:eastAsia="Times New Roman"/>
                <w:sz w:val="20"/>
                <w:szCs w:val="20"/>
              </w:rPr>
            </w:pPr>
            <w:r>
              <w:rPr>
                <w:rFonts w:eastAsia="Times New Roman"/>
                <w:b/>
                <w:bCs/>
                <w:sz w:val="20"/>
                <w:szCs w:val="20"/>
              </w:rPr>
              <w:t xml:space="preserve">Accelerated Filer </w:t>
            </w:r>
          </w:p>
        </w:tc>
        <w:tc>
          <w:tcPr>
            <w:tcW w:w="750" w:type="pct"/>
            <w:hideMark/>
          </w:tcPr>
          <w:p w:rsidR="00000000" w:rsidRDefault="00DA7678">
            <w:pPr>
              <w:rPr>
                <w:rFonts w:eastAsia="Times New Roman"/>
                <w:sz w:val="20"/>
                <w:szCs w:val="20"/>
              </w:rPr>
            </w:pPr>
            <w:r>
              <w:rPr>
                <w:rFonts w:ascii="Segoe UI Symbol" w:eastAsia="Times New Roman" w:hAnsi="Segoe UI Symbol" w:cs="Segoe UI Symbol"/>
                <w:sz w:val="20"/>
                <w:szCs w:val="20"/>
              </w:rPr>
              <w:t>☐</w:t>
            </w:r>
          </w:p>
        </w:tc>
      </w:tr>
      <w:tr w:rsidR="00000000">
        <w:tc>
          <w:tcPr>
            <w:tcW w:w="0" w:type="auto"/>
            <w:hideMark/>
          </w:tcPr>
          <w:p w:rsidR="00000000" w:rsidRDefault="00DA7678">
            <w:pPr>
              <w:rPr>
                <w:rFonts w:eastAsia="Times New Roman"/>
                <w:sz w:val="20"/>
                <w:szCs w:val="20"/>
              </w:rPr>
            </w:pPr>
            <w:r>
              <w:rPr>
                <w:rFonts w:eastAsia="Times New Roman"/>
                <w:b/>
                <w:bCs/>
                <w:sz w:val="20"/>
                <w:szCs w:val="20"/>
              </w:rPr>
              <w:t>Non-Accelerated File</w:t>
            </w:r>
            <w:r>
              <w:rPr>
                <w:rFonts w:eastAsia="Times New Roman"/>
                <w:b/>
                <w:bCs/>
                <w:sz w:val="20"/>
                <w:szCs w:val="20"/>
              </w:rPr>
              <w:t>r</w:t>
            </w:r>
          </w:p>
        </w:tc>
        <w:tc>
          <w:tcPr>
            <w:tcW w:w="0" w:type="auto"/>
            <w:hideMark/>
          </w:tcPr>
          <w:p w:rsidR="00000000" w:rsidRDefault="00DA7678">
            <w:pPr>
              <w:rPr>
                <w:rFonts w:eastAsia="Times New Roman"/>
                <w:sz w:val="20"/>
                <w:szCs w:val="20"/>
              </w:rPr>
            </w:pPr>
            <w:r>
              <w:rPr>
                <w:rFonts w:ascii="Segoe UI Symbol" w:eastAsia="Times New Roman" w:hAnsi="Segoe UI Symbol" w:cs="Segoe UI Symbol"/>
                <w:sz w:val="20"/>
                <w:szCs w:val="20"/>
              </w:rPr>
              <w:t>☒</w:t>
            </w:r>
          </w:p>
        </w:tc>
        <w:tc>
          <w:tcPr>
            <w:tcW w:w="0" w:type="auto"/>
            <w:hideMark/>
          </w:tcPr>
          <w:p w:rsidR="00000000" w:rsidRDefault="00DA7678">
            <w:pPr>
              <w:rPr>
                <w:rFonts w:eastAsia="Times New Roman"/>
                <w:sz w:val="20"/>
                <w:szCs w:val="20"/>
              </w:rPr>
            </w:pPr>
            <w:r>
              <w:rPr>
                <w:rFonts w:eastAsia="Times New Roman"/>
                <w:b/>
                <w:bCs/>
                <w:sz w:val="20"/>
                <w:szCs w:val="20"/>
              </w:rPr>
              <w:t>Smaller Reporting Company</w:t>
            </w:r>
          </w:p>
        </w:tc>
        <w:tc>
          <w:tcPr>
            <w:tcW w:w="0" w:type="auto"/>
            <w:hideMark/>
          </w:tcPr>
          <w:p w:rsidR="00000000" w:rsidRDefault="00DA7678">
            <w:pPr>
              <w:rPr>
                <w:rFonts w:eastAsia="Times New Roman"/>
                <w:sz w:val="20"/>
                <w:szCs w:val="20"/>
              </w:rPr>
            </w:pPr>
            <w:r>
              <w:rPr>
                <w:rFonts w:ascii="Segoe UI Symbol" w:eastAsia="Times New Roman" w:hAnsi="Segoe UI Symbol" w:cs="Segoe UI Symbol"/>
                <w:sz w:val="20"/>
                <w:szCs w:val="20"/>
              </w:rPr>
              <w:t>☒</w:t>
            </w:r>
          </w:p>
        </w:tc>
      </w:tr>
      <w:tr w:rsidR="00000000">
        <w:tc>
          <w:tcPr>
            <w:tcW w:w="0" w:type="auto"/>
            <w:hideMark/>
          </w:tcPr>
          <w:p w:rsidR="00000000" w:rsidRDefault="00DA7678">
            <w:pPr>
              <w:rPr>
                <w:rFonts w:eastAsia="Times New Roman"/>
                <w:sz w:val="20"/>
                <w:szCs w:val="20"/>
              </w:rPr>
            </w:pPr>
            <w:r>
              <w:rPr>
                <w:rFonts w:eastAsia="Times New Roman"/>
                <w:sz w:val="20"/>
                <w:szCs w:val="20"/>
              </w:rPr>
              <w:t> </w:t>
            </w:r>
          </w:p>
        </w:tc>
        <w:tc>
          <w:tcPr>
            <w:tcW w:w="0" w:type="auto"/>
            <w:hideMark/>
          </w:tcPr>
          <w:p w:rsidR="00000000" w:rsidRDefault="00DA7678">
            <w:pPr>
              <w:rPr>
                <w:rFonts w:eastAsia="Times New Roman"/>
                <w:sz w:val="20"/>
                <w:szCs w:val="20"/>
              </w:rPr>
            </w:pPr>
            <w:r>
              <w:rPr>
                <w:rFonts w:eastAsia="Times New Roman"/>
                <w:sz w:val="20"/>
                <w:szCs w:val="20"/>
              </w:rPr>
              <w:t> </w:t>
            </w:r>
          </w:p>
        </w:tc>
        <w:tc>
          <w:tcPr>
            <w:tcW w:w="0" w:type="auto"/>
            <w:hideMark/>
          </w:tcPr>
          <w:p w:rsidR="00000000" w:rsidRDefault="00DA7678">
            <w:pPr>
              <w:rPr>
                <w:rFonts w:eastAsia="Times New Roman"/>
                <w:sz w:val="20"/>
                <w:szCs w:val="20"/>
              </w:rPr>
            </w:pPr>
            <w:r>
              <w:rPr>
                <w:rFonts w:eastAsia="Times New Roman"/>
                <w:b/>
                <w:bCs/>
                <w:sz w:val="20"/>
                <w:szCs w:val="20"/>
              </w:rPr>
              <w:t>Emerging growth company</w:t>
            </w:r>
          </w:p>
        </w:tc>
        <w:tc>
          <w:tcPr>
            <w:tcW w:w="0" w:type="auto"/>
            <w:hideMark/>
          </w:tcPr>
          <w:p w:rsidR="00000000" w:rsidRDefault="00DA7678">
            <w:pPr>
              <w:rPr>
                <w:rFonts w:eastAsia="Times New Roman"/>
                <w:sz w:val="20"/>
                <w:szCs w:val="20"/>
              </w:rPr>
            </w:pPr>
            <w:r>
              <w:rPr>
                <w:rFonts w:ascii="Segoe UI Symbol" w:eastAsia="Times New Roman" w:hAnsi="Segoe UI Symbol" w:cs="Segoe UI Symbol"/>
                <w:sz w:val="20"/>
                <w:szCs w:val="20"/>
              </w:rPr>
              <w:t>☐</w:t>
            </w:r>
          </w:p>
        </w:tc>
      </w:tr>
    </w:tbl>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Indicate by check mark whether the registrant is a shell company (as defined in Rule 12b-2 of the Act). Yes </w:t>
      </w:r>
      <w:r>
        <w:rPr>
          <w:rFonts w:ascii="Segoe UI Symbol" w:hAnsi="Segoe UI Symbol" w:cs="Segoe UI Symbol"/>
          <w:sz w:val="20"/>
          <w:szCs w:val="20"/>
        </w:rPr>
        <w:t>☐</w:t>
      </w:r>
      <w:r>
        <w:rPr>
          <w:sz w:val="20"/>
          <w:szCs w:val="20"/>
        </w:rPr>
        <w:t xml:space="preserve"> </w:t>
      </w:r>
      <w:r>
        <w:rPr>
          <w:sz w:val="20"/>
          <w:szCs w:val="20"/>
        </w:rPr>
        <w:t>N</w:t>
      </w:r>
      <w:r>
        <w:rPr>
          <w:sz w:val="20"/>
          <w:szCs w:val="20"/>
        </w:rPr>
        <w:t>o</w:t>
      </w:r>
      <w:r>
        <w:rPr>
          <w:sz w:val="20"/>
          <w:szCs w:val="20"/>
        </w:rPr>
        <w:t xml:space="preserve"> </w:t>
      </w:r>
      <w:r>
        <w:rPr>
          <w:rFonts w:ascii="Segoe UI Symbol" w:hAnsi="Segoe UI Symbol" w:cs="Segoe UI Symbol"/>
          <w:sz w:val="20"/>
          <w:szCs w:val="20"/>
        </w:rPr>
        <w:t>☒</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left="219" w:hanging="219"/>
        <w:jc w:val="both"/>
        <w:rPr>
          <w:sz w:val="20"/>
          <w:szCs w:val="20"/>
        </w:rPr>
      </w:pPr>
      <w:r>
        <w:rPr>
          <w:sz w:val="20"/>
          <w:szCs w:val="20"/>
        </w:rPr>
        <w:t>Securities registered pursuant to Section 12(b) of the Act: None</w:t>
      </w:r>
    </w:p>
    <w:p w:rsidR="00000000" w:rsidRDefault="00DA7678">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658"/>
        <w:gridCol w:w="166"/>
        <w:gridCol w:w="1495"/>
        <w:gridCol w:w="166"/>
        <w:gridCol w:w="3821"/>
      </w:tblGrid>
      <w:tr w:rsidR="00000000">
        <w:trPr>
          <w:tblCellSpacing w:w="0" w:type="dxa"/>
        </w:trPr>
        <w:tc>
          <w:tcPr>
            <w:tcW w:w="1600" w:type="pct"/>
            <w:tcBorders>
              <w:bottom w:val="single" w:sz="12" w:space="0" w:color="000000"/>
            </w:tcBorders>
            <w:hideMark/>
          </w:tcPr>
          <w:p w:rsidR="00000000" w:rsidRDefault="00DA7678">
            <w:pPr>
              <w:jc w:val="both"/>
              <w:rPr>
                <w:rFonts w:eastAsia="Times New Roman"/>
                <w:sz w:val="20"/>
                <w:szCs w:val="20"/>
              </w:rPr>
            </w:pPr>
            <w:r>
              <w:rPr>
                <w:rFonts w:eastAsia="Times New Roman"/>
                <w:b/>
                <w:bCs/>
                <w:sz w:val="20"/>
                <w:szCs w:val="20"/>
              </w:rPr>
              <w:t>Title of Each Class</w:t>
            </w:r>
          </w:p>
        </w:tc>
        <w:tc>
          <w:tcPr>
            <w:tcW w:w="100" w:type="pct"/>
            <w:hideMark/>
          </w:tcPr>
          <w:p w:rsidR="00000000" w:rsidRDefault="00DA7678">
            <w:pPr>
              <w:rPr>
                <w:rFonts w:eastAsia="Times New Roman"/>
                <w:sz w:val="20"/>
                <w:szCs w:val="20"/>
              </w:rPr>
            </w:pPr>
            <w:r>
              <w:rPr>
                <w:rFonts w:eastAsia="Times New Roman"/>
                <w:sz w:val="20"/>
                <w:szCs w:val="20"/>
              </w:rPr>
              <w:t> </w:t>
            </w:r>
          </w:p>
        </w:tc>
        <w:tc>
          <w:tcPr>
            <w:tcW w:w="900" w:type="pct"/>
            <w:tcBorders>
              <w:bottom w:val="single" w:sz="12" w:space="0" w:color="000000"/>
            </w:tcBorders>
            <w:hideMark/>
          </w:tcPr>
          <w:p w:rsidR="00000000" w:rsidRDefault="00DA7678">
            <w:pPr>
              <w:jc w:val="both"/>
              <w:rPr>
                <w:rFonts w:eastAsia="Times New Roman"/>
                <w:sz w:val="20"/>
                <w:szCs w:val="20"/>
              </w:rPr>
            </w:pPr>
            <w:r>
              <w:rPr>
                <w:rFonts w:eastAsia="Times New Roman"/>
                <w:b/>
                <w:bCs/>
                <w:sz w:val="20"/>
                <w:szCs w:val="20"/>
              </w:rPr>
              <w:t>Trading Symbol</w:t>
            </w:r>
          </w:p>
        </w:tc>
        <w:tc>
          <w:tcPr>
            <w:tcW w:w="100" w:type="pct"/>
            <w:hideMark/>
          </w:tcPr>
          <w:p w:rsidR="00000000" w:rsidRDefault="00DA7678">
            <w:pPr>
              <w:rPr>
                <w:rFonts w:eastAsia="Times New Roman"/>
                <w:sz w:val="20"/>
                <w:szCs w:val="20"/>
              </w:rPr>
            </w:pPr>
            <w:r>
              <w:rPr>
                <w:rFonts w:eastAsia="Times New Roman"/>
                <w:sz w:val="20"/>
                <w:szCs w:val="20"/>
              </w:rPr>
              <w:t> </w:t>
            </w:r>
          </w:p>
        </w:tc>
        <w:tc>
          <w:tcPr>
            <w:tcW w:w="2300" w:type="pct"/>
            <w:tcBorders>
              <w:bottom w:val="single" w:sz="12" w:space="0" w:color="000000"/>
            </w:tcBorders>
            <w:hideMark/>
          </w:tcPr>
          <w:p w:rsidR="00000000" w:rsidRDefault="00DA7678">
            <w:pPr>
              <w:rPr>
                <w:rFonts w:eastAsia="Times New Roman"/>
                <w:sz w:val="20"/>
                <w:szCs w:val="20"/>
              </w:rPr>
            </w:pPr>
            <w:r>
              <w:rPr>
                <w:rFonts w:eastAsia="Times New Roman"/>
                <w:b/>
                <w:bCs/>
                <w:sz w:val="20"/>
                <w:szCs w:val="20"/>
              </w:rPr>
              <w:t>Name of Each Exchange on which registered</w:t>
            </w:r>
          </w:p>
        </w:tc>
      </w:tr>
      <w:tr w:rsidR="00000000">
        <w:trPr>
          <w:tblCellSpacing w:w="0" w:type="dxa"/>
        </w:trPr>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rPr>
                <w:rFonts w:eastAsia="Times New Roman"/>
                <w:sz w:val="20"/>
                <w:szCs w:val="20"/>
              </w:rPr>
            </w:pPr>
            <w:r>
              <w:rPr>
                <w:rFonts w:eastAsia="Times New Roman"/>
                <w:sz w:val="20"/>
                <w:szCs w:val="20"/>
              </w:rPr>
              <w:t> </w:t>
            </w:r>
          </w:p>
        </w:tc>
        <w:tc>
          <w:tcPr>
            <w:tcW w:w="0" w:type="auto"/>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The aggregate market value of the voting and non-voting common equity held by non-affiliates computed by reference to the price at which the common equity was last sold, or the average bid and asked p</w:t>
      </w:r>
      <w:r>
        <w:rPr>
          <w:sz w:val="20"/>
          <w:szCs w:val="20"/>
        </w:rPr>
        <w:t xml:space="preserve">rice of such common equity, as of the last business day of the registrant’s most recently completed second fiscal quarter was approximately </w:t>
      </w:r>
      <w:r>
        <w:rPr>
          <w:sz w:val="20"/>
          <w:szCs w:val="20"/>
        </w:rPr>
        <w:t>$</w:t>
      </w:r>
      <w:r>
        <w:rPr>
          <w:sz w:val="20"/>
          <w:szCs w:val="20"/>
        </w:rPr>
        <w:t>36,693,04</w:t>
      </w:r>
      <w:r>
        <w:rPr>
          <w:sz w:val="20"/>
          <w:szCs w:val="20"/>
        </w:rPr>
        <w:t>7</w:t>
      </w:r>
      <w:r>
        <w:rPr>
          <w:sz w:val="20"/>
          <w:szCs w:val="20"/>
        </w:rPr>
        <w:t>. Shares of common stock held by each executive officer and director and by each person who owns 10% or m</w:t>
      </w:r>
      <w:r>
        <w:rPr>
          <w:sz w:val="20"/>
          <w:szCs w:val="20"/>
        </w:rPr>
        <w:t>ore of the outstanding common stock of the registrant have been excluded in that such persons may be deemed to be affiliates. This determination of affiliate status is not necessarily a conclusive determination for other purposes. Without acknowledging tha</w:t>
      </w:r>
      <w:r>
        <w:rPr>
          <w:sz w:val="20"/>
          <w:szCs w:val="20"/>
        </w:rPr>
        <w:t>t any individual director of registrant is an affiliate, all directors have been included as affiliates with respect to shares owned by them.</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As of March 1, 2023, there were</w:t>
      </w:r>
      <w:r>
        <w:rPr>
          <w:sz w:val="20"/>
          <w:szCs w:val="20"/>
        </w:rPr>
        <w:t xml:space="preserve"> </w:t>
      </w:r>
      <w:r>
        <w:rPr>
          <w:sz w:val="20"/>
          <w:szCs w:val="20"/>
        </w:rPr>
        <w:t>362,541,52</w:t>
      </w:r>
      <w:r>
        <w:rPr>
          <w:sz w:val="20"/>
          <w:szCs w:val="20"/>
        </w:rPr>
        <w:t>8</w:t>
      </w:r>
      <w:r>
        <w:rPr>
          <w:sz w:val="20"/>
          <w:szCs w:val="20"/>
        </w:rPr>
        <w:t xml:space="preserve"> shares of the registrant’s common stock outstanding, 2,071,007 share</w:t>
      </w:r>
      <w:r>
        <w:rPr>
          <w:sz w:val="20"/>
          <w:szCs w:val="20"/>
        </w:rPr>
        <w:t>s of the registrant’s Series A Convertible Preferred Stock outstanding, 200,363 of the registrant’s Series B Convertible Preferred Stock outstanding and 385,302 of the registrant’s Series C Convertible Preferred Stock outstanding.</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divId w:val="1145464187"/>
        <w:rPr>
          <w:rFonts w:eastAsia="Times New Roman"/>
          <w:sz w:val="2"/>
          <w:szCs w:val="2"/>
        </w:rPr>
      </w:pPr>
      <w:r>
        <w:rPr>
          <w:rFonts w:eastAsia="Times New Roman"/>
          <w:sz w:val="2"/>
          <w:szCs w:val="2"/>
        </w:rPr>
        <w:t> </w:t>
      </w:r>
    </w:p>
    <w:p w:rsidR="00000000" w:rsidRDefault="00DA767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90059461"/>
        </w:trPr>
        <w:tc>
          <w:tcPr>
            <w:tcW w:w="5000" w:type="pct"/>
            <w:hideMark/>
          </w:tcPr>
          <w:p w:rsidR="00000000" w:rsidRDefault="00DA767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center"/>
        <w:rPr>
          <w:sz w:val="20"/>
          <w:szCs w:val="20"/>
        </w:rPr>
      </w:pPr>
      <w:r>
        <w:rPr>
          <w:b/>
          <w:bCs/>
          <w:sz w:val="20"/>
          <w:szCs w:val="20"/>
        </w:rPr>
        <w:t xml:space="preserve">VIVOS </w:t>
      </w:r>
      <w:r>
        <w:rPr>
          <w:b/>
          <w:bCs/>
          <w:sz w:val="20"/>
          <w:szCs w:val="20"/>
        </w:rPr>
        <w:t>INC</w:t>
      </w:r>
    </w:p>
    <w:p w:rsidR="00000000" w:rsidRDefault="00DA7678">
      <w:pPr>
        <w:pStyle w:val="a3"/>
        <w:spacing w:before="0" w:beforeAutospacing="0" w:after="0" w:afterAutospacing="0"/>
        <w:jc w:val="center"/>
        <w:rPr>
          <w:sz w:val="20"/>
          <w:szCs w:val="20"/>
        </w:rPr>
      </w:pPr>
      <w:r>
        <w:rPr>
          <w:b/>
          <w:bCs/>
          <w:sz w:val="20"/>
          <w:szCs w:val="20"/>
        </w:rPr>
        <w:t>Report on Form 10-K</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center"/>
        <w:rPr>
          <w:sz w:val="20"/>
          <w:szCs w:val="20"/>
        </w:rPr>
      </w:pPr>
      <w:r>
        <w:rPr>
          <w:b/>
          <w:bCs/>
          <w:sz w:val="20"/>
          <w:szCs w:val="20"/>
        </w:rPr>
        <w:t>TABLE OF CONTENTS</w:t>
      </w:r>
    </w:p>
    <w:p w:rsidR="00000000" w:rsidRDefault="00DA767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6506"/>
        <w:gridCol w:w="720"/>
      </w:tblGrid>
      <w:tr w:rsidR="00000000">
        <w:tc>
          <w:tcPr>
            <w:tcW w:w="1080" w:type="dxa"/>
            <w:hideMark/>
          </w:tcPr>
          <w:p w:rsidR="00000000" w:rsidRDefault="00DA7678">
            <w:pPr>
              <w:rPr>
                <w:rFonts w:eastAsia="Times New Roman"/>
                <w:sz w:val="20"/>
                <w:szCs w:val="20"/>
              </w:rPr>
            </w:pPr>
            <w:r>
              <w:rPr>
                <w:rFonts w:eastAsia="Times New Roman"/>
                <w:sz w:val="20"/>
                <w:szCs w:val="20"/>
              </w:rPr>
              <w:t> </w:t>
            </w:r>
          </w:p>
        </w:tc>
        <w:tc>
          <w:tcPr>
            <w:tcW w:w="0" w:type="auto"/>
            <w:hideMark/>
          </w:tcPr>
          <w:p w:rsidR="00000000" w:rsidRDefault="00DA7678">
            <w:pPr>
              <w:rPr>
                <w:rFonts w:eastAsia="Times New Roman"/>
                <w:sz w:val="20"/>
                <w:szCs w:val="20"/>
              </w:rPr>
            </w:pPr>
            <w:r>
              <w:rPr>
                <w:rFonts w:eastAsia="Times New Roman"/>
                <w:sz w:val="20"/>
                <w:szCs w:val="20"/>
              </w:rPr>
              <w:t> </w:t>
            </w:r>
          </w:p>
        </w:tc>
        <w:tc>
          <w:tcPr>
            <w:tcW w:w="720" w:type="dxa"/>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Page</w:t>
            </w:r>
          </w:p>
        </w:tc>
      </w:tr>
      <w:tr w:rsidR="00000000">
        <w:tc>
          <w:tcPr>
            <w:tcW w:w="0" w:type="auto"/>
            <w:shd w:val="clear" w:color="auto" w:fill="CCEEFF"/>
            <w:hideMark/>
          </w:tcPr>
          <w:p w:rsidR="00000000" w:rsidRDefault="00DA7678">
            <w:pPr>
              <w:rPr>
                <w:rFonts w:eastAsia="Times New Roman"/>
                <w:sz w:val="20"/>
                <w:szCs w:val="20"/>
              </w:rPr>
            </w:pPr>
            <w:hyperlink w:anchor="viv_001" w:history="1">
              <w:r>
                <w:rPr>
                  <w:rStyle w:val="a4"/>
                  <w:rFonts w:eastAsia="Times New Roman"/>
                  <w:b/>
                  <w:bCs/>
                  <w:sz w:val="20"/>
                  <w:szCs w:val="20"/>
                </w:rPr>
                <w:t>PART I.</w:t>
              </w:r>
            </w:hyperlink>
          </w:p>
        </w:tc>
        <w:tc>
          <w:tcPr>
            <w:tcW w:w="0" w:type="auto"/>
            <w:shd w:val="clear" w:color="auto" w:fill="CCEEFF"/>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DA7678">
            <w:pPr>
              <w:rPr>
                <w:rFonts w:eastAsia="Times New Roman"/>
                <w:sz w:val="20"/>
                <w:szCs w:val="20"/>
              </w:rPr>
            </w:pPr>
            <w:r>
              <w:rPr>
                <w:rFonts w:eastAsia="Times New Roman"/>
                <w:sz w:val="20"/>
                <w:szCs w:val="20"/>
              </w:rPr>
              <w:t>Item 1.</w:t>
            </w:r>
          </w:p>
        </w:tc>
        <w:tc>
          <w:tcPr>
            <w:tcW w:w="0" w:type="auto"/>
            <w:shd w:val="clear" w:color="auto" w:fill="CCEEFF"/>
            <w:hideMark/>
          </w:tcPr>
          <w:p w:rsidR="00000000" w:rsidRDefault="00DA7678">
            <w:pPr>
              <w:rPr>
                <w:rFonts w:eastAsia="Times New Roman"/>
                <w:sz w:val="20"/>
                <w:szCs w:val="20"/>
              </w:rPr>
            </w:pPr>
            <w:hyperlink w:anchor="viv_002" w:history="1">
              <w:r>
                <w:rPr>
                  <w:rStyle w:val="a4"/>
                  <w:rFonts w:eastAsia="Times New Roman"/>
                  <w:sz w:val="20"/>
                  <w:szCs w:val="20"/>
                </w:rPr>
                <w:t>Business</w:t>
              </w:r>
            </w:hyperlink>
          </w:p>
        </w:tc>
        <w:tc>
          <w:tcPr>
            <w:tcW w:w="0" w:type="auto"/>
            <w:shd w:val="clear" w:color="auto" w:fill="CCEEFF"/>
            <w:vAlign w:val="bottom"/>
            <w:hideMark/>
          </w:tcPr>
          <w:p w:rsidR="00000000" w:rsidRDefault="00DA7678">
            <w:pPr>
              <w:jc w:val="center"/>
              <w:rPr>
                <w:rFonts w:eastAsia="Times New Roman"/>
                <w:sz w:val="20"/>
                <w:szCs w:val="20"/>
              </w:rPr>
            </w:pPr>
            <w:r>
              <w:rPr>
                <w:rFonts w:eastAsia="Times New Roman"/>
                <w:sz w:val="20"/>
                <w:szCs w:val="20"/>
              </w:rPr>
              <w:t>3</w:t>
            </w:r>
          </w:p>
        </w:tc>
      </w:tr>
      <w:tr w:rsidR="00000000">
        <w:tc>
          <w:tcPr>
            <w:tcW w:w="0" w:type="auto"/>
            <w:shd w:val="clear" w:color="auto" w:fill="FFFFFF"/>
            <w:hideMark/>
          </w:tcPr>
          <w:p w:rsidR="00000000" w:rsidRDefault="00DA7678">
            <w:pPr>
              <w:rPr>
                <w:rFonts w:eastAsia="Times New Roman"/>
                <w:sz w:val="20"/>
                <w:szCs w:val="20"/>
              </w:rPr>
            </w:pPr>
            <w:r>
              <w:rPr>
                <w:rFonts w:eastAsia="Times New Roman"/>
                <w:sz w:val="20"/>
                <w:szCs w:val="20"/>
              </w:rPr>
              <w:t>Item 1A.</w:t>
            </w:r>
          </w:p>
        </w:tc>
        <w:tc>
          <w:tcPr>
            <w:tcW w:w="0" w:type="auto"/>
            <w:shd w:val="clear" w:color="auto" w:fill="FFFFFF"/>
            <w:hideMark/>
          </w:tcPr>
          <w:p w:rsidR="00000000" w:rsidRDefault="00DA7678">
            <w:pPr>
              <w:rPr>
                <w:rFonts w:eastAsia="Times New Roman"/>
                <w:sz w:val="20"/>
                <w:szCs w:val="20"/>
              </w:rPr>
            </w:pPr>
            <w:hyperlink w:anchor="viv_003" w:history="1">
              <w:r>
                <w:rPr>
                  <w:rStyle w:val="a4"/>
                  <w:rFonts w:eastAsia="Times New Roman"/>
                  <w:sz w:val="20"/>
                  <w:szCs w:val="20"/>
                </w:rPr>
                <w:t>Risk Factors</w:t>
              </w:r>
            </w:hyperlink>
          </w:p>
        </w:tc>
        <w:tc>
          <w:tcPr>
            <w:tcW w:w="0" w:type="auto"/>
            <w:shd w:val="clear" w:color="auto" w:fill="FFFFFF"/>
            <w:vAlign w:val="bottom"/>
            <w:hideMark/>
          </w:tcPr>
          <w:p w:rsidR="00000000" w:rsidRDefault="00DA7678">
            <w:pPr>
              <w:jc w:val="center"/>
              <w:rPr>
                <w:rFonts w:eastAsia="Times New Roman"/>
                <w:sz w:val="20"/>
                <w:szCs w:val="20"/>
              </w:rPr>
            </w:pPr>
            <w:r>
              <w:rPr>
                <w:rFonts w:eastAsia="Times New Roman"/>
                <w:sz w:val="20"/>
                <w:szCs w:val="20"/>
              </w:rPr>
              <w:t>14</w:t>
            </w:r>
          </w:p>
        </w:tc>
      </w:tr>
      <w:tr w:rsidR="00000000">
        <w:tc>
          <w:tcPr>
            <w:tcW w:w="0" w:type="auto"/>
            <w:shd w:val="clear" w:color="auto" w:fill="CCEEFF"/>
            <w:hideMark/>
          </w:tcPr>
          <w:p w:rsidR="00000000" w:rsidRDefault="00DA7678">
            <w:pPr>
              <w:rPr>
                <w:rFonts w:eastAsia="Times New Roman"/>
                <w:sz w:val="20"/>
                <w:szCs w:val="20"/>
              </w:rPr>
            </w:pPr>
            <w:r>
              <w:rPr>
                <w:rFonts w:eastAsia="Times New Roman"/>
                <w:sz w:val="20"/>
                <w:szCs w:val="20"/>
              </w:rPr>
              <w:t>Item 1B.</w:t>
            </w:r>
          </w:p>
        </w:tc>
        <w:tc>
          <w:tcPr>
            <w:tcW w:w="0" w:type="auto"/>
            <w:shd w:val="clear" w:color="auto" w:fill="CCEEFF"/>
            <w:hideMark/>
          </w:tcPr>
          <w:p w:rsidR="00000000" w:rsidRDefault="00DA7678">
            <w:pPr>
              <w:rPr>
                <w:rFonts w:eastAsia="Times New Roman"/>
                <w:sz w:val="20"/>
                <w:szCs w:val="20"/>
              </w:rPr>
            </w:pPr>
            <w:hyperlink w:anchor="viv_004" w:history="1">
              <w:r>
                <w:rPr>
                  <w:rStyle w:val="a4"/>
                  <w:rFonts w:eastAsia="Times New Roman"/>
                  <w:sz w:val="20"/>
                  <w:szCs w:val="20"/>
                </w:rPr>
                <w:t>Unresolved Staff Comments</w:t>
              </w:r>
            </w:hyperlink>
          </w:p>
        </w:tc>
        <w:tc>
          <w:tcPr>
            <w:tcW w:w="0" w:type="auto"/>
            <w:shd w:val="clear" w:color="auto" w:fill="CCEEFF"/>
            <w:vAlign w:val="bottom"/>
            <w:hideMark/>
          </w:tcPr>
          <w:p w:rsidR="00000000" w:rsidRDefault="00DA7678">
            <w:pPr>
              <w:jc w:val="center"/>
              <w:rPr>
                <w:rFonts w:eastAsia="Times New Roman"/>
                <w:sz w:val="20"/>
                <w:szCs w:val="20"/>
              </w:rPr>
            </w:pPr>
            <w:r>
              <w:rPr>
                <w:rFonts w:eastAsia="Times New Roman"/>
                <w:sz w:val="20"/>
                <w:szCs w:val="20"/>
              </w:rPr>
              <w:t>21</w:t>
            </w:r>
          </w:p>
        </w:tc>
      </w:tr>
      <w:tr w:rsidR="00000000">
        <w:tc>
          <w:tcPr>
            <w:tcW w:w="0" w:type="auto"/>
            <w:shd w:val="clear" w:color="auto" w:fill="FFFFFF"/>
            <w:hideMark/>
          </w:tcPr>
          <w:p w:rsidR="00000000" w:rsidRDefault="00DA7678">
            <w:pPr>
              <w:rPr>
                <w:rFonts w:eastAsia="Times New Roman"/>
                <w:sz w:val="20"/>
                <w:szCs w:val="20"/>
              </w:rPr>
            </w:pPr>
            <w:r>
              <w:rPr>
                <w:rFonts w:eastAsia="Times New Roman"/>
                <w:sz w:val="20"/>
                <w:szCs w:val="20"/>
              </w:rPr>
              <w:t>Item 2.</w:t>
            </w:r>
          </w:p>
        </w:tc>
        <w:tc>
          <w:tcPr>
            <w:tcW w:w="0" w:type="auto"/>
            <w:shd w:val="clear" w:color="auto" w:fill="FFFFFF"/>
            <w:hideMark/>
          </w:tcPr>
          <w:p w:rsidR="00000000" w:rsidRDefault="00DA7678">
            <w:pPr>
              <w:rPr>
                <w:rFonts w:eastAsia="Times New Roman"/>
                <w:sz w:val="20"/>
                <w:szCs w:val="20"/>
              </w:rPr>
            </w:pPr>
            <w:hyperlink w:anchor="viv_005" w:history="1">
              <w:r>
                <w:rPr>
                  <w:rStyle w:val="a4"/>
                  <w:rFonts w:eastAsia="Times New Roman"/>
                  <w:sz w:val="20"/>
                  <w:szCs w:val="20"/>
                </w:rPr>
                <w:t>Properties</w:t>
              </w:r>
            </w:hyperlink>
          </w:p>
        </w:tc>
        <w:tc>
          <w:tcPr>
            <w:tcW w:w="0" w:type="auto"/>
            <w:shd w:val="clear" w:color="auto" w:fill="FFFFFF"/>
            <w:vAlign w:val="bottom"/>
            <w:hideMark/>
          </w:tcPr>
          <w:p w:rsidR="00000000" w:rsidRDefault="00DA7678">
            <w:pPr>
              <w:jc w:val="center"/>
              <w:rPr>
                <w:rFonts w:eastAsia="Times New Roman"/>
                <w:sz w:val="20"/>
                <w:szCs w:val="20"/>
              </w:rPr>
            </w:pPr>
            <w:r>
              <w:rPr>
                <w:rFonts w:eastAsia="Times New Roman"/>
                <w:sz w:val="20"/>
                <w:szCs w:val="20"/>
              </w:rPr>
              <w:t>21</w:t>
            </w:r>
          </w:p>
        </w:tc>
      </w:tr>
      <w:tr w:rsidR="00000000">
        <w:tc>
          <w:tcPr>
            <w:tcW w:w="0" w:type="auto"/>
            <w:shd w:val="clear" w:color="auto" w:fill="CCEEFF"/>
            <w:hideMark/>
          </w:tcPr>
          <w:p w:rsidR="00000000" w:rsidRDefault="00DA7678">
            <w:pPr>
              <w:rPr>
                <w:rFonts w:eastAsia="Times New Roman"/>
                <w:sz w:val="20"/>
                <w:szCs w:val="20"/>
              </w:rPr>
            </w:pPr>
            <w:r>
              <w:rPr>
                <w:rFonts w:eastAsia="Times New Roman"/>
                <w:sz w:val="20"/>
                <w:szCs w:val="20"/>
              </w:rPr>
              <w:t>Item 3.</w:t>
            </w:r>
          </w:p>
        </w:tc>
        <w:tc>
          <w:tcPr>
            <w:tcW w:w="0" w:type="auto"/>
            <w:shd w:val="clear" w:color="auto" w:fill="CCEEFF"/>
            <w:hideMark/>
          </w:tcPr>
          <w:p w:rsidR="00000000" w:rsidRDefault="00DA7678">
            <w:pPr>
              <w:rPr>
                <w:rFonts w:eastAsia="Times New Roman"/>
                <w:sz w:val="20"/>
                <w:szCs w:val="20"/>
              </w:rPr>
            </w:pPr>
            <w:hyperlink w:anchor="viv_006" w:history="1">
              <w:r>
                <w:rPr>
                  <w:rStyle w:val="a4"/>
                  <w:rFonts w:eastAsia="Times New Roman"/>
                  <w:sz w:val="20"/>
                  <w:szCs w:val="20"/>
                </w:rPr>
                <w:t>Legal Proceedings</w:t>
              </w:r>
            </w:hyperlink>
          </w:p>
        </w:tc>
        <w:tc>
          <w:tcPr>
            <w:tcW w:w="0" w:type="auto"/>
            <w:shd w:val="clear" w:color="auto" w:fill="CCEEFF"/>
            <w:vAlign w:val="bottom"/>
            <w:hideMark/>
          </w:tcPr>
          <w:p w:rsidR="00000000" w:rsidRDefault="00DA7678">
            <w:pPr>
              <w:jc w:val="center"/>
              <w:rPr>
                <w:rFonts w:eastAsia="Times New Roman"/>
                <w:sz w:val="20"/>
                <w:szCs w:val="20"/>
              </w:rPr>
            </w:pPr>
            <w:r>
              <w:rPr>
                <w:rFonts w:eastAsia="Times New Roman"/>
                <w:sz w:val="20"/>
                <w:szCs w:val="20"/>
              </w:rPr>
              <w:t>21</w:t>
            </w:r>
          </w:p>
        </w:tc>
      </w:tr>
      <w:tr w:rsidR="00000000">
        <w:tc>
          <w:tcPr>
            <w:tcW w:w="0" w:type="auto"/>
            <w:shd w:val="clear" w:color="auto" w:fill="FFFFFF"/>
            <w:hideMark/>
          </w:tcPr>
          <w:p w:rsidR="00000000" w:rsidRDefault="00DA7678">
            <w:pPr>
              <w:rPr>
                <w:rFonts w:eastAsia="Times New Roman"/>
                <w:sz w:val="20"/>
                <w:szCs w:val="20"/>
              </w:rPr>
            </w:pPr>
            <w:r>
              <w:rPr>
                <w:rFonts w:eastAsia="Times New Roman"/>
                <w:sz w:val="20"/>
                <w:szCs w:val="20"/>
              </w:rPr>
              <w:t>Item 4.</w:t>
            </w:r>
          </w:p>
        </w:tc>
        <w:tc>
          <w:tcPr>
            <w:tcW w:w="0" w:type="auto"/>
            <w:shd w:val="clear" w:color="auto" w:fill="FFFFFF"/>
            <w:hideMark/>
          </w:tcPr>
          <w:p w:rsidR="00000000" w:rsidRDefault="00DA7678">
            <w:pPr>
              <w:rPr>
                <w:rFonts w:eastAsia="Times New Roman"/>
                <w:sz w:val="20"/>
                <w:szCs w:val="20"/>
              </w:rPr>
            </w:pPr>
            <w:hyperlink w:anchor="viv_007" w:history="1">
              <w:r>
                <w:rPr>
                  <w:rStyle w:val="a4"/>
                  <w:rFonts w:eastAsia="Times New Roman"/>
                  <w:sz w:val="20"/>
                  <w:szCs w:val="20"/>
                </w:rPr>
                <w:t>Mine Safety Disclosures</w:t>
              </w:r>
            </w:hyperlink>
          </w:p>
        </w:tc>
        <w:tc>
          <w:tcPr>
            <w:tcW w:w="0" w:type="auto"/>
            <w:shd w:val="clear" w:color="auto" w:fill="FFFFFF"/>
            <w:vAlign w:val="bottom"/>
            <w:hideMark/>
          </w:tcPr>
          <w:p w:rsidR="00000000" w:rsidRDefault="00DA7678">
            <w:pPr>
              <w:jc w:val="center"/>
              <w:rPr>
                <w:rFonts w:eastAsia="Times New Roman"/>
                <w:sz w:val="20"/>
                <w:szCs w:val="20"/>
              </w:rPr>
            </w:pPr>
            <w:r>
              <w:rPr>
                <w:rFonts w:eastAsia="Times New Roman"/>
                <w:sz w:val="20"/>
                <w:szCs w:val="20"/>
              </w:rPr>
              <w:t>21</w:t>
            </w:r>
          </w:p>
        </w:tc>
      </w:tr>
      <w:tr w:rsidR="00000000">
        <w:tc>
          <w:tcPr>
            <w:tcW w:w="0" w:type="auto"/>
            <w:shd w:val="clear" w:color="auto" w:fill="CCEEFF"/>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DA7678">
            <w:pPr>
              <w:rPr>
                <w:rFonts w:eastAsia="Times New Roman"/>
                <w:sz w:val="20"/>
                <w:szCs w:val="20"/>
              </w:rPr>
            </w:pPr>
            <w:hyperlink w:anchor="viv_008" w:history="1">
              <w:r>
                <w:rPr>
                  <w:rStyle w:val="a4"/>
                  <w:rFonts w:eastAsia="Times New Roman"/>
                  <w:b/>
                  <w:bCs/>
                  <w:sz w:val="20"/>
                  <w:szCs w:val="20"/>
                </w:rPr>
                <w:t>PART II.</w:t>
              </w:r>
            </w:hyperlink>
          </w:p>
        </w:tc>
        <w:tc>
          <w:tcPr>
            <w:tcW w:w="0" w:type="auto"/>
            <w:shd w:val="clear" w:color="auto" w:fill="FFFFFF"/>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DA7678">
            <w:pPr>
              <w:rPr>
                <w:rFonts w:eastAsia="Times New Roman"/>
                <w:sz w:val="20"/>
                <w:szCs w:val="20"/>
              </w:rPr>
            </w:pPr>
            <w:r>
              <w:rPr>
                <w:rFonts w:eastAsia="Times New Roman"/>
                <w:sz w:val="20"/>
                <w:szCs w:val="20"/>
              </w:rPr>
              <w:lastRenderedPageBreak/>
              <w:t>Item 5.</w:t>
            </w:r>
          </w:p>
        </w:tc>
        <w:tc>
          <w:tcPr>
            <w:tcW w:w="0" w:type="auto"/>
            <w:shd w:val="clear" w:color="auto" w:fill="FFFFFF"/>
            <w:hideMark/>
          </w:tcPr>
          <w:p w:rsidR="00000000" w:rsidRDefault="00DA7678">
            <w:pPr>
              <w:rPr>
                <w:rFonts w:eastAsia="Times New Roman"/>
                <w:sz w:val="20"/>
                <w:szCs w:val="20"/>
              </w:rPr>
            </w:pPr>
            <w:hyperlink w:anchor="viv_009" w:history="1">
              <w:r>
                <w:rPr>
                  <w:rStyle w:val="a4"/>
                  <w:rFonts w:eastAsia="Times New Roman"/>
                  <w:sz w:val="20"/>
                  <w:szCs w:val="20"/>
                </w:rPr>
                <w:t>Market for Registrant’s Common Equity, Related Stockholder Matters and Issuer Purchases of Equity Securities</w:t>
              </w:r>
            </w:hyperlink>
          </w:p>
        </w:tc>
        <w:tc>
          <w:tcPr>
            <w:tcW w:w="0" w:type="auto"/>
            <w:shd w:val="clear" w:color="auto" w:fill="FFFFFF"/>
            <w:vAlign w:val="bottom"/>
            <w:hideMark/>
          </w:tcPr>
          <w:p w:rsidR="00000000" w:rsidRDefault="00DA7678">
            <w:pPr>
              <w:jc w:val="center"/>
              <w:rPr>
                <w:rFonts w:eastAsia="Times New Roman"/>
                <w:sz w:val="20"/>
                <w:szCs w:val="20"/>
              </w:rPr>
            </w:pPr>
            <w:r>
              <w:rPr>
                <w:rFonts w:eastAsia="Times New Roman"/>
                <w:sz w:val="20"/>
                <w:szCs w:val="20"/>
              </w:rPr>
              <w:t>22</w:t>
            </w:r>
          </w:p>
        </w:tc>
      </w:tr>
      <w:tr w:rsidR="00000000">
        <w:tc>
          <w:tcPr>
            <w:tcW w:w="0" w:type="auto"/>
            <w:shd w:val="clear" w:color="auto" w:fill="CCEEFF"/>
            <w:hideMark/>
          </w:tcPr>
          <w:p w:rsidR="00000000" w:rsidRDefault="00DA7678">
            <w:pPr>
              <w:rPr>
                <w:rFonts w:eastAsia="Times New Roman"/>
                <w:sz w:val="20"/>
                <w:szCs w:val="20"/>
              </w:rPr>
            </w:pPr>
            <w:r>
              <w:rPr>
                <w:rFonts w:eastAsia="Times New Roman"/>
                <w:sz w:val="20"/>
                <w:szCs w:val="20"/>
              </w:rPr>
              <w:t>Item 6.</w:t>
            </w:r>
          </w:p>
        </w:tc>
        <w:tc>
          <w:tcPr>
            <w:tcW w:w="0" w:type="auto"/>
            <w:shd w:val="clear" w:color="auto" w:fill="CCEEFF"/>
            <w:hideMark/>
          </w:tcPr>
          <w:p w:rsidR="00000000" w:rsidRDefault="00DA7678">
            <w:pPr>
              <w:rPr>
                <w:rFonts w:eastAsia="Times New Roman"/>
                <w:sz w:val="20"/>
                <w:szCs w:val="20"/>
              </w:rPr>
            </w:pPr>
            <w:hyperlink w:anchor="viv_010" w:history="1">
              <w:r>
                <w:rPr>
                  <w:rStyle w:val="a4"/>
                  <w:rFonts w:eastAsia="Times New Roman"/>
                  <w:sz w:val="20"/>
                  <w:szCs w:val="20"/>
                </w:rPr>
                <w:t>Selected Financial Data</w:t>
              </w:r>
            </w:hyperlink>
          </w:p>
        </w:tc>
        <w:tc>
          <w:tcPr>
            <w:tcW w:w="0" w:type="auto"/>
            <w:shd w:val="clear" w:color="auto" w:fill="CCEEFF"/>
            <w:vAlign w:val="bottom"/>
            <w:hideMark/>
          </w:tcPr>
          <w:p w:rsidR="00000000" w:rsidRDefault="00DA7678">
            <w:pPr>
              <w:jc w:val="center"/>
              <w:rPr>
                <w:rFonts w:eastAsia="Times New Roman"/>
                <w:sz w:val="20"/>
                <w:szCs w:val="20"/>
              </w:rPr>
            </w:pPr>
            <w:r>
              <w:rPr>
                <w:rFonts w:eastAsia="Times New Roman"/>
                <w:sz w:val="20"/>
                <w:szCs w:val="20"/>
              </w:rPr>
              <w:t>23</w:t>
            </w:r>
          </w:p>
        </w:tc>
      </w:tr>
      <w:tr w:rsidR="00000000">
        <w:tc>
          <w:tcPr>
            <w:tcW w:w="0" w:type="auto"/>
            <w:shd w:val="clear" w:color="auto" w:fill="FFFFFF"/>
            <w:hideMark/>
          </w:tcPr>
          <w:p w:rsidR="00000000" w:rsidRDefault="00DA7678">
            <w:pPr>
              <w:rPr>
                <w:rFonts w:eastAsia="Times New Roman"/>
                <w:sz w:val="20"/>
                <w:szCs w:val="20"/>
              </w:rPr>
            </w:pPr>
            <w:r>
              <w:rPr>
                <w:rFonts w:eastAsia="Times New Roman"/>
                <w:sz w:val="20"/>
                <w:szCs w:val="20"/>
              </w:rPr>
              <w:t>Item 7.</w:t>
            </w:r>
          </w:p>
        </w:tc>
        <w:tc>
          <w:tcPr>
            <w:tcW w:w="0" w:type="auto"/>
            <w:shd w:val="clear" w:color="auto" w:fill="FFFFFF"/>
            <w:hideMark/>
          </w:tcPr>
          <w:p w:rsidR="00000000" w:rsidRDefault="00DA7678">
            <w:pPr>
              <w:rPr>
                <w:rFonts w:eastAsia="Times New Roman"/>
                <w:sz w:val="20"/>
                <w:szCs w:val="20"/>
              </w:rPr>
            </w:pPr>
            <w:hyperlink w:anchor="viv_011" w:history="1">
              <w:r>
                <w:rPr>
                  <w:rStyle w:val="a4"/>
                  <w:rFonts w:eastAsia="Times New Roman"/>
                  <w:sz w:val="20"/>
                  <w:szCs w:val="20"/>
                </w:rPr>
                <w:t>Management’s Discussion and Analysis of Financial Condition and Results of Operations</w:t>
              </w:r>
            </w:hyperlink>
          </w:p>
        </w:tc>
        <w:tc>
          <w:tcPr>
            <w:tcW w:w="0" w:type="auto"/>
            <w:shd w:val="clear" w:color="auto" w:fill="FFFFFF"/>
            <w:vAlign w:val="bottom"/>
            <w:hideMark/>
          </w:tcPr>
          <w:p w:rsidR="00000000" w:rsidRDefault="00DA7678">
            <w:pPr>
              <w:jc w:val="center"/>
              <w:rPr>
                <w:rFonts w:eastAsia="Times New Roman"/>
                <w:sz w:val="20"/>
                <w:szCs w:val="20"/>
              </w:rPr>
            </w:pPr>
            <w:r>
              <w:rPr>
                <w:rFonts w:eastAsia="Times New Roman"/>
                <w:sz w:val="20"/>
                <w:szCs w:val="20"/>
              </w:rPr>
              <w:t>23</w:t>
            </w:r>
          </w:p>
        </w:tc>
      </w:tr>
      <w:tr w:rsidR="00000000">
        <w:tc>
          <w:tcPr>
            <w:tcW w:w="0" w:type="auto"/>
            <w:shd w:val="clear" w:color="auto" w:fill="CCEEFF"/>
            <w:hideMark/>
          </w:tcPr>
          <w:p w:rsidR="00000000" w:rsidRDefault="00DA7678">
            <w:pPr>
              <w:rPr>
                <w:rFonts w:eastAsia="Times New Roman"/>
                <w:sz w:val="20"/>
                <w:szCs w:val="20"/>
              </w:rPr>
            </w:pPr>
            <w:r>
              <w:rPr>
                <w:rFonts w:eastAsia="Times New Roman"/>
                <w:sz w:val="20"/>
                <w:szCs w:val="20"/>
              </w:rPr>
              <w:t>Item 7A.</w:t>
            </w:r>
          </w:p>
        </w:tc>
        <w:tc>
          <w:tcPr>
            <w:tcW w:w="0" w:type="auto"/>
            <w:shd w:val="clear" w:color="auto" w:fill="CCEEFF"/>
            <w:hideMark/>
          </w:tcPr>
          <w:p w:rsidR="00000000" w:rsidRDefault="00DA7678">
            <w:pPr>
              <w:rPr>
                <w:rFonts w:eastAsia="Times New Roman"/>
                <w:sz w:val="20"/>
                <w:szCs w:val="20"/>
              </w:rPr>
            </w:pPr>
            <w:hyperlink w:anchor="viv_012"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rsidR="00000000" w:rsidRDefault="00DA7678">
            <w:pPr>
              <w:jc w:val="center"/>
              <w:rPr>
                <w:rFonts w:eastAsia="Times New Roman"/>
                <w:sz w:val="20"/>
                <w:szCs w:val="20"/>
              </w:rPr>
            </w:pPr>
            <w:r>
              <w:rPr>
                <w:rFonts w:eastAsia="Times New Roman"/>
                <w:sz w:val="20"/>
                <w:szCs w:val="20"/>
              </w:rPr>
              <w:t>28</w:t>
            </w:r>
          </w:p>
        </w:tc>
      </w:tr>
      <w:tr w:rsidR="00000000">
        <w:tc>
          <w:tcPr>
            <w:tcW w:w="0" w:type="auto"/>
            <w:shd w:val="clear" w:color="auto" w:fill="FFFFFF"/>
            <w:hideMark/>
          </w:tcPr>
          <w:p w:rsidR="00000000" w:rsidRDefault="00DA7678">
            <w:pPr>
              <w:rPr>
                <w:rFonts w:eastAsia="Times New Roman"/>
                <w:sz w:val="20"/>
                <w:szCs w:val="20"/>
              </w:rPr>
            </w:pPr>
            <w:r>
              <w:rPr>
                <w:rFonts w:eastAsia="Times New Roman"/>
                <w:sz w:val="20"/>
                <w:szCs w:val="20"/>
              </w:rPr>
              <w:t>Item 8.</w:t>
            </w:r>
          </w:p>
        </w:tc>
        <w:tc>
          <w:tcPr>
            <w:tcW w:w="0" w:type="auto"/>
            <w:shd w:val="clear" w:color="auto" w:fill="FFFFFF"/>
            <w:hideMark/>
          </w:tcPr>
          <w:p w:rsidR="00000000" w:rsidRDefault="00DA7678">
            <w:pPr>
              <w:rPr>
                <w:rFonts w:eastAsia="Times New Roman"/>
                <w:sz w:val="20"/>
                <w:szCs w:val="20"/>
              </w:rPr>
            </w:pPr>
            <w:hyperlink w:anchor="viv_013" w:history="1">
              <w:r>
                <w:rPr>
                  <w:rStyle w:val="a4"/>
                  <w:rFonts w:eastAsia="Times New Roman"/>
                  <w:sz w:val="20"/>
                  <w:szCs w:val="20"/>
                </w:rPr>
                <w:t>Financial Statements and Supplementary Data</w:t>
              </w:r>
            </w:hyperlink>
          </w:p>
        </w:tc>
        <w:tc>
          <w:tcPr>
            <w:tcW w:w="0" w:type="auto"/>
            <w:shd w:val="clear" w:color="auto" w:fill="FFFFFF"/>
            <w:vAlign w:val="bottom"/>
            <w:hideMark/>
          </w:tcPr>
          <w:p w:rsidR="00000000" w:rsidRDefault="00DA7678">
            <w:pPr>
              <w:jc w:val="center"/>
              <w:rPr>
                <w:rFonts w:eastAsia="Times New Roman"/>
                <w:sz w:val="20"/>
                <w:szCs w:val="20"/>
              </w:rPr>
            </w:pPr>
            <w:r>
              <w:rPr>
                <w:rFonts w:eastAsia="Times New Roman"/>
                <w:sz w:val="20"/>
                <w:szCs w:val="20"/>
              </w:rPr>
              <w:t>28</w:t>
            </w:r>
          </w:p>
        </w:tc>
      </w:tr>
      <w:tr w:rsidR="00000000">
        <w:tc>
          <w:tcPr>
            <w:tcW w:w="0" w:type="auto"/>
            <w:shd w:val="clear" w:color="auto" w:fill="CCEEFF"/>
            <w:hideMark/>
          </w:tcPr>
          <w:p w:rsidR="00000000" w:rsidRDefault="00DA7678">
            <w:pPr>
              <w:rPr>
                <w:rFonts w:eastAsia="Times New Roman"/>
                <w:sz w:val="20"/>
                <w:szCs w:val="20"/>
              </w:rPr>
            </w:pPr>
            <w:r>
              <w:rPr>
                <w:rFonts w:eastAsia="Times New Roman"/>
                <w:sz w:val="20"/>
                <w:szCs w:val="20"/>
              </w:rPr>
              <w:t>Item 9.</w:t>
            </w:r>
          </w:p>
        </w:tc>
        <w:tc>
          <w:tcPr>
            <w:tcW w:w="0" w:type="auto"/>
            <w:shd w:val="clear" w:color="auto" w:fill="CCEEFF"/>
            <w:hideMark/>
          </w:tcPr>
          <w:p w:rsidR="00000000" w:rsidRDefault="00DA7678">
            <w:pPr>
              <w:rPr>
                <w:rFonts w:eastAsia="Times New Roman"/>
                <w:sz w:val="20"/>
                <w:szCs w:val="20"/>
              </w:rPr>
            </w:pPr>
            <w:hyperlink w:anchor="viv_014" w:history="1">
              <w:r>
                <w:rPr>
                  <w:rStyle w:val="a4"/>
                  <w:rFonts w:eastAsia="Times New Roman"/>
                  <w:sz w:val="20"/>
                  <w:szCs w:val="20"/>
                </w:rPr>
                <w:t>Changes in and Disagreements with Accountants on Accounting and Finan</w:t>
              </w:r>
              <w:r>
                <w:rPr>
                  <w:rStyle w:val="a4"/>
                  <w:rFonts w:eastAsia="Times New Roman"/>
                  <w:sz w:val="20"/>
                  <w:szCs w:val="20"/>
                </w:rPr>
                <w:t>cial Disclosure</w:t>
              </w:r>
            </w:hyperlink>
          </w:p>
        </w:tc>
        <w:tc>
          <w:tcPr>
            <w:tcW w:w="0" w:type="auto"/>
            <w:shd w:val="clear" w:color="auto" w:fill="CCEEFF"/>
            <w:vAlign w:val="bottom"/>
            <w:hideMark/>
          </w:tcPr>
          <w:p w:rsidR="00000000" w:rsidRDefault="00DA7678">
            <w:pPr>
              <w:jc w:val="center"/>
              <w:rPr>
                <w:rFonts w:eastAsia="Times New Roman"/>
                <w:sz w:val="20"/>
                <w:szCs w:val="20"/>
              </w:rPr>
            </w:pPr>
            <w:r>
              <w:rPr>
                <w:rFonts w:eastAsia="Times New Roman"/>
                <w:sz w:val="20"/>
                <w:szCs w:val="20"/>
              </w:rPr>
              <w:t>28</w:t>
            </w:r>
          </w:p>
        </w:tc>
      </w:tr>
      <w:tr w:rsidR="00000000">
        <w:tc>
          <w:tcPr>
            <w:tcW w:w="0" w:type="auto"/>
            <w:shd w:val="clear" w:color="auto" w:fill="FFFFFF"/>
            <w:hideMark/>
          </w:tcPr>
          <w:p w:rsidR="00000000" w:rsidRDefault="00DA7678">
            <w:pPr>
              <w:rPr>
                <w:rFonts w:eastAsia="Times New Roman"/>
                <w:sz w:val="20"/>
                <w:szCs w:val="20"/>
              </w:rPr>
            </w:pPr>
            <w:r>
              <w:rPr>
                <w:rFonts w:eastAsia="Times New Roman"/>
                <w:sz w:val="20"/>
                <w:szCs w:val="20"/>
              </w:rPr>
              <w:t>Item 9A.</w:t>
            </w:r>
          </w:p>
        </w:tc>
        <w:tc>
          <w:tcPr>
            <w:tcW w:w="0" w:type="auto"/>
            <w:shd w:val="clear" w:color="auto" w:fill="FFFFFF"/>
            <w:hideMark/>
          </w:tcPr>
          <w:p w:rsidR="00000000" w:rsidRDefault="00DA7678">
            <w:pPr>
              <w:rPr>
                <w:rFonts w:eastAsia="Times New Roman"/>
                <w:sz w:val="20"/>
                <w:szCs w:val="20"/>
              </w:rPr>
            </w:pPr>
            <w:hyperlink w:anchor="viv_015" w:history="1">
              <w:r>
                <w:rPr>
                  <w:rStyle w:val="a4"/>
                  <w:rFonts w:eastAsia="Times New Roman"/>
                  <w:sz w:val="20"/>
                  <w:szCs w:val="20"/>
                </w:rPr>
                <w:t>Controls and Procedures</w:t>
              </w:r>
            </w:hyperlink>
          </w:p>
        </w:tc>
        <w:tc>
          <w:tcPr>
            <w:tcW w:w="0" w:type="auto"/>
            <w:shd w:val="clear" w:color="auto" w:fill="FFFFFF"/>
            <w:vAlign w:val="bottom"/>
            <w:hideMark/>
          </w:tcPr>
          <w:p w:rsidR="00000000" w:rsidRDefault="00DA7678">
            <w:pPr>
              <w:jc w:val="center"/>
              <w:rPr>
                <w:rFonts w:eastAsia="Times New Roman"/>
                <w:sz w:val="20"/>
                <w:szCs w:val="20"/>
              </w:rPr>
            </w:pPr>
            <w:r>
              <w:rPr>
                <w:rFonts w:eastAsia="Times New Roman"/>
                <w:sz w:val="20"/>
                <w:szCs w:val="20"/>
              </w:rPr>
              <w:t>29</w:t>
            </w:r>
          </w:p>
        </w:tc>
      </w:tr>
      <w:tr w:rsidR="00000000">
        <w:tc>
          <w:tcPr>
            <w:tcW w:w="0" w:type="auto"/>
            <w:shd w:val="clear" w:color="auto" w:fill="CCEEFF"/>
            <w:hideMark/>
          </w:tcPr>
          <w:p w:rsidR="00000000" w:rsidRDefault="00DA7678">
            <w:pPr>
              <w:rPr>
                <w:rFonts w:eastAsia="Times New Roman"/>
                <w:sz w:val="20"/>
                <w:szCs w:val="20"/>
              </w:rPr>
            </w:pPr>
            <w:r>
              <w:rPr>
                <w:rFonts w:eastAsia="Times New Roman"/>
                <w:sz w:val="20"/>
                <w:szCs w:val="20"/>
              </w:rPr>
              <w:t>Item 9B.</w:t>
            </w:r>
          </w:p>
        </w:tc>
        <w:tc>
          <w:tcPr>
            <w:tcW w:w="0" w:type="auto"/>
            <w:shd w:val="clear" w:color="auto" w:fill="CCEEFF"/>
            <w:hideMark/>
          </w:tcPr>
          <w:p w:rsidR="00000000" w:rsidRDefault="00DA7678">
            <w:pPr>
              <w:rPr>
                <w:rFonts w:eastAsia="Times New Roman"/>
                <w:sz w:val="20"/>
                <w:szCs w:val="20"/>
              </w:rPr>
            </w:pPr>
            <w:hyperlink w:anchor="viv_016" w:history="1">
              <w:r>
                <w:rPr>
                  <w:rStyle w:val="a4"/>
                  <w:rFonts w:eastAsia="Times New Roman"/>
                  <w:sz w:val="20"/>
                  <w:szCs w:val="20"/>
                </w:rPr>
                <w:t>Other Information</w:t>
              </w:r>
            </w:hyperlink>
          </w:p>
        </w:tc>
        <w:tc>
          <w:tcPr>
            <w:tcW w:w="0" w:type="auto"/>
            <w:shd w:val="clear" w:color="auto" w:fill="CCEEFF"/>
            <w:vAlign w:val="bottom"/>
            <w:hideMark/>
          </w:tcPr>
          <w:p w:rsidR="00000000" w:rsidRDefault="00DA7678">
            <w:pPr>
              <w:jc w:val="center"/>
              <w:rPr>
                <w:rFonts w:eastAsia="Times New Roman"/>
                <w:sz w:val="20"/>
                <w:szCs w:val="20"/>
              </w:rPr>
            </w:pPr>
            <w:r>
              <w:rPr>
                <w:rFonts w:eastAsia="Times New Roman"/>
                <w:sz w:val="20"/>
                <w:szCs w:val="20"/>
              </w:rPr>
              <w:t>30</w:t>
            </w:r>
          </w:p>
        </w:tc>
      </w:tr>
      <w:tr w:rsidR="00000000">
        <w:tc>
          <w:tcPr>
            <w:tcW w:w="0" w:type="auto"/>
            <w:shd w:val="clear" w:color="auto" w:fill="FFFFFF"/>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DA7678">
            <w:pPr>
              <w:rPr>
                <w:rFonts w:eastAsia="Times New Roman"/>
                <w:sz w:val="20"/>
                <w:szCs w:val="20"/>
              </w:rPr>
            </w:pPr>
            <w:hyperlink w:anchor="viv_017" w:history="1">
              <w:r>
                <w:rPr>
                  <w:rStyle w:val="a4"/>
                  <w:rFonts w:eastAsia="Times New Roman"/>
                  <w:b/>
                  <w:bCs/>
                  <w:sz w:val="20"/>
                  <w:szCs w:val="20"/>
                </w:rPr>
                <w:t>PART III.</w:t>
              </w:r>
            </w:hyperlink>
          </w:p>
        </w:tc>
        <w:tc>
          <w:tcPr>
            <w:tcW w:w="0" w:type="auto"/>
            <w:shd w:val="clear" w:color="auto" w:fill="CCEEFF"/>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DA7678">
            <w:pPr>
              <w:rPr>
                <w:rFonts w:eastAsia="Times New Roman"/>
                <w:sz w:val="20"/>
                <w:szCs w:val="20"/>
              </w:rPr>
            </w:pPr>
            <w:r>
              <w:rPr>
                <w:rFonts w:eastAsia="Times New Roman"/>
                <w:sz w:val="20"/>
                <w:szCs w:val="20"/>
              </w:rPr>
              <w:t>Item 10.</w:t>
            </w:r>
          </w:p>
        </w:tc>
        <w:tc>
          <w:tcPr>
            <w:tcW w:w="0" w:type="auto"/>
            <w:shd w:val="clear" w:color="auto" w:fill="CCEEFF"/>
            <w:hideMark/>
          </w:tcPr>
          <w:p w:rsidR="00000000" w:rsidRDefault="00DA7678">
            <w:pPr>
              <w:rPr>
                <w:rFonts w:eastAsia="Times New Roman"/>
                <w:sz w:val="20"/>
                <w:szCs w:val="20"/>
              </w:rPr>
            </w:pPr>
            <w:hyperlink w:anchor="viv_018" w:history="1">
              <w:r>
                <w:rPr>
                  <w:rStyle w:val="a4"/>
                  <w:rFonts w:eastAsia="Times New Roman"/>
                  <w:sz w:val="20"/>
                  <w:szCs w:val="20"/>
                </w:rPr>
                <w:t>Directors, Executive Officers and Corporate Governance</w:t>
              </w:r>
            </w:hyperlink>
          </w:p>
        </w:tc>
        <w:tc>
          <w:tcPr>
            <w:tcW w:w="0" w:type="auto"/>
            <w:shd w:val="clear" w:color="auto" w:fill="CCEEFF"/>
            <w:vAlign w:val="bottom"/>
            <w:hideMark/>
          </w:tcPr>
          <w:p w:rsidR="00000000" w:rsidRDefault="00DA7678">
            <w:pPr>
              <w:jc w:val="center"/>
              <w:rPr>
                <w:rFonts w:eastAsia="Times New Roman"/>
                <w:sz w:val="20"/>
                <w:szCs w:val="20"/>
              </w:rPr>
            </w:pPr>
            <w:r>
              <w:rPr>
                <w:rFonts w:eastAsia="Times New Roman"/>
                <w:sz w:val="20"/>
                <w:szCs w:val="20"/>
              </w:rPr>
              <w:t>31</w:t>
            </w:r>
          </w:p>
        </w:tc>
      </w:tr>
      <w:tr w:rsidR="00000000">
        <w:tc>
          <w:tcPr>
            <w:tcW w:w="0" w:type="auto"/>
            <w:shd w:val="clear" w:color="auto" w:fill="FFFFFF"/>
            <w:hideMark/>
          </w:tcPr>
          <w:p w:rsidR="00000000" w:rsidRDefault="00DA7678">
            <w:pPr>
              <w:rPr>
                <w:rFonts w:eastAsia="Times New Roman"/>
                <w:sz w:val="20"/>
                <w:szCs w:val="20"/>
              </w:rPr>
            </w:pPr>
            <w:r>
              <w:rPr>
                <w:rFonts w:eastAsia="Times New Roman"/>
                <w:sz w:val="20"/>
                <w:szCs w:val="20"/>
              </w:rPr>
              <w:t>Item 11.</w:t>
            </w:r>
          </w:p>
        </w:tc>
        <w:tc>
          <w:tcPr>
            <w:tcW w:w="0" w:type="auto"/>
            <w:shd w:val="clear" w:color="auto" w:fill="FFFFFF"/>
            <w:hideMark/>
          </w:tcPr>
          <w:p w:rsidR="00000000" w:rsidRDefault="00DA7678">
            <w:pPr>
              <w:rPr>
                <w:rFonts w:eastAsia="Times New Roman"/>
                <w:sz w:val="20"/>
                <w:szCs w:val="20"/>
              </w:rPr>
            </w:pPr>
            <w:hyperlink w:anchor="viv_019" w:history="1">
              <w:r>
                <w:rPr>
                  <w:rStyle w:val="a4"/>
                  <w:rFonts w:eastAsia="Times New Roman"/>
                  <w:sz w:val="20"/>
                  <w:szCs w:val="20"/>
                </w:rPr>
                <w:t>Executive Compensation</w:t>
              </w:r>
            </w:hyperlink>
          </w:p>
        </w:tc>
        <w:tc>
          <w:tcPr>
            <w:tcW w:w="0" w:type="auto"/>
            <w:shd w:val="clear" w:color="auto" w:fill="FFFFFF"/>
            <w:vAlign w:val="bottom"/>
            <w:hideMark/>
          </w:tcPr>
          <w:p w:rsidR="00000000" w:rsidRDefault="00DA7678">
            <w:pPr>
              <w:jc w:val="center"/>
              <w:rPr>
                <w:rFonts w:eastAsia="Times New Roman"/>
                <w:sz w:val="20"/>
                <w:szCs w:val="20"/>
              </w:rPr>
            </w:pPr>
            <w:r>
              <w:rPr>
                <w:rFonts w:eastAsia="Times New Roman"/>
                <w:sz w:val="20"/>
                <w:szCs w:val="20"/>
              </w:rPr>
              <w:t>34</w:t>
            </w:r>
          </w:p>
        </w:tc>
      </w:tr>
      <w:tr w:rsidR="00000000">
        <w:tc>
          <w:tcPr>
            <w:tcW w:w="0" w:type="auto"/>
            <w:shd w:val="clear" w:color="auto" w:fill="CCEEFF"/>
            <w:hideMark/>
          </w:tcPr>
          <w:p w:rsidR="00000000" w:rsidRDefault="00DA7678">
            <w:pPr>
              <w:rPr>
                <w:rFonts w:eastAsia="Times New Roman"/>
                <w:sz w:val="20"/>
                <w:szCs w:val="20"/>
              </w:rPr>
            </w:pPr>
            <w:r>
              <w:rPr>
                <w:rFonts w:eastAsia="Times New Roman"/>
                <w:sz w:val="20"/>
                <w:szCs w:val="20"/>
              </w:rPr>
              <w:t>Item 12.</w:t>
            </w:r>
          </w:p>
        </w:tc>
        <w:tc>
          <w:tcPr>
            <w:tcW w:w="0" w:type="auto"/>
            <w:shd w:val="clear" w:color="auto" w:fill="CCEEFF"/>
            <w:hideMark/>
          </w:tcPr>
          <w:p w:rsidR="00000000" w:rsidRDefault="00DA7678">
            <w:pPr>
              <w:rPr>
                <w:rFonts w:eastAsia="Times New Roman"/>
                <w:sz w:val="20"/>
                <w:szCs w:val="20"/>
              </w:rPr>
            </w:pPr>
            <w:hyperlink w:anchor="viv_020" w:history="1">
              <w:r>
                <w:rPr>
                  <w:rStyle w:val="a4"/>
                  <w:rFonts w:eastAsia="Times New Roman"/>
                  <w:sz w:val="20"/>
                  <w:szCs w:val="20"/>
                </w:rPr>
                <w:t>Security Ownership of Certain Beneficial Owners and Management</w:t>
              </w:r>
              <w:r>
                <w:rPr>
                  <w:rStyle w:val="a4"/>
                  <w:rFonts w:eastAsia="Times New Roman"/>
                  <w:sz w:val="20"/>
                  <w:szCs w:val="20"/>
                </w:rPr>
                <w:t xml:space="preserve"> and Related Stockholder Matters</w:t>
              </w:r>
            </w:hyperlink>
          </w:p>
        </w:tc>
        <w:tc>
          <w:tcPr>
            <w:tcW w:w="0" w:type="auto"/>
            <w:shd w:val="clear" w:color="auto" w:fill="CCEEFF"/>
            <w:vAlign w:val="bottom"/>
            <w:hideMark/>
          </w:tcPr>
          <w:p w:rsidR="00000000" w:rsidRDefault="00DA7678">
            <w:pPr>
              <w:jc w:val="center"/>
              <w:rPr>
                <w:rFonts w:eastAsia="Times New Roman"/>
                <w:sz w:val="20"/>
                <w:szCs w:val="20"/>
              </w:rPr>
            </w:pPr>
            <w:r>
              <w:rPr>
                <w:rFonts w:eastAsia="Times New Roman"/>
                <w:sz w:val="20"/>
                <w:szCs w:val="20"/>
              </w:rPr>
              <w:t>36</w:t>
            </w:r>
          </w:p>
        </w:tc>
      </w:tr>
      <w:tr w:rsidR="00000000">
        <w:tc>
          <w:tcPr>
            <w:tcW w:w="0" w:type="auto"/>
            <w:shd w:val="clear" w:color="auto" w:fill="FFFFFF"/>
            <w:hideMark/>
          </w:tcPr>
          <w:p w:rsidR="00000000" w:rsidRDefault="00DA7678">
            <w:pPr>
              <w:rPr>
                <w:rFonts w:eastAsia="Times New Roman"/>
                <w:sz w:val="20"/>
                <w:szCs w:val="20"/>
              </w:rPr>
            </w:pPr>
            <w:r>
              <w:rPr>
                <w:rFonts w:eastAsia="Times New Roman"/>
                <w:sz w:val="20"/>
                <w:szCs w:val="20"/>
              </w:rPr>
              <w:t>Item 13.</w:t>
            </w:r>
          </w:p>
        </w:tc>
        <w:tc>
          <w:tcPr>
            <w:tcW w:w="0" w:type="auto"/>
            <w:shd w:val="clear" w:color="auto" w:fill="FFFFFF"/>
            <w:hideMark/>
          </w:tcPr>
          <w:p w:rsidR="00000000" w:rsidRDefault="00DA7678">
            <w:pPr>
              <w:rPr>
                <w:rFonts w:eastAsia="Times New Roman"/>
                <w:sz w:val="20"/>
                <w:szCs w:val="20"/>
              </w:rPr>
            </w:pPr>
            <w:hyperlink w:anchor="viv_021" w:history="1">
              <w:r>
                <w:rPr>
                  <w:rStyle w:val="a4"/>
                  <w:rFonts w:eastAsia="Times New Roman"/>
                  <w:sz w:val="20"/>
                  <w:szCs w:val="20"/>
                </w:rPr>
                <w:t>Certain Relationships and Related Transactions, and Director Independence</w:t>
              </w:r>
            </w:hyperlink>
          </w:p>
        </w:tc>
        <w:tc>
          <w:tcPr>
            <w:tcW w:w="0" w:type="auto"/>
            <w:shd w:val="clear" w:color="auto" w:fill="FFFFFF"/>
            <w:vAlign w:val="bottom"/>
            <w:hideMark/>
          </w:tcPr>
          <w:p w:rsidR="00000000" w:rsidRDefault="00DA7678">
            <w:pPr>
              <w:jc w:val="center"/>
              <w:rPr>
                <w:rFonts w:eastAsia="Times New Roman"/>
                <w:sz w:val="20"/>
                <w:szCs w:val="20"/>
              </w:rPr>
            </w:pPr>
            <w:r>
              <w:rPr>
                <w:rFonts w:eastAsia="Times New Roman"/>
                <w:sz w:val="20"/>
                <w:szCs w:val="20"/>
              </w:rPr>
              <w:t>39</w:t>
            </w:r>
          </w:p>
        </w:tc>
      </w:tr>
      <w:tr w:rsidR="00000000">
        <w:tc>
          <w:tcPr>
            <w:tcW w:w="0" w:type="auto"/>
            <w:shd w:val="clear" w:color="auto" w:fill="CCEEFF"/>
            <w:hideMark/>
          </w:tcPr>
          <w:p w:rsidR="00000000" w:rsidRDefault="00DA7678">
            <w:pPr>
              <w:rPr>
                <w:rFonts w:eastAsia="Times New Roman"/>
                <w:sz w:val="20"/>
                <w:szCs w:val="20"/>
              </w:rPr>
            </w:pPr>
            <w:r>
              <w:rPr>
                <w:rFonts w:eastAsia="Times New Roman"/>
                <w:sz w:val="20"/>
                <w:szCs w:val="20"/>
              </w:rPr>
              <w:t>Item 14.</w:t>
            </w:r>
          </w:p>
        </w:tc>
        <w:tc>
          <w:tcPr>
            <w:tcW w:w="0" w:type="auto"/>
            <w:shd w:val="clear" w:color="auto" w:fill="CCEEFF"/>
            <w:hideMark/>
          </w:tcPr>
          <w:p w:rsidR="00000000" w:rsidRDefault="00DA7678">
            <w:pPr>
              <w:rPr>
                <w:rFonts w:eastAsia="Times New Roman"/>
                <w:sz w:val="20"/>
                <w:szCs w:val="20"/>
              </w:rPr>
            </w:pPr>
            <w:hyperlink w:anchor="viv_022" w:history="1">
              <w:r>
                <w:rPr>
                  <w:rStyle w:val="a4"/>
                  <w:rFonts w:eastAsia="Times New Roman"/>
                  <w:sz w:val="20"/>
                  <w:szCs w:val="20"/>
                </w:rPr>
                <w:t>Principal Accountant Fees and Services</w:t>
              </w:r>
            </w:hyperlink>
          </w:p>
        </w:tc>
        <w:tc>
          <w:tcPr>
            <w:tcW w:w="0" w:type="auto"/>
            <w:shd w:val="clear" w:color="auto" w:fill="CCEEFF"/>
            <w:vAlign w:val="bottom"/>
            <w:hideMark/>
          </w:tcPr>
          <w:p w:rsidR="00000000" w:rsidRDefault="00DA7678">
            <w:pPr>
              <w:jc w:val="center"/>
              <w:rPr>
                <w:rFonts w:eastAsia="Times New Roman"/>
                <w:sz w:val="20"/>
                <w:szCs w:val="20"/>
              </w:rPr>
            </w:pPr>
            <w:r>
              <w:rPr>
                <w:rFonts w:eastAsia="Times New Roman"/>
                <w:sz w:val="20"/>
                <w:szCs w:val="20"/>
              </w:rPr>
              <w:t>40</w:t>
            </w:r>
          </w:p>
        </w:tc>
      </w:tr>
      <w:tr w:rsidR="00000000">
        <w:tc>
          <w:tcPr>
            <w:tcW w:w="0" w:type="auto"/>
            <w:shd w:val="clear" w:color="auto" w:fill="FFFFFF"/>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DA7678">
            <w:pPr>
              <w:rPr>
                <w:rFonts w:eastAsia="Times New Roman"/>
                <w:sz w:val="20"/>
                <w:szCs w:val="20"/>
              </w:rPr>
            </w:pPr>
            <w:hyperlink w:anchor="viv_023" w:history="1">
              <w:r>
                <w:rPr>
                  <w:rStyle w:val="a4"/>
                  <w:rFonts w:eastAsia="Times New Roman"/>
                  <w:b/>
                  <w:bCs/>
                  <w:sz w:val="20"/>
                  <w:szCs w:val="20"/>
                </w:rPr>
                <w:t>PART IV.</w:t>
              </w:r>
            </w:hyperlink>
          </w:p>
        </w:tc>
        <w:tc>
          <w:tcPr>
            <w:tcW w:w="0" w:type="auto"/>
            <w:shd w:val="clear" w:color="auto" w:fill="CCEEFF"/>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DA7678">
            <w:pPr>
              <w:rPr>
                <w:rFonts w:eastAsia="Times New Roman"/>
                <w:sz w:val="20"/>
                <w:szCs w:val="20"/>
              </w:rPr>
            </w:pPr>
            <w:r>
              <w:rPr>
                <w:rFonts w:eastAsia="Times New Roman"/>
                <w:sz w:val="20"/>
                <w:szCs w:val="20"/>
              </w:rPr>
              <w:t>Item 15.</w:t>
            </w:r>
          </w:p>
        </w:tc>
        <w:tc>
          <w:tcPr>
            <w:tcW w:w="0" w:type="auto"/>
            <w:shd w:val="clear" w:color="auto" w:fill="CCEEFF"/>
            <w:hideMark/>
          </w:tcPr>
          <w:p w:rsidR="00000000" w:rsidRDefault="00DA7678">
            <w:pPr>
              <w:rPr>
                <w:rFonts w:eastAsia="Times New Roman"/>
                <w:sz w:val="20"/>
                <w:szCs w:val="20"/>
              </w:rPr>
            </w:pPr>
            <w:hyperlink w:anchor="viv_024" w:history="1">
              <w:r>
                <w:rPr>
                  <w:rStyle w:val="a4"/>
                  <w:rFonts w:eastAsia="Times New Roman"/>
                  <w:sz w:val="20"/>
                  <w:szCs w:val="20"/>
                </w:rPr>
                <w:t>Exhibits and Financial Statement Schedules</w:t>
              </w:r>
            </w:hyperlink>
          </w:p>
        </w:tc>
        <w:tc>
          <w:tcPr>
            <w:tcW w:w="0" w:type="auto"/>
            <w:shd w:val="clear" w:color="auto" w:fill="CCEEFF"/>
            <w:vAlign w:val="bottom"/>
            <w:hideMark/>
          </w:tcPr>
          <w:p w:rsidR="00000000" w:rsidRDefault="00DA7678">
            <w:pPr>
              <w:jc w:val="center"/>
              <w:rPr>
                <w:rFonts w:eastAsia="Times New Roman"/>
                <w:sz w:val="20"/>
                <w:szCs w:val="20"/>
              </w:rPr>
            </w:pPr>
            <w:r>
              <w:rPr>
                <w:rFonts w:eastAsia="Times New Roman"/>
                <w:sz w:val="20"/>
                <w:szCs w:val="20"/>
              </w:rPr>
              <w:t>41</w:t>
            </w:r>
          </w:p>
        </w:tc>
      </w:tr>
    </w:tbl>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21520240"/>
        </w:trPr>
        <w:tc>
          <w:tcPr>
            <w:tcW w:w="5000" w:type="pct"/>
            <w:hideMark/>
          </w:tcPr>
          <w:p w:rsidR="00000000" w:rsidRDefault="00DA7678">
            <w:pPr>
              <w:jc w:val="center"/>
              <w:rPr>
                <w:rFonts w:eastAsia="Times New Roman"/>
                <w:sz w:val="20"/>
                <w:szCs w:val="20"/>
              </w:rPr>
            </w:pP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center"/>
        <w:rPr>
          <w:sz w:val="20"/>
          <w:szCs w:val="20"/>
        </w:rPr>
      </w:pPr>
      <w:r>
        <w:rPr>
          <w:b/>
          <w:bCs/>
          <w:sz w:val="20"/>
          <w:szCs w:val="20"/>
        </w:rPr>
        <w:t>PART I</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FORWARD LOOKING STATEMENTS</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Except </w:t>
      </w:r>
      <w:r>
        <w:rPr>
          <w:sz w:val="20"/>
          <w:szCs w:val="20"/>
        </w:rPr>
        <w:t>for statements of historical fact, certain information described in this Annual Report on Form 10-K (“</w:t>
      </w:r>
      <w:r>
        <w:rPr>
          <w:i/>
          <w:iCs/>
          <w:sz w:val="20"/>
          <w:szCs w:val="20"/>
        </w:rPr>
        <w:t>Annual Report</w:t>
      </w:r>
      <w:r>
        <w:rPr>
          <w:sz w:val="20"/>
          <w:szCs w:val="20"/>
        </w:rPr>
        <w:t>”) contains “forward-looking statements” that involve substantial risks and uncertainties. You can identify these statements by forward-looki</w:t>
      </w:r>
      <w:r>
        <w:rPr>
          <w:sz w:val="20"/>
          <w:szCs w:val="20"/>
        </w:rPr>
        <w:t>ng words such as “anticipate,” “believe,” “could,” “estimate,” “expect,” “intend,” “may,” “should,” “will,” “would” or similar words. The statements that contain these or similar words should be read carefully because these statements discuss the Company’s</w:t>
      </w:r>
      <w:r>
        <w:rPr>
          <w:sz w:val="20"/>
          <w:szCs w:val="20"/>
        </w:rPr>
        <w:t xml:space="preserve"> future expectations, including its expectations of its future results of operations or financial position, or state other “forward-looking” information. Vivos Inc. believes that it is important to communicate its future expectations to its investors. Howe</w:t>
      </w:r>
      <w:r>
        <w:rPr>
          <w:sz w:val="20"/>
          <w:szCs w:val="20"/>
        </w:rPr>
        <w:t>ver, there may be events in the future that the Company is not able to accurately predict or to control. Further, the Company urges you to be cautious of the forward-looking statements which are contained in this Annual Report because they involve risks, u</w:t>
      </w:r>
      <w:r>
        <w:rPr>
          <w:sz w:val="20"/>
          <w:szCs w:val="20"/>
        </w:rPr>
        <w:t xml:space="preserve">ncertainties and other factors affecting its operations, market growth, service, products and licenses. The risk factors in the section captioned “Risk Factors” in Item 1A of the Company’s Annual Report, as well as other cautionary language in this Annual </w:t>
      </w:r>
      <w:r>
        <w:rPr>
          <w:sz w:val="20"/>
          <w:szCs w:val="20"/>
        </w:rPr>
        <w:t>Report, describe such risks, uncertainties and events that may cause the Company’s actual results and achievements, whether expressed or implied, to differ materially from the expectations the Company describes in its forward-looking statements. The occurr</w:t>
      </w:r>
      <w:r>
        <w:rPr>
          <w:sz w:val="20"/>
          <w:szCs w:val="20"/>
        </w:rPr>
        <w:t>ence of any of the events described as risk factors could have a material adverse effect on the Company’s business, results of operations and financial position.</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ITEM 1. BUSINESS.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Vivos Inc. is a radiation oncology medical device company engaged in the</w:t>
      </w:r>
      <w:r>
        <w:rPr>
          <w:sz w:val="20"/>
          <w:szCs w:val="20"/>
        </w:rPr>
        <w:t xml:space="preserve"> development of its yttrium-90 (“Y-90”) based brachytherapy device, RadioGel™, for the treatment of non-resectable tumors. A prominent team of radiochemists, scientists and engineers, collaborating with strategic partners, including national laboratories, </w:t>
      </w:r>
      <w:r>
        <w:rPr>
          <w:sz w:val="20"/>
          <w:szCs w:val="20"/>
        </w:rPr>
        <w:t>universities and private corporations, lead the Company’s development efforts. The Company’s overall vision is to globally empower physicians, medical researchers and patients by providing them with new isotope technologies that offer safe and effective tr</w:t>
      </w:r>
      <w:r>
        <w:rPr>
          <w:sz w:val="20"/>
          <w:szCs w:val="20"/>
        </w:rPr>
        <w:t>eatments for cancer.</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lastRenderedPageBreak/>
        <w:t>In 2013 the FDA issued the determination that RadioGel™ is a device for human therapy for non-resectable cancers in humans. This should result in a faster path than a drug for final approval.</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In January 2018, the Center for Veterin</w:t>
      </w:r>
      <w:r>
        <w:rPr>
          <w:sz w:val="20"/>
          <w:szCs w:val="20"/>
        </w:rPr>
        <w:t>ary Medicine Product Classification Group ruled that RadioGel</w:t>
      </w:r>
      <w:r>
        <w:rPr>
          <w:sz w:val="20"/>
          <w:szCs w:val="20"/>
          <w:vertAlign w:val="superscript"/>
        </w:rPr>
        <w:t xml:space="preserve">TM </w:t>
      </w:r>
      <w:r>
        <w:rPr>
          <w:sz w:val="20"/>
          <w:szCs w:val="20"/>
        </w:rPr>
        <w:t xml:space="preserve">should be classified as </w:t>
      </w:r>
      <w:r>
        <w:rPr>
          <w:sz w:val="20"/>
          <w:szCs w:val="20"/>
        </w:rPr>
        <w:t>a device for animal therapy of feline sarcomas and canine soft tissue sarcomas. Additionally, after a legal review, the Company believes that the device classification obtained from the Food and Drug Administration (“</w:t>
      </w:r>
      <w:r>
        <w:rPr>
          <w:i/>
          <w:iCs/>
          <w:sz w:val="20"/>
          <w:szCs w:val="20"/>
        </w:rPr>
        <w:t>FDA</w:t>
      </w:r>
      <w:r>
        <w:rPr>
          <w:sz w:val="20"/>
          <w:szCs w:val="20"/>
        </w:rPr>
        <w:t>”) Center for Veterinary Medicine is</w:t>
      </w:r>
      <w:r>
        <w:rPr>
          <w:sz w:val="20"/>
          <w:szCs w:val="20"/>
        </w:rPr>
        <w:t xml:space="preserve"> not limited to canine and feline sarcomas, but rather may be extended to a much broader population of veterinary cancers, including all or most solid tumors in animals. We expect the result of such classification and label review will be that no additiona</w:t>
      </w:r>
      <w:r>
        <w:rPr>
          <w:sz w:val="20"/>
          <w:szCs w:val="20"/>
        </w:rPr>
        <w:t>l regulatory approvals are necessary for the use of IsoPet</w:t>
      </w:r>
      <w:r>
        <w:rPr>
          <w:sz w:val="20"/>
          <w:szCs w:val="20"/>
          <w:vertAlign w:val="superscript"/>
        </w:rPr>
        <w:t xml:space="preserve">® </w:t>
      </w:r>
      <w:r>
        <w:rPr>
          <w:sz w:val="20"/>
          <w:szCs w:val="20"/>
        </w:rPr>
        <w:t>for the treatment of solid tumors in animals. The FDA does not have premarket authority over devices with a veterinary classification, and the manufacturers are responsible for assuring that the p</w:t>
      </w:r>
      <w:r>
        <w:rPr>
          <w:sz w:val="20"/>
          <w:szCs w:val="20"/>
        </w:rPr>
        <w:t>roduct is safe, effective, properly labeled, and otherwise in compliance with all applicable laws and regulations.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Based on the FDA’s recommendation, RadioGel</w:t>
      </w:r>
      <w:r>
        <w:rPr>
          <w:sz w:val="20"/>
          <w:szCs w:val="20"/>
          <w:vertAlign w:val="superscript"/>
        </w:rPr>
        <w:t>TM</w:t>
      </w:r>
      <w:r>
        <w:rPr>
          <w:sz w:val="20"/>
          <w:szCs w:val="20"/>
        </w:rPr>
        <w:t xml:space="preserve"> will be marketed as “IsoPet</w:t>
      </w:r>
      <w:r>
        <w:rPr>
          <w:sz w:val="20"/>
          <w:szCs w:val="20"/>
          <w:vertAlign w:val="superscript"/>
        </w:rPr>
        <w:t>®</w:t>
      </w:r>
      <w:r>
        <w:rPr>
          <w:sz w:val="20"/>
          <w:szCs w:val="20"/>
        </w:rPr>
        <w:t xml:space="preserve">” for use by veterinarians to avoid any confusion between animal </w:t>
      </w:r>
      <w:r>
        <w:rPr>
          <w:sz w:val="20"/>
          <w:szCs w:val="20"/>
        </w:rPr>
        <w:t>and human therapy. The Company already has trademark protection for the “IsoPet</w:t>
      </w:r>
      <w:r>
        <w:rPr>
          <w:sz w:val="20"/>
          <w:szCs w:val="20"/>
          <w:vertAlign w:val="superscript"/>
        </w:rPr>
        <w:t>®</w:t>
      </w:r>
      <w:r>
        <w:rPr>
          <w:sz w:val="20"/>
          <w:szCs w:val="20"/>
        </w:rPr>
        <w:t>” name. IsoPet</w:t>
      </w:r>
      <w:r>
        <w:rPr>
          <w:sz w:val="20"/>
          <w:szCs w:val="20"/>
          <w:vertAlign w:val="superscript"/>
        </w:rPr>
        <w:t xml:space="preserve">® </w:t>
      </w:r>
      <w:r>
        <w:rPr>
          <w:sz w:val="20"/>
          <w:szCs w:val="20"/>
        </w:rPr>
        <w:t>and RadioGel</w:t>
      </w:r>
      <w:r>
        <w:rPr>
          <w:sz w:val="20"/>
          <w:szCs w:val="20"/>
          <w:vertAlign w:val="superscript"/>
        </w:rPr>
        <w:t>TM</w:t>
      </w:r>
      <w:r>
        <w:rPr>
          <w:sz w:val="20"/>
          <w:szCs w:val="20"/>
        </w:rPr>
        <w:t xml:space="preserve"> are used synonymously throughout this document. The only distinction between IsoPet</w:t>
      </w:r>
      <w:r>
        <w:rPr>
          <w:sz w:val="20"/>
          <w:szCs w:val="20"/>
          <w:vertAlign w:val="superscript"/>
        </w:rPr>
        <w:t xml:space="preserve">® </w:t>
      </w:r>
      <w:r>
        <w:rPr>
          <w:sz w:val="20"/>
          <w:szCs w:val="20"/>
        </w:rPr>
        <w:t>and RadioGel</w:t>
      </w:r>
      <w:r>
        <w:rPr>
          <w:sz w:val="20"/>
          <w:szCs w:val="20"/>
          <w:vertAlign w:val="superscript"/>
        </w:rPr>
        <w:t>TM</w:t>
      </w:r>
      <w:r>
        <w:rPr>
          <w:sz w:val="20"/>
          <w:szCs w:val="20"/>
        </w:rPr>
        <w:t xml:space="preserve"> is the FDA’s recommendation that we use “IsoP</w:t>
      </w:r>
      <w:r>
        <w:rPr>
          <w:sz w:val="20"/>
          <w:szCs w:val="20"/>
        </w:rPr>
        <w:t>et</w:t>
      </w:r>
      <w:r>
        <w:rPr>
          <w:sz w:val="20"/>
          <w:szCs w:val="20"/>
          <w:vertAlign w:val="superscript"/>
        </w:rPr>
        <w:t>®</w:t>
      </w:r>
      <w:r>
        <w:rPr>
          <w:sz w:val="20"/>
          <w:szCs w:val="20"/>
        </w:rPr>
        <w:t>” for veterinarian usage, and reserve “RadioGel</w:t>
      </w:r>
      <w:r>
        <w:rPr>
          <w:sz w:val="20"/>
          <w:szCs w:val="20"/>
          <w:vertAlign w:val="superscript"/>
        </w:rPr>
        <w:t xml:space="preserve">TM” </w:t>
      </w:r>
      <w:r>
        <w:rPr>
          <w:sz w:val="20"/>
          <w:szCs w:val="20"/>
        </w:rPr>
        <w:t>for human therapy. Based on these developments, the Company has shifted its primary focus to the development and marketing of Isopet</w:t>
      </w:r>
      <w:r>
        <w:rPr>
          <w:sz w:val="20"/>
          <w:szCs w:val="20"/>
          <w:vertAlign w:val="superscript"/>
        </w:rPr>
        <w:t>®</w:t>
      </w:r>
      <w:r>
        <w:rPr>
          <w:sz w:val="20"/>
          <w:szCs w:val="20"/>
        </w:rPr>
        <w:t xml:space="preserve"> for animal therapy, through the Company’s IsoPet</w:t>
      </w:r>
      <w:r>
        <w:rPr>
          <w:sz w:val="20"/>
          <w:szCs w:val="20"/>
          <w:vertAlign w:val="superscript"/>
        </w:rPr>
        <w:t>®</w:t>
      </w:r>
      <w:r>
        <w:rPr>
          <w:sz w:val="20"/>
          <w:szCs w:val="20"/>
        </w:rPr>
        <w:t xml:space="preserve"> Solutions division</w:t>
      </w:r>
      <w:r>
        <w:rPr>
          <w:sz w:val="20"/>
          <w:szCs w:val="20"/>
        </w:rPr>
        <w:t>.</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The Company’s IsoPet Solutions division was established in May 2016 to focus on the veterinary oncology market, namely engagement of </w:t>
      </w:r>
      <w:r>
        <w:rPr>
          <w:sz w:val="20"/>
          <w:szCs w:val="20"/>
        </w:rPr>
        <w:t>university veterinarian hospital to develop the detailed therapy procedures to treat animal tumors and ultimately use of the technology in private clinics. The Company has worked with three different university veterinarian hospitals on IsoPet</w:t>
      </w:r>
      <w:r>
        <w:rPr>
          <w:sz w:val="20"/>
          <w:szCs w:val="20"/>
          <w:vertAlign w:val="superscript"/>
        </w:rPr>
        <w:t>®</w:t>
      </w:r>
      <w:r>
        <w:rPr>
          <w:sz w:val="20"/>
          <w:szCs w:val="20"/>
        </w:rPr>
        <w:t xml:space="preserve"> testing and</w:t>
      </w:r>
      <w:r>
        <w:rPr>
          <w:sz w:val="20"/>
          <w:szCs w:val="20"/>
        </w:rPr>
        <w:t xml:space="preserve"> therapy. Washington State University treated five cats for feline sarcoma and served to develop the procedures which are incorporated in our label. They concluded that the product was safe and effective in killing cancer cells. Colorado State University d</w:t>
      </w:r>
      <w:r>
        <w:rPr>
          <w:sz w:val="20"/>
          <w:szCs w:val="20"/>
        </w:rPr>
        <w:t>emonstrated the CT and PET-CT imaging of IsoPet</w:t>
      </w:r>
      <w:r>
        <w:rPr>
          <w:sz w:val="20"/>
          <w:szCs w:val="20"/>
          <w:vertAlign w:val="superscript"/>
        </w:rPr>
        <w:t>®</w:t>
      </w:r>
      <w:r>
        <w:rPr>
          <w:sz w:val="20"/>
          <w:szCs w:val="20"/>
        </w:rPr>
        <w:t>. A contract was signed with University of Missouri to treat canine sarcomas and equine sarcoids starting in November 2017.</w:t>
      </w:r>
    </w:p>
    <w:p w:rsidR="00000000" w:rsidRDefault="00DA767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48341673"/>
        </w:trPr>
        <w:tc>
          <w:tcPr>
            <w:tcW w:w="5000" w:type="pct"/>
            <w:hideMark/>
          </w:tcPr>
          <w:p w:rsidR="00000000" w:rsidRDefault="00DA7678">
            <w:pPr>
              <w:jc w:val="center"/>
              <w:rPr>
                <w:rFonts w:eastAsia="Times New Roman"/>
                <w:sz w:val="20"/>
                <w:szCs w:val="20"/>
              </w:rPr>
            </w:pP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dogs were treated for canine soft tissue sarcoma. Response evaluation</w:t>
      </w:r>
      <w:r>
        <w:rPr>
          <w:sz w:val="20"/>
          <w:szCs w:val="20"/>
        </w:rPr>
        <w:t xml:space="preserve"> criteria in solid tumors (“</w:t>
      </w:r>
      <w:r>
        <w:rPr>
          <w:i/>
          <w:iCs/>
          <w:sz w:val="20"/>
          <w:szCs w:val="20"/>
        </w:rPr>
        <w:t>RECIST</w:t>
      </w:r>
      <w:r>
        <w:rPr>
          <w:sz w:val="20"/>
          <w:szCs w:val="20"/>
        </w:rPr>
        <w:t>”) is a set of published rules that define when tumors in cancer patients improve (respond), stay the same (stabilize), or worsen (progress) during treatment. The criteria were published by an international collaboration i</w:t>
      </w:r>
      <w:r>
        <w:rPr>
          <w:sz w:val="20"/>
          <w:szCs w:val="20"/>
        </w:rPr>
        <w:t>ncluding the European Organisation for Research and Treatment of Cancer (“EORTC”), National Cancer Institute of the United States, and the National Cancer Institute of Canada Clinical Trials Group.</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testing at the University of Missouri met its object</w:t>
      </w:r>
      <w:r>
        <w:rPr>
          <w:sz w:val="20"/>
          <w:szCs w:val="20"/>
        </w:rPr>
        <w:t xml:space="preserve">ive to demonstrate the safety of IsoPet®. Using its advanced CT and PET equipment it was able to demonstrate that the dose calculations were accurate and that the injections perfused into the cell interstices and did not stay concentrated in a bolus. This </w:t>
      </w:r>
      <w:r>
        <w:rPr>
          <w:sz w:val="20"/>
          <w:szCs w:val="20"/>
        </w:rPr>
        <w:t>results in a more homogeneous dose distribution. There was insignificant spread of Y-90 outside the points of injection demonstrating the effectiveness of the particles and the gel to localize the radiation with no spreading to the blood or other organs no</w:t>
      </w:r>
      <w:r>
        <w:rPr>
          <w:sz w:val="20"/>
          <w:szCs w:val="20"/>
        </w:rPr>
        <w:t>r to urine or fecal material. This confirms that IsoPet® is safe for same day therapy.</w:t>
      </w:r>
    </w:p>
    <w:p w:rsidR="00000000" w:rsidRDefault="00DA7678">
      <w:pPr>
        <w:pStyle w:val="a3"/>
        <w:spacing w:before="0" w:beforeAutospacing="0" w:after="0" w:afterAutospacing="0"/>
        <w:ind w:firstLine="70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effectiveness of IsoPet® for life extension was not the prime objective, but it resulted in valuable insights. Of the cases one is still cancer-free but the others</w:t>
      </w:r>
      <w:r>
        <w:rPr>
          <w:sz w:val="20"/>
          <w:szCs w:val="20"/>
        </w:rPr>
        <w:t xml:space="preserve"> eventually recurred since there was not a strong focus on treating the margins. The University of Missouri has agreed to become a regional center to administer IsoPet® therapy and will incorporate the improvements suggested by the testing program.</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w:t>
      </w:r>
      <w:r>
        <w:rPr>
          <w:sz w:val="20"/>
          <w:szCs w:val="20"/>
        </w:rPr>
        <w:t>ompany anticipates that future profits, if any, will be derived from direct sales of RadioGel™ (under the name IsoPet</w:t>
      </w:r>
      <w:r>
        <w:rPr>
          <w:sz w:val="20"/>
          <w:szCs w:val="20"/>
          <w:vertAlign w:val="superscript"/>
        </w:rPr>
        <w:t>®</w:t>
      </w:r>
      <w:r>
        <w:rPr>
          <w:sz w:val="20"/>
          <w:szCs w:val="20"/>
        </w:rPr>
        <w:t xml:space="preserve">) and related services, and from licensing to private medical and veterinary clinics in the U.S. and internationally. The Company intends </w:t>
      </w:r>
      <w:r>
        <w:rPr>
          <w:sz w:val="20"/>
          <w:szCs w:val="20"/>
        </w:rPr>
        <w:t>to report the results from the IsoPet</w:t>
      </w:r>
      <w:r>
        <w:rPr>
          <w:sz w:val="20"/>
          <w:szCs w:val="20"/>
          <w:vertAlign w:val="superscript"/>
        </w:rPr>
        <w:t>®</w:t>
      </w:r>
      <w:r>
        <w:rPr>
          <w:sz w:val="20"/>
          <w:szCs w:val="20"/>
        </w:rPr>
        <w:t xml:space="preserve"> Solutions division as a separate operating segment in accordance with GAAP.</w:t>
      </w:r>
    </w:p>
    <w:p w:rsidR="00000000" w:rsidRDefault="00DA7678">
      <w:pPr>
        <w:pStyle w:val="a3"/>
        <w:spacing w:before="0" w:beforeAutospacing="0" w:after="0" w:afterAutospacing="0"/>
        <w:jc w:val="both"/>
        <w:rPr>
          <w:sz w:val="20"/>
          <w:szCs w:val="20"/>
        </w:rPr>
      </w:pPr>
      <w:r>
        <w:rPr>
          <w:sz w:val="20"/>
          <w:szCs w:val="20"/>
        </w:rPr>
        <w:lastRenderedPageBreak/>
        <w:t> </w:t>
      </w:r>
    </w:p>
    <w:p w:rsidR="00000000" w:rsidRDefault="00DA7678">
      <w:pPr>
        <w:pStyle w:val="a3"/>
        <w:spacing w:before="0" w:beforeAutospacing="0" w:after="0" w:afterAutospacing="0"/>
        <w:ind w:firstLine="720"/>
        <w:jc w:val="both"/>
        <w:rPr>
          <w:sz w:val="20"/>
          <w:szCs w:val="20"/>
        </w:rPr>
      </w:pPr>
      <w:r>
        <w:rPr>
          <w:sz w:val="20"/>
          <w:szCs w:val="20"/>
        </w:rPr>
        <w:t xml:space="preserve">Commencing </w:t>
      </w:r>
      <w:r>
        <w:rPr>
          <w:sz w:val="20"/>
          <w:szCs w:val="20"/>
        </w:rPr>
        <w:t>in July 2019, the Company recognized its first commercial sale of IsoPet®. A veterinarian from Alaska brought his cat with a re-occurrent spindle cell sarcoma tumor on his face. The cat had previously received external beam therapy, but now the tumor was g</w:t>
      </w:r>
      <w:r>
        <w:rPr>
          <w:sz w:val="20"/>
          <w:szCs w:val="20"/>
        </w:rPr>
        <w:t>rowing rapidly. He was given a high dose of 400Gy with heavy therapy at the margins. This sale met the revenue recognition requirements under ASC 606 as the performance obligation was satisfied. The Company completed sales for an additional four animals th</w:t>
      </w:r>
      <w:r>
        <w:rPr>
          <w:sz w:val="20"/>
          <w:szCs w:val="20"/>
        </w:rPr>
        <w:t>at received the IsoPet® during 2019.</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Our plan is to incorporate the data assembled from our work with Isopet</w:t>
      </w:r>
      <w:r>
        <w:rPr>
          <w:sz w:val="20"/>
          <w:szCs w:val="20"/>
          <w:vertAlign w:val="superscript"/>
        </w:rPr>
        <w:t>®</w:t>
      </w:r>
      <w:r>
        <w:rPr>
          <w:sz w:val="20"/>
          <w:szCs w:val="20"/>
        </w:rPr>
        <w:t xml:space="preserve"> in animal therapy to support the Company’s efforts in the development of our RadioGel™ device candidate, including obtaining approval from the </w:t>
      </w:r>
      <w:r>
        <w:rPr>
          <w:i/>
          <w:iCs/>
          <w:sz w:val="20"/>
          <w:szCs w:val="20"/>
        </w:rPr>
        <w:t>F</w:t>
      </w:r>
      <w:r>
        <w:rPr>
          <w:i/>
          <w:iCs/>
          <w:sz w:val="20"/>
          <w:szCs w:val="20"/>
        </w:rPr>
        <w:t>DA</w:t>
      </w:r>
      <w:r>
        <w:rPr>
          <w:sz w:val="20"/>
          <w:szCs w:val="20"/>
        </w:rPr>
        <w:t xml:space="preserve"> to market and sell RadioGel™ as a Class II medical device. RadioGel™ is an injectable particle-gel for brachytherapy radiation treatment of cancerous tumors in people and animals. RadioGel™ is comprised of a hydrogel, or a substance that is liquid at ro</w:t>
      </w:r>
      <w:r>
        <w:rPr>
          <w:sz w:val="20"/>
          <w:szCs w:val="20"/>
        </w:rPr>
        <w:t>om temperature and then gels when reaching body temperature after injection into a tumor. In the gel are small, less than two microns, Y-90 phosphate particles. Once injected, these inert particles are locked in place inside the tumor by the gel, deliverin</w:t>
      </w:r>
      <w:r>
        <w:rPr>
          <w:sz w:val="20"/>
          <w:szCs w:val="20"/>
        </w:rPr>
        <w:t>g a very high local radiation dose. The radiation is beta, consisting of high-speed electrons. These electrons only travel a short distance so the device can deliver high radiation to the tumor with minimal dose to the surrounding tissue. Optimally, patien</w:t>
      </w:r>
      <w:r>
        <w:rPr>
          <w:sz w:val="20"/>
          <w:szCs w:val="20"/>
        </w:rPr>
        <w:t>ts can go home immediately following treatment without the risk of radiation exposure to family members. Since Y-90 has a half-life of 2.7 days, the radioactivity drops to 5% of its original value after ten days.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Recently, the Company modified its Indica</w:t>
      </w:r>
      <w:r>
        <w:rPr>
          <w:sz w:val="20"/>
          <w:szCs w:val="20"/>
        </w:rPr>
        <w:t>tion for Use from skin cancel to cancerous tissue or solid tumors pathologically associated with locoregional papillary thyroid carcinoma and recurrent papillary thyroid carcinoma having discernable tumors associated with metastatic lymph nodes or extranod</w:t>
      </w:r>
      <w:r>
        <w:rPr>
          <w:sz w:val="20"/>
          <w:szCs w:val="20"/>
        </w:rPr>
        <w:t xml:space="preserve">al disease in patients who are not surgical candidates or who have declined surgery, or patients who require post-surgical remnant ablation (for example, after prior incomplete radioiodine therapy). Papillary thyroid carcinoma belongs to the general class </w:t>
      </w:r>
      <w:r>
        <w:rPr>
          <w:sz w:val="20"/>
          <w:szCs w:val="20"/>
        </w:rPr>
        <w:t>of head and neck tumors for which tumors are accessible by intraoperative direct needle injection. The Company’s Medical Advisory Board felt that demonstrating efficacy in clinical trials was much easier with this new indication.</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b/>
          <w:bCs/>
          <w:sz w:val="20"/>
          <w:szCs w:val="20"/>
          <w:u w:val="single"/>
        </w:rPr>
        <w:t>Intellectual Property</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Our original license with Battelle National Laboratory reached its end of life in 2022. During the past several years, in anticipation of this we have expanded our proprietary knowledge, our trademark and patent protection.</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Our RadioGel trademark protect</w:t>
      </w:r>
      <w:r>
        <w:rPr>
          <w:sz w:val="20"/>
          <w:szCs w:val="20"/>
        </w:rPr>
        <w:t>ion is in 17 countries. We have expanded our trademark protection from RadioGel to now include IsoPet. We obtained the International Certificate of Registration for ISOPET, which is the first step to file in several countries</w:t>
      </w:r>
      <w:r>
        <w:rPr>
          <w:b/>
          <w:bCs/>
          <w:sz w:val="20"/>
          <w:szCs w:val="20"/>
        </w:rPr>
        <w:t>.</w:t>
      </w:r>
    </w:p>
    <w:p w:rsidR="00000000" w:rsidRDefault="00DA767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4667123"/>
        </w:trPr>
        <w:tc>
          <w:tcPr>
            <w:tcW w:w="5000" w:type="pct"/>
            <w:hideMark/>
          </w:tcPr>
          <w:p w:rsidR="00000000" w:rsidRDefault="00DA7678">
            <w:pPr>
              <w:jc w:val="center"/>
              <w:rPr>
                <w:rFonts w:eastAsia="Times New Roman"/>
                <w:sz w:val="20"/>
                <w:szCs w:val="20"/>
              </w:rPr>
            </w:pP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 receiv</w:t>
      </w:r>
      <w:r>
        <w:rPr>
          <w:sz w:val="20"/>
          <w:szCs w:val="20"/>
        </w:rPr>
        <w:t>ed the Patent Cooperation Treaty (“PCT”) International Search Report on our patent application (No.1811.191). Seven of our claims were immediately ruled as having novelty, inventive step and industrial applicability. This gives us the basis to extend for m</w:t>
      </w:r>
      <w:r>
        <w:rPr>
          <w:sz w:val="20"/>
          <w:szCs w:val="20"/>
        </w:rPr>
        <w:t>any years the patent protection for our proprietary Yttrium-90 phosphate particles utilized in Isopet</w:t>
      </w:r>
      <w:r>
        <w:rPr>
          <w:sz w:val="20"/>
          <w:szCs w:val="20"/>
          <w:vertAlign w:val="superscript"/>
        </w:rPr>
        <w:t>®</w:t>
      </w:r>
      <w:r>
        <w:rPr>
          <w:sz w:val="20"/>
          <w:szCs w:val="20"/>
        </w:rPr>
        <w:t xml:space="preserve"> and Radiogel™.</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Our </w:t>
      </w:r>
      <w:r>
        <w:rPr>
          <w:sz w:val="20"/>
          <w:szCs w:val="20"/>
        </w:rPr>
        <w:t>patent team filed our particle patent in more than ten patent offices that collectively cover 63 countries throughout the world. We filed a continuation-in-part applications number 1774054 in the USA to expand the claims on our particle patent. The US Pate</w:t>
      </w:r>
      <w:r>
        <w:rPr>
          <w:sz w:val="20"/>
          <w:szCs w:val="20"/>
        </w:rPr>
        <w:t>nt office recently gave us the Notice of Allowance for our patent to produce our yttrium phosphate microparticles, US Patent Application Serial No: 16-459,466. We also filed an amendment to correct the wording on our claims at make them consistent with the</w:t>
      </w:r>
      <w:r>
        <w:rPr>
          <w:sz w:val="20"/>
          <w:szCs w:val="20"/>
        </w:rPr>
        <w:t xml:space="preserve"> USE claims. Ref: 4207-0005; European Patent Application NO. 20 834 229.5; VIVOS INC; Our Ref: FS/53791.</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We filed a hydrogel utility patent in the USA (16309:17/943,311) and internationally (16389:PCT/US22/4374) based on the last eighteen months of devel</w:t>
      </w:r>
      <w:r>
        <w:rPr>
          <w:sz w:val="20"/>
          <w:szCs w:val="20"/>
        </w:rPr>
        <w:t xml:space="preserve">opment work to optimize our hydrogel component. These include reducing the polymer production time and increasing the output by </w:t>
      </w:r>
      <w:r>
        <w:rPr>
          <w:sz w:val="20"/>
          <w:szCs w:val="20"/>
        </w:rPr>
        <w:lastRenderedPageBreak/>
        <w:t>a factor of three. We have also further reduced the level of trace contaminants to be well below the FDA guidelines.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We filed </w:t>
      </w:r>
      <w:r>
        <w:rPr>
          <w:sz w:val="20"/>
          <w:szCs w:val="20"/>
        </w:rPr>
        <w:t>a provisional patent (Serial Number 63436562) to protect our innovative improvements in our shipping container, our vial shield, our syringe shield, and our Peltier chiller. Our objectives were to reduce shipping costs, decrease radiation exposure, and enh</w:t>
      </w:r>
      <w:r>
        <w:rPr>
          <w:sz w:val="20"/>
          <w:szCs w:val="20"/>
        </w:rPr>
        <w:t>ance sterility. These devices will be preferentially used at Mayo Clinics for human clinical studies at and our IsoPet regional treatment centers.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We anticipate that Precison Radionuclide Therapy will become increasingly important in the future and expan</w:t>
      </w:r>
      <w:r>
        <w:rPr>
          <w:sz w:val="20"/>
          <w:szCs w:val="20"/>
        </w:rPr>
        <w:t xml:space="preserve">d to other isotope and other indications for use. Therefore, we filed an alternate particle utility patent (Serial number 18/152,137). Vivos Inc will focus its near-term effort on the Yttrium-90 therapy, which we believe is the best beta emitter; however, </w:t>
      </w:r>
      <w:r>
        <w:rPr>
          <w:sz w:val="20"/>
          <w:szCs w:val="20"/>
        </w:rPr>
        <w:t>we leveraged our hydrogel utility patent to incorporate other promising isotopes and compounds for a range of future applications. This includes gamma and alpha particle emitters.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IsoPet Regional Clinics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We currently have four regional therapy clinics:</w:t>
      </w:r>
    </w:p>
    <w:p w:rsidR="00000000" w:rsidRDefault="00DA767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DA7678">
            <w:pPr>
              <w:rPr>
                <w:rFonts w:eastAsia="Times New Roman"/>
                <w:sz w:val="20"/>
                <w:szCs w:val="20"/>
              </w:rPr>
            </w:pPr>
            <w:r>
              <w:rPr>
                <w:rFonts w:eastAsia="Times New Roman"/>
                <w:sz w:val="20"/>
                <w:szCs w:val="20"/>
              </w:rPr>
              <w:t> </w:t>
            </w:r>
          </w:p>
        </w:tc>
        <w:tc>
          <w:tcPr>
            <w:tcW w:w="360" w:type="dxa"/>
            <w:hideMark/>
          </w:tcPr>
          <w:p w:rsidR="00000000" w:rsidRDefault="00DA7678">
            <w:pPr>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Vista Veterinary Hospital – Kennewick, WA</w:t>
            </w:r>
          </w:p>
        </w:tc>
      </w:tr>
      <w:tr w:rsidR="00000000">
        <w:tc>
          <w:tcPr>
            <w:tcW w:w="0" w:type="auto"/>
            <w:hideMark/>
          </w:tcPr>
          <w:p w:rsidR="00000000" w:rsidRDefault="00DA7678">
            <w:pPr>
              <w:rPr>
                <w:rFonts w:eastAsia="Times New Roman"/>
                <w:sz w:val="20"/>
                <w:szCs w:val="20"/>
              </w:rPr>
            </w:pPr>
            <w:r>
              <w:rPr>
                <w:rFonts w:eastAsia="Times New Roman"/>
                <w:sz w:val="20"/>
                <w:szCs w:val="20"/>
              </w:rPr>
              <w:t> </w:t>
            </w:r>
          </w:p>
        </w:tc>
        <w:tc>
          <w:tcPr>
            <w:tcW w:w="0" w:type="auto"/>
            <w:hideMark/>
          </w:tcPr>
          <w:p w:rsidR="00000000" w:rsidRDefault="00DA7678">
            <w:pPr>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University of Missouri – Columbia, MO</w:t>
            </w:r>
          </w:p>
        </w:tc>
      </w:tr>
      <w:tr w:rsidR="00000000">
        <w:tc>
          <w:tcPr>
            <w:tcW w:w="0" w:type="auto"/>
            <w:hideMark/>
          </w:tcPr>
          <w:p w:rsidR="00000000" w:rsidRDefault="00DA7678">
            <w:pPr>
              <w:rPr>
                <w:rFonts w:eastAsia="Times New Roman"/>
                <w:sz w:val="20"/>
                <w:szCs w:val="20"/>
              </w:rPr>
            </w:pPr>
            <w:r>
              <w:rPr>
                <w:rFonts w:eastAsia="Times New Roman"/>
                <w:sz w:val="20"/>
                <w:szCs w:val="20"/>
              </w:rPr>
              <w:t> </w:t>
            </w:r>
          </w:p>
        </w:tc>
        <w:tc>
          <w:tcPr>
            <w:tcW w:w="0" w:type="auto"/>
            <w:hideMark/>
          </w:tcPr>
          <w:p w:rsidR="00000000" w:rsidRDefault="00DA7678">
            <w:pPr>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Johns Hopkins University – Baltimore, MD</w:t>
            </w:r>
          </w:p>
        </w:tc>
      </w:tr>
      <w:tr w:rsidR="00000000">
        <w:tc>
          <w:tcPr>
            <w:tcW w:w="0" w:type="auto"/>
            <w:hideMark/>
          </w:tcPr>
          <w:p w:rsidR="00000000" w:rsidRDefault="00DA7678">
            <w:pPr>
              <w:rPr>
                <w:rFonts w:eastAsia="Times New Roman"/>
                <w:sz w:val="20"/>
                <w:szCs w:val="20"/>
              </w:rPr>
            </w:pPr>
            <w:r>
              <w:rPr>
                <w:rFonts w:eastAsia="Times New Roman"/>
                <w:sz w:val="20"/>
                <w:szCs w:val="20"/>
              </w:rPr>
              <w:t> </w:t>
            </w:r>
          </w:p>
        </w:tc>
        <w:tc>
          <w:tcPr>
            <w:tcW w:w="0" w:type="auto"/>
            <w:hideMark/>
          </w:tcPr>
          <w:p w:rsidR="00000000" w:rsidRDefault="00DA7678">
            <w:pPr>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New England Equine Practice – Patterson, NY</w:t>
            </w:r>
          </w:p>
        </w:tc>
      </w:tr>
    </w:tbl>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Vista Veterinary Hospital (“</w:t>
      </w:r>
      <w:r>
        <w:rPr>
          <w:i/>
          <w:iCs/>
          <w:sz w:val="20"/>
          <w:szCs w:val="20"/>
        </w:rPr>
        <w:t>Vista</w:t>
      </w:r>
      <w:r>
        <w:rPr>
          <w:sz w:val="20"/>
          <w:szCs w:val="20"/>
        </w:rPr>
        <w:t>”</w:t>
      </w:r>
      <w:r>
        <w:rPr>
          <w:sz w:val="20"/>
          <w:szCs w:val="20"/>
        </w:rPr>
        <w:t>) was selected as the pilot private clinic to initiate commercial sales of IsoPet</w:t>
      </w:r>
      <w:r>
        <w:rPr>
          <w:sz w:val="20"/>
          <w:szCs w:val="20"/>
          <w:vertAlign w:val="superscript"/>
        </w:rPr>
        <w:t>®</w:t>
      </w:r>
      <w:r>
        <w:rPr>
          <w:sz w:val="20"/>
          <w:szCs w:val="20"/>
        </w:rPr>
        <w:t>. It is good management practice to implement and learn from a pilot program before spreading to regional clinics across the country. Vista is located in the Tri-Cities Washi</w:t>
      </w:r>
      <w:r>
        <w:rPr>
          <w:sz w:val="20"/>
          <w:szCs w:val="20"/>
        </w:rPr>
        <w:t>ngton area which is convenient for interactions with key personnel of the Company. The pilot is being used to</w:t>
      </w:r>
    </w:p>
    <w:p w:rsidR="00000000" w:rsidRDefault="00DA767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DA7678">
            <w:pPr>
              <w:rPr>
                <w:rFonts w:eastAsia="Times New Roman"/>
                <w:sz w:val="20"/>
                <w:szCs w:val="20"/>
              </w:rPr>
            </w:pPr>
            <w:r>
              <w:rPr>
                <w:rFonts w:eastAsia="Times New Roman"/>
                <w:sz w:val="20"/>
                <w:szCs w:val="20"/>
              </w:rPr>
              <w:t> </w:t>
            </w:r>
          </w:p>
        </w:tc>
        <w:tc>
          <w:tcPr>
            <w:tcW w:w="360" w:type="dxa"/>
            <w:hideMark/>
          </w:tcPr>
          <w:p w:rsidR="00000000" w:rsidRDefault="00DA7678">
            <w:pPr>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Refine the Memorandum of Understanding to define all the germane interfaces, roles and liabilities between Vista Inc and the private clinics</w:t>
            </w:r>
            <w:r>
              <w:rPr>
                <w:rFonts w:eastAsia="Times New Roman"/>
                <w:sz w:val="20"/>
                <w:szCs w:val="20"/>
              </w:rPr>
              <w:t>, including the pilot responsivity to document and share the key aspects of all therapies with the Company;</w:t>
            </w:r>
          </w:p>
        </w:tc>
      </w:tr>
      <w:tr w:rsidR="00000000">
        <w:tc>
          <w:tcPr>
            <w:tcW w:w="0" w:type="auto"/>
            <w:hideMark/>
          </w:tcPr>
          <w:p w:rsidR="00000000" w:rsidRDefault="00DA7678">
            <w:pPr>
              <w:rPr>
                <w:rFonts w:eastAsia="Times New Roman"/>
                <w:sz w:val="20"/>
                <w:szCs w:val="20"/>
              </w:rPr>
            </w:pPr>
            <w:r>
              <w:rPr>
                <w:rFonts w:eastAsia="Times New Roman"/>
                <w:sz w:val="20"/>
                <w:szCs w:val="20"/>
              </w:rPr>
              <w:t> </w:t>
            </w:r>
          </w:p>
        </w:tc>
        <w:tc>
          <w:tcPr>
            <w:tcW w:w="0" w:type="auto"/>
            <w:hideMark/>
          </w:tcPr>
          <w:p w:rsidR="00000000" w:rsidRDefault="00DA7678">
            <w:pPr>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Create and implement proprietary certification training packages;</w:t>
            </w:r>
          </w:p>
        </w:tc>
      </w:tr>
      <w:tr w:rsidR="00000000">
        <w:tc>
          <w:tcPr>
            <w:tcW w:w="0" w:type="auto"/>
            <w:hideMark/>
          </w:tcPr>
          <w:p w:rsidR="00000000" w:rsidRDefault="00DA7678">
            <w:pPr>
              <w:rPr>
                <w:rFonts w:eastAsia="Times New Roman"/>
                <w:sz w:val="20"/>
                <w:szCs w:val="20"/>
              </w:rPr>
            </w:pPr>
            <w:r>
              <w:rPr>
                <w:rFonts w:eastAsia="Times New Roman"/>
                <w:sz w:val="20"/>
                <w:szCs w:val="20"/>
              </w:rPr>
              <w:t> </w:t>
            </w:r>
          </w:p>
        </w:tc>
        <w:tc>
          <w:tcPr>
            <w:tcW w:w="0" w:type="auto"/>
            <w:hideMark/>
          </w:tcPr>
          <w:p w:rsidR="00000000" w:rsidRDefault="00DA7678">
            <w:pPr>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 xml:space="preserve">Amend </w:t>
            </w:r>
            <w:r>
              <w:rPr>
                <w:rFonts w:eastAsia="Times New Roman"/>
                <w:sz w:val="20"/>
                <w:szCs w:val="20"/>
              </w:rPr>
              <w:t>the production center radioactive material license at IsoTherapeutics, the Company’s IsoPet</w:t>
            </w:r>
            <w:r>
              <w:rPr>
                <w:rFonts w:eastAsia="Times New Roman"/>
                <w:sz w:val="20"/>
                <w:szCs w:val="20"/>
                <w:vertAlign w:val="superscript"/>
              </w:rPr>
              <w:t>®</w:t>
            </w:r>
            <w:r>
              <w:rPr>
                <w:rFonts w:eastAsia="Times New Roman"/>
                <w:sz w:val="20"/>
                <w:szCs w:val="20"/>
              </w:rPr>
              <w:t xml:space="preserve"> production center, to allow distribution for commercial applications;</w:t>
            </w:r>
          </w:p>
        </w:tc>
      </w:tr>
      <w:tr w:rsidR="00000000">
        <w:tc>
          <w:tcPr>
            <w:tcW w:w="0" w:type="auto"/>
            <w:hideMark/>
          </w:tcPr>
          <w:p w:rsidR="00000000" w:rsidRDefault="00DA7678">
            <w:pPr>
              <w:rPr>
                <w:rFonts w:eastAsia="Times New Roman"/>
                <w:sz w:val="20"/>
                <w:szCs w:val="20"/>
              </w:rPr>
            </w:pPr>
            <w:r>
              <w:rPr>
                <w:rFonts w:eastAsia="Times New Roman"/>
                <w:sz w:val="20"/>
                <w:szCs w:val="20"/>
              </w:rPr>
              <w:t> </w:t>
            </w:r>
          </w:p>
        </w:tc>
        <w:tc>
          <w:tcPr>
            <w:tcW w:w="0" w:type="auto"/>
            <w:hideMark/>
          </w:tcPr>
          <w:p w:rsidR="00000000" w:rsidRDefault="00DA7678">
            <w:pPr>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Work with the pilot program to obtain a radioactive material licensing in an NRC agreeme</w:t>
            </w:r>
            <w:r>
              <w:rPr>
                <w:rFonts w:eastAsia="Times New Roman"/>
                <w:sz w:val="20"/>
                <w:szCs w:val="20"/>
              </w:rPr>
              <w:t>nt state;</w:t>
            </w:r>
          </w:p>
        </w:tc>
      </w:tr>
      <w:tr w:rsidR="00000000">
        <w:tc>
          <w:tcPr>
            <w:tcW w:w="0" w:type="auto"/>
            <w:hideMark/>
          </w:tcPr>
          <w:p w:rsidR="00000000" w:rsidRDefault="00DA7678">
            <w:pPr>
              <w:rPr>
                <w:rFonts w:eastAsia="Times New Roman"/>
                <w:sz w:val="20"/>
                <w:szCs w:val="20"/>
              </w:rPr>
            </w:pPr>
            <w:r>
              <w:rPr>
                <w:rFonts w:eastAsia="Times New Roman"/>
                <w:sz w:val="20"/>
                <w:szCs w:val="20"/>
              </w:rPr>
              <w:t> </w:t>
            </w:r>
          </w:p>
        </w:tc>
        <w:tc>
          <w:tcPr>
            <w:tcW w:w="0" w:type="auto"/>
            <w:hideMark/>
          </w:tcPr>
          <w:p w:rsidR="00000000" w:rsidRDefault="00DA7678">
            <w:pPr>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Create equipment and supplies list;</w:t>
            </w:r>
          </w:p>
        </w:tc>
      </w:tr>
      <w:tr w:rsidR="00000000">
        <w:tc>
          <w:tcPr>
            <w:tcW w:w="0" w:type="auto"/>
            <w:hideMark/>
          </w:tcPr>
          <w:p w:rsidR="00000000" w:rsidRDefault="00DA7678">
            <w:pPr>
              <w:rPr>
                <w:rFonts w:eastAsia="Times New Roman"/>
                <w:sz w:val="20"/>
                <w:szCs w:val="20"/>
              </w:rPr>
            </w:pPr>
            <w:r>
              <w:rPr>
                <w:rFonts w:eastAsia="Times New Roman"/>
                <w:sz w:val="20"/>
                <w:szCs w:val="20"/>
              </w:rPr>
              <w:t> </w:t>
            </w:r>
          </w:p>
        </w:tc>
        <w:tc>
          <w:tcPr>
            <w:tcW w:w="0" w:type="auto"/>
            <w:hideMark/>
          </w:tcPr>
          <w:p w:rsidR="00000000" w:rsidRDefault="00DA7678">
            <w:pPr>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Create and post regulatory signage;</w:t>
            </w:r>
          </w:p>
        </w:tc>
      </w:tr>
      <w:tr w:rsidR="00000000">
        <w:tc>
          <w:tcPr>
            <w:tcW w:w="0" w:type="auto"/>
            <w:hideMark/>
          </w:tcPr>
          <w:p w:rsidR="00000000" w:rsidRDefault="00DA7678">
            <w:pPr>
              <w:rPr>
                <w:rFonts w:eastAsia="Times New Roman"/>
                <w:sz w:val="20"/>
                <w:szCs w:val="20"/>
              </w:rPr>
            </w:pPr>
            <w:r>
              <w:rPr>
                <w:rFonts w:eastAsia="Times New Roman"/>
                <w:sz w:val="20"/>
                <w:szCs w:val="20"/>
              </w:rPr>
              <w:t> </w:t>
            </w:r>
          </w:p>
        </w:tc>
        <w:tc>
          <w:tcPr>
            <w:tcW w:w="0" w:type="auto"/>
            <w:hideMark/>
          </w:tcPr>
          <w:p w:rsidR="00000000" w:rsidRDefault="00DA7678">
            <w:pPr>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Explore different IsoPet</w:t>
            </w:r>
            <w:r>
              <w:rPr>
                <w:rFonts w:eastAsia="Times New Roman"/>
                <w:sz w:val="20"/>
                <w:szCs w:val="20"/>
                <w:vertAlign w:val="superscript"/>
              </w:rPr>
              <w:t>®</w:t>
            </w:r>
            <w:r>
              <w:rPr>
                <w:rFonts w:eastAsia="Times New Roman"/>
                <w:sz w:val="20"/>
                <w:szCs w:val="20"/>
              </w:rPr>
              <w:t xml:space="preserve"> pricing options; </w:t>
            </w:r>
          </w:p>
        </w:tc>
      </w:tr>
      <w:tr w:rsidR="00000000">
        <w:tc>
          <w:tcPr>
            <w:tcW w:w="0" w:type="auto"/>
            <w:hideMark/>
          </w:tcPr>
          <w:p w:rsidR="00000000" w:rsidRDefault="00DA7678">
            <w:pPr>
              <w:rPr>
                <w:rFonts w:eastAsia="Times New Roman"/>
                <w:sz w:val="20"/>
                <w:szCs w:val="20"/>
              </w:rPr>
            </w:pPr>
            <w:r>
              <w:rPr>
                <w:rFonts w:eastAsia="Times New Roman"/>
                <w:sz w:val="20"/>
                <w:szCs w:val="20"/>
              </w:rPr>
              <w:t> </w:t>
            </w:r>
          </w:p>
        </w:tc>
        <w:tc>
          <w:tcPr>
            <w:tcW w:w="0" w:type="auto"/>
            <w:hideMark/>
          </w:tcPr>
          <w:p w:rsidR="00000000" w:rsidRDefault="00DA7678">
            <w:pPr>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Evaluate different approaches to obtain patients;</w:t>
            </w:r>
          </w:p>
        </w:tc>
      </w:tr>
      <w:tr w:rsidR="00000000">
        <w:tc>
          <w:tcPr>
            <w:tcW w:w="0" w:type="auto"/>
            <w:hideMark/>
          </w:tcPr>
          <w:p w:rsidR="00000000" w:rsidRDefault="00DA7678">
            <w:pPr>
              <w:rPr>
                <w:rFonts w:eastAsia="Times New Roman"/>
                <w:sz w:val="20"/>
                <w:szCs w:val="20"/>
              </w:rPr>
            </w:pPr>
            <w:r>
              <w:rPr>
                <w:rFonts w:eastAsia="Times New Roman"/>
                <w:sz w:val="20"/>
                <w:szCs w:val="20"/>
              </w:rPr>
              <w:t> </w:t>
            </w:r>
          </w:p>
        </w:tc>
        <w:tc>
          <w:tcPr>
            <w:tcW w:w="0" w:type="auto"/>
            <w:hideMark/>
          </w:tcPr>
          <w:p w:rsidR="00000000" w:rsidRDefault="00DA7678">
            <w:pPr>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 xml:space="preserve">Optimize </w:t>
            </w:r>
            <w:r>
              <w:rPr>
                <w:rFonts w:eastAsia="Times New Roman"/>
                <w:sz w:val="20"/>
                <w:szCs w:val="20"/>
              </w:rPr>
              <w:t>patient scheduling practices to reduce cost to the pet owners;</w:t>
            </w:r>
          </w:p>
        </w:tc>
      </w:tr>
      <w:tr w:rsidR="00000000">
        <w:tc>
          <w:tcPr>
            <w:tcW w:w="0" w:type="auto"/>
            <w:hideMark/>
          </w:tcPr>
          <w:p w:rsidR="00000000" w:rsidRDefault="00DA7678">
            <w:pPr>
              <w:rPr>
                <w:rFonts w:eastAsia="Times New Roman"/>
                <w:sz w:val="20"/>
                <w:szCs w:val="20"/>
              </w:rPr>
            </w:pPr>
            <w:r>
              <w:rPr>
                <w:rFonts w:eastAsia="Times New Roman"/>
                <w:sz w:val="20"/>
                <w:szCs w:val="20"/>
              </w:rPr>
              <w:t> </w:t>
            </w:r>
          </w:p>
        </w:tc>
        <w:tc>
          <w:tcPr>
            <w:tcW w:w="0" w:type="auto"/>
            <w:hideMark/>
          </w:tcPr>
          <w:p w:rsidR="00000000" w:rsidRDefault="00DA7678">
            <w:pPr>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Develop communication material and a liability document for the pet owners; and</w:t>
            </w:r>
          </w:p>
        </w:tc>
      </w:tr>
      <w:tr w:rsidR="00000000">
        <w:tc>
          <w:tcPr>
            <w:tcW w:w="0" w:type="auto"/>
            <w:hideMark/>
          </w:tcPr>
          <w:p w:rsidR="00000000" w:rsidRDefault="00DA7678">
            <w:pPr>
              <w:rPr>
                <w:rFonts w:eastAsia="Times New Roman"/>
                <w:sz w:val="20"/>
                <w:szCs w:val="20"/>
              </w:rPr>
            </w:pPr>
            <w:r>
              <w:rPr>
                <w:rFonts w:eastAsia="Times New Roman"/>
                <w:sz w:val="20"/>
                <w:szCs w:val="20"/>
              </w:rPr>
              <w:t> </w:t>
            </w:r>
          </w:p>
        </w:tc>
        <w:tc>
          <w:tcPr>
            <w:tcW w:w="0" w:type="auto"/>
            <w:hideMark/>
          </w:tcPr>
          <w:p w:rsidR="00000000" w:rsidRDefault="00DA7678">
            <w:pPr>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Further refine the therapy techniques for advanced cancers.</w:t>
            </w:r>
          </w:p>
        </w:tc>
      </w:tr>
    </w:tbl>
    <w:p w:rsidR="00000000" w:rsidRDefault="00DA7678">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54245359"/>
        </w:trPr>
        <w:tc>
          <w:tcPr>
            <w:tcW w:w="5000" w:type="pct"/>
            <w:hideMark/>
          </w:tcPr>
          <w:p w:rsidR="00000000" w:rsidRDefault="00DA7678">
            <w:pPr>
              <w:jc w:val="center"/>
              <w:rPr>
                <w:rFonts w:eastAsia="Times New Roman"/>
                <w:sz w:val="20"/>
                <w:szCs w:val="20"/>
              </w:rPr>
            </w:pP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Vista </w:t>
      </w:r>
      <w:r>
        <w:rPr>
          <w:sz w:val="20"/>
          <w:szCs w:val="20"/>
        </w:rPr>
        <w:t>Veterinary Hospital has done well on two audits by the Washington State Department of Health. The Company is working closely with the Washington State Department of Health to refine and improve the radioactive material license. The Company has added severa</w:t>
      </w:r>
      <w:r>
        <w:rPr>
          <w:sz w:val="20"/>
          <w:szCs w:val="20"/>
        </w:rPr>
        <w:t>l detailed procedures, which will benefit future regional clinics. In addition, a second veterinarian has completed all the preliminary requirements to become certified. All that remains is to demonstrate proficiency in three therapies.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testing at th</w:t>
      </w:r>
      <w:r>
        <w:rPr>
          <w:sz w:val="20"/>
          <w:szCs w:val="20"/>
        </w:rPr>
        <w:t>e universities and at Vista Veterinary Hospital have demonstrated that IsoPet</w:t>
      </w:r>
      <w:r>
        <w:rPr>
          <w:sz w:val="20"/>
          <w:szCs w:val="20"/>
          <w:vertAlign w:val="superscript"/>
        </w:rPr>
        <w:t>®</w:t>
      </w:r>
      <w:r>
        <w:rPr>
          <w:sz w:val="20"/>
          <w:szCs w:val="20"/>
        </w:rPr>
        <w:t xml:space="preserve"> is effective on killing cancer tissue near the injections. It is most effective in early cases before the cancer has begun to spread. Later stage cancers are more difficult to t</w:t>
      </w:r>
      <w:r>
        <w:rPr>
          <w:sz w:val="20"/>
          <w:szCs w:val="20"/>
        </w:rPr>
        <w:t>reat since the tendrils from the primary cancer site are not well defined and therefore can lead to recurrence.</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There have been 115 expressions of interest in IsoPet</w:t>
      </w:r>
      <w:r>
        <w:rPr>
          <w:sz w:val="20"/>
          <w:szCs w:val="20"/>
          <w:vertAlign w:val="superscript"/>
        </w:rPr>
        <w:t>®</w:t>
      </w:r>
      <w:r>
        <w:rPr>
          <w:sz w:val="20"/>
          <w:szCs w:val="20"/>
        </w:rPr>
        <w:t xml:space="preserve"> therapy from across the United States, but only about 10% of these were treated and the</w:t>
      </w:r>
      <w:r>
        <w:rPr>
          <w:sz w:val="20"/>
          <w:szCs w:val="20"/>
        </w:rPr>
        <w:t>y were very advanced cases. The reasons are instructive. Most of the cases were for so advanced that the pet parents found out about IsoPet</w:t>
      </w:r>
      <w:r>
        <w:rPr>
          <w:sz w:val="20"/>
          <w:szCs w:val="20"/>
          <w:vertAlign w:val="superscript"/>
        </w:rPr>
        <w:t>®</w:t>
      </w:r>
      <w:r>
        <w:rPr>
          <w:sz w:val="20"/>
          <w:szCs w:val="20"/>
        </w:rPr>
        <w:t xml:space="preserve"> </w:t>
      </w:r>
      <w:r>
        <w:rPr>
          <w:sz w:val="20"/>
          <w:szCs w:val="20"/>
        </w:rPr>
        <w:t>on the Internet as a last hope. Several others were internal cancers that could not be reached, for example deep in the throat. Several cases were treatable, but the pets weighed more than 20 pounds and the pet parents were not willing to fly them in the “</w:t>
      </w:r>
      <w:r>
        <w:rPr>
          <w:sz w:val="20"/>
          <w:szCs w:val="20"/>
        </w:rPr>
        <w:t>Safe Cargo” holds. Those patients would have been treated by regional clinics once we implement that strategy. Several cases were mast cell cancers. The Company is confident that those tumors could have been treated, but once killed they release mast cells</w:t>
      </w:r>
      <w:r>
        <w:rPr>
          <w:sz w:val="20"/>
          <w:szCs w:val="20"/>
        </w:rPr>
        <w:t xml:space="preserve"> in a process called granulation. This could cause a shock to the animal’s system. The Company will focus one of our clinical studies on the optimum approach for those therapies.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Vista Veterinary Hospital accepted advanced cancer cases and has gained exp</w:t>
      </w:r>
      <w:r>
        <w:rPr>
          <w:sz w:val="20"/>
          <w:szCs w:val="20"/>
        </w:rPr>
        <w:t>erience to extend the animal’s lives. The first cat was terminally ill and had previously had external beam, surgery and chemotherapy. The facial tumor was treated with 400 Gy and the biopsy confirmed that the cancer was killed. In about seven months the c</w:t>
      </w:r>
      <w:r>
        <w:rPr>
          <w:sz w:val="20"/>
          <w:szCs w:val="20"/>
        </w:rPr>
        <w:t>ancer returned in the throat and could not be treated so the cat had to be put down. Dr. Bauder, the veterinarian pet parent, was still elated about the life extension and is asking us to use him as a reference. The other cases were also very advanced with</w:t>
      </w:r>
      <w:r>
        <w:rPr>
          <w:sz w:val="20"/>
          <w:szCs w:val="20"/>
        </w:rPr>
        <w:t xml:space="preserve"> multiple tumors and they recurred since they had already spread before therapy. One animal, Yukon had a large tumor on his leg that was recommended for amputation. The tumor size decreased 50% after the first treatment, but then stopped decreasing. For th</w:t>
      </w:r>
      <w:r>
        <w:rPr>
          <w:sz w:val="20"/>
          <w:szCs w:val="20"/>
        </w:rPr>
        <w:t>e first time a second therapy was administered and the tumor has continued to decrease in size. Yukon’s life was extended for more than a year until she finally succumbed to metastatic cancer in another location.</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Since IsoPet</w:t>
      </w:r>
      <w:r>
        <w:rPr>
          <w:sz w:val="20"/>
          <w:szCs w:val="20"/>
          <w:vertAlign w:val="superscript"/>
        </w:rPr>
        <w:t>®</w:t>
      </w:r>
      <w:r>
        <w:rPr>
          <w:sz w:val="20"/>
          <w:szCs w:val="20"/>
        </w:rPr>
        <w:t xml:space="preserve"> has shown to be effective i</w:t>
      </w:r>
      <w:r>
        <w:rPr>
          <w:sz w:val="20"/>
          <w:szCs w:val="20"/>
        </w:rPr>
        <w:t>n killing cancer at the site of injection the current focus is in optimizing the techniques to help the pet resorb the necrotic tissue rapidly. In addition, IsoPet</w:t>
      </w:r>
      <w:r>
        <w:rPr>
          <w:sz w:val="20"/>
          <w:szCs w:val="20"/>
          <w:vertAlign w:val="superscript"/>
        </w:rPr>
        <w:t>®</w:t>
      </w:r>
      <w:r>
        <w:rPr>
          <w:sz w:val="20"/>
          <w:szCs w:val="20"/>
        </w:rPr>
        <w:t xml:space="preserve"> was used to treat a mast cell tumor. When these cancers are destroyed, they release their m</w:t>
      </w:r>
      <w:r>
        <w:rPr>
          <w:sz w:val="20"/>
          <w:szCs w:val="20"/>
        </w:rPr>
        <w:t>ast cell. The animal was treated with a steroid to counter this effect and to date is doing well.</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The Company’s efforts are now to obtain more early-stage cancer patients. The biggest obstacle is to convince the veterinarians of the pet parents to agree </w:t>
      </w:r>
      <w:r>
        <w:rPr>
          <w:sz w:val="20"/>
          <w:szCs w:val="20"/>
        </w:rPr>
        <w:t>with IsoPet</w:t>
      </w:r>
      <w:r>
        <w:rPr>
          <w:sz w:val="20"/>
          <w:szCs w:val="20"/>
          <w:vertAlign w:val="superscript"/>
        </w:rPr>
        <w:t>®</w:t>
      </w:r>
      <w:r>
        <w:rPr>
          <w:sz w:val="20"/>
          <w:szCs w:val="20"/>
        </w:rPr>
        <w:t xml:space="preserve"> therapy rather than using a more traditional method such as surgery. This is a slow process due to the conservative nature of the veterinarian professions. This is the prime motivation to continue with additional clinical trials and to publish</w:t>
      </w:r>
      <w:r>
        <w:rPr>
          <w:sz w:val="20"/>
          <w:szCs w:val="20"/>
        </w:rPr>
        <w:t xml:space="preserve"> the results.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 worked closely with FX Masse to develop nine certification training modules for use in potential regional clinics. These modules are necessary to satisfy the radioactive material handling licenses. This approach is very cost eff</w:t>
      </w:r>
      <w:r>
        <w:rPr>
          <w:sz w:val="20"/>
          <w:szCs w:val="20"/>
        </w:rPr>
        <w:t>ective.</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Johns Hopkins University VCTN, Veterinary Clinical Trials Network, is now an Isopet</w:t>
      </w:r>
      <w:r>
        <w:rPr>
          <w:sz w:val="20"/>
          <w:szCs w:val="20"/>
          <w:vertAlign w:val="superscript"/>
        </w:rPr>
        <w:t xml:space="preserve">® </w:t>
      </w:r>
      <w:r>
        <w:rPr>
          <w:sz w:val="20"/>
          <w:szCs w:val="20"/>
        </w:rPr>
        <w:t>regional clinic. Additionally, Johns Hopkins will also perform new Isopet® animal studies on various specific cancers. They have the required radioactive materia</w:t>
      </w:r>
      <w:r>
        <w:rPr>
          <w:sz w:val="20"/>
          <w:szCs w:val="20"/>
        </w:rPr>
        <w:t xml:space="preserve">l license and have completed their training certification for Isopet®. This important relationship will also help meet our objective of obtaining high quality data on a range of cancers that can be published in leading journals. These publications are the </w:t>
      </w:r>
      <w:r>
        <w:rPr>
          <w:sz w:val="20"/>
          <w:szCs w:val="20"/>
        </w:rPr>
        <w:t>optimal way to increase awareness of Isopet® and to gain broader acceptance from the veterinarian/oncology community.</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Our objective is to open several regional clinics by the end of 2023 and to participate in a minimum of four conferences to spread the w</w:t>
      </w:r>
      <w:r>
        <w:rPr>
          <w:sz w:val="20"/>
          <w:szCs w:val="20"/>
        </w:rPr>
        <w:t>ord about IsoPet in the veterinarian community for treating tumors in small animals and horses. We created a Marketing Steering Board to provide advice on obtaining new pet patients.</w:t>
      </w:r>
    </w:p>
    <w:p w:rsidR="00000000" w:rsidRDefault="00DA767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4566195"/>
        </w:trPr>
        <w:tc>
          <w:tcPr>
            <w:tcW w:w="5000" w:type="pct"/>
            <w:hideMark/>
          </w:tcPr>
          <w:p w:rsidR="00000000" w:rsidRDefault="00DA7678">
            <w:pPr>
              <w:jc w:val="center"/>
              <w:rPr>
                <w:rFonts w:eastAsia="Times New Roman"/>
                <w:sz w:val="20"/>
                <w:szCs w:val="20"/>
              </w:rPr>
            </w:pP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Regulatory History</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i/>
          <w:iCs/>
          <w:sz w:val="20"/>
          <w:szCs w:val="20"/>
        </w:rPr>
        <w:t>Human Therapy</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RadioGel™ </w:t>
      </w:r>
      <w:r>
        <w:rPr>
          <w:sz w:val="20"/>
          <w:szCs w:val="20"/>
        </w:rPr>
        <w:t>has a long regulatory history with the Food and Drug Administration (“</w:t>
      </w:r>
      <w:r>
        <w:rPr>
          <w:i/>
          <w:iCs/>
          <w:sz w:val="20"/>
          <w:szCs w:val="20"/>
        </w:rPr>
        <w:t>FDA</w:t>
      </w:r>
      <w:r>
        <w:rPr>
          <w:sz w:val="20"/>
          <w:szCs w:val="20"/>
        </w:rPr>
        <w:t>”). Initially, the Company submitted a presubmission (Q130140) to obtain FDA feedback about the proposed product. The FDA requested that the Company file a request for designation wit</w:t>
      </w:r>
      <w:r>
        <w:rPr>
          <w:sz w:val="20"/>
          <w:szCs w:val="20"/>
        </w:rPr>
        <w:t>h the Office of Combination Products (RFD130051), which led to the determination that RadioGel™ is a device for human therapy for non-resectable cancers, which must be reviewed and ultimately regulated by the Center for Devices and Radiological Health (“</w:t>
      </w:r>
      <w:r>
        <w:rPr>
          <w:i/>
          <w:iCs/>
          <w:sz w:val="20"/>
          <w:szCs w:val="20"/>
        </w:rPr>
        <w:t>CD</w:t>
      </w:r>
      <w:r>
        <w:rPr>
          <w:i/>
          <w:iCs/>
          <w:sz w:val="20"/>
          <w:szCs w:val="20"/>
        </w:rPr>
        <w:t>RH</w:t>
      </w:r>
      <w:r>
        <w:rPr>
          <w:sz w:val="20"/>
          <w:szCs w:val="20"/>
        </w:rPr>
        <w:t xml:space="preserve">”). The Company then submitted a 510(k) notice for RadioGel™ (K133368), which was found Not Substantially Equivalent due to the lack of a suitable predicate, and RadioGel™ was assigned to the Class III product code NAW (microspheres). Class III products </w:t>
      </w:r>
      <w:r>
        <w:rPr>
          <w:sz w:val="20"/>
          <w:szCs w:val="20"/>
        </w:rPr>
        <w:t>or devices are generally the highest risk devices and are therefore subject to the highest level of regulatory review, control and oversight. Class III products or devices must typically be approved by FDA before they are marketed. Class II devices represe</w:t>
      </w:r>
      <w:r>
        <w:rPr>
          <w:sz w:val="20"/>
          <w:szCs w:val="20"/>
        </w:rPr>
        <w:t>nt lower risk products or devices than Class III and require fewer regulatory controls to provide reasonable assurance of the product’s or device’s safety and effectiveness. In contrast, Class I products and devices are deemed to be lower risk than Class I</w:t>
      </w:r>
      <w:r>
        <w:rPr>
          <w:sz w:val="20"/>
          <w:szCs w:val="20"/>
        </w:rPr>
        <w:t xml:space="preserve"> or II, and are therefore subject to the least regulatory controls.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A pre-submission meeting (Q140496) was held with the FDA on June 17, 2014, during which the FDA maintained that RadioGel™ should be considered a Class III device and therefore subject to</w:t>
      </w:r>
      <w:r>
        <w:rPr>
          <w:sz w:val="20"/>
          <w:szCs w:val="20"/>
        </w:rPr>
        <w:t xml:space="preserve"> pre-market approval. On December 29, 2014, the Company submitted a </w:t>
      </w:r>
      <w:r>
        <w:rPr>
          <w:i/>
          <w:iCs/>
          <w:sz w:val="20"/>
          <w:szCs w:val="20"/>
        </w:rPr>
        <w:t xml:space="preserve">de novo </w:t>
      </w:r>
      <w:r>
        <w:rPr>
          <w:sz w:val="20"/>
          <w:szCs w:val="20"/>
        </w:rPr>
        <w:t xml:space="preserve">petition for RadioGel™ (DEN140043). The </w:t>
      </w:r>
      <w:r>
        <w:rPr>
          <w:i/>
          <w:iCs/>
          <w:sz w:val="20"/>
          <w:szCs w:val="20"/>
        </w:rPr>
        <w:t>de novo</w:t>
      </w:r>
      <w:r>
        <w:rPr>
          <w:sz w:val="20"/>
          <w:szCs w:val="20"/>
        </w:rPr>
        <w:t xml:space="preserve"> petition was denied by the FDA on June 1, 2015, with the FDA providing numerous comments and questions. On September 29, 2015, the C</w:t>
      </w:r>
      <w:r>
        <w:rPr>
          <w:sz w:val="20"/>
          <w:szCs w:val="20"/>
        </w:rPr>
        <w:t>ompany submitted a follow-up pre-submission informational meeting request with the FDA (Q151569). This meeting took place on November 9, 2015, at which time the FDA indicated acceptance of the Company’s applied dosimetry methods and clarified the FDA’s out</w:t>
      </w:r>
      <w:r>
        <w:rPr>
          <w:sz w:val="20"/>
          <w:szCs w:val="20"/>
        </w:rPr>
        <w:t>standing questions regarding RadioGel™. Following the November 2015 pre-submission meeting, the Company prepared a new pre-submission package to obtain FDA feedback on the proposed testing methods, intended to address the concerns raised by the FDA staff a</w:t>
      </w:r>
      <w:r>
        <w:rPr>
          <w:sz w:val="20"/>
          <w:szCs w:val="20"/>
        </w:rPr>
        <w:t xml:space="preserve">nd to address the suitability of RadioGel™ for </w:t>
      </w:r>
      <w:r>
        <w:rPr>
          <w:i/>
          <w:iCs/>
          <w:sz w:val="20"/>
          <w:szCs w:val="20"/>
        </w:rPr>
        <w:t>de novo</w:t>
      </w:r>
      <w:r>
        <w:rPr>
          <w:sz w:val="20"/>
          <w:szCs w:val="20"/>
        </w:rPr>
        <w:t xml:space="preserve"> reclassification. This pre-submission package was presented to the FDA in a meeting on August 29, 2017. During the August 2017 meeting, the FDA clarified their position on the remaining pre-clinical te</w:t>
      </w:r>
      <w:r>
        <w:rPr>
          <w:sz w:val="20"/>
          <w:szCs w:val="20"/>
        </w:rPr>
        <w:t>sting needed for RadioGel™. Specifically, the FDA addressed proposed dosimetry calculating techniques, dosimetry distribution between injections, hydrogel viscoelastic properties, and the details of the Company’s proposed animal testing.</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 beli</w:t>
      </w:r>
      <w:r>
        <w:rPr>
          <w:sz w:val="20"/>
          <w:szCs w:val="20"/>
        </w:rPr>
        <w:t>eves that its submissions to the FDA to date have addressed all the FDA staff’s feedback over the past four years. Of particular importance, the Company has provided corresponding supporting data for proposed future testing of RadioGel™ to address any rema</w:t>
      </w:r>
      <w:r>
        <w:rPr>
          <w:sz w:val="20"/>
          <w:szCs w:val="20"/>
        </w:rPr>
        <w:t xml:space="preserve">ining questions raised by the FDA. We believe, although no assurances can be given, that the clinical testing modifications presented to the FDA in August 2017 will result in a </w:t>
      </w:r>
      <w:r>
        <w:rPr>
          <w:i/>
          <w:iCs/>
          <w:sz w:val="20"/>
          <w:szCs w:val="20"/>
        </w:rPr>
        <w:t xml:space="preserve">de novo </w:t>
      </w:r>
      <w:r>
        <w:rPr>
          <w:sz w:val="20"/>
          <w:szCs w:val="20"/>
        </w:rPr>
        <w:t>reclassification for RadioGel™ by the FDA. In addition, in previous FDA</w:t>
      </w:r>
      <w:r>
        <w:rPr>
          <w:sz w:val="20"/>
          <w:szCs w:val="20"/>
        </w:rPr>
        <w:t xml:space="preserve"> submittals, the Company proposed applying RadioGel™ for a very broad range of cancer therapies, referred to as Indication for Use. The FDA requested that the Company reduce its Indications for Use. To comply with that request, the Company expanded its Med</w:t>
      </w:r>
      <w:r>
        <w:rPr>
          <w:sz w:val="20"/>
          <w:szCs w:val="20"/>
        </w:rPr>
        <w:t>ical Advisory Board (“</w:t>
      </w:r>
      <w:r>
        <w:rPr>
          <w:i/>
          <w:iCs/>
          <w:sz w:val="20"/>
          <w:szCs w:val="20"/>
        </w:rPr>
        <w:t>MAB</w:t>
      </w:r>
      <w:r>
        <w:rPr>
          <w:sz w:val="20"/>
          <w:szCs w:val="20"/>
        </w:rPr>
        <w:t>”) and engaged doctors from respected hospitals who have evaluated the candidate cancer therapies based on three criteria: (1) potential for FDA approval and successful therapy</w:t>
      </w:r>
      <w:r>
        <w:rPr>
          <w:sz w:val="20"/>
          <w:szCs w:val="20"/>
        </w:rPr>
        <w:t>;</w:t>
      </w:r>
      <w:r>
        <w:rPr>
          <w:sz w:val="20"/>
          <w:szCs w:val="20"/>
        </w:rPr>
        <w:t xml:space="preserve"> (2) notable advantage over current therapies</w:t>
      </w:r>
      <w:r>
        <w:rPr>
          <w:sz w:val="20"/>
          <w:szCs w:val="20"/>
        </w:rPr>
        <w:t>;</w:t>
      </w:r>
      <w:r>
        <w:rPr>
          <w:sz w:val="20"/>
          <w:szCs w:val="20"/>
        </w:rPr>
        <w:t xml:space="preserve"> and (3)</w:t>
      </w:r>
      <w:r>
        <w:rPr>
          <w:sz w:val="20"/>
          <w:szCs w:val="20"/>
        </w:rPr>
        <w:t xml:space="preserve"> probability of wide-spread acceptance by the medical community.</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In November 2020 the Company submitted a request for a Breakthrough Device Designation. Ultimately, this was denied, but the FDA acknowledged, “The FDA does believe that RadioGel™ meets cri</w:t>
      </w:r>
      <w:r>
        <w:rPr>
          <w:sz w:val="20"/>
          <w:szCs w:val="20"/>
        </w:rPr>
        <w:t xml:space="preserve">terion #2a: Device represents breakthrough technology. Your device </w:t>
      </w:r>
      <w:r>
        <w:rPr>
          <w:i/>
          <w:iCs/>
          <w:sz w:val="20"/>
          <w:szCs w:val="20"/>
        </w:rPr>
        <w:t>does meet this criterion</w:t>
      </w:r>
      <w:r>
        <w:rPr>
          <w:sz w:val="20"/>
          <w:szCs w:val="20"/>
        </w:rPr>
        <w:t xml:space="preserve"> because it is a novel application of a brachytherapy device outside of the liver.” More importantly the process resulted in a rapid review of our existing data and </w:t>
      </w:r>
      <w:r>
        <w:rPr>
          <w:sz w:val="20"/>
          <w:szCs w:val="20"/>
        </w:rPr>
        <w:t>approach. It led to a redirection of our efforts on writing the IDE and saved the Company much time in the review of that future application.</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Based on advice from the FDA the Company has scheduled a Pre-Submission meeting on November 30, 2021 to discuss </w:t>
      </w:r>
      <w:r>
        <w:rPr>
          <w:sz w:val="20"/>
          <w:szCs w:val="20"/>
        </w:rPr>
        <w:t>a draft of an Investigational Device Exemptions (IDEs) for Early Feasibility Medical Device Clinical Studies, Including Certain First in Human (FIH) Studies. Using this process results in more rapid feedback to prepare the final IDE.</w:t>
      </w:r>
    </w:p>
    <w:p w:rsidR="00000000" w:rsidRDefault="00DA767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29636368"/>
        </w:trPr>
        <w:tc>
          <w:tcPr>
            <w:tcW w:w="5000" w:type="pct"/>
            <w:hideMark/>
          </w:tcPr>
          <w:p w:rsidR="00000000" w:rsidRDefault="00DA7678">
            <w:pPr>
              <w:jc w:val="center"/>
              <w:rPr>
                <w:rFonts w:eastAsia="Times New Roman"/>
                <w:sz w:val="20"/>
                <w:szCs w:val="20"/>
              </w:rPr>
            </w:pP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The </w:t>
      </w:r>
      <w:r>
        <w:rPr>
          <w:sz w:val="20"/>
          <w:szCs w:val="20"/>
        </w:rPr>
        <w:t>FDA was very supportive and had suggested this Q-Submission path for rapid turnaround and dialog. The Mayo Clinic physicians did an excellent job presenting the need for Radiogel</w:t>
      </w:r>
      <w:r>
        <w:rPr>
          <w:sz w:val="20"/>
          <w:szCs w:val="20"/>
          <w:vertAlign w:val="superscript"/>
        </w:rPr>
        <w:t>™</w:t>
      </w:r>
      <w:r>
        <w:rPr>
          <w:sz w:val="20"/>
          <w:szCs w:val="20"/>
        </w:rPr>
        <w:t xml:space="preserve"> to treat recurrent thyroid cancer and to answer a range of questions from th</w:t>
      </w:r>
      <w:r>
        <w:rPr>
          <w:sz w:val="20"/>
          <w:szCs w:val="20"/>
        </w:rPr>
        <w:t xml:space="preserve">e new FDA review team. The FDA provided many helpful suggestions on a range of subjects from labeling to dosimetry to the Mayo protocol for clinical testing, and the need for some additional specific testing. They suggested having another Q-Sub Review and </w:t>
      </w:r>
      <w:r>
        <w:rPr>
          <w:sz w:val="20"/>
          <w:szCs w:val="20"/>
        </w:rPr>
        <w:t>conference call dedicated to the details of the dosimetry calculations.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In May of 2022 the Company held another Pre-Sub meeting with the FDA. They concurred with our dosimetry techniques and requested one more animal test to confirm that the Y-90 stays a</w:t>
      </w:r>
      <w:r>
        <w:rPr>
          <w:sz w:val="20"/>
          <w:szCs w:val="20"/>
        </w:rPr>
        <w:t xml:space="preserve">t the injection site. We will be proposed a Pre-Sub meeting to discuss this new animal test of VX-2 tumors in rabbits at Johns Hopkins University. We have a meeting scheduled with the FDA in October to obtain their feedback on our new animal test plan. In </w:t>
      </w:r>
      <w:r>
        <w:rPr>
          <w:sz w:val="20"/>
          <w:szCs w:val="20"/>
        </w:rPr>
        <w:t>the meantime, the Company is working to complete all the other required pre-clinical testing, such as biocompatibility since they are required for the submittal of the IDE.</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We held another Pre-Sub meeting with the FDA on October 17, 2022 to obtain detail</w:t>
      </w:r>
      <w:r>
        <w:rPr>
          <w:sz w:val="20"/>
          <w:szCs w:val="20"/>
        </w:rPr>
        <w:t>ed feedback on the proposed VX-2/Rabbit Animal Test Plan and to submit the Risk Management Report. The RMR analyzed all hypothetical scenarios and concluded that RadioGel is inherently safe.</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In parallel the Company is working with the Mayo Clinic’s princ</w:t>
      </w:r>
      <w:r>
        <w:rPr>
          <w:sz w:val="20"/>
          <w:szCs w:val="20"/>
        </w:rPr>
        <w:t>ipal investigators to improve the clinical trial protocol for their Institutional Review Board.</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MAB selected eighteen applications for RadioGel™, each of which meet the criteria described above. This large number confirms the wide applicability of th</w:t>
      </w:r>
      <w:r>
        <w:rPr>
          <w:sz w:val="20"/>
          <w:szCs w:val="20"/>
        </w:rPr>
        <w:t>e device and defines the path for future business growth. The Company’s application establishes a single Indication for Use - treatment of cancerous tissue or solid tumors pathologically associated with locoregional papillary thyroid carcinoma and recurren</w:t>
      </w:r>
      <w:r>
        <w:rPr>
          <w:sz w:val="20"/>
          <w:szCs w:val="20"/>
        </w:rPr>
        <w:t>t papillary thyroid carcinoma.</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We anticipate that this initial application will facilitate each subsequent application for additional s Indications for Use. After the second indication for use we intend to applied for a broad indication for use, which wo</w:t>
      </w:r>
      <w:r>
        <w:rPr>
          <w:sz w:val="20"/>
          <w:szCs w:val="20"/>
        </w:rPr>
        <w:t>uld target to obtain approval to treat all solid tumors.</w:t>
      </w:r>
    </w:p>
    <w:p w:rsidR="00000000" w:rsidRDefault="00DA7678">
      <w:pPr>
        <w:pStyle w:val="a3"/>
        <w:spacing w:before="0" w:beforeAutospacing="0" w:after="0" w:afterAutospacing="0"/>
        <w:ind w:firstLine="644"/>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Financing and Strategy</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w:t>
      </w:r>
      <w:r>
        <w:rPr>
          <w:sz w:val="20"/>
          <w:szCs w:val="20"/>
        </w:rPr>
        <w:t>s stock offering under Regulation A+ was qualified by the Securities and Exchange Commission (“SEC”) on June 3, 2020. A second Regulation A+ was qualified by the SEC on September 15, 2021 to raise capital for 50,000,000 shares at a price of $0.10 for a max</w:t>
      </w:r>
      <w:r>
        <w:rPr>
          <w:sz w:val="20"/>
          <w:szCs w:val="20"/>
        </w:rPr>
        <w:t>imum of $5,000,000. The Company amended this and was able to raise $1,200,000 in July 2022 at $0.08 per share (15,000,0000 shares) and sold 20,000,000 warrants for $20,000. An amended Regulation A+ was filed in October 2022 to raise the remaining $3,800,00</w:t>
      </w:r>
      <w:r>
        <w:rPr>
          <w:sz w:val="20"/>
          <w:szCs w:val="20"/>
        </w:rPr>
        <w:t>0 of the $5,000,000.</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Company’s Regulation A+’s raised approximately $5,200,000 from the sale of shares and is using the proceeds generated as follows: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For the animal therapy market:</w:t>
      </w:r>
    </w:p>
    <w:p w:rsidR="00000000" w:rsidRDefault="00DA767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DA7678">
            <w:pPr>
              <w:rPr>
                <w:rFonts w:eastAsia="Times New Roman"/>
                <w:sz w:val="20"/>
                <w:szCs w:val="20"/>
              </w:rPr>
            </w:pPr>
            <w:r>
              <w:rPr>
                <w:rFonts w:eastAsia="Times New Roman"/>
                <w:sz w:val="20"/>
                <w:szCs w:val="20"/>
              </w:rPr>
              <w:t> </w:t>
            </w:r>
          </w:p>
        </w:tc>
        <w:tc>
          <w:tcPr>
            <w:tcW w:w="360" w:type="dxa"/>
            <w:hideMark/>
          </w:tcPr>
          <w:p w:rsidR="00000000" w:rsidRDefault="00DA7678">
            <w:pPr>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Fund the effort to communicate the benefits of IsoPet</w:t>
            </w:r>
            <w:r>
              <w:rPr>
                <w:rFonts w:eastAsia="Times New Roman"/>
                <w:sz w:val="20"/>
                <w:szCs w:val="20"/>
                <w:vertAlign w:val="superscript"/>
              </w:rPr>
              <w:t>®</w:t>
            </w:r>
            <w:r>
              <w:rPr>
                <w:rFonts w:eastAsia="Times New Roman"/>
                <w:sz w:val="20"/>
                <w:szCs w:val="20"/>
              </w:rPr>
              <w:t xml:space="preserve"> to th</w:t>
            </w:r>
            <w:r>
              <w:rPr>
                <w:rFonts w:eastAsia="Times New Roman"/>
                <w:sz w:val="20"/>
                <w:szCs w:val="20"/>
              </w:rPr>
              <w:t>e veterinary community and the pet parents.</w:t>
            </w:r>
          </w:p>
        </w:tc>
      </w:tr>
      <w:tr w:rsidR="00000000">
        <w:tc>
          <w:tcPr>
            <w:tcW w:w="0" w:type="auto"/>
            <w:hideMark/>
          </w:tcPr>
          <w:p w:rsidR="00000000" w:rsidRDefault="00DA7678">
            <w:pPr>
              <w:rPr>
                <w:rFonts w:eastAsia="Times New Roman"/>
                <w:sz w:val="20"/>
                <w:szCs w:val="20"/>
              </w:rPr>
            </w:pPr>
            <w:r>
              <w:rPr>
                <w:rFonts w:eastAsia="Times New Roman"/>
                <w:sz w:val="20"/>
                <w:szCs w:val="20"/>
              </w:rPr>
              <w:t> </w:t>
            </w:r>
          </w:p>
        </w:tc>
        <w:tc>
          <w:tcPr>
            <w:tcW w:w="0" w:type="auto"/>
            <w:hideMark/>
          </w:tcPr>
          <w:p w:rsidR="00000000" w:rsidRDefault="00DA7678">
            <w:pPr>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Conduct additional clinical studies to generate more data for the veterinary community</w:t>
            </w:r>
          </w:p>
        </w:tc>
      </w:tr>
      <w:tr w:rsidR="00000000">
        <w:tc>
          <w:tcPr>
            <w:tcW w:w="0" w:type="auto"/>
            <w:hideMark/>
          </w:tcPr>
          <w:p w:rsidR="00000000" w:rsidRDefault="00DA7678">
            <w:pPr>
              <w:rPr>
                <w:rFonts w:eastAsia="Times New Roman"/>
                <w:sz w:val="20"/>
                <w:szCs w:val="20"/>
              </w:rPr>
            </w:pPr>
            <w:r>
              <w:rPr>
                <w:rFonts w:eastAsia="Times New Roman"/>
                <w:sz w:val="20"/>
                <w:szCs w:val="20"/>
              </w:rPr>
              <w:t> </w:t>
            </w:r>
          </w:p>
        </w:tc>
        <w:tc>
          <w:tcPr>
            <w:tcW w:w="0" w:type="auto"/>
            <w:hideMark/>
          </w:tcPr>
          <w:p w:rsidR="00000000" w:rsidRDefault="00DA7678">
            <w:pPr>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Subsidize some IsoPet</w:t>
            </w:r>
            <w:r>
              <w:rPr>
                <w:rFonts w:eastAsia="Times New Roman"/>
                <w:sz w:val="20"/>
                <w:szCs w:val="20"/>
                <w:vertAlign w:val="superscript"/>
              </w:rPr>
              <w:t>®</w:t>
            </w:r>
            <w:r>
              <w:rPr>
                <w:rFonts w:eastAsia="Times New Roman"/>
                <w:sz w:val="20"/>
                <w:szCs w:val="20"/>
              </w:rPr>
              <w:t xml:space="preserve"> </w:t>
            </w:r>
            <w:r>
              <w:rPr>
                <w:rFonts w:eastAsia="Times New Roman"/>
                <w:sz w:val="20"/>
                <w:szCs w:val="20"/>
              </w:rPr>
              <w:t>therapies, if necessary, to ensure that all viable candidates are treated.</w:t>
            </w:r>
          </w:p>
        </w:tc>
      </w:tr>
      <w:tr w:rsidR="00000000">
        <w:tc>
          <w:tcPr>
            <w:tcW w:w="0" w:type="auto"/>
            <w:hideMark/>
          </w:tcPr>
          <w:p w:rsidR="00000000" w:rsidRDefault="00DA7678">
            <w:pPr>
              <w:rPr>
                <w:rFonts w:eastAsia="Times New Roman"/>
                <w:sz w:val="20"/>
                <w:szCs w:val="20"/>
              </w:rPr>
            </w:pPr>
            <w:r>
              <w:rPr>
                <w:rFonts w:eastAsia="Times New Roman"/>
                <w:sz w:val="20"/>
                <w:szCs w:val="20"/>
              </w:rPr>
              <w:t> </w:t>
            </w:r>
          </w:p>
        </w:tc>
        <w:tc>
          <w:tcPr>
            <w:tcW w:w="0" w:type="auto"/>
            <w:hideMark/>
          </w:tcPr>
          <w:p w:rsidR="00000000" w:rsidRDefault="00DA7678">
            <w:pPr>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Assist a new regional clinic with their license and certification training.</w:t>
            </w:r>
          </w:p>
        </w:tc>
      </w:tr>
    </w:tbl>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For the human market:</w:t>
      </w:r>
    </w:p>
    <w:p w:rsidR="00000000" w:rsidRDefault="00DA767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DA7678">
            <w:pPr>
              <w:rPr>
                <w:rFonts w:eastAsia="Times New Roman"/>
                <w:sz w:val="20"/>
                <w:szCs w:val="20"/>
              </w:rPr>
            </w:pPr>
            <w:r>
              <w:rPr>
                <w:rFonts w:eastAsia="Times New Roman"/>
                <w:sz w:val="20"/>
                <w:szCs w:val="20"/>
              </w:rPr>
              <w:t> </w:t>
            </w:r>
          </w:p>
        </w:tc>
        <w:tc>
          <w:tcPr>
            <w:tcW w:w="360" w:type="dxa"/>
            <w:hideMark/>
          </w:tcPr>
          <w:p w:rsidR="00000000" w:rsidRDefault="00DA7678">
            <w:pPr>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Enhance the pedigree of the Quality Management System.</w:t>
            </w:r>
          </w:p>
        </w:tc>
      </w:tr>
      <w:tr w:rsidR="00000000">
        <w:tc>
          <w:tcPr>
            <w:tcW w:w="0" w:type="auto"/>
            <w:hideMark/>
          </w:tcPr>
          <w:p w:rsidR="00000000" w:rsidRDefault="00DA7678">
            <w:pPr>
              <w:rPr>
                <w:rFonts w:eastAsia="Times New Roman"/>
                <w:sz w:val="20"/>
                <w:szCs w:val="20"/>
              </w:rPr>
            </w:pPr>
            <w:r>
              <w:rPr>
                <w:rFonts w:eastAsia="Times New Roman"/>
                <w:sz w:val="20"/>
                <w:szCs w:val="20"/>
              </w:rPr>
              <w:t> </w:t>
            </w:r>
          </w:p>
        </w:tc>
        <w:tc>
          <w:tcPr>
            <w:tcW w:w="0" w:type="auto"/>
            <w:hideMark/>
          </w:tcPr>
          <w:p w:rsidR="00000000" w:rsidRDefault="00DA7678">
            <w:pPr>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 xml:space="preserve">Complete </w:t>
            </w:r>
            <w:r>
              <w:rPr>
                <w:rFonts w:eastAsia="Times New Roman"/>
                <w:sz w:val="20"/>
                <w:szCs w:val="20"/>
              </w:rPr>
              <w:t>the previously defined pre-clinical testing and additional testing on an animal model closely aligned with our revised indication for use. Report the results to the FDA in a pre-submission meeting.</w:t>
            </w:r>
          </w:p>
        </w:tc>
      </w:tr>
      <w:tr w:rsidR="00000000">
        <w:tc>
          <w:tcPr>
            <w:tcW w:w="0" w:type="auto"/>
            <w:hideMark/>
          </w:tcPr>
          <w:p w:rsidR="00000000" w:rsidRDefault="00DA7678">
            <w:pPr>
              <w:rPr>
                <w:rFonts w:eastAsia="Times New Roman"/>
                <w:sz w:val="20"/>
                <w:szCs w:val="20"/>
              </w:rPr>
            </w:pPr>
            <w:r>
              <w:rPr>
                <w:rFonts w:eastAsia="Times New Roman"/>
                <w:sz w:val="20"/>
                <w:szCs w:val="20"/>
              </w:rPr>
              <w:t> </w:t>
            </w:r>
          </w:p>
        </w:tc>
        <w:tc>
          <w:tcPr>
            <w:tcW w:w="0" w:type="auto"/>
            <w:hideMark/>
          </w:tcPr>
          <w:p w:rsidR="00000000" w:rsidRDefault="00DA7678">
            <w:pPr>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 xml:space="preserve">Use </w:t>
            </w:r>
            <w:r>
              <w:rPr>
                <w:rFonts w:eastAsia="Times New Roman"/>
                <w:sz w:val="20"/>
                <w:szCs w:val="20"/>
              </w:rPr>
              <w:t>the feedback from that meeting to write the IDE (Investigational Device Exemption), which is required to initiate clinical trials.</w:t>
            </w:r>
          </w:p>
        </w:tc>
      </w:tr>
    </w:tbl>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Research and development of the Company’s brachytherapy product line has been funded with proceeds from the sale of equity</w:t>
      </w:r>
      <w:r>
        <w:rPr>
          <w:sz w:val="20"/>
          <w:szCs w:val="20"/>
        </w:rPr>
        <w:t xml:space="preserve"> and debt securities. The Company may require additional funding of approximately $2 million annually to maintain current operating activities. Over the next 12 to 24 months, the Company believes it will cost approximately $9 million to: (1) fund the FDA a</w:t>
      </w:r>
      <w:r>
        <w:rPr>
          <w:sz w:val="20"/>
          <w:szCs w:val="20"/>
        </w:rPr>
        <w:t xml:space="preserve">pproval process to conduct human clinical trials, (2) conduct Phase I, pilot, clinical trials, (3) activate several regional clinics to administer IsoPet® across the county, (4) create an independent production center within the current production site to </w:t>
      </w:r>
      <w:r>
        <w:rPr>
          <w:sz w:val="20"/>
          <w:szCs w:val="20"/>
        </w:rPr>
        <w:t>create a template for future international manufacturing, and (5) initiate regulatory approval processes outside of the United States. The proceeds to be raised from the recent qualified Regulation A+ will be used to continue to fund this development.</w:t>
      </w:r>
    </w:p>
    <w:p w:rsidR="00000000" w:rsidRDefault="00DA767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23805884"/>
        </w:trPr>
        <w:tc>
          <w:tcPr>
            <w:tcW w:w="5000" w:type="pct"/>
            <w:hideMark/>
          </w:tcPr>
          <w:p w:rsidR="00000000" w:rsidRDefault="00DA7678">
            <w:pPr>
              <w:jc w:val="center"/>
              <w:rPr>
                <w:rFonts w:eastAsia="Times New Roman"/>
                <w:sz w:val="20"/>
                <w:szCs w:val="20"/>
              </w:rPr>
            </w:pP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continued deployment of the brachytherapy products and a worldwide regulatory approval effort will require additional resources and personnel. The principal variables in the timing and amount of spending for the brachytherapy products in the nex</w:t>
      </w:r>
      <w:r>
        <w:rPr>
          <w:sz w:val="20"/>
          <w:szCs w:val="20"/>
        </w:rPr>
        <w:t>t 12 to 24 months will be the FDA’s classification of the Company’s brachytherapy products as Class II or Class III devices (or otherwise) and any requirements for additional studies which may possibly include clinical studies. Thereafter, the principal va</w:t>
      </w:r>
      <w:r>
        <w:rPr>
          <w:sz w:val="20"/>
          <w:szCs w:val="20"/>
        </w:rPr>
        <w:t>riables in the amount of the Company’s spending and its financing requirements would be the timing of any approvals and the nature of the Company’s arrangements with third parties for manufacturing, sales, distribution and licensing of those products and t</w:t>
      </w:r>
      <w:r>
        <w:rPr>
          <w:sz w:val="20"/>
          <w:szCs w:val="20"/>
        </w:rPr>
        <w:t>he products’ success in the U.S. and elsewhere. The Company intends to fund its activities through strategic transactions such as licensing and partnership agreements or from proceeds to be raised from the recent qualified Regulation A+.</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Following receip</w:t>
      </w:r>
      <w:r>
        <w:rPr>
          <w:sz w:val="20"/>
          <w:szCs w:val="20"/>
        </w:rPr>
        <w:t>t of required regulatory approvals and financing, in the U.S., the Company intends to outsource material aspects of manufacturing, distribution, sales and marketing. Outside of the U.S., the Company intends to pursue licensing arrangements and/or partnersh</w:t>
      </w:r>
      <w:r>
        <w:rPr>
          <w:sz w:val="20"/>
          <w:szCs w:val="20"/>
        </w:rPr>
        <w:t>ips to facilitate its global commercialization strategy.</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In </w:t>
      </w:r>
      <w:r>
        <w:rPr>
          <w:sz w:val="20"/>
          <w:szCs w:val="20"/>
        </w:rPr>
        <w:t>the longer-term, subject to the Company receiving adequate funding, regulatory approval for RadioGel™ and other brachytherapy products, and thereafter being able to successfully commercialize its brachytherapy products, the Company intends to consider resu</w:t>
      </w:r>
      <w:r>
        <w:rPr>
          <w:sz w:val="20"/>
          <w:szCs w:val="20"/>
        </w:rPr>
        <w:t>ming research efforts with respect to other products and technologies intended to help improve the diagnosis and treatment of cancer and other illnesses.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Based on the Company’s financial history since inception, the Company’s independent registered publi</w:t>
      </w:r>
      <w:r>
        <w:rPr>
          <w:sz w:val="20"/>
          <w:szCs w:val="20"/>
        </w:rPr>
        <w:t>c accounting firm has expressed substantial doubt as to the Company’s ability to continue as a going concern. The Company has limited revenue, nominal cash, and has accumulated deficits since inception. If the Company cannot obtain sufficient additional ca</w:t>
      </w:r>
      <w:r>
        <w:rPr>
          <w:sz w:val="20"/>
          <w:szCs w:val="20"/>
        </w:rPr>
        <w:t>pital, the Company will be required to delay the implementation of its business strategy and may not be able to continue operations.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 has been impacted from the effects of COVID-19. The Company’s headquarters are in Northeast Washington howeve</w:t>
      </w:r>
      <w:r>
        <w:rPr>
          <w:sz w:val="20"/>
          <w:szCs w:val="20"/>
        </w:rPr>
        <w:t>r there focus of the animal therapy market has been the Northwestern sector of the United States. The Company continues their marketing to the animal therapy market and attempt to increase the exposure to their product and generate revenue accordingly.</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A</w:t>
      </w:r>
      <w:r>
        <w:rPr>
          <w:sz w:val="20"/>
          <w:szCs w:val="20"/>
        </w:rPr>
        <w:t>s of December 31, 2022, the Company has $1,706,065 cash on hand. There are currently commitments to vendors for products and services purchased. To continue the development of the Company’s products, the current level of cash may not be enough to cover the</w:t>
      </w:r>
      <w:r>
        <w:rPr>
          <w:sz w:val="20"/>
          <w:szCs w:val="20"/>
        </w:rPr>
        <w:t xml:space="preserve"> fixed and variable obligations of the Company.</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There is no guarantee that the Company will be able to raise additional funds or to do so at an advantageous price.</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Product Features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Company’s RadioGel™ device has the following product features:</w:t>
      </w:r>
    </w:p>
    <w:p w:rsidR="00000000" w:rsidRDefault="00DA7678">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DA7678">
            <w:pPr>
              <w:jc w:val="both"/>
              <w:rPr>
                <w:rFonts w:eastAsia="Times New Roman"/>
                <w:sz w:val="20"/>
                <w:szCs w:val="20"/>
              </w:rPr>
            </w:pPr>
            <w:r>
              <w:rPr>
                <w:rFonts w:eastAsia="Times New Roman"/>
                <w:sz w:val="20"/>
                <w:szCs w:val="20"/>
              </w:rPr>
              <w:t> </w:t>
            </w:r>
          </w:p>
        </w:tc>
        <w:tc>
          <w:tcPr>
            <w:tcW w:w="360" w:type="dxa"/>
            <w:hideMark/>
          </w:tcPr>
          <w:p w:rsidR="00000000" w:rsidRDefault="00DA7678">
            <w:pPr>
              <w:jc w:val="both"/>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Beta particles only travel a short distance so the device can deliver high radiation to the tumor with minimal dose to the nearby normal tissues. In medical terms Y-90 beta emitter has a high efficacy rate;</w:t>
            </w:r>
          </w:p>
        </w:tc>
      </w:tr>
      <w:tr w:rsidR="00000000">
        <w:trPr>
          <w:tblCellSpacing w:w="0" w:type="dxa"/>
        </w:trPr>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 xml:space="preserve">Benefitting </w:t>
            </w:r>
            <w:r>
              <w:rPr>
                <w:rFonts w:eastAsia="Times New Roman"/>
                <w:sz w:val="20"/>
                <w:szCs w:val="20"/>
              </w:rPr>
              <w:t>from the short penetration distance, the patient can go home immediately with no fear of exposure to family members, and there is a greatly reduced radiation risk to the doctor. A simple plastic tube around the syringe, gloves and safety glasses are all th</w:t>
            </w:r>
            <w:r>
              <w:rPr>
                <w:rFonts w:eastAsia="Times New Roman"/>
                <w:sz w:val="20"/>
                <w:szCs w:val="20"/>
              </w:rPr>
              <w:t>at is required. Other gamma emitting products require much more protection;</w:t>
            </w:r>
          </w:p>
        </w:tc>
      </w:tr>
      <w:tr w:rsidR="00000000">
        <w:trPr>
          <w:tblCellSpacing w:w="0" w:type="dxa"/>
        </w:trPr>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A 2.7-day half-life means that only 5% of the radiation remains after ten days. This is in contrast to the industry-standard gamma irradiation product, which has a half</w:t>
            </w:r>
            <w:r>
              <w:rPr>
                <w:rFonts w:eastAsia="Times New Roman"/>
                <w:sz w:val="20"/>
                <w:szCs w:val="20"/>
              </w:rPr>
              <w:t>-life of 17 days;</w:t>
            </w:r>
          </w:p>
        </w:tc>
      </w:tr>
      <w:tr w:rsidR="00000000">
        <w:trPr>
          <w:tblCellSpacing w:w="0" w:type="dxa"/>
        </w:trPr>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The short half-life also means that any medical waste can be stored for thirty days then disposed as normal hospital waste;</w:t>
            </w:r>
          </w:p>
        </w:tc>
      </w:tr>
      <w:tr w:rsidR="00000000">
        <w:trPr>
          <w:tblCellSpacing w:w="0" w:type="dxa"/>
        </w:trPr>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 xml:space="preserve">RadioGel™ </w:t>
            </w:r>
            <w:r>
              <w:rPr>
                <w:rFonts w:eastAsia="Times New Roman"/>
                <w:sz w:val="20"/>
                <w:szCs w:val="20"/>
              </w:rPr>
              <w:t>can be administered with small diameter needles (27-gauge) so there is minimal damage to the normal tissue. This is in contrast to the injection of metal seeds, which does considerable damage; and</w:t>
            </w:r>
          </w:p>
        </w:tc>
      </w:tr>
      <w:tr w:rsidR="00000000">
        <w:trPr>
          <w:tblCellSpacing w:w="0" w:type="dxa"/>
        </w:trPr>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After about 120 days the gel resorbs by a norma</w:t>
            </w:r>
            <w:r>
              <w:rPr>
                <w:rFonts w:eastAsia="Times New Roman"/>
                <w:sz w:val="20"/>
                <w:szCs w:val="20"/>
              </w:rPr>
              <w:t>l biological cycle, called the Krebs Cycle. The only remaining evidence of the treatment are phosphate particles so small in diameter that it requires a high-resolution microscope to find them. This is in contrast to permanent presence of metal seeds.</w:t>
            </w:r>
          </w:p>
        </w:tc>
      </w:tr>
    </w:tbl>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32414744"/>
        </w:trPr>
        <w:tc>
          <w:tcPr>
            <w:tcW w:w="5000" w:type="pct"/>
            <w:hideMark/>
          </w:tcPr>
          <w:p w:rsidR="00000000" w:rsidRDefault="00DA7678">
            <w:pPr>
              <w:jc w:val="center"/>
              <w:rPr>
                <w:rFonts w:eastAsia="Times New Roman"/>
                <w:sz w:val="20"/>
                <w:szCs w:val="20"/>
              </w:rPr>
            </w:pP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Steps from Production to Therapy</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i/>
          <w:iCs/>
          <w:sz w:val="20"/>
          <w:szCs w:val="20"/>
        </w:rPr>
        <w:t>Device Production</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During </w:t>
      </w:r>
      <w:r>
        <w:rPr>
          <w:sz w:val="20"/>
          <w:szCs w:val="20"/>
        </w:rPr>
        <w:t>the next two years, the Company intends to outsource material aspects of manufacturing and distribution. As future product volume increases, the Company will reassess its make-buy decision on manufacturing and will analyze the cost/benefit of a centrally l</w:t>
      </w:r>
      <w:r>
        <w:rPr>
          <w:sz w:val="20"/>
          <w:szCs w:val="20"/>
        </w:rPr>
        <w:t>ocated facility.</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i/>
          <w:iCs/>
          <w:sz w:val="20"/>
          <w:szCs w:val="20"/>
        </w:rPr>
        <w:t>Production of the Hydrogel</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RadioGel</w:t>
      </w:r>
      <w:r>
        <w:rPr>
          <w:sz w:val="20"/>
          <w:szCs w:val="20"/>
          <w:vertAlign w:val="superscript"/>
        </w:rPr>
        <w:t xml:space="preserve">™ </w:t>
      </w:r>
      <w:r>
        <w:rPr>
          <w:sz w:val="20"/>
          <w:szCs w:val="20"/>
        </w:rPr>
        <w:t>is manufactured with a proprietary process under ventilated sterile hood by following strict Good Laboratory Practices (“</w:t>
      </w:r>
      <w:r>
        <w:rPr>
          <w:i/>
          <w:iCs/>
          <w:sz w:val="20"/>
          <w:szCs w:val="20"/>
        </w:rPr>
        <w:t>GLP</w:t>
      </w:r>
      <w:r>
        <w:rPr>
          <w:sz w:val="20"/>
          <w:szCs w:val="20"/>
        </w:rPr>
        <w:t>”) procedures. It is made in large batches that are frozen for up to three</w:t>
      </w:r>
      <w:r>
        <w:rPr>
          <w:sz w:val="20"/>
          <w:szCs w:val="20"/>
        </w:rPr>
        <w:t xml:space="preserve"> months. When the product is ready to ship, a small quantity of the gel is dissolved in a sterile saline solution. It is then passed through an ultra-fine filter to ensure sterility.</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i/>
          <w:iCs/>
          <w:sz w:val="20"/>
          <w:szCs w:val="20"/>
        </w:rPr>
        <w:t>Production of the Yttrium-90 Phosphate Particles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Y-90 particles a</w:t>
      </w:r>
      <w:r>
        <w:rPr>
          <w:sz w:val="20"/>
          <w:szCs w:val="20"/>
        </w:rPr>
        <w:t>re produced with simple ingredients via a proprietary process, again following strict GLP procedures. They are then mixed into a phosphate-buffered saline solution. They can be produced in large batches for several shipments. The number of particles per sh</w:t>
      </w:r>
      <w:r>
        <w:rPr>
          <w:sz w:val="20"/>
          <w:szCs w:val="20"/>
        </w:rPr>
        <w:t>ipment is determined by the dose prescribed by the doctor.</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i/>
          <w:iCs/>
          <w:sz w:val="20"/>
          <w:szCs w:val="20"/>
        </w:rPr>
        <w:t>Pre-Mixing – RTU, Ready to Use</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Vivos Inc now pre-mixes the particle solution and the hydrogel and places the RTU IsoPet in standard size vials. This innovation is cost effective and reduces the</w:t>
      </w:r>
      <w:r>
        <w:rPr>
          <w:sz w:val="20"/>
          <w:szCs w:val="20"/>
        </w:rPr>
        <w:t xml:space="preserve"> probability of any accidental spills or biological contamination at the therapy sites. It also simplified the certification training for new regional clinics.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i/>
          <w:iCs/>
          <w:sz w:val="20"/>
          <w:szCs w:val="20"/>
        </w:rPr>
        <w:t>Shipment</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The </w:t>
      </w:r>
      <w:r>
        <w:rPr>
          <w:sz w:val="20"/>
          <w:szCs w:val="20"/>
        </w:rPr>
        <w:t>vials are shipped via FedEx or UPS by following the proper protocols.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i/>
          <w:iCs/>
          <w:sz w:val="20"/>
          <w:szCs w:val="20"/>
        </w:rPr>
        <w:t>At the User</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quantities and activities are in the information on the product label.</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specific injection technique depends on the Indication for Use. For small tumors, one cen</w:t>
      </w:r>
      <w:r>
        <w:rPr>
          <w:sz w:val="20"/>
          <w:szCs w:val="20"/>
        </w:rPr>
        <w:t>timeter in diameter or less, the cancer is treated with a single injection. For larger tumors, the cancer is treated with a series of small injections from the same syringe or multiple syringes.</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Principal Markets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The </w:t>
      </w:r>
      <w:r>
        <w:rPr>
          <w:sz w:val="20"/>
          <w:szCs w:val="20"/>
        </w:rPr>
        <w:t>Company is currently pursuing two synergistic business sectors, medical and veterinary, each of which are summarized below.</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i/>
          <w:iCs/>
          <w:sz w:val="20"/>
          <w:szCs w:val="20"/>
        </w:rPr>
        <w:t>Medical Sector</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RadioGel</w:t>
      </w:r>
      <w:r>
        <w:rPr>
          <w:sz w:val="20"/>
          <w:szCs w:val="20"/>
          <w:vertAlign w:val="superscript"/>
        </w:rPr>
        <w:t xml:space="preserve">™ </w:t>
      </w:r>
      <w:r>
        <w:rPr>
          <w:sz w:val="20"/>
          <w:szCs w:val="20"/>
        </w:rPr>
        <w:t>is currently fully developed, requiring only FDA approval before commercialization.</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Building on the F</w:t>
      </w:r>
      <w:r>
        <w:rPr>
          <w:sz w:val="20"/>
          <w:szCs w:val="20"/>
        </w:rPr>
        <w:t>DA’s ruling of RadioGel</w:t>
      </w:r>
      <w:r>
        <w:rPr>
          <w:sz w:val="20"/>
          <w:szCs w:val="20"/>
          <w:vertAlign w:val="superscript"/>
        </w:rPr>
        <w:t>™</w:t>
      </w:r>
      <w:r>
        <w:rPr>
          <w:sz w:val="20"/>
          <w:szCs w:val="20"/>
        </w:rPr>
        <w:t xml:space="preserve"> as a device, the Company incorporated the FDA suggestions and has invested in the pre-clinical testing required for IDE submittal. This included two years of effort on biocompatibility testing. The last remaining animal test has be</w:t>
      </w:r>
      <w:r>
        <w:rPr>
          <w:sz w:val="20"/>
          <w:szCs w:val="20"/>
        </w:rPr>
        <w:t>en designed and has begun the initial scoping phase.</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RadioGel</w:t>
      </w:r>
      <w:r>
        <w:rPr>
          <w:sz w:val="20"/>
          <w:szCs w:val="20"/>
          <w:vertAlign w:val="superscript"/>
        </w:rPr>
        <w:t xml:space="preserve">™ </w:t>
      </w:r>
      <w:r>
        <w:rPr>
          <w:sz w:val="20"/>
          <w:szCs w:val="20"/>
        </w:rPr>
        <w:t>is currently fully developed, requiring only FDA approval before commercialization. The Company has been seeking FDA approval of RadioGel™ for almost five years. Recent progress has been dela</w:t>
      </w:r>
      <w:r>
        <w:rPr>
          <w:sz w:val="20"/>
          <w:szCs w:val="20"/>
        </w:rPr>
        <w:t>yed due to a lack of adequate funding. The principal issue preventing approval is that the Company attempted to obtain regulatory approval for a broad range of Indications for Use, including all non-resectable cancers, without sufficient supporting data.</w:t>
      </w:r>
    </w:p>
    <w:p w:rsidR="00000000" w:rsidRDefault="00DA767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98053317"/>
        </w:trPr>
        <w:tc>
          <w:tcPr>
            <w:tcW w:w="5000" w:type="pct"/>
            <w:hideMark/>
          </w:tcPr>
          <w:p w:rsidR="00000000" w:rsidRDefault="00DA7678">
            <w:pPr>
              <w:jc w:val="center"/>
              <w:rPr>
                <w:rFonts w:eastAsia="Times New Roman"/>
                <w:sz w:val="20"/>
                <w:szCs w:val="20"/>
              </w:rPr>
            </w:pPr>
            <w:r>
              <w:rPr>
                <w:rFonts w:eastAsia="Times New Roman"/>
                <w:sz w:val="20"/>
                <w:szCs w:val="20"/>
              </w:rPr>
              <w:t>1</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i/>
          <w:iCs/>
          <w:sz w:val="20"/>
          <w:szCs w:val="20"/>
        </w:rPr>
        <w:t>Veterinary Sector</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There </w:t>
      </w:r>
      <w:r>
        <w:rPr>
          <w:sz w:val="20"/>
          <w:szCs w:val="20"/>
        </w:rPr>
        <w:t>are approximately 150 million pet dogs and cats in the United States. Nearly one-half of dogs and one-third of cats are diagnosed with cancer at some point in their lifetime. The Veterinary Oncology &amp; Hematology Center in Norwalk, Connecticut, reports that</w:t>
      </w:r>
      <w:r>
        <w:rPr>
          <w:sz w:val="20"/>
          <w:szCs w:val="20"/>
        </w:rPr>
        <w:t xml:space="preserve"> cancer is the number one natural cause of death in older cats and dogs, accounting for nearly 50 percent of pet deaths each year. The American Veterinary Medical Association reports that half of the dogs ten years or older will die because of cancer. The </w:t>
      </w:r>
      <w:r>
        <w:rPr>
          <w:sz w:val="20"/>
          <w:szCs w:val="20"/>
        </w:rPr>
        <w:t>National Cancer Institute reports that about six million dogs are diagnosed with cancer each year, translating to more than 16,000 a day.</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Company’s IsoPet</w:t>
      </w:r>
      <w:r>
        <w:rPr>
          <w:sz w:val="20"/>
          <w:szCs w:val="20"/>
          <w:vertAlign w:val="superscript"/>
        </w:rPr>
        <w:t>®</w:t>
      </w:r>
      <w:r>
        <w:rPr>
          <w:sz w:val="20"/>
          <w:szCs w:val="20"/>
        </w:rPr>
        <w:t xml:space="preserve"> operating division focuses on the veterinary oncology market. Dr. Alice Villalobos, a founding</w:t>
      </w:r>
      <w:r>
        <w:rPr>
          <w:sz w:val="20"/>
          <w:szCs w:val="20"/>
        </w:rPr>
        <w:t xml:space="preserve"> member of the Veterinary Cancer Society and the Chair of our Veterinary Medicine Advisory Board, has been providing guidance to management regarding this market. The Veterinary Medicine Advisory Board gives us recommendations regarding the overall strateg</w:t>
      </w:r>
      <w:r>
        <w:rPr>
          <w:sz w:val="20"/>
          <w:szCs w:val="20"/>
        </w:rPr>
        <w:t>y for our animal business sector. Specially, they recommended the university veterinary hospitals for demonstration therapies, the specific cancers to be treated, and have provided business contact information to the private clinics.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Development of the p</w:t>
      </w:r>
      <w:r>
        <w:rPr>
          <w:sz w:val="20"/>
          <w:szCs w:val="20"/>
        </w:rPr>
        <w:t>roduct and application techniques and animal testing is allowed under FDA regulation. Commercial sales of RadioGel</w:t>
      </w:r>
      <w:r>
        <w:rPr>
          <w:sz w:val="20"/>
          <w:szCs w:val="20"/>
          <w:vertAlign w:val="superscript"/>
        </w:rPr>
        <w:t xml:space="preserve">TM </w:t>
      </w:r>
      <w:r>
        <w:rPr>
          <w:sz w:val="20"/>
          <w:szCs w:val="20"/>
        </w:rPr>
        <w:t>for animals requires confirmation by the FDA Center for Veterinary Medicine (“</w:t>
      </w:r>
      <w:r>
        <w:rPr>
          <w:i/>
          <w:iCs/>
          <w:sz w:val="20"/>
          <w:szCs w:val="20"/>
        </w:rPr>
        <w:t>CVM</w:t>
      </w:r>
      <w:r>
        <w:rPr>
          <w:sz w:val="20"/>
          <w:szCs w:val="20"/>
        </w:rPr>
        <w:t>”). In January 2018, the Center for Veterinary Medicine Pr</w:t>
      </w:r>
      <w:r>
        <w:rPr>
          <w:sz w:val="20"/>
          <w:szCs w:val="20"/>
        </w:rPr>
        <w:t>oduct Classification Group, the entity within the CVM that is responsible for determining the classification of a product, ruled that RadioGel</w:t>
      </w:r>
      <w:r>
        <w:rPr>
          <w:sz w:val="20"/>
          <w:szCs w:val="20"/>
          <w:vertAlign w:val="superscript"/>
        </w:rPr>
        <w:t>TM</w:t>
      </w:r>
      <w:r>
        <w:rPr>
          <w:sz w:val="20"/>
          <w:szCs w:val="20"/>
        </w:rPr>
        <w:t xml:space="preserve"> should be classified as a device for animal therapy of feline sarcomas and canine soft tissue sarcomas.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Addit</w:t>
      </w:r>
      <w:r>
        <w:rPr>
          <w:sz w:val="20"/>
          <w:szCs w:val="20"/>
        </w:rPr>
        <w:t>ionally, after a legal review, the Company believes that the device classification obtained from the FDA Center for Veterinary Medicine is not limited to canine and feline sarcomas, but rather may be extended to a much broader population of veterinary canc</w:t>
      </w:r>
      <w:r>
        <w:rPr>
          <w:sz w:val="20"/>
          <w:szCs w:val="20"/>
        </w:rPr>
        <w:t>ers, including all or most all solid tumors in animals. We expect the result of such classification and label approval will be that no additional regulatory approvals are necessary for the use of RadioGel</w:t>
      </w:r>
      <w:r>
        <w:rPr>
          <w:sz w:val="20"/>
          <w:szCs w:val="20"/>
          <w:vertAlign w:val="superscript"/>
        </w:rPr>
        <w:t>TM</w:t>
      </w:r>
      <w:r>
        <w:rPr>
          <w:sz w:val="20"/>
          <w:szCs w:val="20"/>
        </w:rPr>
        <w:t xml:space="preserve"> for the treatment of solid tumors in animals. The</w:t>
      </w:r>
      <w:r>
        <w:rPr>
          <w:sz w:val="20"/>
          <w:szCs w:val="20"/>
        </w:rPr>
        <w:t xml:space="preserve"> FDA does not have premarket authority over devices with a veterinary classification, and the manufacturers are responsible for assuring that the product is safe, effective, properly labeled, and otherwise in compliance with all applicable laws and regulat</w:t>
      </w:r>
      <w:r>
        <w:rPr>
          <w:sz w:val="20"/>
          <w:szCs w:val="20"/>
        </w:rPr>
        <w:t>ions.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 currently intends to utilize university veterinary hospitals for therapy development, given that veterinary hospitals offer superior and plentiful veterinarians and students, a large number of animal patients, radioactive material handl</w:t>
      </w:r>
      <w:r>
        <w:rPr>
          <w:sz w:val="20"/>
          <w:szCs w:val="20"/>
        </w:rPr>
        <w:t>ing licenses, and are respected by private veterinary centers and hospitals.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Competitors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 competes in a market characterized by technological innovation, extensive research efforts, and significant competition.</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The </w:t>
      </w:r>
      <w:r>
        <w:rPr>
          <w:sz w:val="20"/>
          <w:szCs w:val="20"/>
        </w:rPr>
        <w:t>pharmaceutical and biotechnology industries are intensely competitive and subject to rapid and significant technological changes. A number of companies are pursuing the development of pharmaceuticals and products that target the same diseases and condition</w:t>
      </w:r>
      <w:r>
        <w:rPr>
          <w:sz w:val="20"/>
          <w:szCs w:val="20"/>
        </w:rPr>
        <w:t>s that our products target. We cannot predict with accuracy the timing or impact of the introduction of potentially competitive products or their possible effect on our sales. Certain potentially competitive products to our products may be in various stage</w:t>
      </w:r>
      <w:r>
        <w:rPr>
          <w:sz w:val="20"/>
          <w:szCs w:val="20"/>
        </w:rPr>
        <w:t xml:space="preserve">s of development. Also, there may be many ongoing studies with currently marketed products and other developmental products, which may yield new data that could adversely impact the use of our products in their current and potential future Indications for </w:t>
      </w:r>
      <w:r>
        <w:rPr>
          <w:sz w:val="20"/>
          <w:szCs w:val="20"/>
        </w:rPr>
        <w:t>Use. The introduction of competitive products could significantly reduce our sales, which, in turn would adversely impact our financial and operating results.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There are a wide variety of cancer treatments approved and marketed in the U.S. and globally. G</w:t>
      </w:r>
      <w:r>
        <w:rPr>
          <w:sz w:val="20"/>
          <w:szCs w:val="20"/>
        </w:rPr>
        <w:t>eneral categories of treatment include surgery, chemotherapy, radiation therapy and immunotherapy. These products have a diverse set of success rates and side effects. The Company’s products, including RadioGel</w:t>
      </w:r>
      <w:r>
        <w:rPr>
          <w:sz w:val="20"/>
          <w:szCs w:val="20"/>
          <w:vertAlign w:val="superscript"/>
        </w:rPr>
        <w:t>™</w:t>
      </w:r>
      <w:r>
        <w:rPr>
          <w:sz w:val="20"/>
          <w:szCs w:val="20"/>
        </w:rPr>
        <w:t>, fall into the brachytherapy treatment categ</w:t>
      </w:r>
      <w:r>
        <w:rPr>
          <w:sz w:val="20"/>
          <w:szCs w:val="20"/>
        </w:rPr>
        <w:t>ory. There are a number of brachytherapy devices currently marketed in the U.S. and globally. The traditional iodine-125 (I-125) and palladium-103 (Pd-103) technologies for brachytherapy are well entrenched with powerful market players controlling the mark</w:t>
      </w:r>
      <w:r>
        <w:rPr>
          <w:sz w:val="20"/>
          <w:szCs w:val="20"/>
        </w:rPr>
        <w:t>et. The industry-standard I-125-based therapy was developed by Oncura, which is a unit of General Electric Company. Additionally, C.R. Bard, a major industry player competes in the I-125 brachytherapy marketplace. These market competitors are also involved</w:t>
      </w:r>
      <w:r>
        <w:rPr>
          <w:sz w:val="20"/>
          <w:szCs w:val="20"/>
        </w:rPr>
        <w:t xml:space="preserve"> in the distribution of Pd-103 based products. Cs-131 brachytherapy products are sold by IsoRay. Several Y-90 therapies have been FDA approved including SIR-Spheres by Sirtex, TheraSphere by Biocompatibles UK and Zevalin by Spectrum Pharmaceuticals.</w:t>
      </w:r>
    </w:p>
    <w:p w:rsidR="00000000" w:rsidRDefault="00DA767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118677938"/>
        </w:trPr>
        <w:tc>
          <w:tcPr>
            <w:tcW w:w="5000" w:type="pct"/>
            <w:hideMark/>
          </w:tcPr>
          <w:p w:rsidR="00000000" w:rsidRDefault="00DA7678">
            <w:pPr>
              <w:jc w:val="center"/>
              <w:rPr>
                <w:rFonts w:eastAsia="Times New Roman"/>
                <w:sz w:val="20"/>
                <w:szCs w:val="20"/>
              </w:rPr>
            </w:pPr>
            <w:r>
              <w:rPr>
                <w:rFonts w:eastAsia="Times New Roman"/>
                <w:sz w:val="20"/>
                <w:szCs w:val="20"/>
              </w:rPr>
              <w:t>1</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Raw Materials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 currently subcontracts the manufacturing of RadioGel</w:t>
      </w:r>
      <w:r>
        <w:rPr>
          <w:sz w:val="20"/>
          <w:szCs w:val="20"/>
          <w:vertAlign w:val="superscript"/>
        </w:rPr>
        <w:t>TM</w:t>
      </w:r>
      <w:r>
        <w:rPr>
          <w:sz w:val="20"/>
          <w:szCs w:val="20"/>
        </w:rPr>
        <w:t xml:space="preserve"> at IsoTherapeutics. Prior to 2021, Eckert and Ziegler was the only supplier of Y-90 in the United States, and was the sole supplier of the Y-90 used by IsoTherapeuti</w:t>
      </w:r>
      <w:r>
        <w:rPr>
          <w:sz w:val="20"/>
          <w:szCs w:val="20"/>
        </w:rPr>
        <w:t>cs to manufacture the Company’s RadioGel</w:t>
      </w:r>
      <w:r>
        <w:rPr>
          <w:sz w:val="20"/>
          <w:szCs w:val="20"/>
          <w:vertAlign w:val="superscript"/>
        </w:rPr>
        <w:t>™</w:t>
      </w:r>
      <w:r>
        <w:rPr>
          <w:sz w:val="20"/>
          <w:szCs w:val="20"/>
        </w:rPr>
        <w:t>. The Company obtains supplies, hardware, handling equipment and packaging from several different U.S. suppliers.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During 2021, the Company engaged Akina, Inc. as an alternate supplier of its hydrogel polymer compo</w:t>
      </w:r>
      <w:r>
        <w:rPr>
          <w:sz w:val="20"/>
          <w:szCs w:val="20"/>
        </w:rPr>
        <w:t>nent. We have now expanded to include SciPoly as another alternate polymer supplier.</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In the future we will be looking to qualify an alternative particle supplier.</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Customers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The </w:t>
      </w:r>
      <w:r>
        <w:rPr>
          <w:sz w:val="20"/>
          <w:szCs w:val="20"/>
        </w:rPr>
        <w:t>Company anticipates that potential customers for our potential brachytherapy products likely would include those institutions and individuals that currently purchase brachytherapy products or other oncology treatment products.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Government Regulation</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w:t>
      </w:r>
      <w:r>
        <w:rPr>
          <w:sz w:val="20"/>
          <w:szCs w:val="20"/>
        </w:rPr>
        <w:t xml:space="preserve"> Company’s present and future intended activities in the development, manufacturing and sale of cancer therapy products, including RadioGel</w:t>
      </w:r>
      <w:r>
        <w:rPr>
          <w:sz w:val="20"/>
          <w:szCs w:val="20"/>
          <w:vertAlign w:val="superscript"/>
        </w:rPr>
        <w:t>™</w:t>
      </w:r>
      <w:r>
        <w:rPr>
          <w:sz w:val="20"/>
          <w:szCs w:val="20"/>
        </w:rPr>
        <w:t>, are subject to extensive laws, regulations, regulatory approvals and guidelines. Within the United States, the Com</w:t>
      </w:r>
      <w:r>
        <w:rPr>
          <w:sz w:val="20"/>
          <w:szCs w:val="20"/>
        </w:rPr>
        <w:t>pany’s therapeutic radiological devices must comply with the U.S. Federal Food, Drug and Cosmetic Act, which is enforced by FDA. The Company is also required to adhere to applicable FDA Quality System Regulations, also known as the Good Manufacturing Pract</w:t>
      </w:r>
      <w:r>
        <w:rPr>
          <w:sz w:val="20"/>
          <w:szCs w:val="20"/>
        </w:rPr>
        <w:t>ices, which include extensive record keeping and periodic inspections of manufacturing facilities.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In the United States, the FDA regulates, among other things, new product clearances and approvals to establish the safety and efficacy of these products. W</w:t>
      </w:r>
      <w:r>
        <w:rPr>
          <w:sz w:val="20"/>
          <w:szCs w:val="20"/>
        </w:rPr>
        <w:t>e are also subject to other federal and state laws and regulations, including the Occupational Safety and Health Act and the Environmental Protection Act.</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Federal Food, Drug, and Cosmetic Act and other federal statutes and regulations govern or influ</w:t>
      </w:r>
      <w:r>
        <w:rPr>
          <w:sz w:val="20"/>
          <w:szCs w:val="20"/>
        </w:rPr>
        <w:t>ence the research, testing, manufacture, safety, labeling, storage, record keeping, approval, distribution, use, reporting, advertising and promotion of such products. Noncompliance with applicable requirements can result in civil penalties, recall, injunc</w:t>
      </w:r>
      <w:r>
        <w:rPr>
          <w:sz w:val="20"/>
          <w:szCs w:val="20"/>
        </w:rPr>
        <w:t>tion or seizure of products, refusal of the government to approve or clear product approval applications, disqualification from sponsoring or conducting clinical investigations, preventing us from entering into government supply contracts, withdrawal of pr</w:t>
      </w:r>
      <w:r>
        <w:rPr>
          <w:sz w:val="20"/>
          <w:szCs w:val="20"/>
        </w:rPr>
        <w:t>eviously approved applications, and criminal prosecution.</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In the United States, medical devices are classified into three different categories over which the FDA applies increasing levels of regulation: Class I, Class II, and Class III. Most Class I devi</w:t>
      </w:r>
      <w:r>
        <w:rPr>
          <w:sz w:val="20"/>
          <w:szCs w:val="20"/>
        </w:rPr>
        <w:t>ces are exempt from premarket notification 510(k); most Class II devices require premarket notification 510(k); and most Class III devices require premarket approval. RadioGel</w:t>
      </w:r>
      <w:r>
        <w:rPr>
          <w:sz w:val="20"/>
          <w:szCs w:val="20"/>
          <w:vertAlign w:val="superscript"/>
        </w:rPr>
        <w:t>™</w:t>
      </w:r>
      <w:r>
        <w:rPr>
          <w:sz w:val="20"/>
          <w:szCs w:val="20"/>
        </w:rPr>
        <w:t xml:space="preserve"> is currently classified as a Class III device.</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Approval of new Class III medi</w:t>
      </w:r>
      <w:r>
        <w:rPr>
          <w:sz w:val="20"/>
          <w:szCs w:val="20"/>
        </w:rPr>
        <w:t xml:space="preserve">cal devices is a lengthy procedure and can take a number of years and require the expenditure of significant resources. There is a shorter FDA review and clearance process for Class II medical devices, the premarket notification or 510(k) process, whereby </w:t>
      </w:r>
      <w:r>
        <w:rPr>
          <w:sz w:val="20"/>
          <w:szCs w:val="20"/>
        </w:rPr>
        <w:t>a company can market certain Class II medical devices that can be shown to be substantially equivalent to other legally marketed devices.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The Company intends to apply for a </w:t>
      </w:r>
      <w:r>
        <w:rPr>
          <w:i/>
          <w:iCs/>
          <w:sz w:val="20"/>
          <w:szCs w:val="20"/>
        </w:rPr>
        <w:t>de novo</w:t>
      </w:r>
      <w:r>
        <w:rPr>
          <w:sz w:val="20"/>
          <w:szCs w:val="20"/>
        </w:rPr>
        <w:t xml:space="preserve"> with an anticipated expenditure of $10.0 million over the next four years</w:t>
      </w:r>
      <w:r>
        <w:rPr>
          <w:sz w:val="20"/>
          <w:szCs w:val="20"/>
        </w:rPr>
        <w:t xml:space="preserve">. This expenditure estimate includes anticipated costs associated with in vitro and in vivo pre-clinical testing, our application for an Investigational Device Exemption, Phase I and Phase II clinical trials and our application for a </w:t>
      </w:r>
      <w:r>
        <w:rPr>
          <w:i/>
          <w:iCs/>
          <w:sz w:val="20"/>
          <w:szCs w:val="20"/>
        </w:rPr>
        <w:t>de novo</w:t>
      </w:r>
      <w:r>
        <w:rPr>
          <w:sz w:val="20"/>
          <w:szCs w:val="20"/>
        </w:rPr>
        <w:t>.</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As a regist</w:t>
      </w:r>
      <w:r>
        <w:rPr>
          <w:sz w:val="20"/>
          <w:szCs w:val="20"/>
        </w:rPr>
        <w:t>ered medical device manufacturer with the FDA, we are subject to inspection to ensure compliance with FDA’s current Good Manufacturing Practices, or cGMP. These regulations require that we and any of our contract manufacturers design, manufacture and servi</w:t>
      </w:r>
      <w:r>
        <w:rPr>
          <w:sz w:val="20"/>
          <w:szCs w:val="20"/>
        </w:rPr>
        <w:t>ce products, and maintain documents in a prescribed manner with respect to manufacturing, testing, distribution, storage, design control, and service activities. Modifications or enhancements that could significantly affect the safety or effectiveness of a</w:t>
      </w:r>
      <w:r>
        <w:rPr>
          <w:sz w:val="20"/>
          <w:szCs w:val="20"/>
        </w:rPr>
        <w:t xml:space="preserve"> device or that constitute a major change to the intended use of the device require a new 510(k) premarket notification for any significant product modification.</w:t>
      </w:r>
    </w:p>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10702903"/>
        </w:trPr>
        <w:tc>
          <w:tcPr>
            <w:tcW w:w="5000" w:type="pct"/>
            <w:hideMark/>
          </w:tcPr>
          <w:p w:rsidR="00000000" w:rsidRDefault="00DA7678">
            <w:pPr>
              <w:jc w:val="center"/>
              <w:rPr>
                <w:rFonts w:eastAsia="Times New Roman"/>
                <w:sz w:val="20"/>
                <w:szCs w:val="20"/>
              </w:rPr>
            </w:pPr>
            <w:r>
              <w:rPr>
                <w:rFonts w:eastAsia="Times New Roman"/>
                <w:sz w:val="20"/>
                <w:szCs w:val="20"/>
              </w:rPr>
              <w:t>1</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The </w:t>
      </w:r>
      <w:r>
        <w:rPr>
          <w:sz w:val="20"/>
          <w:szCs w:val="20"/>
        </w:rPr>
        <w:t>Medical Device Reporting regulation requires that we provide information to the FDA on deaths or serious injuries alleged to be associated with the use of our devices, as well as product malfunctions that are likely to cause or contribute to death or serio</w:t>
      </w:r>
      <w:r>
        <w:rPr>
          <w:sz w:val="20"/>
          <w:szCs w:val="20"/>
        </w:rPr>
        <w:t>us injury if the malfunction were to recur. Labeling and promotional activities are regulated by the FDA and, in some circumstances, by the Federal Trade Commission.</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As a medical device manufacturer, we are also subject to laws and regulations administer</w:t>
      </w:r>
      <w:r>
        <w:rPr>
          <w:sz w:val="20"/>
          <w:szCs w:val="20"/>
        </w:rPr>
        <w:t xml:space="preserve">ed by governmental entities at the federal, state and local levels. For example, our facility is licensed as a medical device manufacturing facility in the State of Washington and is subject to periodic state regulatory inspections. Our customers are also </w:t>
      </w:r>
      <w:r>
        <w:rPr>
          <w:sz w:val="20"/>
          <w:szCs w:val="20"/>
        </w:rPr>
        <w:t>subject to a wide variety of laws and regulations that could affect the nature and scope of their relationships with us.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In the United States, as a manufacturer of medical devices and devices utilizing radioactive byproduct material, we are subject to ex</w:t>
      </w:r>
      <w:r>
        <w:rPr>
          <w:sz w:val="20"/>
          <w:szCs w:val="20"/>
        </w:rPr>
        <w:t xml:space="preserve">tensive regulation by not only federal governmental authorities, such as the FDA and FAA, but also by state and local governmental authorities, such as the Washington State Department of Health, to ensure such devices are safe and effective. In Washington </w:t>
      </w:r>
      <w:r>
        <w:rPr>
          <w:sz w:val="20"/>
          <w:szCs w:val="20"/>
        </w:rPr>
        <w:t>State, the Department of Health, by agreement with the federal Nuclear Regulatory Commission (“</w:t>
      </w:r>
      <w:r>
        <w:rPr>
          <w:i/>
          <w:iCs/>
          <w:sz w:val="20"/>
          <w:szCs w:val="20"/>
        </w:rPr>
        <w:t>NRC</w:t>
      </w:r>
      <w:r>
        <w:rPr>
          <w:sz w:val="20"/>
          <w:szCs w:val="20"/>
        </w:rPr>
        <w:t>”), regulates the possession, use, and disposal of radioactive byproduct material as well as the manufacture of radioactive sealed sources to ensure complianc</w:t>
      </w:r>
      <w:r>
        <w:rPr>
          <w:sz w:val="20"/>
          <w:szCs w:val="20"/>
        </w:rPr>
        <w:t>e with state and federal laws and regulations. RadioGel</w:t>
      </w:r>
      <w:r>
        <w:rPr>
          <w:sz w:val="20"/>
          <w:szCs w:val="20"/>
          <w:vertAlign w:val="superscript"/>
        </w:rPr>
        <w:t>™</w:t>
      </w:r>
      <w:r>
        <w:rPr>
          <w:sz w:val="20"/>
          <w:szCs w:val="20"/>
        </w:rPr>
        <w:t xml:space="preserve"> constitutes both medical devices and radioactive sealed sources and are subject to these regulations.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Moreover, our use, management, and disposal of certain radioactive substances and wastes are su</w:t>
      </w:r>
      <w:r>
        <w:rPr>
          <w:sz w:val="20"/>
          <w:szCs w:val="20"/>
        </w:rPr>
        <w:t>bject to regulation by several federal and state agencies depending on the nature of the substance or waste material. We believe that we are in compliance with all federal and state regulations for this purpose.</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Environmental Regulation</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Our business do</w:t>
      </w:r>
      <w:r>
        <w:rPr>
          <w:sz w:val="20"/>
          <w:szCs w:val="20"/>
        </w:rPr>
        <w:t>es not require us to comply with any extraordinary environmental regulations. Our RadioGel</w:t>
      </w:r>
      <w:r>
        <w:rPr>
          <w:sz w:val="20"/>
          <w:szCs w:val="20"/>
          <w:vertAlign w:val="superscript"/>
        </w:rPr>
        <w:t>™</w:t>
      </w:r>
      <w:r>
        <w:rPr>
          <w:sz w:val="20"/>
          <w:szCs w:val="20"/>
        </w:rPr>
        <w:t xml:space="preserve"> product is manufactured in an independently owned and operated facility. Any environmental effects or contamination event that could result would be from the shippi</w:t>
      </w:r>
      <w:r>
        <w:rPr>
          <w:sz w:val="20"/>
          <w:szCs w:val="20"/>
        </w:rPr>
        <w:t>ng company during shipment and misuse by the treatment facility upon arrival.</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Human Capital</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As of December 31, 2022, the Company had one full-time personnel. The Company utilizes several independent contractors to assist with its operations. The Compan</w:t>
      </w:r>
      <w:r>
        <w:rPr>
          <w:sz w:val="20"/>
          <w:szCs w:val="20"/>
        </w:rPr>
        <w:t>y does not have a collective bargaining agreement with any of its personnel and believes its relations with its personnel are good.</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Available Information</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The </w:t>
      </w:r>
      <w:r>
        <w:rPr>
          <w:sz w:val="20"/>
          <w:szCs w:val="20"/>
        </w:rPr>
        <w:t>Company prepares and files annual reports on Form 10-K, quarterly reports on Form 10-Q, current reports on Form 8-K and certain other information with the United States Securities and Exchange Commission (the “</w:t>
      </w:r>
      <w:r>
        <w:rPr>
          <w:i/>
          <w:iCs/>
          <w:sz w:val="20"/>
          <w:szCs w:val="20"/>
        </w:rPr>
        <w:t>SEC</w:t>
      </w:r>
      <w:r>
        <w:rPr>
          <w:sz w:val="20"/>
          <w:szCs w:val="20"/>
        </w:rPr>
        <w:t>”). The SEC maintains an Internet site that</w:t>
      </w:r>
      <w:r>
        <w:rPr>
          <w:sz w:val="20"/>
          <w:szCs w:val="20"/>
        </w:rPr>
        <w:t xml:space="preserve"> contains reports, proxy and information statements, and other information regarding issuers that file electronically with the SEC at http://www.sec.gov. Moreover, the Company maintains a website at http://www.RadioGel.com that contains important informati</w:t>
      </w:r>
      <w:r>
        <w:rPr>
          <w:sz w:val="20"/>
          <w:szCs w:val="20"/>
        </w:rPr>
        <w:t>on about the Company, including biographies of key management personnel, as well as information about the Company’s business. This information is publicly available and is updated regularly. The content on any website referred to in this Annual Report is n</w:t>
      </w:r>
      <w:r>
        <w:rPr>
          <w:sz w:val="20"/>
          <w:szCs w:val="20"/>
        </w:rPr>
        <w:t>ot incorporated by reference into this Annual Report, unless (and only to the extent) expressly so stated herein.</w:t>
      </w:r>
    </w:p>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47922427"/>
        </w:trPr>
        <w:tc>
          <w:tcPr>
            <w:tcW w:w="5000" w:type="pct"/>
            <w:hideMark/>
          </w:tcPr>
          <w:p w:rsidR="00000000" w:rsidRDefault="00DA7678">
            <w:pPr>
              <w:jc w:val="center"/>
              <w:rPr>
                <w:rFonts w:eastAsia="Times New Roman"/>
                <w:sz w:val="20"/>
                <w:szCs w:val="20"/>
              </w:rPr>
            </w:pPr>
            <w:r>
              <w:rPr>
                <w:rFonts w:eastAsia="Times New Roman"/>
                <w:sz w:val="20"/>
                <w:szCs w:val="20"/>
              </w:rPr>
              <w:t>1</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ITEM 1A. RISK FACTORS.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i/>
          <w:iCs/>
          <w:sz w:val="20"/>
          <w:szCs w:val="20"/>
        </w:rPr>
        <w:t xml:space="preserve">Investing </w:t>
      </w:r>
      <w:r>
        <w:rPr>
          <w:i/>
          <w:iCs/>
          <w:sz w:val="20"/>
          <w:szCs w:val="20"/>
        </w:rPr>
        <w:t>in our common stock involves a high degree of risk. You should carefully consider the risks described below, as well as the other information in this Annual Report, including our financial statements and the related notes and “Management’s Discussion and A</w:t>
      </w:r>
      <w:r>
        <w:rPr>
          <w:i/>
          <w:iCs/>
          <w:sz w:val="20"/>
          <w:szCs w:val="20"/>
        </w:rPr>
        <w:t xml:space="preserve">nalysis of Financial Condition and Results of Operations,” before deciding whether to invest in our securities. The occurrence of any of the events or developments described below could harm our business, financial condition, operating results, and growth </w:t>
      </w:r>
      <w:r>
        <w:rPr>
          <w:i/>
          <w:iCs/>
          <w:sz w:val="20"/>
          <w:szCs w:val="20"/>
        </w:rPr>
        <w:t>prospects. In such an event, the market price of our common stock could decline, and you may lose all or part of your investment. Additional risks and uncertainties not presently known to us or that we currently deem immaterial also may impair our business</w:t>
      </w:r>
      <w:r>
        <w:rPr>
          <w:i/>
          <w:iCs/>
          <w:sz w:val="20"/>
          <w:szCs w:val="20"/>
        </w:rPr>
        <w:t xml:space="preserve"> operations.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RISKS ASSOCIATED WITH THE COMPANY’S BUSINESS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Our independent registered public accounting firms’ reports on its financial statements questions the Company’s ability to continue as a going concern.</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w:t>
      </w:r>
      <w:r>
        <w:rPr>
          <w:sz w:val="20"/>
          <w:szCs w:val="20"/>
        </w:rPr>
        <w:t>s independent registered public accounting firms’ reports on the Company’s financial statements for the years ended December 31, 2022 and 2021 express substantial doubt about the Company’s ability to continue as a going concern. The reports include an expl</w:t>
      </w:r>
      <w:r>
        <w:rPr>
          <w:sz w:val="20"/>
          <w:szCs w:val="20"/>
        </w:rPr>
        <w:t>anatory paragraph stating that the Company has suffered recurring losses, used significant cash in support of its operating activities and based on its current operating levels, require additional capital or restructuring to sustain its operation for the f</w:t>
      </w:r>
      <w:r>
        <w:rPr>
          <w:sz w:val="20"/>
          <w:szCs w:val="20"/>
        </w:rPr>
        <w:t xml:space="preserve">oreseeable future. There is no assurance that the Company will be able to obtain sufficient additional capital to continue its operations and to alleviate doubt about its ability to continue as a going concern. If the Company obtains additional financing, </w:t>
      </w:r>
      <w:r>
        <w:rPr>
          <w:sz w:val="20"/>
          <w:szCs w:val="20"/>
        </w:rPr>
        <w:t>such funds may not be available on favorable terms and likely would entail considerable dilution to existing shareholders. Any debt financing, if available, may involve restrictive covenants that restrict its ability to conduct its business. It is extremel</w:t>
      </w:r>
      <w:r>
        <w:rPr>
          <w:sz w:val="20"/>
          <w:szCs w:val="20"/>
        </w:rPr>
        <w:t>y remote that the Company could obtain any financing on any basis that did not result in considerable dilution for shareholders. Inclusion of a “going concern qualification” in the report of its independent accountants or in any future report may have a ne</w:t>
      </w:r>
      <w:r>
        <w:rPr>
          <w:sz w:val="20"/>
          <w:szCs w:val="20"/>
        </w:rPr>
        <w:t>gative impact on its ability to obtain debt or equity financing and may adversely impact its stock price.</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A combination of our current financial condition and the FDA’s determinations to date regarding our brachytherapy products raise material concerns a</w:t>
      </w:r>
      <w:r>
        <w:rPr>
          <w:b/>
          <w:bCs/>
          <w:i/>
          <w:iCs/>
          <w:sz w:val="20"/>
          <w:szCs w:val="20"/>
        </w:rPr>
        <w:t>bout ability to continue as a going concern.</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 will not be able to continue as a going concern unless the Company obtains financing. Depending upon the amount of financing, if any, the Company is able to obtain, the Company may not receive adeq</w:t>
      </w:r>
      <w:r>
        <w:rPr>
          <w:sz w:val="20"/>
          <w:szCs w:val="20"/>
        </w:rPr>
        <w:t>uate funds to continue the approval process for RadioGel™ or other brachytherapy products with the FDA.</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The Company has generated operating losses since inception, which are expected to continue, and has increasing cash requirements, which it may be unab</w:t>
      </w:r>
      <w:r>
        <w:rPr>
          <w:b/>
          <w:bCs/>
          <w:i/>
          <w:iCs/>
          <w:sz w:val="20"/>
          <w:szCs w:val="20"/>
        </w:rPr>
        <w:t>le to satisfy</w:t>
      </w:r>
      <w:r>
        <w:rPr>
          <w:b/>
          <w:bCs/>
          <w:sz w:val="20"/>
          <w:szCs w:val="20"/>
        </w:rPr>
        <w:t>.</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 has generated material operating losses since inception. The Company has had recurring net losses since inception which has resulted in an accumulated deficit of $79,556,028 and $77,085,867 as of December 31, 2022 and 2021, res</w:t>
      </w:r>
      <w:r>
        <w:rPr>
          <w:sz w:val="20"/>
          <w:szCs w:val="20"/>
        </w:rPr>
        <w:t xml:space="preserve">pectively including net losses of $2,470,161 and $2,527,766 for the years ended December 31, 2022 and 2021. Historically, the Company has relied upon investor funds to maintain its operations and develop its business. The Company needs to raise additional </w:t>
      </w:r>
      <w:r>
        <w:rPr>
          <w:sz w:val="20"/>
          <w:szCs w:val="20"/>
        </w:rPr>
        <w:t>capital from investors for working capital as well as business expansion, and there is no assurance that additional investor funds will be available on terms acceptable to the Company, or at all. If the Company is unable to unable to obtain additional fina</w:t>
      </w:r>
      <w:r>
        <w:rPr>
          <w:sz w:val="20"/>
          <w:szCs w:val="20"/>
        </w:rPr>
        <w:t>ncing to meet its working capital requirements, the Company likely would cease operations.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 requires funding of at least $5 million per year to maintain current operating activities. Over the next 24 months, the Company believes it will cost a</w:t>
      </w:r>
      <w:r>
        <w:rPr>
          <w:sz w:val="20"/>
          <w:szCs w:val="20"/>
        </w:rPr>
        <w:t>pproximately $9 million to fund: (1) fund the FDA approval process to conduct human clinical trials, (2) conduct Phase I, pilot, clinical trials, (3) activate several regional clinics to administer IsoPet</w:t>
      </w:r>
      <w:r>
        <w:rPr>
          <w:sz w:val="20"/>
          <w:szCs w:val="20"/>
          <w:vertAlign w:val="superscript"/>
        </w:rPr>
        <w:t xml:space="preserve">® </w:t>
      </w:r>
      <w:r>
        <w:rPr>
          <w:sz w:val="20"/>
          <w:szCs w:val="20"/>
        </w:rPr>
        <w:t>across the county, (4) create an independent produ</w:t>
      </w:r>
      <w:r>
        <w:rPr>
          <w:sz w:val="20"/>
          <w:szCs w:val="20"/>
        </w:rPr>
        <w:t>ction center within the current production site to create a template for future international manufacturing, and (5) initiate regulatory approval processes outside of the United States.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principal variables in the timing and amount of spending for the</w:t>
      </w:r>
      <w:r>
        <w:rPr>
          <w:sz w:val="20"/>
          <w:szCs w:val="20"/>
        </w:rPr>
        <w:t xml:space="preserve"> brachytherapy products in the next 12 to 24 months will be the FDA’s classification of the Company’s brachytherapy products as Class II or Class III devices (or otherwise) and any requirements for additional studies, which may possibly include clinical st</w:t>
      </w:r>
      <w:r>
        <w:rPr>
          <w:sz w:val="20"/>
          <w:szCs w:val="20"/>
        </w:rPr>
        <w:t>udies. Thereafter, the principal variables in the amount of the Company’s spending and its financing requirements would be the timing of any approvals and the nature of the Company’s arrangements with third parties for manufacturing, sales, distribution an</w:t>
      </w:r>
      <w:r>
        <w:rPr>
          <w:sz w:val="20"/>
          <w:szCs w:val="20"/>
        </w:rPr>
        <w:t>d licensing of those products and the products’ success in the U.S. and elsewhere. The Company intends to fund its activities through strategic transactions such as licensing and partnership agreements or additional capital raises.</w:t>
      </w:r>
    </w:p>
    <w:p w:rsidR="00000000" w:rsidRDefault="00DA767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37295951"/>
        </w:trPr>
        <w:tc>
          <w:tcPr>
            <w:tcW w:w="5000" w:type="pct"/>
            <w:hideMark/>
          </w:tcPr>
          <w:p w:rsidR="00000000" w:rsidRDefault="00DA7678">
            <w:pPr>
              <w:jc w:val="center"/>
              <w:rPr>
                <w:rFonts w:eastAsia="Times New Roman"/>
                <w:sz w:val="20"/>
                <w:szCs w:val="20"/>
              </w:rPr>
            </w:pPr>
            <w:r>
              <w:rPr>
                <w:rFonts w:eastAsia="Times New Roman"/>
                <w:sz w:val="20"/>
                <w:szCs w:val="20"/>
              </w:rPr>
              <w:t>1</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Recent </w:t>
      </w:r>
      <w:r>
        <w:rPr>
          <w:sz w:val="20"/>
          <w:szCs w:val="20"/>
        </w:rPr>
        <w:t>economic events, including the COVID-19 pandemic, the inherent instability in global capital markets, as well as the lack of liquidity in the capital markets, could adversely impact the Company’s ability to obtain financing and its ability to execute its b</w:t>
      </w:r>
      <w:r>
        <w:rPr>
          <w:sz w:val="20"/>
          <w:szCs w:val="20"/>
        </w:rPr>
        <w:t>usiness plan.</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The Company has a limited operating history, which may make it difficult to evaluate its business and prospects.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 has a limited operating history upon which one can base an evaluation of its business and prospects. As a company</w:t>
      </w:r>
      <w:r>
        <w:rPr>
          <w:sz w:val="20"/>
          <w:szCs w:val="20"/>
        </w:rPr>
        <w:t xml:space="preserve"> in the development stage, there are substantial risks, uncertainties, expenses and difficulties to which its business is subject. To address these risks and uncertainties, the Company must do the following:</w:t>
      </w:r>
    </w:p>
    <w:p w:rsidR="00000000" w:rsidRDefault="00DA7678">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DA7678">
            <w:pPr>
              <w:jc w:val="both"/>
              <w:rPr>
                <w:rFonts w:eastAsia="Times New Roman"/>
                <w:sz w:val="20"/>
                <w:szCs w:val="20"/>
              </w:rPr>
            </w:pPr>
            <w:r>
              <w:rPr>
                <w:rFonts w:eastAsia="Times New Roman"/>
                <w:sz w:val="20"/>
                <w:szCs w:val="20"/>
              </w:rPr>
              <w:t> </w:t>
            </w:r>
          </w:p>
        </w:tc>
        <w:tc>
          <w:tcPr>
            <w:tcW w:w="360" w:type="dxa"/>
            <w:hideMark/>
          </w:tcPr>
          <w:p w:rsidR="00000000" w:rsidRDefault="00DA7678">
            <w:pPr>
              <w:jc w:val="both"/>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successfully develop and execute the busin</w:t>
            </w:r>
            <w:r>
              <w:rPr>
                <w:rFonts w:eastAsia="Times New Roman"/>
                <w:sz w:val="20"/>
                <w:szCs w:val="20"/>
              </w:rPr>
              <w:t>ess strategy;</w:t>
            </w:r>
          </w:p>
        </w:tc>
      </w:tr>
      <w:tr w:rsidR="00000000">
        <w:trPr>
          <w:tblCellSpacing w:w="0" w:type="dxa"/>
        </w:trPr>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respond to competitive developments; and</w:t>
            </w:r>
          </w:p>
        </w:tc>
      </w:tr>
      <w:tr w:rsidR="00000000">
        <w:trPr>
          <w:tblCellSpacing w:w="0" w:type="dxa"/>
        </w:trPr>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attract, integrate, retain and motivate qualified personnel.</w:t>
            </w:r>
          </w:p>
        </w:tc>
      </w:tr>
    </w:tbl>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There </w:t>
      </w:r>
      <w:r>
        <w:rPr>
          <w:sz w:val="20"/>
          <w:szCs w:val="20"/>
        </w:rPr>
        <w:t>is no assurance that the Company will achieve or maintain profitable operations or that the Company will obtain or maintain adequate working capital to meet its obligations as they become due. The Company cannot be certain that its business strategy will b</w:t>
      </w:r>
      <w:r>
        <w:rPr>
          <w:sz w:val="20"/>
          <w:szCs w:val="20"/>
        </w:rPr>
        <w:t>e successfully developed and implemented or that the Company will successfully address the risks that face its business. In the event that the Company does not successfully address these risks, its business, prospects, financial condition, and results of o</w:t>
      </w:r>
      <w:r>
        <w:rPr>
          <w:sz w:val="20"/>
          <w:szCs w:val="20"/>
        </w:rPr>
        <w:t>perations could be materially and adversely affected.</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The Company’s products are regulated and require appropriate clearances and approvals to be marketed in the U.S. and globally.</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There is no assurance the FDA or other global regulatory authorities wi</w:t>
      </w:r>
      <w:r>
        <w:rPr>
          <w:sz w:val="20"/>
          <w:szCs w:val="20"/>
        </w:rPr>
        <w:t>ll grant the Company permission to market the Company’s brachytherapy Y-90 RadioGel™ device.</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 has been working with the FDA to obtain clearance for its brachytherapy Y-90 RadioGel</w:t>
      </w:r>
      <w:r>
        <w:rPr>
          <w:sz w:val="20"/>
          <w:szCs w:val="20"/>
          <w:vertAlign w:val="superscript"/>
        </w:rPr>
        <w:t>TM</w:t>
      </w:r>
      <w:r>
        <w:rPr>
          <w:sz w:val="20"/>
          <w:szCs w:val="20"/>
        </w:rPr>
        <w:t xml:space="preserve"> device, but no assurances have been received. On December 23,</w:t>
      </w:r>
      <w:r>
        <w:rPr>
          <w:sz w:val="20"/>
          <w:szCs w:val="20"/>
        </w:rPr>
        <w:t xml:space="preserve"> 2014, the Company announced that it submitted a </w:t>
      </w:r>
      <w:r>
        <w:rPr>
          <w:i/>
          <w:iCs/>
          <w:sz w:val="20"/>
          <w:szCs w:val="20"/>
        </w:rPr>
        <w:t>de novo</w:t>
      </w:r>
      <w:r>
        <w:rPr>
          <w:sz w:val="20"/>
          <w:szCs w:val="20"/>
        </w:rPr>
        <w:t xml:space="preserve"> to the FDA for marketing clearance for its patented Y-90 RadioGel</w:t>
      </w:r>
      <w:r>
        <w:rPr>
          <w:sz w:val="20"/>
          <w:szCs w:val="20"/>
          <w:vertAlign w:val="superscript"/>
        </w:rPr>
        <w:t>TM</w:t>
      </w:r>
      <w:r>
        <w:rPr>
          <w:sz w:val="20"/>
          <w:szCs w:val="20"/>
        </w:rPr>
        <w:t xml:space="preserve"> device pursuant to Section 513(f)(2) of the U.S. Food, Drug and Cosmetic Act (the “</w:t>
      </w:r>
      <w:r>
        <w:rPr>
          <w:i/>
          <w:iCs/>
          <w:sz w:val="20"/>
          <w:szCs w:val="20"/>
        </w:rPr>
        <w:t>Act</w:t>
      </w:r>
      <w:r>
        <w:rPr>
          <w:sz w:val="20"/>
          <w:szCs w:val="20"/>
        </w:rPr>
        <w:t>”). In June 2015, the FDA notified the Compan</w:t>
      </w:r>
      <w:r>
        <w:rPr>
          <w:sz w:val="20"/>
          <w:szCs w:val="20"/>
        </w:rPr>
        <w:t xml:space="preserve">y the </w:t>
      </w:r>
      <w:r>
        <w:rPr>
          <w:i/>
          <w:iCs/>
          <w:sz w:val="20"/>
          <w:szCs w:val="20"/>
        </w:rPr>
        <w:t>de novo</w:t>
      </w:r>
      <w:r>
        <w:rPr>
          <w:sz w:val="20"/>
          <w:szCs w:val="20"/>
        </w:rPr>
        <w:t xml:space="preserve"> was not granted. In February 2014, the FDA found the same device under Section 510(k) of the Act not substantially equivalent and concluded that the device is classified by statute as a Class III medical device, unless the device is reclassif</w:t>
      </w:r>
      <w:r>
        <w:rPr>
          <w:sz w:val="20"/>
          <w:szCs w:val="20"/>
        </w:rPr>
        <w:t xml:space="preserve">ied. The Company is seeking reclassification of the product to Class II. If the Company is successful in seeking reconsideration of the Company’s </w:t>
      </w:r>
      <w:r>
        <w:rPr>
          <w:i/>
          <w:iCs/>
          <w:sz w:val="20"/>
          <w:szCs w:val="20"/>
        </w:rPr>
        <w:t>de novo</w:t>
      </w:r>
      <w:r>
        <w:rPr>
          <w:sz w:val="20"/>
          <w:szCs w:val="20"/>
        </w:rPr>
        <w:t xml:space="preserve"> application, as a regulatory matter, the device could be on an easier and faster path to market in the</w:t>
      </w:r>
      <w:r>
        <w:rPr>
          <w:sz w:val="20"/>
          <w:szCs w:val="20"/>
        </w:rPr>
        <w:t xml:space="preserve"> United States. However, there would still be the requirements to complete the in vitro and in vivo testing, and then some human clinical trials. That testing date is submitted in a de novo pre-market application and if accepted we could then go to market.</w:t>
      </w:r>
      <w:r>
        <w:rPr>
          <w:sz w:val="20"/>
          <w:szCs w:val="20"/>
        </w:rPr>
        <w:t xml:space="preserve"> As a practical matter, the Company would still need to secure funding and commercial arrangements before marketing could commence. If the </w:t>
      </w:r>
      <w:r>
        <w:rPr>
          <w:i/>
          <w:iCs/>
          <w:sz w:val="20"/>
          <w:szCs w:val="20"/>
        </w:rPr>
        <w:t>de novo</w:t>
      </w:r>
      <w:r>
        <w:rPr>
          <w:sz w:val="20"/>
          <w:szCs w:val="20"/>
        </w:rPr>
        <w:t xml:space="preserve"> is declined and if the Company obtains funding to permit it to continue operations, the Company will explore </w:t>
      </w:r>
      <w:r>
        <w:rPr>
          <w:sz w:val="20"/>
          <w:szCs w:val="20"/>
        </w:rPr>
        <w:t xml:space="preserve">steps toward seeking approval for the device as a Class III medical device. Generally, the time period and cost of seeking approval as a Class III medical device is materially greater than the time period and cost of seeking approval as a Class II medical </w:t>
      </w:r>
      <w:r>
        <w:rPr>
          <w:sz w:val="20"/>
          <w:szCs w:val="20"/>
        </w:rPr>
        <w:t>device. If the Company seeks approval as a Class III device, human clinical trials will be necessary. Generally, human trials for Class III products are larger, of longer duration and costlier than those for Class II devices.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If human clinical trials are</w:t>
      </w:r>
      <w:r>
        <w:rPr>
          <w:sz w:val="20"/>
          <w:szCs w:val="20"/>
        </w:rPr>
        <w:t xml:space="preserve"> necessary, there will be additional cost and time to reach marketing clearance or approval. Unless the Company obtains sufficient funding, it will be unable to do the foregoing activities. There can be no assurance that the product will be approved as eit</w:t>
      </w:r>
      <w:r>
        <w:rPr>
          <w:sz w:val="20"/>
          <w:szCs w:val="20"/>
        </w:rPr>
        <w:t xml:space="preserve">her a Class II or Class III device by the FDA even if additional data is provided. In August 2017, the Company met again with the FDA in a pre-submission meeting to once again go through the requirements for pre-clinical testing and to answer the previous </w:t>
      </w:r>
      <w:r>
        <w:rPr>
          <w:sz w:val="20"/>
          <w:szCs w:val="20"/>
        </w:rPr>
        <w:t>FDA questions submitted years before. There can be no assurance that the Company will receive FDA approval, or if it does, the timing thereof.</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 xml:space="preserve">If </w:t>
      </w:r>
      <w:r>
        <w:rPr>
          <w:b/>
          <w:bCs/>
          <w:i/>
          <w:iCs/>
          <w:sz w:val="20"/>
          <w:szCs w:val="20"/>
        </w:rPr>
        <w:t>the Company is successful in increasing the size of its organization, the Company may experience difficulties in managing growth.</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 is a small organization with a minimal number of employees. If the Company is successful, it may experience a pe</w:t>
      </w:r>
      <w:r>
        <w:rPr>
          <w:sz w:val="20"/>
          <w:szCs w:val="20"/>
        </w:rPr>
        <w:t>riod of significant expansion in headcount, facilities, infrastructure and overhead and further expansion may be required to address potential growth and market opportunities. Any such future growth will impose significant added responsibilities on members</w:t>
      </w:r>
      <w:r>
        <w:rPr>
          <w:sz w:val="20"/>
          <w:szCs w:val="20"/>
        </w:rPr>
        <w:t xml:space="preserve"> of management, including the need to improve the Company’s operational and financial systems and to identify, recruit, maintain and integrate additional managers. The Company’s future financial performance and its ability to compete effectively will depen</w:t>
      </w:r>
      <w:r>
        <w:rPr>
          <w:sz w:val="20"/>
          <w:szCs w:val="20"/>
        </w:rPr>
        <w:t>d, in part, on the ability to manage any future growth effectively.</w:t>
      </w:r>
    </w:p>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19167472"/>
        </w:trPr>
        <w:tc>
          <w:tcPr>
            <w:tcW w:w="5000" w:type="pct"/>
            <w:hideMark/>
          </w:tcPr>
          <w:p w:rsidR="00000000" w:rsidRDefault="00DA7678">
            <w:pPr>
              <w:jc w:val="center"/>
              <w:rPr>
                <w:rFonts w:eastAsia="Times New Roman"/>
                <w:sz w:val="20"/>
                <w:szCs w:val="20"/>
              </w:rPr>
            </w:pPr>
            <w:r>
              <w:rPr>
                <w:rFonts w:eastAsia="Times New Roman"/>
                <w:sz w:val="20"/>
                <w:szCs w:val="20"/>
              </w:rPr>
              <w:t>1</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 xml:space="preserve">The Company’s business is dependent upon the continued services of the Company’s Chief Executive Officer, Michael Korenko. Should the Company lose the services of Dr. Korenko, </w:t>
      </w:r>
      <w:r>
        <w:rPr>
          <w:b/>
          <w:bCs/>
          <w:i/>
          <w:iCs/>
          <w:sz w:val="20"/>
          <w:szCs w:val="20"/>
        </w:rPr>
        <w:t>the Company’s operations will be negatively impacted.</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The Company’s business is dependent upon the expertise of its Chief Executive Officer, Michael Korenko. Dr. Korenko is essential to the Company’s operations. Accordingly, an investor must rely on Dr. </w:t>
      </w:r>
      <w:r>
        <w:rPr>
          <w:sz w:val="20"/>
          <w:szCs w:val="20"/>
        </w:rPr>
        <w:t>Korenko’s management decisions that will continue to control the Company’s business affairs. The Company does not maintain key man insurance on Dr. Korenko’s life. The loss of the services of Dr. Korenko would have a material adverse effect upon the Compan</w:t>
      </w:r>
      <w:r>
        <w:rPr>
          <w:sz w:val="20"/>
          <w:szCs w:val="20"/>
        </w:rPr>
        <w:t>y’s business. To mitigate this risk, David Swanberg has been groomed as a replacement candidate. He has extensive experience as a co-founder of IsoRay and has been actively working with Dr. Korenko as a consultant for the last two years.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The Company is h</w:t>
      </w:r>
      <w:r>
        <w:rPr>
          <w:b/>
          <w:bCs/>
          <w:i/>
          <w:iCs/>
          <w:sz w:val="20"/>
          <w:szCs w:val="20"/>
        </w:rPr>
        <w:t>eavily dependent on consultants for many of the services necessary to continue operations. The loss of any of these consultants could have a material adverse effect on the Company’s business, results of operations and financial condition.</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Company’s s</w:t>
      </w:r>
      <w:r>
        <w:rPr>
          <w:sz w:val="20"/>
          <w:szCs w:val="20"/>
        </w:rPr>
        <w:t>uccess is heavily dependent on the continued active participation of certain consultants and collaborating scientists. Certain key employees and consultants have no written employment contracts. Loss of the services of any one or more of its consultants co</w:t>
      </w:r>
      <w:r>
        <w:rPr>
          <w:sz w:val="20"/>
          <w:szCs w:val="20"/>
        </w:rPr>
        <w:t>uld have a material adverse effect upon the Company’s business, results of operations and financial condition.</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If the Company is unable to hire and retain additional qualified personnel, the business and financial condition may suffer.</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The </w:t>
      </w:r>
      <w:r>
        <w:rPr>
          <w:sz w:val="20"/>
          <w:szCs w:val="20"/>
        </w:rPr>
        <w:t xml:space="preserve">Company’s success and achievement of its growth plans depend on its ability to recruit, hire, train and retain highly qualified technical, scientific, regulatory and managerial employees, consultants and advisors. Competition for qualified personnel among </w:t>
      </w:r>
      <w:r>
        <w:rPr>
          <w:sz w:val="20"/>
          <w:szCs w:val="20"/>
        </w:rPr>
        <w:t>pharmaceutical and biotechnology companies is intense, and an inability to attract and motivate additional highly skilled personnel required for the expansion of the Company’s activities, or the loss of any such persons, could have a material adverse effec</w:t>
      </w:r>
      <w:r>
        <w:rPr>
          <w:sz w:val="20"/>
          <w:szCs w:val="20"/>
        </w:rPr>
        <w:t>t on its business, results of operations and financial condition.</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The Company’s revenues have historically been derived from sales made to a small number of customers. The Company has discontinued prior operations related to its core business. To succeed</w:t>
      </w:r>
      <w:r>
        <w:rPr>
          <w:b/>
          <w:bCs/>
          <w:i/>
          <w:iCs/>
          <w:sz w:val="20"/>
          <w:szCs w:val="20"/>
        </w:rPr>
        <w:t>, we will need to recommence our operations and achieve sales to a materially larger number of customers.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Company’s consulting revenues relate to their commercializing of its products or expanding the number of customers purchasing its products and s</w:t>
      </w:r>
      <w:r>
        <w:rPr>
          <w:sz w:val="20"/>
          <w:szCs w:val="20"/>
        </w:rPr>
        <w:t>ervices. The Company had $36,499 and $14,887 in operating revenues, net of discounts for the years ended December 31, 2022 and 2021, respectively as they have commenced sales of IsoPet</w:t>
      </w:r>
      <w:r>
        <w:rPr>
          <w:sz w:val="20"/>
          <w:szCs w:val="20"/>
          <w:vertAlign w:val="superscript"/>
        </w:rPr>
        <w:t>®</w:t>
      </w:r>
      <w:r>
        <w:rPr>
          <w:sz w:val="20"/>
          <w:szCs w:val="20"/>
        </w:rPr>
        <w:t>.</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Many of the Company’s competitors have greater resources and experi</w:t>
      </w:r>
      <w:r>
        <w:rPr>
          <w:b/>
          <w:bCs/>
          <w:i/>
          <w:iCs/>
          <w:sz w:val="20"/>
          <w:szCs w:val="20"/>
        </w:rPr>
        <w:t>ence than the Company has.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Many of the Company’s competitors have greater financial resources, longer history, broader experience, greater name recognition, and more substantial operations than the Company has, and they represent substantial long-term co</w:t>
      </w:r>
      <w:r>
        <w:rPr>
          <w:sz w:val="20"/>
          <w:szCs w:val="20"/>
        </w:rPr>
        <w:t>mpetition for us. The Company’s competitors may be able to devote more financial and human resources than the Company can to research, new product development, regulatory approvals, and marketing and sales. The Company’s competitors may develop or market p</w:t>
      </w:r>
      <w:r>
        <w:rPr>
          <w:sz w:val="20"/>
          <w:szCs w:val="20"/>
        </w:rPr>
        <w:t>roducts that are viewed by customers as more effective or more economical than the Company’s products. There is no assurance that the Company will be able to compete effectively against current and future competitors, and such competitive pressures may adv</w:t>
      </w:r>
      <w:r>
        <w:rPr>
          <w:sz w:val="20"/>
          <w:szCs w:val="20"/>
        </w:rPr>
        <w:t>ersely affect the Company’s business and results of operations.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The Company’s future revenues depend upon acceptance of its current and future products in the markets in which they compete.</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Company’s future revenues depend upon receipt of financing</w:t>
      </w:r>
      <w:r>
        <w:rPr>
          <w:sz w:val="20"/>
          <w:szCs w:val="20"/>
        </w:rPr>
        <w:t>, regulatory approval and the successful production, marketing, and sales of the various isotopes the Company might market in the future. The rate and level of market acceptance of each of these products, if any, may vary depending on the perception by phy</w:t>
      </w:r>
      <w:r>
        <w:rPr>
          <w:sz w:val="20"/>
          <w:szCs w:val="20"/>
        </w:rPr>
        <w:t>sicians and other members of the healthcare community of its safety and efficacy as compared to that of any competing products; the clinical outcomes of any patients treated; the effectiveness of its sales and marketing efforts in the United States, Europe</w:t>
      </w:r>
      <w:r>
        <w:rPr>
          <w:sz w:val="20"/>
          <w:szCs w:val="20"/>
        </w:rPr>
        <w:t>, Far East, Middle East, and Russia; any unfavorable publicity concerning its products or similar products; the price of the Company’s products relative to other products or competing treatments; any decrease in current reimbursement rates from the Centers</w:t>
      </w:r>
      <w:r>
        <w:rPr>
          <w:sz w:val="20"/>
          <w:szCs w:val="20"/>
        </w:rPr>
        <w:t xml:space="preserve"> for Medicare and Medicaid Services or third-party payers; regulatory developments related to the manufacture or continued use of its products; availability of sufficient supplies to either purchase or manufacture its products; its ability to produce suffi</w:t>
      </w:r>
      <w:r>
        <w:rPr>
          <w:sz w:val="20"/>
          <w:szCs w:val="20"/>
        </w:rPr>
        <w:t>cient quantities of its products; and the ability of physicians to properly utilize its products and avoid excessive levels of radiation to patients. Any material adverse developments with respect to the commercialization of any such products may adversely</w:t>
      </w:r>
      <w:r>
        <w:rPr>
          <w:sz w:val="20"/>
          <w:szCs w:val="20"/>
        </w:rPr>
        <w:t xml:space="preserve"> affect revenues and may cause the Company to continue to incur losses in the future.</w:t>
      </w:r>
    </w:p>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71493750"/>
        </w:trPr>
        <w:tc>
          <w:tcPr>
            <w:tcW w:w="5000" w:type="pct"/>
            <w:hideMark/>
          </w:tcPr>
          <w:p w:rsidR="00000000" w:rsidRDefault="00DA7678">
            <w:pPr>
              <w:jc w:val="center"/>
              <w:rPr>
                <w:rFonts w:eastAsia="Times New Roman"/>
                <w:sz w:val="20"/>
                <w:szCs w:val="20"/>
              </w:rPr>
            </w:pPr>
            <w:r>
              <w:rPr>
                <w:rFonts w:eastAsia="Times New Roman"/>
                <w:sz w:val="20"/>
                <w:szCs w:val="20"/>
              </w:rPr>
              <w:t>1</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 xml:space="preserve">The </w:t>
      </w:r>
      <w:r>
        <w:rPr>
          <w:b/>
          <w:bCs/>
          <w:i/>
          <w:iCs/>
          <w:sz w:val="20"/>
          <w:szCs w:val="20"/>
        </w:rPr>
        <w:t>Company currently relies on a single supplier for Y-90 particles, and that supplier is the only supplier in the United States. An inability to procure Y-90 particles will harm the Company’s business.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There is only one supplier of Y-90 particles in the Un</w:t>
      </w:r>
      <w:r>
        <w:rPr>
          <w:sz w:val="20"/>
          <w:szCs w:val="20"/>
        </w:rPr>
        <w:t>ited States, requiring us to rely entirely on this supplier to provide the Y-90 particles needed to produce RadioGel</w:t>
      </w:r>
      <w:r>
        <w:rPr>
          <w:sz w:val="20"/>
          <w:szCs w:val="20"/>
          <w:vertAlign w:val="superscript"/>
        </w:rPr>
        <w:t>TM</w:t>
      </w:r>
      <w:r>
        <w:rPr>
          <w:sz w:val="20"/>
          <w:szCs w:val="20"/>
        </w:rPr>
        <w:t>. If we are unable to obtain a sufficient supply of Y-90 particles, we will not be able to proceed with our development of RadioGel</w:t>
      </w:r>
      <w:r>
        <w:rPr>
          <w:sz w:val="20"/>
          <w:szCs w:val="20"/>
          <w:vertAlign w:val="superscript"/>
        </w:rPr>
        <w:t>TM</w:t>
      </w:r>
      <w:r>
        <w:rPr>
          <w:sz w:val="20"/>
          <w:szCs w:val="20"/>
        </w:rPr>
        <w:t xml:space="preserve"> and </w:t>
      </w:r>
      <w:r>
        <w:rPr>
          <w:sz w:val="20"/>
          <w:szCs w:val="20"/>
        </w:rPr>
        <w:t>our business may be materially harmed.</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 currently subcontracts the manufacturing of RadioGel</w:t>
      </w:r>
      <w:r>
        <w:rPr>
          <w:sz w:val="20"/>
          <w:szCs w:val="20"/>
          <w:vertAlign w:val="superscript"/>
        </w:rPr>
        <w:t>TM</w:t>
      </w:r>
      <w:r>
        <w:rPr>
          <w:sz w:val="20"/>
          <w:szCs w:val="20"/>
        </w:rPr>
        <w:t xml:space="preserve"> to IsoTherapeutics. PerkinElmer Inc. is the sole supplier of the Y-90 particles used by IsoTherapeutics and is the only supplier of Y-90 particles i</w:t>
      </w:r>
      <w:r>
        <w:rPr>
          <w:sz w:val="20"/>
          <w:szCs w:val="20"/>
        </w:rPr>
        <w:t>n the United States. In the event PerkinElmer is unable to satisfy our supply requirements or stope producing Y-90 particles, we will be unable to continue with development of RadioGel™ and our business would be materially harmed.</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The Company will rely h</w:t>
      </w:r>
      <w:r>
        <w:rPr>
          <w:b/>
          <w:bCs/>
          <w:i/>
          <w:iCs/>
          <w:sz w:val="20"/>
          <w:szCs w:val="20"/>
        </w:rPr>
        <w:t>eavily on a limited number of suppliers for the foreseeable future.</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Some of the products the Company might market, and components thereof are currently available only from a limited number of suppliers, several of which are international suppliers. Failu</w:t>
      </w:r>
      <w:r>
        <w:rPr>
          <w:sz w:val="20"/>
          <w:szCs w:val="20"/>
        </w:rPr>
        <w:t>re to obtain deliveries from these sources could have a material adverse effect on the Company’s ability to operate.</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The Company may incur material losses and costs as a result of product liability claims that may be brought against it.</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 fac</w:t>
      </w:r>
      <w:r>
        <w:rPr>
          <w:sz w:val="20"/>
          <w:szCs w:val="20"/>
        </w:rPr>
        <w:t>es an inherent business risk of exposure to product liability claims in the event that products supplied by the Company fail to perform as expected or such products result, or is alleged to result, in bodily injury. Any such claims may also result in adver</w:t>
      </w:r>
      <w:r>
        <w:rPr>
          <w:sz w:val="20"/>
          <w:szCs w:val="20"/>
        </w:rPr>
        <w:t xml:space="preserve">se publicity, which could damage the Company’s reputation by raising questions about the safety and efficacy of its products and could interfere with its efforts to market its products. A successful product liability claim against the Company in excess of </w:t>
      </w:r>
      <w:r>
        <w:rPr>
          <w:sz w:val="20"/>
          <w:szCs w:val="20"/>
        </w:rPr>
        <w:t xml:space="preserve">its available insurance coverage or established reserves may have a material adverse effect on its business. Although the Company currently maintains liability insurance in amounts it believes are commercially reasonable, any product liability the Company </w:t>
      </w:r>
      <w:r>
        <w:rPr>
          <w:sz w:val="20"/>
          <w:szCs w:val="20"/>
        </w:rPr>
        <w:t>may incur may exceed its insurance coverage.</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The Company is subject to the risk that certain third parties may mishandle the Company’s products.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If the Company markets products, the Company likely will rely on third parties, such as commercial air cour</w:t>
      </w:r>
      <w:r>
        <w:rPr>
          <w:sz w:val="20"/>
          <w:szCs w:val="20"/>
        </w:rPr>
        <w:t>ier companies, to deliver the products, and on other third parties to package the products in certain specialized packaging forms requested by customers. The Company thus would be subject to the risk that these third parties may mishandle its product, whic</w:t>
      </w:r>
      <w:r>
        <w:rPr>
          <w:sz w:val="20"/>
          <w:szCs w:val="20"/>
        </w:rPr>
        <w:t>h could result in material adverse effects, particularly given the radioactive nature of some of the products.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The Company is subject to uncertainties regarding reimbursement for use of its products.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Hospitals </w:t>
      </w:r>
      <w:r>
        <w:rPr>
          <w:sz w:val="20"/>
          <w:szCs w:val="20"/>
        </w:rPr>
        <w:t>and freestanding clinics may be less likely to purchase the Company’s products if they cannot be assured of receiving favorable reimbursement for treatments using its products from third-party payers, such as Medicare and private health insurance plans. Th</w:t>
      </w:r>
      <w:r>
        <w:rPr>
          <w:sz w:val="20"/>
          <w:szCs w:val="20"/>
        </w:rPr>
        <w:t>ird-party payers are increasingly challenging the pricing of certain medical services or devices, and there is no assurance that they will reimburse the Company’s customers at levels sufficient for it to maintain favorable sales and price levels for the Co</w:t>
      </w:r>
      <w:r>
        <w:rPr>
          <w:sz w:val="20"/>
          <w:szCs w:val="20"/>
        </w:rPr>
        <w:t>mpany’s products. There is no uniform policy on reimbursement among third-party payers, and there is no assurance that the Company’s products will continue to qualify for reimbursement from all third-party payers or that reimbursement rates will not be red</w:t>
      </w:r>
      <w:r>
        <w:rPr>
          <w:sz w:val="20"/>
          <w:szCs w:val="20"/>
        </w:rPr>
        <w:t>uced. A reduction in or elimination of third-party reimbursement for treatments using the Company’s products would likely have a material adverse effect on the Company’s revenues.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The Company’s future growth is largely dependent upon its ability to devel</w:t>
      </w:r>
      <w:r>
        <w:rPr>
          <w:b/>
          <w:bCs/>
          <w:i/>
          <w:iCs/>
          <w:sz w:val="20"/>
          <w:szCs w:val="20"/>
        </w:rPr>
        <w:t>op new technologies that achieve market acceptance with appropriate margins.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Company’s business operates in global markets that are characterized by rapidly changing technologies and evolving industry standards. Accordingly, future growth rates depen</w:t>
      </w:r>
      <w:r>
        <w:rPr>
          <w:sz w:val="20"/>
          <w:szCs w:val="20"/>
        </w:rPr>
        <w:t>d upon a number of factors, including the Company’s ability to (i) identify emerging technological trends in the Company’s target end-markets, (ii) develop and maintain competitive products, (iii) enhance the Company’s products by adding innovative feature</w:t>
      </w:r>
      <w:r>
        <w:rPr>
          <w:sz w:val="20"/>
          <w:szCs w:val="20"/>
        </w:rPr>
        <w:t>s that differentiate the Company’s products from those of its competitors, and (iv) develop, manufacture and bring products to market quickly and cost-effectively. The Company’s ability to develop new products based on technological innovation can affect t</w:t>
      </w:r>
      <w:r>
        <w:rPr>
          <w:sz w:val="20"/>
          <w:szCs w:val="20"/>
        </w:rPr>
        <w:t>he Company’s competitive position and requires the investment of significant resources. These development efforts divert resources from other potential investments in the Company’s business, and they may not lead to the development of new technologies or p</w:t>
      </w:r>
      <w:r>
        <w:rPr>
          <w:sz w:val="20"/>
          <w:szCs w:val="20"/>
        </w:rPr>
        <w:t>roducts on a timely basis or that meet the needs of the Company’s customers as fully as competitive offerings. In addition, the markets for the Company’s products may not develop or grow as it currently anticipates. The failure of the Company’s technologie</w:t>
      </w:r>
      <w:r>
        <w:rPr>
          <w:sz w:val="20"/>
          <w:szCs w:val="20"/>
        </w:rPr>
        <w:t>s or products to gain market acceptance due to more attractive offerings by the Company’s competitors could significantly reduce the Company’s revenues and adversely affect the Company’s competitive standing and prospects.</w:t>
      </w:r>
    </w:p>
    <w:p w:rsidR="00000000" w:rsidRDefault="00DA767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06470707"/>
        </w:trPr>
        <w:tc>
          <w:tcPr>
            <w:tcW w:w="5000" w:type="pct"/>
            <w:hideMark/>
          </w:tcPr>
          <w:p w:rsidR="00000000" w:rsidRDefault="00DA7678">
            <w:pPr>
              <w:jc w:val="center"/>
              <w:rPr>
                <w:rFonts w:eastAsia="Times New Roman"/>
                <w:sz w:val="20"/>
                <w:szCs w:val="20"/>
              </w:rPr>
            </w:pPr>
            <w:r>
              <w:rPr>
                <w:rFonts w:eastAsia="Times New Roman"/>
                <w:sz w:val="20"/>
                <w:szCs w:val="20"/>
              </w:rPr>
              <w:t>1</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 xml:space="preserve">The </w:t>
      </w:r>
      <w:r>
        <w:rPr>
          <w:b/>
          <w:bCs/>
          <w:i/>
          <w:iCs/>
          <w:sz w:val="20"/>
          <w:szCs w:val="20"/>
        </w:rPr>
        <w:t>Company may rely on third parties to represent it locally in the marketing and sales of its products in international markets and its revenue may depend on the efforts and results of those third parties.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The Company’s future success may depend, in part, </w:t>
      </w:r>
      <w:r>
        <w:rPr>
          <w:sz w:val="20"/>
          <w:szCs w:val="20"/>
        </w:rPr>
        <w:t>on its ability to enter into and maintain collaborative relationships with one or more third parties, the collaborator’s strategic interest in the Company’s products and the Company’s products under development, and the collaborator’s ability to successful</w:t>
      </w:r>
      <w:r>
        <w:rPr>
          <w:sz w:val="20"/>
          <w:szCs w:val="20"/>
        </w:rPr>
        <w:t>ly market and sell any such products.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 intends to pursue collaborative arrangements regarding the marketing and sales of its products; however, it may not be able to establish or maintain such collaborative arrangements, or if it is able to do</w:t>
      </w:r>
      <w:r>
        <w:rPr>
          <w:sz w:val="20"/>
          <w:szCs w:val="20"/>
        </w:rPr>
        <w:t xml:space="preserve"> so, the Company’s collaborators may not be effective in marketing and selling its products. To the extent that the Company decides not to, or is unable to, enter into collaborative arrangements with respect to the sales and marketing of its products, sign</w:t>
      </w:r>
      <w:r>
        <w:rPr>
          <w:sz w:val="20"/>
          <w:szCs w:val="20"/>
        </w:rPr>
        <w:t>ificant capital expenditures, management resources and time will be required to establish and develop an in-house marketing and sales force with technical expertise. To the extent that the Company depends on third parties for marketing and distribution, an</w:t>
      </w:r>
      <w:r>
        <w:rPr>
          <w:sz w:val="20"/>
          <w:szCs w:val="20"/>
        </w:rPr>
        <w:t>y revenues received by the Company will depend upon the efforts and results of such third parties, which may or may not be successful.</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 xml:space="preserve">The </w:t>
      </w:r>
      <w:r>
        <w:rPr>
          <w:b/>
          <w:bCs/>
          <w:i/>
          <w:iCs/>
          <w:sz w:val="20"/>
          <w:szCs w:val="20"/>
        </w:rPr>
        <w:t>Company may pursue strategic acquisitions that may have an adverse impact on its business.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Executing the Company’s business strategy may involve pursuing and consummating strategic transactions to acquire complementary businesses or technologies. In purs</w:t>
      </w:r>
      <w:r>
        <w:rPr>
          <w:sz w:val="20"/>
          <w:szCs w:val="20"/>
        </w:rPr>
        <w:t>uing these strategic transactions, even if the Company does not consummate them, or in consummating such transactions and integrating the acquired business or technology, the Company may expend significant financial and management resources and incur other</w:t>
      </w:r>
      <w:r>
        <w:rPr>
          <w:sz w:val="20"/>
          <w:szCs w:val="20"/>
        </w:rPr>
        <w:t xml:space="preserve"> significant costs and expenses. There is no assurance that any strategic transactions will result in additional revenues or other strategic benefits for the Company’s business. The Company may issue the Company’s stock as consideration for acquisitions, j</w:t>
      </w:r>
      <w:r>
        <w:rPr>
          <w:sz w:val="20"/>
          <w:szCs w:val="20"/>
        </w:rPr>
        <w:t>oint ventures or other strategic transactions, and the use of stock as purchase consideration could dilute the interests of its current stockholders. In addition, the Company may obtain debt financing in connection with an acquisition. Any such debt financ</w:t>
      </w:r>
      <w:r>
        <w:rPr>
          <w:sz w:val="20"/>
          <w:szCs w:val="20"/>
        </w:rPr>
        <w:t>ing may involve restrictive covenants relating to capital-raising activities and other financial and operational matters, which may make it more difficult for the Company to obtain additional capital and pursue business opportunities, including potential a</w:t>
      </w:r>
      <w:r>
        <w:rPr>
          <w:sz w:val="20"/>
          <w:szCs w:val="20"/>
        </w:rPr>
        <w:t>cquisitions. In addition, such debt financing may impair the Company’s ability to obtain future additional financing for working capital, capital expenditures, acquisitions, general corporate or other purposes, and a substantial portion of cash flows, if a</w:t>
      </w:r>
      <w:r>
        <w:rPr>
          <w:sz w:val="20"/>
          <w:szCs w:val="20"/>
        </w:rPr>
        <w:t>ny, from the Company’s operations may be dedicated to interest payments and debt repayment, thereby reducing the funds available to the Company for other purposes.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The Company will need to hire additional qualified accounting personnel in order to remedi</w:t>
      </w:r>
      <w:r>
        <w:rPr>
          <w:b/>
          <w:bCs/>
          <w:i/>
          <w:iCs/>
          <w:sz w:val="20"/>
          <w:szCs w:val="20"/>
        </w:rPr>
        <w:t xml:space="preserve">ate a material weakness in its internal control over financial accounting, and the Company will need to expend any additional resources and efforts that may be necessary to establish and to maintain the effectiveness of its internal control over financial </w:t>
      </w:r>
      <w:r>
        <w:rPr>
          <w:b/>
          <w:bCs/>
          <w:i/>
          <w:iCs/>
          <w:sz w:val="20"/>
          <w:szCs w:val="20"/>
        </w:rPr>
        <w:t>reporting and its disclosure controls and procedures.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As a public company, the Company is subject to the reporting requirements of the Securities Exchange Act of 1934, as amended, and the Sarbanes-Oxley Act of 2002. The Company’s management is required t</w:t>
      </w:r>
      <w:r>
        <w:rPr>
          <w:sz w:val="20"/>
          <w:szCs w:val="20"/>
        </w:rPr>
        <w:t xml:space="preserve">o evaluate and disclose its assessment of the effectiveness of the Company’s internal control over financial reporting as of each year-end, including disclosing any “material weakness” in the Company’s internal control over financial reporting. A material </w:t>
      </w:r>
      <w:r>
        <w:rPr>
          <w:sz w:val="20"/>
          <w:szCs w:val="20"/>
        </w:rPr>
        <w:t>weakness is a control deficiency, or combination of control deficiencies, that results in more than a remote likelihood that a material misstatement of the annual or interim financial statements will not be prevented or detected. As a result of its assessm</w:t>
      </w:r>
      <w:r>
        <w:rPr>
          <w:sz w:val="20"/>
          <w:szCs w:val="20"/>
        </w:rPr>
        <w:t>ent, management has determined that there is a material weakness due to the lack of segregation of duties and, due to this material weakness, management concluded that, as of December 31, 2022 and 2021, the Company’s internal control over financial reporti</w:t>
      </w:r>
      <w:r>
        <w:rPr>
          <w:sz w:val="20"/>
          <w:szCs w:val="20"/>
        </w:rPr>
        <w:t>ng was ineffective. This material weakness has the potential of adversely impacting the Company’s financial reporting process and the Company’s financial reports. Because of this material weakness, management also concluded that the Company’s disclosure co</w:t>
      </w:r>
      <w:r>
        <w:rPr>
          <w:sz w:val="20"/>
          <w:szCs w:val="20"/>
        </w:rPr>
        <w:t>ntrols and procedures were ineffective as of December 31, 2022 and 2021. The Company needs to hire additional qualified accounting personnel in order to resolve this material weakness. The Company also will need to expend any additional resources and effor</w:t>
      </w:r>
      <w:r>
        <w:rPr>
          <w:sz w:val="20"/>
          <w:szCs w:val="20"/>
        </w:rPr>
        <w:t>ts that may be necessary to establish and to maintain the effectiveness of the Company’s internal control over financial reporting and disclosure controls and procedures.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The Company’s patented or other technologies may infringe on other patents, which m</w:t>
      </w:r>
      <w:r>
        <w:rPr>
          <w:b/>
          <w:bCs/>
          <w:i/>
          <w:iCs/>
          <w:sz w:val="20"/>
          <w:szCs w:val="20"/>
        </w:rPr>
        <w:t>ay expose it to costly litigation.</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It is possible that the Company’s patented or other technologies may infringe on patents or other rights owned by others. The Company may have to alter its products or processes, pay licensing fees, defend infringement </w:t>
      </w:r>
      <w:r>
        <w:rPr>
          <w:sz w:val="20"/>
          <w:szCs w:val="20"/>
        </w:rPr>
        <w:t xml:space="preserve">actions or challenge the validity of the patents in court, or cease activities altogether because of patent rights of third parties, thereby causing additional unexpected costs and delays to the Company. Patent litigation is costly and time consuming, and </w:t>
      </w:r>
      <w:r>
        <w:rPr>
          <w:sz w:val="20"/>
          <w:szCs w:val="20"/>
        </w:rPr>
        <w:t>the Company may not have sufficient resources to pursue such litigation. If the Company does not obtain a license under such patents, if it is found liable for infringement, or if it is not able to have such patents declared invalid, the Company may be lia</w:t>
      </w:r>
      <w:r>
        <w:rPr>
          <w:sz w:val="20"/>
          <w:szCs w:val="20"/>
        </w:rPr>
        <w:t>ble for significant money damages, may encounter significant delays in bringing products to market or may be precluded from participating in the manufacture, use or sale of products or methods of treatment requiring such licenses.</w:t>
      </w:r>
    </w:p>
    <w:p w:rsidR="00000000" w:rsidRDefault="00DA767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86603711"/>
        </w:trPr>
        <w:tc>
          <w:tcPr>
            <w:tcW w:w="5000" w:type="pct"/>
            <w:hideMark/>
          </w:tcPr>
          <w:p w:rsidR="00000000" w:rsidRDefault="00DA7678">
            <w:pPr>
              <w:jc w:val="center"/>
              <w:rPr>
                <w:rFonts w:eastAsia="Times New Roman"/>
                <w:sz w:val="20"/>
                <w:szCs w:val="20"/>
              </w:rPr>
            </w:pPr>
            <w:r>
              <w:rPr>
                <w:rFonts w:eastAsia="Times New Roman"/>
                <w:sz w:val="20"/>
                <w:szCs w:val="20"/>
              </w:rPr>
              <w:t>1</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Protecting th</w:t>
      </w:r>
      <w:r>
        <w:rPr>
          <w:b/>
          <w:bCs/>
          <w:i/>
          <w:iCs/>
          <w:sz w:val="20"/>
          <w:szCs w:val="20"/>
        </w:rPr>
        <w:t>e Company’s intellectual property is critical to its innovation efforts.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The </w:t>
      </w:r>
      <w:r>
        <w:rPr>
          <w:sz w:val="20"/>
          <w:szCs w:val="20"/>
        </w:rPr>
        <w:t>Company owns or has a license to use several U.S. and foreign patents and patent applications, trademarks and copyrights. The Company’s intellectual property rights may be challenged, invalidated or infringed upon by third parties, or it may be unable to m</w:t>
      </w:r>
      <w:r>
        <w:rPr>
          <w:sz w:val="20"/>
          <w:szCs w:val="20"/>
        </w:rPr>
        <w:t>aintain, renew or enter into new licenses of third party proprietary intellectual property on commercially reasonable terms. In some non-U.S. countries, laws affecting intellectual property are uncertain in their application, which can adversely affect the</w:t>
      </w:r>
      <w:r>
        <w:rPr>
          <w:sz w:val="20"/>
          <w:szCs w:val="20"/>
        </w:rPr>
        <w:t xml:space="preserve"> scope or enforceability of the Company’s patents and other intellectual property rights. Any of these events or factors could diminish or cause the Company to lose the competitive advantages associated with the Company’s intellectual property, subject the</w:t>
      </w:r>
      <w:r>
        <w:rPr>
          <w:sz w:val="20"/>
          <w:szCs w:val="20"/>
        </w:rPr>
        <w:t xml:space="preserve"> Company to judgments, penalties and significant litigation costs, or temporarily or permanently disrupt its sales and marketing of the affected products or services.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The Company may not be able to protect its trade secrets and other unpatented proprieta</w:t>
      </w:r>
      <w:r>
        <w:rPr>
          <w:b/>
          <w:bCs/>
          <w:i/>
          <w:iCs/>
          <w:sz w:val="20"/>
          <w:szCs w:val="20"/>
        </w:rPr>
        <w:t>ry technology, which could give competitors an advantage.</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 relies upon trade secrets and other unpatented proprietary technology. The Company may not be able to adequately protect its rights with regard to such unpatented proprietary technolog</w:t>
      </w:r>
      <w:r>
        <w:rPr>
          <w:sz w:val="20"/>
          <w:szCs w:val="20"/>
        </w:rPr>
        <w:t>y, or competitors may independently develop substantially equivalent technology. The Company seeks to protect trade secrets and proprietary knowledge, in part through confidentiality agreements with its employees, consultants, advisors and collaborators. N</w:t>
      </w:r>
      <w:r>
        <w:rPr>
          <w:sz w:val="20"/>
          <w:szCs w:val="20"/>
        </w:rPr>
        <w:t xml:space="preserve">evertheless, these agreements may not effectively prevent disclosure of the Company’s confidential information and may not provide the Company with an adequate remedy in the event of unauthorized disclosure of such information, and as result the Company’s </w:t>
      </w:r>
      <w:r>
        <w:rPr>
          <w:sz w:val="20"/>
          <w:szCs w:val="20"/>
        </w:rPr>
        <w:t>competitors could gain a competitive advantage.</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The Company is subject to extensive government regulation in jurisdictions around the world in which it does business. Regulations address, among other things, environmental compliance, import/export restri</w:t>
      </w:r>
      <w:r>
        <w:rPr>
          <w:b/>
          <w:bCs/>
          <w:i/>
          <w:iCs/>
          <w:sz w:val="20"/>
          <w:szCs w:val="20"/>
        </w:rPr>
        <w:t>ctions, healthcare services, taxes and financial reporting, and those regulations can significantly increase the cost of doing business, which in turn can negatively impact operations, financial results and cash flow.</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If the Company is successful in deve</w:t>
      </w:r>
      <w:r>
        <w:rPr>
          <w:sz w:val="20"/>
          <w:szCs w:val="20"/>
        </w:rPr>
        <w:t>loping manufacturing capability, the Company will be subject to extensive government regulation and intervention both in the U.S. and in all foreign jurisdictions in which it conducts business. Compliance with applicable laws and regulations will result in</w:t>
      </w:r>
      <w:r>
        <w:rPr>
          <w:sz w:val="20"/>
          <w:szCs w:val="20"/>
        </w:rPr>
        <w:t xml:space="preserve"> higher capital expenditures and operating costs, and changes to current regulations with which the Company complies can necessitate further capital expenditures and increases in operating costs to enable continued compliance. Additionally, from time to ti</w:t>
      </w:r>
      <w:r>
        <w:rPr>
          <w:sz w:val="20"/>
          <w:szCs w:val="20"/>
        </w:rPr>
        <w:t>me, the Company may be involved in proceedings under certain of these laws and regulations. Foreign operations are subject to political instabilities, restrictions on funds transfers, import/export restrictions, and currency fluctuation.</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RISKS RELATED TO</w:t>
      </w:r>
      <w:r>
        <w:rPr>
          <w:b/>
          <w:bCs/>
          <w:sz w:val="20"/>
          <w:szCs w:val="20"/>
        </w:rPr>
        <w:t xml:space="preserve"> THE COMPANY’S COMMON STOCK</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The Company’s common stock is currently quoted on the OTCQB Marketplace. Failure to develop or maintain a more active trading market may negatively affect the value of the Company’s common stock, may deter some potential inves</w:t>
      </w:r>
      <w:r>
        <w:rPr>
          <w:b/>
          <w:bCs/>
          <w:i/>
          <w:iCs/>
          <w:sz w:val="20"/>
          <w:szCs w:val="20"/>
        </w:rPr>
        <w:t>tors from purchasing the Company’s common stock or other equity securities, and may make it difficult or impossible for stockholders to sell their shares of common stock.</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Company’s average daily volume of shares traded for the years ended December 31</w:t>
      </w:r>
      <w:r>
        <w:rPr>
          <w:sz w:val="20"/>
          <w:szCs w:val="20"/>
        </w:rPr>
        <w:t>, 2022 and 2021 was 496,720 and 2,074,138, respectively. Failure to develop or maintain an active trading market may negatively affect the value of the Company’s common stock, may make some potential investors unwilling to purchase the Company’s common sto</w:t>
      </w:r>
      <w:r>
        <w:rPr>
          <w:sz w:val="20"/>
          <w:szCs w:val="20"/>
        </w:rPr>
        <w:t>ck or equity securities that are convertible into or exercisable for the Company’s common stock, and may make it difficult or impossible for the Company’s stockholders to sell their shares of common stock and recover any part of their investment.</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The Com</w:t>
      </w:r>
      <w:r>
        <w:rPr>
          <w:b/>
          <w:bCs/>
          <w:i/>
          <w:iCs/>
          <w:sz w:val="20"/>
          <w:szCs w:val="20"/>
        </w:rPr>
        <w:t xml:space="preserve">pany’s outstanding securities, the stock or other securities that it may become obligated to issue under existing agreements, and certain provisions of those securities, may cause immediate and substantial dilution to existing stockholders and may make it </w:t>
      </w:r>
      <w:r>
        <w:rPr>
          <w:b/>
          <w:bCs/>
          <w:i/>
          <w:iCs/>
          <w:sz w:val="20"/>
          <w:szCs w:val="20"/>
        </w:rPr>
        <w:t>more difficult to raise additional equity capital.</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 had 362,541,528 shares of common stock outstanding on March 1, 2023. The Company also had outstanding on that date dilutive securities consisting of preferred stock, restricted stock units, o</w:t>
      </w:r>
      <w:r>
        <w:rPr>
          <w:sz w:val="20"/>
          <w:szCs w:val="20"/>
        </w:rPr>
        <w:t>ptions, and warrants (collectively, “</w:t>
      </w:r>
      <w:r>
        <w:rPr>
          <w:i/>
          <w:iCs/>
          <w:sz w:val="20"/>
          <w:szCs w:val="20"/>
        </w:rPr>
        <w:t>Common Stock Equivalents</w:t>
      </w:r>
      <w:r>
        <w:rPr>
          <w:sz w:val="20"/>
          <w:szCs w:val="20"/>
        </w:rPr>
        <w:t>”) that if they had been exercised and converted in full on March 1, 2023, would have resulted in the issuance of up to 64,762,379 additional shares of common stock. The issuance of shares upon t</w:t>
      </w:r>
      <w:r>
        <w:rPr>
          <w:sz w:val="20"/>
          <w:szCs w:val="20"/>
        </w:rPr>
        <w:t>he exercise of the Common Stock Equivalents may result in substantial dilution to each stockholder by reducing that stockholder’s percentage ownership of the Company’s total outstanding shares of common stock. The issuance of some or all those warrants and</w:t>
      </w:r>
      <w:r>
        <w:rPr>
          <w:sz w:val="20"/>
          <w:szCs w:val="20"/>
        </w:rPr>
        <w:t xml:space="preserve"> any exercise of those warrants will have the effect of further diluting the percentage ownership of the Company’s other stockholders.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Future sales of the Company’s securities, including sales following exercise or conversion of derivative securities, or</w:t>
      </w:r>
      <w:r>
        <w:rPr>
          <w:b/>
          <w:bCs/>
          <w:i/>
          <w:iCs/>
          <w:sz w:val="20"/>
          <w:szCs w:val="20"/>
        </w:rPr>
        <w:t xml:space="preserve"> the perception that such sales may occur, may depress the price of common stock and could encourage short sales.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sale or availability for sale of substantial amounts of the Company’s shares in the public market, including shares issuable upon exerci</w:t>
      </w:r>
      <w:r>
        <w:rPr>
          <w:sz w:val="20"/>
          <w:szCs w:val="20"/>
        </w:rPr>
        <w:t>se of the Common Stock Equivalents, or the perception that such sales may occur, may adversely affect the market price of the Company’s common stock. Any decline in the price of the Company’s common stock may encourage short sales, which could place furthe</w:t>
      </w:r>
      <w:r>
        <w:rPr>
          <w:sz w:val="20"/>
          <w:szCs w:val="20"/>
        </w:rPr>
        <w:t>r downward pressure on the price of the Company’s common stock.</w:t>
      </w:r>
    </w:p>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25288314"/>
        </w:trPr>
        <w:tc>
          <w:tcPr>
            <w:tcW w:w="5000" w:type="pct"/>
            <w:hideMark/>
          </w:tcPr>
          <w:p w:rsidR="00000000" w:rsidRDefault="00DA7678">
            <w:pPr>
              <w:jc w:val="center"/>
              <w:rPr>
                <w:rFonts w:eastAsia="Times New Roman"/>
                <w:sz w:val="20"/>
                <w:szCs w:val="20"/>
              </w:rPr>
            </w:pPr>
            <w:r>
              <w:rPr>
                <w:rFonts w:eastAsia="Times New Roman"/>
                <w:sz w:val="20"/>
                <w:szCs w:val="20"/>
              </w:rPr>
              <w:t>1</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The Company’s stock price is likely to be volatile.</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For </w:t>
      </w:r>
      <w:r>
        <w:rPr>
          <w:sz w:val="20"/>
          <w:szCs w:val="20"/>
        </w:rPr>
        <w:t>the year ended December 31, 2022, the reported low closing price for the Company’s common stock was $0.04 per share, and the reported high closing price was $0.1264 per share. For the year ended December 31, 2021, the reported low closing price for the Com</w:t>
      </w:r>
      <w:r>
        <w:rPr>
          <w:sz w:val="20"/>
          <w:szCs w:val="20"/>
        </w:rPr>
        <w:t>pany’s common stock was $0.068 per share, and the reported high closing price was $0.2592 per share. There is generally significant volatility in the market prices, as well as limited liquidity, of securities of early-stage companies, particularly early st</w:t>
      </w:r>
      <w:r>
        <w:rPr>
          <w:sz w:val="20"/>
          <w:szCs w:val="20"/>
        </w:rPr>
        <w:t>age medical product companies. Contributing to this volatility are various events that can affect the Company’s stock price in a positive or negative manner. These events include, but are not limited to: governmental approvals, refusals to approve, regulat</w:t>
      </w:r>
      <w:r>
        <w:rPr>
          <w:sz w:val="20"/>
          <w:szCs w:val="20"/>
        </w:rPr>
        <w:t>ions or other actions; market acceptance and sales growth of the Company’s products; litigation involving the Company or the Company’s industry; developments or disputes concerning the Company’s patents or other proprietary rights; changes in the structure</w:t>
      </w:r>
      <w:r>
        <w:rPr>
          <w:sz w:val="20"/>
          <w:szCs w:val="20"/>
        </w:rPr>
        <w:t xml:space="preserve"> of healthcare payment systems; departure of key personnel; future sales of its securities; fluctuations in its financial results or those of companies that are perceived to be similar to us; investors’ general perception of us; and general economic, indus</w:t>
      </w:r>
      <w:r>
        <w:rPr>
          <w:sz w:val="20"/>
          <w:szCs w:val="20"/>
        </w:rPr>
        <w:t>try and market conditions. If any of these events occur, it could cause the Company’s stock price to fall, and any of these events may cause the Company’s stock price to be volatile.</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The Company’s common stock is subject to the “Penny Stock” rules of the</w:t>
      </w:r>
      <w:r>
        <w:rPr>
          <w:b/>
          <w:bCs/>
          <w:i/>
          <w:iCs/>
          <w:sz w:val="20"/>
          <w:szCs w:val="20"/>
        </w:rPr>
        <w:t xml:space="preserve"> SEC and the trading market in its securities is limited, which makes transactions in its common stock cumbersome and may reduce the value of an investment in the Company’s stock.</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SEC has adopted Rule 3a51-1, which establishes the definition of a “pe</w:t>
      </w:r>
      <w:r>
        <w:rPr>
          <w:sz w:val="20"/>
          <w:szCs w:val="20"/>
        </w:rPr>
        <w:t>nny stock,” for the purposes relevant to us, as any equity security that has a market price of less than $5.00 per share or with an exercise price of less than $5.00 per share, subject to certain exceptions. For any transaction involving a penny stock, unl</w:t>
      </w:r>
      <w:r>
        <w:rPr>
          <w:sz w:val="20"/>
          <w:szCs w:val="20"/>
        </w:rPr>
        <w:t>ess exempt, Rule 15g-9 requires that a broker or dealer approve a person’s account for transactions in penny stocks and that the broker or dealer receive from the investor a written agreement to the transaction, setting forth the identity and quantity of t</w:t>
      </w:r>
      <w:r>
        <w:rPr>
          <w:sz w:val="20"/>
          <w:szCs w:val="20"/>
        </w:rPr>
        <w:t>he penny stock to be purchased.</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In order to approve a person’s account for transactions in penny stocks, the broker or dealer must obtain financial information and investment experience and objectives of the person and must make a reasonable determinatio</w:t>
      </w:r>
      <w:r>
        <w:rPr>
          <w:sz w:val="20"/>
          <w:szCs w:val="20"/>
        </w:rPr>
        <w:t>n that the transactions in penny stocks are suitable for that person and that the person has sufficient knowledge and experience in financial matters to be capable of evaluating the risks of transactions in penny stocks.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broker or dealer must also de</w:t>
      </w:r>
      <w:r>
        <w:rPr>
          <w:sz w:val="20"/>
          <w:szCs w:val="20"/>
        </w:rPr>
        <w:t>liver, prior to any transaction in a penny stock, a disclosure schedule prescribed by the SEC relating to the penny stock market, which sets forth the basis on which the broker or dealer made the suitability determination, and that the broker or dealer rec</w:t>
      </w:r>
      <w:r>
        <w:rPr>
          <w:sz w:val="20"/>
          <w:szCs w:val="20"/>
        </w:rPr>
        <w:t>eived a signed, written agreement from the investor prior to the transaction.</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Generally, brokers may be less willing to execute transactions in securities subject to the “penny stock” rules. This may make it more difficult for investors to dispose of the</w:t>
      </w:r>
      <w:r>
        <w:rPr>
          <w:sz w:val="20"/>
          <w:szCs w:val="20"/>
        </w:rPr>
        <w:t xml:space="preserve"> Company’s common stock and may cause a decline in the market value of its stock.</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Disclosure </w:t>
      </w:r>
      <w:r>
        <w:rPr>
          <w:sz w:val="20"/>
          <w:szCs w:val="20"/>
        </w:rPr>
        <w:t xml:space="preserve">also has to be made about the risks of investing in penny stocks in both public offerings and in secondary trading and about the commissions payable to both the broker-dealer and the registered representative, current quotations for the securities and the </w:t>
      </w:r>
      <w:r>
        <w:rPr>
          <w:sz w:val="20"/>
          <w:szCs w:val="20"/>
        </w:rPr>
        <w:t>rights and remedies available to an investor in cases of fraud in penny stock transactions. Finally, monthly statements have to be sent disclosing recent price information for the penny stock held in the account and information on the limited market in pen</w:t>
      </w:r>
      <w:r>
        <w:rPr>
          <w:sz w:val="20"/>
          <w:szCs w:val="20"/>
        </w:rPr>
        <w:t>ny stocks.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As a result of the Company issuing preferred stock, the rights of holders of the Company’s common stock and the value of the Company’s common stock may be adversely affected.</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Company’s Board of Directors is authorized to issue classes or</w:t>
      </w:r>
      <w:r>
        <w:rPr>
          <w:sz w:val="20"/>
          <w:szCs w:val="20"/>
        </w:rPr>
        <w:t xml:space="preserve"> series of preferred stock, without any action on the part of the stockholders. The Company’s Board of Directors also has the power, without stockholder approval, to set the terms of any such classes or series of preferred stock, including voting rights, d</w:t>
      </w:r>
      <w:r>
        <w:rPr>
          <w:sz w:val="20"/>
          <w:szCs w:val="20"/>
        </w:rPr>
        <w:t>ividend rights and preferences over the common stock with respect to dividends or upon the liquidation, dissolution or winding-up of its business, and other terms. The Company has issued preferred stock that has a preference over the common stock with resp</w:t>
      </w:r>
      <w:r>
        <w:rPr>
          <w:sz w:val="20"/>
          <w:szCs w:val="20"/>
        </w:rPr>
        <w:t xml:space="preserve">ect to the payment of dividends or upon liquidation, dissolution or winding-up, and with respect to voting rights. In accordance with that and with the issuance of preferred stock, our common stockholders voting rights have been diluted and it is possible </w:t>
      </w:r>
      <w:r>
        <w:rPr>
          <w:sz w:val="20"/>
          <w:szCs w:val="20"/>
        </w:rPr>
        <w:t>that the rights of holders of the common stock or the value of the common stock have been adversely affected.</w:t>
      </w:r>
    </w:p>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The Company does not expect to pay any dividends on common stock for the foreseeable future.</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 has not paid any cash dividends on it</w:t>
      </w:r>
      <w:r>
        <w:rPr>
          <w:sz w:val="20"/>
          <w:szCs w:val="20"/>
        </w:rPr>
        <w:t>s common stock to date and does not anticipate it will pay cash dividends on its common stock in the foreseeable future. Accordingly, stockholders must be prepared to rely on sales of their common stock after price appreciation to earn an investment return</w:t>
      </w:r>
      <w:r>
        <w:rPr>
          <w:sz w:val="20"/>
          <w:szCs w:val="20"/>
        </w:rPr>
        <w:t>, which may never occur. Any determination to pay dividends in the future will be made at the discretion of the Company’s board of directors and will depend on the Company’s results of operations, financial conditions, contractual restrictions, restriction</w:t>
      </w:r>
      <w:r>
        <w:rPr>
          <w:sz w:val="20"/>
          <w:szCs w:val="20"/>
        </w:rPr>
        <w:t>s imposed by applicable law, and other factors that the Company’s board deems relevant.</w:t>
      </w:r>
    </w:p>
    <w:p w:rsidR="00000000" w:rsidRDefault="00DA767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59164112"/>
        </w:trPr>
        <w:tc>
          <w:tcPr>
            <w:tcW w:w="5000" w:type="pct"/>
            <w:hideMark/>
          </w:tcPr>
          <w:p w:rsidR="00000000" w:rsidRDefault="00DA7678">
            <w:pPr>
              <w:jc w:val="center"/>
              <w:rPr>
                <w:rFonts w:eastAsia="Times New Roman"/>
                <w:sz w:val="20"/>
                <w:szCs w:val="20"/>
              </w:rPr>
            </w:pPr>
            <w:r>
              <w:rPr>
                <w:rFonts w:eastAsia="Times New Roman"/>
                <w:sz w:val="20"/>
                <w:szCs w:val="20"/>
              </w:rPr>
              <w:t>2</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Pandemics including COVID-19 may adversely affect our business.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The </w:t>
      </w:r>
      <w:r>
        <w:rPr>
          <w:sz w:val="20"/>
          <w:szCs w:val="20"/>
        </w:rPr>
        <w:t>unprecedented events related to COVID-19 and the variants, the disease caused by the novel coronavirus (SARS-CoV-2), have had significant health, economic, and market impacts and may have short-term and long-term adverse effects on our business that we can</w:t>
      </w:r>
      <w:r>
        <w:rPr>
          <w:sz w:val="20"/>
          <w:szCs w:val="20"/>
        </w:rPr>
        <w:t>not predict as the global pandemic continues to evolve. The extent and effectiveness of responses by governments and other organizations also cannot be predicted.</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Our ability to access the capital markets is unknown during the COVID-19 pandemic. Any such</w:t>
      </w:r>
      <w:r>
        <w:rPr>
          <w:sz w:val="20"/>
          <w:szCs w:val="20"/>
        </w:rPr>
        <w:t xml:space="preserve"> limitation on available financing would adversely affect our business.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GENERAL RISK FACTORS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Volatility in raw material and energy costs, interruption in ordinary sources of supply, and an inability to recover from unanticipated increases in energy and</w:t>
      </w:r>
      <w:r>
        <w:rPr>
          <w:b/>
          <w:bCs/>
          <w:i/>
          <w:iCs/>
          <w:sz w:val="20"/>
          <w:szCs w:val="20"/>
        </w:rPr>
        <w:t xml:space="preserve"> raw material costs could result in lost sales or could increase significantly the cost of doing business.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Market and economic conditions affecting the costs of raw materials, utilities, energy costs, and infrastructure required to provide for the delive</w:t>
      </w:r>
      <w:r>
        <w:rPr>
          <w:sz w:val="20"/>
          <w:szCs w:val="20"/>
        </w:rPr>
        <w:t>ry of the Company’s products and services are beyond the Company’s control. Any disruption or halt in supplies, or rapid escalations in costs, could adversely affect the Company’s ability to manufacture products or to competitively price the Company’s prod</w:t>
      </w:r>
      <w:r>
        <w:rPr>
          <w:sz w:val="20"/>
          <w:szCs w:val="20"/>
        </w:rPr>
        <w:t>ucts in the marketplace. To date, the ultimate impact of energy costs increases has been mitigated through price increases or offset through improved process efficiencies; however, continuing escalation of energy costs could have a negative impact upon the</w:t>
      </w:r>
      <w:r>
        <w:rPr>
          <w:sz w:val="20"/>
          <w:szCs w:val="20"/>
        </w:rPr>
        <w:t xml:space="preserve"> Company’s business and financial performance.</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General economic conditions in markets in which the Company does business can impact the demand for the Company’s goods and services. Decreased demand for the Company’s products and services could have a neg</w:t>
      </w:r>
      <w:r>
        <w:rPr>
          <w:b/>
          <w:bCs/>
          <w:i/>
          <w:iCs/>
          <w:sz w:val="20"/>
          <w:szCs w:val="20"/>
        </w:rPr>
        <w:t>ative impact on its financial performance and cash flow.</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Demand for the Company’s products and services, in part, depends on the general economic conditions affecting the countries and industries in which the Company does business. A downturn in economic</w:t>
      </w:r>
      <w:r>
        <w:rPr>
          <w:sz w:val="20"/>
          <w:szCs w:val="20"/>
        </w:rPr>
        <w:t xml:space="preserve"> conditions in a country or industry that the Company serves may adversely affect the demand for the Company’s products and services, in turn negatively impacting the Company’s operations and financial results. Further, changes in demand for the Company’s </w:t>
      </w:r>
      <w:r>
        <w:rPr>
          <w:sz w:val="20"/>
          <w:szCs w:val="20"/>
        </w:rPr>
        <w:t>products and services can magnify the impact of economic cycles on the Company’s businesses. Unanticipated contract terminations by customers can negatively impact operations, financial results and cash flow. The Company’s earnings, cash flow and financial</w:t>
      </w:r>
      <w:r>
        <w:rPr>
          <w:sz w:val="20"/>
          <w:szCs w:val="20"/>
        </w:rPr>
        <w:t xml:space="preserve"> position are exposed to financial market risks worldwide, including interest rate and currency exchange rate fluctuations and exchange rate controls. Fluctuations in domestic and world financial markets could adversely affect interest rates and impact the</w:t>
      </w:r>
      <w:r>
        <w:rPr>
          <w:sz w:val="20"/>
          <w:szCs w:val="20"/>
        </w:rPr>
        <w:t xml:space="preserve"> Company’s ability to obtain credit or attract investors.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ITEM 1B. UNRESOLVED STAFF COMMENTS.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This item is not applicable to the Company because the Company is a smaller reporting company as defined by Rule 12b-2 under the Securities Exchange Act of 19</w:t>
      </w:r>
      <w:r>
        <w:rPr>
          <w:sz w:val="20"/>
          <w:szCs w:val="20"/>
        </w:rPr>
        <w:t>34.</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ITEM 2. PROPERTIES.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 is headquartered in Richland, Washington. Our Chief Executive Officer currently works from his home office in virtual communication with key personnel. Cadwell Laboratories, which is controlled by Carl Cadwell, a dir</w:t>
      </w:r>
      <w:r>
        <w:rPr>
          <w:sz w:val="20"/>
          <w:szCs w:val="20"/>
        </w:rPr>
        <w:t>ector of the Company, provides office space to management on an as-needed basis until such time as the Company leases permanent office space. Management believes that the Company’s sites are adequate to support the business and suitable for present purpose</w:t>
      </w:r>
      <w:r>
        <w:rPr>
          <w:sz w:val="20"/>
          <w:szCs w:val="20"/>
        </w:rPr>
        <w:t>s, and the properties and equipment have been well maintained.</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ITEM 3. LEGAL PROCEEDINGS.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 may, from time to time, be involved in various legal proceedings incidental to the conduct of our business. Historically, the outcome of all such lega</w:t>
      </w:r>
      <w:r>
        <w:rPr>
          <w:sz w:val="20"/>
          <w:szCs w:val="20"/>
        </w:rPr>
        <w:t>l proceedings has not, in the aggregate, had a material adverse effect on our business, financial condition, results of operations or liquidity. There are no material pending or threatened legal proceedings at this time.</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 xml:space="preserve">ITEM </w:t>
      </w:r>
      <w:r>
        <w:rPr>
          <w:b/>
          <w:bCs/>
          <w:sz w:val="20"/>
          <w:szCs w:val="20"/>
        </w:rPr>
        <w:t>4. MINE SAFETY DISCLOSURES.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Not applicable.</w:t>
      </w:r>
    </w:p>
    <w:p w:rsidR="00000000" w:rsidRDefault="00DA767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38421314"/>
        </w:trPr>
        <w:tc>
          <w:tcPr>
            <w:tcW w:w="5000" w:type="pct"/>
            <w:hideMark/>
          </w:tcPr>
          <w:p w:rsidR="00000000" w:rsidRDefault="00DA7678">
            <w:pPr>
              <w:jc w:val="center"/>
              <w:rPr>
                <w:rFonts w:eastAsia="Times New Roman"/>
                <w:sz w:val="20"/>
                <w:szCs w:val="20"/>
              </w:rPr>
            </w:pPr>
            <w:r>
              <w:rPr>
                <w:rFonts w:eastAsia="Times New Roman"/>
                <w:sz w:val="20"/>
                <w:szCs w:val="20"/>
              </w:rPr>
              <w:t>2</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center"/>
        <w:rPr>
          <w:sz w:val="20"/>
          <w:szCs w:val="20"/>
        </w:rPr>
      </w:pPr>
      <w:r>
        <w:rPr>
          <w:b/>
          <w:bCs/>
          <w:sz w:val="20"/>
          <w:szCs w:val="20"/>
        </w:rPr>
        <w:t>PART II</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ITEM 5. MARKET FOR REGISTRANT’S COMMON EQUITY, RELATED STOCKHOLDER MATTERS AND ISSUER PURCHASES OF EQUITY SECURITIES.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Market Information</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Company’s common stock is traded on the OTC</w:t>
      </w:r>
      <w:r>
        <w:rPr>
          <w:sz w:val="20"/>
          <w:szCs w:val="20"/>
        </w:rPr>
        <w:t>QB Marketplace under the symbol “RDGL.” The following table sets forth, in U.S. dollars, the high and low closing prices for each of the calendar quarters indicated, as reported by the OTCQB Marketplace, for the past two fiscal years. Such OTCQB Marketplac</w:t>
      </w:r>
      <w:r>
        <w:rPr>
          <w:sz w:val="20"/>
          <w:szCs w:val="20"/>
        </w:rPr>
        <w:t>e quotations reflect inter-dealer prices, without markup, markdown or commissions and, particularly because our common stock is traded infrequently, may not necessarily represent actual transactions or a liquid trading market.</w:t>
      </w:r>
    </w:p>
    <w:p w:rsidR="00000000" w:rsidRDefault="00DA7678">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43"/>
        <w:gridCol w:w="161"/>
        <w:gridCol w:w="100"/>
        <w:gridCol w:w="992"/>
        <w:gridCol w:w="78"/>
        <w:gridCol w:w="161"/>
        <w:gridCol w:w="100"/>
        <w:gridCol w:w="992"/>
        <w:gridCol w:w="79"/>
      </w:tblGrid>
      <w:tr w:rsidR="00000000">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b/>
                <w:bCs/>
                <w:sz w:val="20"/>
                <w:szCs w:val="20"/>
              </w:rPr>
            </w:pPr>
            <w:r>
              <w:rPr>
                <w:rFonts w:eastAsia="Times New Roman"/>
                <w:b/>
                <w:bCs/>
                <w:sz w:val="20"/>
                <w:szCs w:val="20"/>
              </w:rPr>
              <w:t>High</w:t>
            </w:r>
          </w:p>
        </w:tc>
        <w:tc>
          <w:tcPr>
            <w:tcW w:w="0" w:type="auto"/>
            <w:tcMar>
              <w:top w:w="0" w:type="dxa"/>
              <w:left w:w="0" w:type="dxa"/>
              <w:bottom w:w="30" w:type="dxa"/>
              <w:right w:w="0" w:type="dxa"/>
            </w:tcMar>
            <w:vAlign w:val="bottom"/>
            <w:hideMark/>
          </w:tcPr>
          <w:p w:rsidR="00000000" w:rsidRDefault="00DA767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b/>
                <w:bCs/>
                <w:sz w:val="20"/>
                <w:szCs w:val="20"/>
              </w:rPr>
            </w:pPr>
            <w:r>
              <w:rPr>
                <w:rFonts w:eastAsia="Times New Roman"/>
                <w:b/>
                <w:bCs/>
                <w:sz w:val="20"/>
                <w:szCs w:val="20"/>
              </w:rPr>
              <w:t>Low</w:t>
            </w:r>
          </w:p>
        </w:tc>
        <w:tc>
          <w:tcPr>
            <w:tcW w:w="0" w:type="auto"/>
            <w:tcMar>
              <w:top w:w="0" w:type="dxa"/>
              <w:left w:w="0" w:type="dxa"/>
              <w:bottom w:w="30" w:type="dxa"/>
              <w:right w:w="0" w:type="dxa"/>
            </w:tcMar>
            <w:vAlign w:val="bottom"/>
            <w:hideMark/>
          </w:tcPr>
          <w:p w:rsidR="00000000" w:rsidRDefault="00DA7678">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DA7678">
            <w:pPr>
              <w:rPr>
                <w:rFonts w:eastAsia="Times New Roman"/>
                <w:b/>
                <w:bCs/>
                <w:sz w:val="20"/>
                <w:szCs w:val="20"/>
              </w:rPr>
            </w:pPr>
            <w:r>
              <w:rPr>
                <w:rFonts w:eastAsia="Times New Roman"/>
                <w:b/>
                <w:bCs/>
                <w:sz w:val="20"/>
                <w:szCs w:val="20"/>
              </w:rPr>
              <w:t>2022</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3400" w:type="pct"/>
            <w:shd w:val="clear" w:color="auto" w:fill="FFFFFF"/>
            <w:vAlign w:val="bottom"/>
            <w:hideMark/>
          </w:tcPr>
          <w:p w:rsidR="00000000" w:rsidRDefault="00DA7678">
            <w:pPr>
              <w:rPr>
                <w:rFonts w:eastAsia="Times New Roman"/>
                <w:sz w:val="20"/>
                <w:szCs w:val="20"/>
              </w:rPr>
            </w:pPr>
            <w:r>
              <w:rPr>
                <w:rFonts w:eastAsia="Times New Roman"/>
                <w:sz w:val="20"/>
                <w:szCs w:val="20"/>
              </w:rPr>
              <w:t>Quarter ended December 31</w:t>
            </w:r>
          </w:p>
        </w:tc>
        <w:tc>
          <w:tcPr>
            <w:tcW w:w="100" w:type="pct"/>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A7678">
            <w:pPr>
              <w:jc w:val="right"/>
              <w:rPr>
                <w:rFonts w:eastAsia="Times New Roman"/>
                <w:sz w:val="20"/>
                <w:szCs w:val="20"/>
              </w:rPr>
            </w:pPr>
            <w:r>
              <w:rPr>
                <w:rFonts w:eastAsia="Times New Roman"/>
                <w:sz w:val="20"/>
                <w:szCs w:val="20"/>
              </w:rPr>
              <w:t>0.0695</w:t>
            </w:r>
          </w:p>
        </w:tc>
        <w:tc>
          <w:tcPr>
            <w:tcW w:w="50" w:type="pct"/>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DA7678">
            <w:pPr>
              <w:jc w:val="right"/>
              <w:rPr>
                <w:rFonts w:eastAsia="Times New Roman"/>
                <w:sz w:val="20"/>
                <w:szCs w:val="20"/>
              </w:rPr>
            </w:pPr>
            <w:r>
              <w:rPr>
                <w:rFonts w:eastAsia="Times New Roman"/>
                <w:sz w:val="20"/>
                <w:szCs w:val="20"/>
              </w:rPr>
              <w:t>0.04</w:t>
            </w:r>
          </w:p>
        </w:tc>
        <w:tc>
          <w:tcPr>
            <w:tcW w:w="50" w:type="pct"/>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Quarter ended September 30</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0.0809</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0.0461</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Quarter ended June 30</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0.1264</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0.0555</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Quarter ended March 31</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0.0855</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0.0405</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rPr>
                <w:rFonts w:eastAsia="Times New Roman"/>
                <w:b/>
                <w:bCs/>
                <w:sz w:val="20"/>
                <w:szCs w:val="20"/>
              </w:rPr>
            </w:pPr>
            <w:r>
              <w:rPr>
                <w:rFonts w:eastAsia="Times New Roman"/>
                <w:b/>
                <w:bCs/>
                <w:sz w:val="20"/>
                <w:szCs w:val="20"/>
              </w:rPr>
              <w:t>2021</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Quarter ended December 31</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0.122</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0.07</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Quarter ended September 30</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0.13</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0.0882</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Quarter ended June 30</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0.1227</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0.077</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Quarter ended March 31</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0.1179</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0.0853</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Holders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As </w:t>
      </w:r>
      <w:r>
        <w:rPr>
          <w:sz w:val="20"/>
          <w:szCs w:val="20"/>
        </w:rPr>
        <w:t xml:space="preserve">of March 1, 2023, we had 362,541,528 shares of common stock, par value $0.001 per share, issued and outstanding, which were held by approximately 223 shareholders of record. Our transfer agent is Pacific Stock Transfer, 6725 Via Austi Pkwy, Suite 300, Las </w:t>
      </w:r>
      <w:r>
        <w:rPr>
          <w:sz w:val="20"/>
          <w:szCs w:val="20"/>
        </w:rPr>
        <w:t>Vegas, NV 89119.</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Securities Authorized for Issuance Under Equity Compensation Plans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following table sets forth information as of December 31, 2022 with respect to the Company’s equity compensation plans previously approved by stockholders and equit</w:t>
      </w:r>
      <w:r>
        <w:rPr>
          <w:sz w:val="20"/>
          <w:szCs w:val="20"/>
        </w:rPr>
        <w:t>y compensation plans not previously approved by stockholders.</w:t>
      </w:r>
    </w:p>
    <w:p w:rsidR="00000000" w:rsidRDefault="00DA767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805"/>
        <w:gridCol w:w="150"/>
        <w:gridCol w:w="67"/>
        <w:gridCol w:w="1147"/>
        <w:gridCol w:w="152"/>
        <w:gridCol w:w="150"/>
        <w:gridCol w:w="101"/>
        <w:gridCol w:w="1147"/>
        <w:gridCol w:w="152"/>
        <w:gridCol w:w="151"/>
        <w:gridCol w:w="79"/>
        <w:gridCol w:w="1137"/>
        <w:gridCol w:w="68"/>
      </w:tblGrid>
      <w:tr w:rsidR="00000000">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b/>
                <w:bCs/>
                <w:sz w:val="20"/>
                <w:szCs w:val="20"/>
              </w:rPr>
            </w:pPr>
            <w:r>
              <w:rPr>
                <w:rFonts w:eastAsia="Times New Roman"/>
                <w:b/>
                <w:bCs/>
                <w:sz w:val="20"/>
                <w:szCs w:val="20"/>
              </w:rPr>
              <w:t> </w:t>
            </w:r>
          </w:p>
        </w:tc>
        <w:tc>
          <w:tcPr>
            <w:tcW w:w="0" w:type="auto"/>
            <w:gridSpan w:val="10"/>
            <w:tcBorders>
              <w:bottom w:val="single" w:sz="12" w:space="0" w:color="000000"/>
            </w:tcBorders>
            <w:vAlign w:val="bottom"/>
            <w:hideMark/>
          </w:tcPr>
          <w:p w:rsidR="00000000" w:rsidRDefault="00DA7678">
            <w:pPr>
              <w:jc w:val="center"/>
              <w:rPr>
                <w:rFonts w:eastAsia="Times New Roman"/>
                <w:b/>
                <w:bCs/>
                <w:sz w:val="20"/>
                <w:szCs w:val="20"/>
              </w:rPr>
            </w:pPr>
            <w:r>
              <w:rPr>
                <w:rFonts w:eastAsia="Times New Roman"/>
                <w:b/>
                <w:bCs/>
                <w:sz w:val="20"/>
                <w:szCs w:val="20"/>
              </w:rPr>
              <w:t>Equity Compensation Plan Information</w:t>
            </w:r>
          </w:p>
        </w:tc>
        <w:tc>
          <w:tcPr>
            <w:tcW w:w="0" w:type="auto"/>
            <w:tcMar>
              <w:top w:w="0" w:type="dxa"/>
              <w:left w:w="0" w:type="dxa"/>
              <w:bottom w:w="30" w:type="dxa"/>
              <w:right w:w="0" w:type="dxa"/>
            </w:tcMar>
            <w:vAlign w:val="bottom"/>
            <w:hideMark/>
          </w:tcPr>
          <w:p w:rsidR="00000000" w:rsidRDefault="00DA7678">
            <w:pPr>
              <w:rPr>
                <w:rFonts w:eastAsia="Times New Roman"/>
                <w:b/>
                <w:bCs/>
                <w:sz w:val="20"/>
                <w:szCs w:val="20"/>
              </w:rPr>
            </w:pPr>
            <w:r>
              <w:rPr>
                <w:rFonts w:eastAsia="Times New Roman"/>
                <w:b/>
                <w:bCs/>
                <w:sz w:val="20"/>
                <w:szCs w:val="20"/>
              </w:rPr>
              <w:t> </w:t>
            </w:r>
          </w:p>
        </w:tc>
      </w:tr>
      <w:tr w:rsidR="00000000">
        <w:tc>
          <w:tcPr>
            <w:tcW w:w="0" w:type="auto"/>
            <w:tcBorders>
              <w:bottom w:val="single" w:sz="12" w:space="0" w:color="000000"/>
            </w:tcBorders>
            <w:vAlign w:val="bottom"/>
            <w:hideMark/>
          </w:tcPr>
          <w:p w:rsidR="00000000" w:rsidRDefault="00DA7678">
            <w:pPr>
              <w:rPr>
                <w:rFonts w:eastAsia="Times New Roman"/>
                <w:b/>
                <w:bCs/>
                <w:sz w:val="20"/>
                <w:szCs w:val="20"/>
              </w:rPr>
            </w:pPr>
            <w:r>
              <w:rPr>
                <w:rFonts w:eastAsia="Times New Roman"/>
                <w:b/>
                <w:bCs/>
                <w:sz w:val="20"/>
                <w:szCs w:val="20"/>
              </w:rPr>
              <w:t>Plan Category</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pStyle w:val="a3"/>
              <w:spacing w:before="0" w:beforeAutospacing="0" w:after="0" w:afterAutospacing="0"/>
              <w:jc w:val="center"/>
              <w:rPr>
                <w:sz w:val="20"/>
                <w:szCs w:val="20"/>
              </w:rPr>
            </w:pPr>
            <w:r>
              <w:rPr>
                <w:b/>
                <w:bCs/>
                <w:sz w:val="20"/>
                <w:szCs w:val="20"/>
              </w:rPr>
              <w:t>Number of securities to be issued upon exercise of outstanding</w:t>
            </w:r>
          </w:p>
          <w:p w:rsidR="00000000" w:rsidRDefault="00DA7678">
            <w:pPr>
              <w:pStyle w:val="a3"/>
              <w:spacing w:before="0" w:beforeAutospacing="0" w:after="0" w:afterAutospacing="0"/>
              <w:jc w:val="center"/>
              <w:rPr>
                <w:sz w:val="20"/>
                <w:szCs w:val="20"/>
              </w:rPr>
            </w:pPr>
            <w:r>
              <w:rPr>
                <w:b/>
                <w:bCs/>
                <w:sz w:val="20"/>
                <w:szCs w:val="20"/>
              </w:rPr>
              <w:t>options, warrants</w:t>
            </w:r>
          </w:p>
          <w:p w:rsidR="00000000" w:rsidRDefault="00DA7678">
            <w:pPr>
              <w:pStyle w:val="a3"/>
              <w:spacing w:before="0" w:beforeAutospacing="0" w:after="0" w:afterAutospacing="0"/>
              <w:jc w:val="center"/>
              <w:rPr>
                <w:sz w:val="20"/>
                <w:szCs w:val="20"/>
              </w:rPr>
            </w:pPr>
            <w:r>
              <w:rPr>
                <w:b/>
                <w:bCs/>
                <w:sz w:val="20"/>
                <w:szCs w:val="20"/>
              </w:rPr>
              <w:t>and rights</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pStyle w:val="a3"/>
              <w:spacing w:before="0" w:beforeAutospacing="0" w:after="0" w:afterAutospacing="0"/>
              <w:jc w:val="center"/>
              <w:rPr>
                <w:sz w:val="20"/>
                <w:szCs w:val="20"/>
              </w:rPr>
            </w:pPr>
            <w:r>
              <w:rPr>
                <w:b/>
                <w:bCs/>
                <w:sz w:val="20"/>
                <w:szCs w:val="20"/>
              </w:rPr>
              <w:t>Weighted-average</w:t>
            </w:r>
          </w:p>
          <w:p w:rsidR="00000000" w:rsidRDefault="00DA7678">
            <w:pPr>
              <w:pStyle w:val="a3"/>
              <w:spacing w:before="0" w:beforeAutospacing="0" w:after="0" w:afterAutospacing="0"/>
              <w:jc w:val="center"/>
              <w:rPr>
                <w:sz w:val="20"/>
                <w:szCs w:val="20"/>
              </w:rPr>
            </w:pPr>
            <w:r>
              <w:rPr>
                <w:b/>
                <w:bCs/>
                <w:sz w:val="20"/>
                <w:szCs w:val="20"/>
              </w:rPr>
              <w:t>exercise price of</w:t>
            </w:r>
          </w:p>
          <w:p w:rsidR="00000000" w:rsidRDefault="00DA7678">
            <w:pPr>
              <w:pStyle w:val="a3"/>
              <w:spacing w:before="0" w:beforeAutospacing="0" w:after="0" w:afterAutospacing="0"/>
              <w:jc w:val="center"/>
              <w:rPr>
                <w:sz w:val="20"/>
                <w:szCs w:val="20"/>
              </w:rPr>
            </w:pPr>
            <w:r>
              <w:rPr>
                <w:b/>
                <w:bCs/>
                <w:sz w:val="20"/>
                <w:szCs w:val="20"/>
              </w:rPr>
              <w:t>outstanding options,</w:t>
            </w:r>
          </w:p>
          <w:p w:rsidR="00000000" w:rsidRDefault="00DA7678">
            <w:pPr>
              <w:pStyle w:val="a3"/>
              <w:spacing w:before="0" w:beforeAutospacing="0" w:after="0" w:afterAutospacing="0"/>
              <w:jc w:val="center"/>
              <w:rPr>
                <w:sz w:val="20"/>
                <w:szCs w:val="20"/>
              </w:rPr>
            </w:pPr>
            <w:r>
              <w:rPr>
                <w:b/>
                <w:bCs/>
                <w:sz w:val="20"/>
                <w:szCs w:val="20"/>
              </w:rPr>
              <w:t>warrants and rights</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pStyle w:val="a3"/>
              <w:spacing w:before="0" w:beforeAutospacing="0" w:after="0" w:afterAutospacing="0"/>
              <w:jc w:val="center"/>
              <w:rPr>
                <w:sz w:val="20"/>
                <w:szCs w:val="20"/>
              </w:rPr>
            </w:pPr>
            <w:r>
              <w:rPr>
                <w:b/>
                <w:bCs/>
                <w:sz w:val="20"/>
                <w:szCs w:val="20"/>
              </w:rPr>
              <w:t>Number of securities remaining available for future issuance under</w:t>
            </w:r>
          </w:p>
          <w:p w:rsidR="00000000" w:rsidRDefault="00DA7678">
            <w:pPr>
              <w:pStyle w:val="a3"/>
              <w:spacing w:before="0" w:beforeAutospacing="0" w:after="0" w:afterAutospacing="0"/>
              <w:jc w:val="center"/>
              <w:rPr>
                <w:sz w:val="20"/>
                <w:szCs w:val="20"/>
              </w:rPr>
            </w:pPr>
            <w:r>
              <w:rPr>
                <w:b/>
                <w:bCs/>
                <w:sz w:val="20"/>
                <w:szCs w:val="20"/>
              </w:rPr>
              <w:t>equity compensation</w:t>
            </w:r>
          </w:p>
          <w:p w:rsidR="00000000" w:rsidRDefault="00DA7678">
            <w:pPr>
              <w:pStyle w:val="a3"/>
              <w:spacing w:before="0" w:beforeAutospacing="0" w:after="0" w:afterAutospacing="0"/>
              <w:jc w:val="center"/>
              <w:rPr>
                <w:sz w:val="20"/>
                <w:szCs w:val="20"/>
              </w:rPr>
            </w:pPr>
            <w:r>
              <w:rPr>
                <w:b/>
                <w:bCs/>
                <w:sz w:val="20"/>
                <w:szCs w:val="20"/>
              </w:rPr>
              <w:t>plans (excluding</w:t>
            </w:r>
          </w:p>
          <w:p w:rsidR="00000000" w:rsidRDefault="00DA7678">
            <w:pPr>
              <w:pStyle w:val="a3"/>
              <w:spacing w:before="0" w:beforeAutospacing="0" w:after="0" w:afterAutospacing="0"/>
              <w:jc w:val="center"/>
              <w:rPr>
                <w:sz w:val="20"/>
                <w:szCs w:val="20"/>
              </w:rPr>
            </w:pPr>
            <w:r>
              <w:rPr>
                <w:b/>
                <w:bCs/>
                <w:sz w:val="20"/>
                <w:szCs w:val="20"/>
              </w:rPr>
              <w:t>securities reflected in</w:t>
            </w:r>
          </w:p>
          <w:p w:rsidR="00000000" w:rsidRDefault="00DA7678">
            <w:pPr>
              <w:pStyle w:val="a3"/>
              <w:spacing w:before="0" w:beforeAutospacing="0" w:after="0" w:afterAutospacing="0"/>
              <w:jc w:val="center"/>
              <w:rPr>
                <w:sz w:val="20"/>
                <w:szCs w:val="20"/>
              </w:rPr>
            </w:pPr>
            <w:r>
              <w:rPr>
                <w:b/>
                <w:bCs/>
                <w:sz w:val="20"/>
                <w:szCs w:val="20"/>
              </w:rPr>
              <w:t>column (a))</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jc w:val="center"/>
              <w:rPr>
                <w:rFonts w:eastAsia="Times New Roman"/>
                <w:sz w:val="20"/>
                <w:szCs w:val="20"/>
              </w:rPr>
            </w:pPr>
            <w:r>
              <w:rPr>
                <w:rFonts w:eastAsia="Times New Roman"/>
                <w:sz w:val="20"/>
                <w:szCs w:val="20"/>
              </w:rPr>
              <w:t> </w:t>
            </w:r>
          </w:p>
        </w:tc>
        <w:tc>
          <w:tcPr>
            <w:tcW w:w="0" w:type="auto"/>
            <w:gridSpan w:val="3"/>
            <w:shd w:val="clear" w:color="auto" w:fill="FFFFFF"/>
            <w:vAlign w:val="bottom"/>
            <w:hideMark/>
          </w:tcPr>
          <w:p w:rsidR="00000000" w:rsidRDefault="00DA7678">
            <w:pPr>
              <w:jc w:val="center"/>
              <w:rPr>
                <w:rFonts w:eastAsia="Times New Roman"/>
                <w:b/>
                <w:bCs/>
                <w:sz w:val="20"/>
                <w:szCs w:val="20"/>
              </w:rPr>
            </w:pPr>
            <w:r>
              <w:rPr>
                <w:rFonts w:eastAsia="Times New Roman"/>
                <w:b/>
                <w:bCs/>
                <w:sz w:val="20"/>
                <w:szCs w:val="20"/>
              </w:rPr>
              <w:t>(a)</w:t>
            </w:r>
          </w:p>
        </w:tc>
        <w:tc>
          <w:tcPr>
            <w:tcW w:w="0" w:type="auto"/>
            <w:shd w:val="clear" w:color="auto" w:fill="FFFFFF"/>
            <w:vAlign w:val="bottom"/>
            <w:hideMark/>
          </w:tcPr>
          <w:p w:rsidR="00000000" w:rsidRDefault="00DA7678">
            <w:pPr>
              <w:jc w:val="center"/>
              <w:rPr>
                <w:rFonts w:eastAsia="Times New Roman"/>
                <w:b/>
                <w:bCs/>
                <w:sz w:val="20"/>
                <w:szCs w:val="20"/>
              </w:rPr>
            </w:pPr>
            <w:r>
              <w:rPr>
                <w:rFonts w:eastAsia="Times New Roman"/>
                <w:b/>
                <w:bCs/>
                <w:sz w:val="20"/>
                <w:szCs w:val="20"/>
              </w:rPr>
              <w:t> </w:t>
            </w:r>
          </w:p>
        </w:tc>
        <w:tc>
          <w:tcPr>
            <w:tcW w:w="0" w:type="auto"/>
            <w:gridSpan w:val="3"/>
            <w:shd w:val="clear" w:color="auto" w:fill="FFFFFF"/>
            <w:vAlign w:val="bottom"/>
            <w:hideMark/>
          </w:tcPr>
          <w:p w:rsidR="00000000" w:rsidRDefault="00DA7678">
            <w:pPr>
              <w:jc w:val="center"/>
              <w:rPr>
                <w:rFonts w:eastAsia="Times New Roman"/>
                <w:b/>
                <w:bCs/>
                <w:sz w:val="20"/>
                <w:szCs w:val="20"/>
              </w:rPr>
            </w:pPr>
            <w:r>
              <w:rPr>
                <w:rFonts w:eastAsia="Times New Roman"/>
                <w:b/>
                <w:bCs/>
                <w:sz w:val="20"/>
                <w:szCs w:val="20"/>
              </w:rPr>
              <w:t>(b)</w:t>
            </w:r>
          </w:p>
        </w:tc>
        <w:tc>
          <w:tcPr>
            <w:tcW w:w="0" w:type="auto"/>
            <w:shd w:val="clear" w:color="auto" w:fill="FFFFFF"/>
            <w:vAlign w:val="bottom"/>
            <w:hideMark/>
          </w:tcPr>
          <w:p w:rsidR="00000000" w:rsidRDefault="00DA7678">
            <w:pPr>
              <w:jc w:val="cente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DA7678">
            <w:pPr>
              <w:jc w:val="center"/>
              <w:rPr>
                <w:rFonts w:eastAsia="Times New Roman"/>
                <w:b/>
                <w:bCs/>
                <w:sz w:val="20"/>
                <w:szCs w:val="20"/>
              </w:rPr>
            </w:pPr>
            <w:r>
              <w:rPr>
                <w:rFonts w:eastAsia="Times New Roman"/>
                <w:b/>
                <w:bCs/>
                <w:sz w:val="20"/>
                <w:szCs w:val="20"/>
              </w:rPr>
              <w:t> </w:t>
            </w:r>
          </w:p>
        </w:tc>
        <w:tc>
          <w:tcPr>
            <w:tcW w:w="0" w:type="auto"/>
            <w:gridSpan w:val="2"/>
            <w:shd w:val="clear" w:color="auto" w:fill="FFFFFF"/>
            <w:vAlign w:val="bottom"/>
            <w:hideMark/>
          </w:tcPr>
          <w:p w:rsidR="00000000" w:rsidRDefault="00DA7678">
            <w:pPr>
              <w:jc w:val="center"/>
              <w:rPr>
                <w:rFonts w:eastAsia="Times New Roman"/>
                <w:b/>
                <w:bCs/>
                <w:sz w:val="20"/>
                <w:szCs w:val="20"/>
              </w:rPr>
            </w:pPr>
            <w:r>
              <w:rPr>
                <w:rFonts w:eastAsia="Times New Roman"/>
                <w:b/>
                <w:bCs/>
                <w:sz w:val="20"/>
                <w:szCs w:val="20"/>
              </w:rPr>
              <w:t>(c)</w:t>
            </w:r>
          </w:p>
        </w:tc>
        <w:tc>
          <w:tcPr>
            <w:tcW w:w="0" w:type="auto"/>
            <w:shd w:val="clear" w:color="auto" w:fill="FFFFFF"/>
            <w:vAlign w:val="bottom"/>
            <w:hideMark/>
          </w:tcPr>
          <w:p w:rsidR="00000000" w:rsidRDefault="00DA7678">
            <w:pPr>
              <w:jc w:val="center"/>
              <w:rPr>
                <w:rFonts w:eastAsia="Times New Roman"/>
                <w:b/>
                <w:bCs/>
                <w:sz w:val="20"/>
                <w:szCs w:val="20"/>
              </w:rPr>
            </w:pPr>
            <w:r>
              <w:rPr>
                <w:rFonts w:eastAsia="Times New Roman"/>
                <w:b/>
                <w:bCs/>
                <w:sz w:val="20"/>
                <w:szCs w:val="20"/>
              </w:rPr>
              <w:t> </w:t>
            </w:r>
          </w:p>
        </w:tc>
      </w:tr>
      <w:tr w:rsidR="00000000">
        <w:tc>
          <w:tcPr>
            <w:tcW w:w="2300" w:type="pct"/>
            <w:shd w:val="clear" w:color="auto" w:fill="CCEEFF"/>
            <w:vAlign w:val="bottom"/>
            <w:hideMark/>
          </w:tcPr>
          <w:p w:rsidR="00000000" w:rsidRDefault="00DA7678">
            <w:pPr>
              <w:rPr>
                <w:rFonts w:eastAsia="Times New Roman"/>
                <w:sz w:val="20"/>
                <w:szCs w:val="20"/>
              </w:rPr>
            </w:pPr>
            <w:r>
              <w:rPr>
                <w:rFonts w:eastAsia="Times New Roman"/>
                <w:sz w:val="20"/>
                <w:szCs w:val="20"/>
              </w:rPr>
              <w:t>Equity compensation plans approved by stockholders</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25,777,500</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0.09</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32,836,047</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Equity compensation plans not approved by stockholders</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34,115,309</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0.07</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jc w:val="both"/>
              <w:rPr>
                <w:rFonts w:eastAsia="Times New Roman"/>
                <w:sz w:val="20"/>
                <w:szCs w:val="20"/>
              </w:rPr>
            </w:pPr>
            <w:r>
              <w:rPr>
                <w:rFonts w:eastAsia="Times New Roman"/>
                <w:sz w:val="20"/>
                <w:szCs w:val="20"/>
              </w:rPr>
              <w:t>Total</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34,115,309</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vertAlign w:val="superscript"/>
              </w:rPr>
              <w:t>(1)</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0.07</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vertAlign w:val="superscript"/>
              </w:rPr>
              <w:t>(1)</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tc>
          <w:tcPr>
            <w:tcW w:w="720" w:type="dxa"/>
            <w:hideMark/>
          </w:tcPr>
          <w:p w:rsidR="00000000" w:rsidRDefault="00DA7678">
            <w:pPr>
              <w:jc w:val="both"/>
              <w:rPr>
                <w:rFonts w:eastAsia="Times New Roman"/>
                <w:sz w:val="20"/>
                <w:szCs w:val="20"/>
              </w:rPr>
            </w:pPr>
            <w:r>
              <w:rPr>
                <w:rFonts w:eastAsia="Times New Roman"/>
                <w:sz w:val="20"/>
                <w:szCs w:val="20"/>
                <w:vertAlign w:val="superscript"/>
              </w:rPr>
              <w:t>(1)</w:t>
            </w:r>
          </w:p>
        </w:tc>
        <w:tc>
          <w:tcPr>
            <w:tcW w:w="0" w:type="auto"/>
            <w:hideMark/>
          </w:tcPr>
          <w:p w:rsidR="00000000" w:rsidRDefault="00DA7678">
            <w:pPr>
              <w:jc w:val="both"/>
              <w:rPr>
                <w:rFonts w:eastAsia="Times New Roman"/>
                <w:sz w:val="20"/>
                <w:szCs w:val="20"/>
              </w:rPr>
            </w:pPr>
            <w:r>
              <w:rPr>
                <w:rFonts w:eastAsia="Times New Roman"/>
                <w:sz w:val="20"/>
                <w:szCs w:val="20"/>
              </w:rPr>
              <w:t xml:space="preserve">In </w:t>
            </w:r>
            <w:r>
              <w:rPr>
                <w:rFonts w:eastAsia="Times New Roman"/>
                <w:sz w:val="20"/>
                <w:szCs w:val="20"/>
              </w:rPr>
              <w:t>addition to the 2015 Plan (defined below), the Company has individual compensation arrangements under which equity securities are authorized for issuance in exchange for consideration in the form of goods or services of certain individuals.</w:t>
            </w:r>
          </w:p>
        </w:tc>
      </w:tr>
    </w:tbl>
    <w:p w:rsidR="00000000" w:rsidRDefault="00DA767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67010665"/>
        </w:trPr>
        <w:tc>
          <w:tcPr>
            <w:tcW w:w="5000" w:type="pct"/>
            <w:hideMark/>
          </w:tcPr>
          <w:p w:rsidR="00000000" w:rsidRDefault="00DA7678">
            <w:pPr>
              <w:jc w:val="center"/>
              <w:rPr>
                <w:rFonts w:eastAsia="Times New Roman"/>
                <w:sz w:val="20"/>
                <w:szCs w:val="20"/>
              </w:rPr>
            </w:pPr>
            <w:r>
              <w:rPr>
                <w:rFonts w:eastAsia="Times New Roman"/>
                <w:sz w:val="20"/>
                <w:szCs w:val="20"/>
              </w:rPr>
              <w:t>2</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20</w:t>
      </w:r>
      <w:r>
        <w:rPr>
          <w:b/>
          <w:bCs/>
          <w:sz w:val="20"/>
          <w:szCs w:val="20"/>
        </w:rPr>
        <w:t>15 Omnibus Securities and Incentive Plan</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In October 2015, our Board of Directors and stockholders approved the adoption of the 2015 Omnibus Securities and Incentive Plan (the “</w:t>
      </w:r>
      <w:r>
        <w:rPr>
          <w:i/>
          <w:iCs/>
          <w:sz w:val="20"/>
          <w:szCs w:val="20"/>
        </w:rPr>
        <w:t>2015 Plan</w:t>
      </w:r>
      <w:r>
        <w:rPr>
          <w:sz w:val="20"/>
          <w:szCs w:val="20"/>
        </w:rPr>
        <w:t xml:space="preserve">”). The 2015 Plan authorizes an aggregate number of shares of common </w:t>
      </w:r>
      <w:r>
        <w:rPr>
          <w:sz w:val="20"/>
          <w:szCs w:val="20"/>
        </w:rPr>
        <w:t>stock for issuance to all employees of the Company or any subsidiary of the Company, any non-employee director, consultants and independent contractors of the Company or any subsidiary, and any joint venture partners (including, without limitation, officer</w:t>
      </w:r>
      <w:r>
        <w:rPr>
          <w:sz w:val="20"/>
          <w:szCs w:val="20"/>
        </w:rPr>
        <w:t>s, directors and partners thereof) of the Company or any subsidiary. The aggregate number of shares that may be issued under the Plan shall not exceed twenty percent (20%) of the issued and outstanding shares of common stock on an as converted primary basi</w:t>
      </w:r>
      <w:r>
        <w:rPr>
          <w:sz w:val="20"/>
          <w:szCs w:val="20"/>
        </w:rPr>
        <w:t>s on a rolling basis. For calculation purposes, the As Converted Primary Shares (as defined in the 2015 Plan) shall include all shares of common stock and all shares of common stock issuable upon the conversion of outstanding preferred stock and other conv</w:t>
      </w:r>
      <w:r>
        <w:rPr>
          <w:sz w:val="20"/>
          <w:szCs w:val="20"/>
        </w:rPr>
        <w:t>ertible securities, but shall not include any shares of common stock issuable upon the exercise of options, warrants and other convertible securities issued pursuant to the 2015 Plan. As of December 31, 2022, the Converted Primary Shares calculation result</w:t>
      </w:r>
      <w:r>
        <w:rPr>
          <w:sz w:val="20"/>
          <w:szCs w:val="20"/>
        </w:rPr>
        <w:t>s in 32,836,047 aggregate shares that may be issued under the 2015 Plan. The 2015 Plan is administered by the Company’s Compensation Committee, who may issue awards in the form of stock options and/or restricted stock awards. Effective December 31, 2022, a</w:t>
      </w:r>
      <w:r>
        <w:rPr>
          <w:sz w:val="20"/>
          <w:szCs w:val="20"/>
        </w:rPr>
        <w:t>n aggregate total of 44,462,500 restricted stock units (“</w:t>
      </w:r>
      <w:r>
        <w:rPr>
          <w:i/>
          <w:iCs/>
          <w:sz w:val="20"/>
          <w:szCs w:val="20"/>
        </w:rPr>
        <w:t>RSUs</w:t>
      </w:r>
      <w:r>
        <w:rPr>
          <w:sz w:val="20"/>
          <w:szCs w:val="20"/>
        </w:rPr>
        <w:t>”) under the 2015 Plan were authorized, but as of March 1, 2023, 18,085,000 had been issued.</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Recent Sales of Unregistered Securities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Below </w:t>
      </w:r>
      <w:r>
        <w:rPr>
          <w:sz w:val="20"/>
          <w:szCs w:val="20"/>
        </w:rPr>
        <w:t>is a description of all unregistered securities issued by the Company during and subsequent to the quarter ended December 31, 2022, through the date of this report. Each of the issuances identified below were issued in transactions exempt from registration</w:t>
      </w:r>
      <w:r>
        <w:rPr>
          <w:sz w:val="20"/>
          <w:szCs w:val="20"/>
        </w:rPr>
        <w:t xml:space="preserve"> under the Securities Act of 1933, as amended, in reliance on Section 3(a)(9) and/or 4(2) thereof.</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Issuances During the Quarter Ended December 31, 2022</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During </w:t>
      </w:r>
      <w:r>
        <w:rPr>
          <w:sz w:val="20"/>
          <w:szCs w:val="20"/>
        </w:rPr>
        <w:t>the month of December 2022, the Company issued 2,650,273 shares of common stock in the cashless exercise of 3,333,333 warrants.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Issuances Subsequent to December 31, 2022</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Through March 1, 2023, there have been no shares of common or preferred stock issu</w:t>
      </w:r>
      <w:r>
        <w:rPr>
          <w:sz w:val="20"/>
          <w:szCs w:val="20"/>
        </w:rPr>
        <w:t>ed.</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ITEM 6. SELECTED FINANCIAL DATA.</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This item is not applicable to the Company because the Company is a smaller reporting company as defined by Rule 12b-2 under the Securities Exchange Act of 1934, as amended.</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ITEM 7. MANAGEMENT’S DISCUSSION AND ANA</w:t>
      </w:r>
      <w:r>
        <w:rPr>
          <w:b/>
          <w:bCs/>
          <w:sz w:val="20"/>
          <w:szCs w:val="20"/>
        </w:rPr>
        <w:t>LYSIS OF FINANCIAL CONDITION AND RESULTS OF OPERATIONS.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i/>
          <w:iCs/>
          <w:sz w:val="20"/>
          <w:szCs w:val="20"/>
        </w:rPr>
        <w:t>The following discussion and analysis is intended as a review of significant factors affecting the Company’s financial condition and results of operations for the periods indicated. The discussion s</w:t>
      </w:r>
      <w:r>
        <w:rPr>
          <w:i/>
          <w:iCs/>
          <w:sz w:val="20"/>
          <w:szCs w:val="20"/>
        </w:rPr>
        <w:t>hould be read in conjunction with the Company’s financial statements and the notes presented herein. In addition to historical information, the following Management’s Discussion and Analysis of Financial Condition and Results of Operations contains forward</w:t>
      </w:r>
      <w:r>
        <w:rPr>
          <w:i/>
          <w:iCs/>
          <w:sz w:val="20"/>
          <w:szCs w:val="20"/>
        </w:rPr>
        <w:t>-looking statements that involve risks and uncertainties. The Company’s actual results could differ significantly from those anticipated in these forward-looking statements as a result of the risk factors set forth above in Item 1A and other factors discus</w:t>
      </w:r>
      <w:r>
        <w:rPr>
          <w:i/>
          <w:iCs/>
          <w:sz w:val="20"/>
          <w:szCs w:val="20"/>
        </w:rPr>
        <w:t>sed in this Annual Report.</w:t>
      </w:r>
    </w:p>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Results of Operations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Comparison for the Year Ended December 31, 2022 and December 31, 2021</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following table sets forth information from our statements of operations for the years ended December 31, 2022 and 2021:</w:t>
      </w:r>
    </w:p>
    <w:p w:rsidR="00000000" w:rsidRDefault="00DA767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145"/>
        <w:gridCol w:w="161"/>
        <w:gridCol w:w="100"/>
        <w:gridCol w:w="1241"/>
        <w:gridCol w:w="78"/>
        <w:gridCol w:w="161"/>
        <w:gridCol w:w="100"/>
        <w:gridCol w:w="1241"/>
        <w:gridCol w:w="79"/>
      </w:tblGrid>
      <w:tr w:rsidR="00000000">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 xml:space="preserve">Year Ended </w:t>
            </w:r>
            <w:r>
              <w:rPr>
                <w:rFonts w:eastAsia="Times New Roman"/>
                <w:sz w:val="20"/>
                <w:szCs w:val="20"/>
              </w:rPr>
              <w:br/>
              <w:t>December 31, 2022</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 xml:space="preserve">Year Ended </w:t>
            </w:r>
            <w:r>
              <w:rPr>
                <w:rFonts w:eastAsia="Times New Roman"/>
                <w:sz w:val="20"/>
                <w:szCs w:val="20"/>
              </w:rPr>
              <w:br/>
              <w:t>December 31, 2021</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3100" w:type="pct"/>
            <w:shd w:val="clear" w:color="auto" w:fill="CCEEFF"/>
            <w:vAlign w:val="bottom"/>
            <w:hideMark/>
          </w:tcPr>
          <w:p w:rsidR="00000000" w:rsidRDefault="00DA7678">
            <w:pPr>
              <w:rPr>
                <w:rFonts w:eastAsia="Times New Roman"/>
                <w:sz w:val="20"/>
                <w:szCs w:val="20"/>
              </w:rPr>
            </w:pPr>
            <w:r>
              <w:rPr>
                <w:rFonts w:eastAsia="Times New Roman"/>
                <w:sz w:val="20"/>
                <w:szCs w:val="20"/>
              </w:rPr>
              <w:t>Revenues</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36,499</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14,887</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Cost of goods sold</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(28,779</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(12,000</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Gross profit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7,720</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2,887</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Operating expenses</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(2,525,469</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(2,504,685</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Operating loss</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(2,517,749</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(2,501,798</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Non-operating income (expense)</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47,588</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(25,968</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(2,470,161</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(2,527,766</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w:t>
            </w:r>
          </w:p>
        </w:tc>
      </w:tr>
    </w:tbl>
    <w:p w:rsidR="00000000" w:rsidRDefault="00DA767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16714230"/>
        </w:trPr>
        <w:tc>
          <w:tcPr>
            <w:tcW w:w="5000" w:type="pct"/>
            <w:hideMark/>
          </w:tcPr>
          <w:p w:rsidR="00000000" w:rsidRDefault="00DA7678">
            <w:pPr>
              <w:jc w:val="center"/>
              <w:rPr>
                <w:rFonts w:eastAsia="Times New Roman"/>
                <w:sz w:val="20"/>
                <w:szCs w:val="20"/>
              </w:rPr>
            </w:pPr>
            <w:r>
              <w:rPr>
                <w:rFonts w:eastAsia="Times New Roman"/>
                <w:sz w:val="20"/>
                <w:szCs w:val="20"/>
              </w:rPr>
              <w:t>2</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Revenues and Cost of Goods Sold</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Revenue </w:t>
      </w:r>
      <w:r>
        <w:rPr>
          <w:sz w:val="20"/>
          <w:szCs w:val="20"/>
        </w:rPr>
        <w:t>was $36,499 and $14,887 for the year ended December 31, 2022 and 2021, respectively. All revenue recognized in the years ended December 31, 2022 and 2021 relate to consulting income with respect to the IsoPet</w:t>
      </w:r>
      <w:r>
        <w:rPr>
          <w:sz w:val="20"/>
          <w:szCs w:val="20"/>
          <w:vertAlign w:val="superscript"/>
        </w:rPr>
        <w:t>®</w:t>
      </w:r>
      <w:r>
        <w:rPr>
          <w:sz w:val="20"/>
          <w:szCs w:val="20"/>
        </w:rPr>
        <w:t xml:space="preserve"> therapies.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Management does not anticipate th</w:t>
      </w:r>
      <w:r>
        <w:rPr>
          <w:sz w:val="20"/>
          <w:szCs w:val="20"/>
        </w:rPr>
        <w:t>at the Company will generate sufficient revenue to sustain operations until such time as the Company secures multiple revenue-generating arrangements with respect to RadioGel™ and/or any of our other brachytherapy technologies.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Operating Expenses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Opera</w:t>
      </w:r>
      <w:r>
        <w:rPr>
          <w:sz w:val="20"/>
          <w:szCs w:val="20"/>
        </w:rPr>
        <w:t>ting expenses for the years ended December 31, 2022 and 2021, respectively consists of the following:</w:t>
      </w:r>
    </w:p>
    <w:p w:rsidR="00000000" w:rsidRDefault="00DA767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145"/>
        <w:gridCol w:w="161"/>
        <w:gridCol w:w="100"/>
        <w:gridCol w:w="1241"/>
        <w:gridCol w:w="78"/>
        <w:gridCol w:w="161"/>
        <w:gridCol w:w="100"/>
        <w:gridCol w:w="1241"/>
        <w:gridCol w:w="79"/>
      </w:tblGrid>
      <w:tr w:rsidR="00000000">
        <w:tc>
          <w:tcPr>
            <w:tcW w:w="0" w:type="auto"/>
            <w:vAlign w:val="bottom"/>
            <w:hideMark/>
          </w:tcPr>
          <w:p w:rsidR="00000000" w:rsidRDefault="00DA767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 xml:space="preserve">Year Ended </w:t>
            </w:r>
            <w:r>
              <w:rPr>
                <w:rFonts w:eastAsia="Times New Roman"/>
                <w:sz w:val="20"/>
                <w:szCs w:val="20"/>
              </w:rPr>
              <w:br/>
              <w:t>December 31, 2022</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 xml:space="preserve">Year Ended </w:t>
            </w:r>
            <w:r>
              <w:rPr>
                <w:rFonts w:eastAsia="Times New Roman"/>
                <w:sz w:val="20"/>
                <w:szCs w:val="20"/>
              </w:rPr>
              <w:br/>
              <w:t>December 31, 2021</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3100" w:type="pct"/>
            <w:shd w:val="clear" w:color="auto" w:fill="CCEEFF"/>
            <w:vAlign w:val="bottom"/>
            <w:hideMark/>
          </w:tcPr>
          <w:p w:rsidR="00000000" w:rsidRDefault="00DA7678">
            <w:pPr>
              <w:rPr>
                <w:rFonts w:eastAsia="Times New Roman"/>
                <w:sz w:val="20"/>
                <w:szCs w:val="20"/>
              </w:rPr>
            </w:pPr>
            <w:r>
              <w:rPr>
                <w:rFonts w:eastAsia="Times New Roman"/>
                <w:sz w:val="20"/>
                <w:szCs w:val="20"/>
              </w:rPr>
              <w:t>Professional fees, including stock-based compensation</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1,755,316</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1,838,323</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Payroll expenses</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275,240</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267,477</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343,802</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286,848</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General and administrative expenses</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151,111</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112,037</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2,525,469</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2,504,685</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Operating </w:t>
      </w:r>
      <w:r>
        <w:rPr>
          <w:sz w:val="20"/>
          <w:szCs w:val="20"/>
        </w:rPr>
        <w:t>expenses for the years ended December 31, 2022 and 2021 was $2,525,469 and $2,504,685, respectively. The increase in operating expenses from 2021 to 2022 can be attributed to the decrease in professional fees ($1,755,316 for the year ended December 31, 202</w:t>
      </w:r>
      <w:r>
        <w:rPr>
          <w:sz w:val="20"/>
          <w:szCs w:val="20"/>
        </w:rPr>
        <w:t>2 versus $1,838,323 for the year ended December 31, 2021) as the Company utilized more services due to amending their Regulation A+ and the fees incurred for the consultants engaged in 2021 including stock-based compensation; the increase in general and ad</w:t>
      </w:r>
      <w:r>
        <w:rPr>
          <w:sz w:val="20"/>
          <w:szCs w:val="20"/>
        </w:rPr>
        <w:t>ministrative expense ($151,111 for the year ended December 31, 2022 versus $112,037 for the year ended December 31, 2021); the increase in research and development ($343,802 for the year ended December 31, 2022 versus $286,848 for the year ended December 3</w:t>
      </w:r>
      <w:r>
        <w:rPr>
          <w:sz w:val="20"/>
          <w:szCs w:val="20"/>
        </w:rPr>
        <w:t xml:space="preserve">1, 2021) as the Company ramped up the development of their products with the recent raising of capital, and an increase in payroll expenses ($275,240 for the year ended December 31, 2022 versus $267,477 for the year ended December 31, 2021) related to the </w:t>
      </w:r>
      <w:r>
        <w:rPr>
          <w:sz w:val="20"/>
          <w:szCs w:val="20"/>
        </w:rPr>
        <w:t>CEOs employment contract taking effect.</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Non-Operating Income (Expense)</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Non-operating income (expense) for the years ended December 31, 2022 and 2021, respectively consists of the following:</w:t>
      </w:r>
    </w:p>
    <w:p w:rsidR="00000000" w:rsidRDefault="00DA7678">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144"/>
        <w:gridCol w:w="161"/>
        <w:gridCol w:w="101"/>
        <w:gridCol w:w="1241"/>
        <w:gridCol w:w="78"/>
        <w:gridCol w:w="161"/>
        <w:gridCol w:w="101"/>
        <w:gridCol w:w="1241"/>
        <w:gridCol w:w="78"/>
      </w:tblGrid>
      <w:tr w:rsidR="00000000">
        <w:tc>
          <w:tcPr>
            <w:tcW w:w="0" w:type="auto"/>
            <w:vAlign w:val="bottom"/>
            <w:hideMark/>
          </w:tcPr>
          <w:p w:rsidR="00000000" w:rsidRDefault="00DA767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 xml:space="preserve">Years Ended </w:t>
            </w:r>
            <w:r>
              <w:rPr>
                <w:rFonts w:eastAsia="Times New Roman"/>
                <w:sz w:val="20"/>
                <w:szCs w:val="20"/>
              </w:rPr>
              <w:br/>
              <w:t>December 31, 2022</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 xml:space="preserve">Years Ended </w:t>
            </w:r>
            <w:r>
              <w:rPr>
                <w:rFonts w:eastAsia="Times New Roman"/>
                <w:sz w:val="20"/>
                <w:szCs w:val="20"/>
              </w:rPr>
              <w:br/>
              <w:t>December 31, 2021</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3100" w:type="pct"/>
            <w:shd w:val="clear" w:color="auto" w:fill="CCEEFF"/>
            <w:vAlign w:val="bottom"/>
            <w:hideMark/>
          </w:tcPr>
          <w:p w:rsidR="00000000" w:rsidRDefault="00DA7678">
            <w:pPr>
              <w:jc w:val="both"/>
              <w:rPr>
                <w:rFonts w:eastAsia="Times New Roman"/>
                <w:sz w:val="20"/>
                <w:szCs w:val="20"/>
              </w:rPr>
            </w:pPr>
            <w:r>
              <w:rPr>
                <w:rFonts w:eastAsia="Times New Roman"/>
                <w:sz w:val="20"/>
                <w:szCs w:val="20"/>
              </w:rPr>
              <w:t>Interest expense</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(25,375</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DA7678">
            <w:pPr>
              <w:jc w:val="both"/>
              <w:rPr>
                <w:rFonts w:eastAsia="Times New Roman"/>
                <w:sz w:val="20"/>
                <w:szCs w:val="20"/>
              </w:rPr>
            </w:pPr>
            <w:r>
              <w:rPr>
                <w:rFonts w:eastAsia="Times New Roman"/>
                <w:sz w:val="20"/>
                <w:szCs w:val="20"/>
              </w:rPr>
              <w:t>Forgiveness of debt</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47,588</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136,445</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DA7678">
            <w:pPr>
              <w:jc w:val="both"/>
              <w:rPr>
                <w:rFonts w:eastAsia="Times New Roman"/>
                <w:sz w:val="20"/>
                <w:szCs w:val="20"/>
              </w:rPr>
            </w:pPr>
            <w:r>
              <w:rPr>
                <w:rFonts w:eastAsia="Times New Roman"/>
                <w:sz w:val="20"/>
                <w:szCs w:val="20"/>
              </w:rPr>
              <w:t>Loss on debt extinguishment</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(137,038</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Non-operating income (expense)</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47,588</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(25,968</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w:t>
            </w:r>
          </w:p>
        </w:tc>
      </w:tr>
    </w:tbl>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Non-operating income (expense) for the year ended December 31, 2022 varied from the year ended December 31, 2021 primarily due to a decrease in interest expense from $25,375 for the year ended December 31, 2021 to $0 for the year ended December 31, 2022 as</w:t>
      </w:r>
      <w:r>
        <w:rPr>
          <w:sz w:val="20"/>
          <w:szCs w:val="20"/>
        </w:rPr>
        <w:t xml:space="preserve"> a result of conversions and repayments of notes payable. In addition, the Company converted a note in January 2021 which resulted in a loss on conversion and recognized a gain on forgiveness of debt on old payables as they satisfied agreements with vendor</w:t>
      </w:r>
      <w:r>
        <w:rPr>
          <w:sz w:val="20"/>
          <w:szCs w:val="20"/>
        </w:rPr>
        <w:t>s to pay a portion of the payable with the remaining amount forgiven in both 2021 and 2022.</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Net Loss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Our net loss for the years ended December 31, 2022 and 2021 was $(2,470,161) and $(2,527,766), respectively.</w:t>
      </w:r>
    </w:p>
    <w:p w:rsidR="00000000" w:rsidRDefault="00DA767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61689245"/>
        </w:trPr>
        <w:tc>
          <w:tcPr>
            <w:tcW w:w="5000" w:type="pct"/>
            <w:hideMark/>
          </w:tcPr>
          <w:p w:rsidR="00000000" w:rsidRDefault="00DA7678">
            <w:pPr>
              <w:jc w:val="center"/>
              <w:rPr>
                <w:rFonts w:eastAsia="Times New Roman"/>
                <w:sz w:val="20"/>
                <w:szCs w:val="20"/>
              </w:rPr>
            </w:pPr>
            <w:r>
              <w:rPr>
                <w:rFonts w:eastAsia="Times New Roman"/>
                <w:sz w:val="20"/>
                <w:szCs w:val="20"/>
              </w:rPr>
              <w:t>2</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 xml:space="preserve">Liquidity </w:t>
      </w:r>
      <w:r>
        <w:rPr>
          <w:b/>
          <w:bCs/>
          <w:i/>
          <w:iCs/>
          <w:sz w:val="20"/>
          <w:szCs w:val="20"/>
          <w:u w:val="single"/>
        </w:rPr>
        <w:t>and Capital Resources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At December 31, 2022, the Company had working capital of $1,661,044, as compared to working capital of $1,467,383 at December 31, 2021. During the year ended December 31, 2022, the Company experienced negative cash flow from operati</w:t>
      </w:r>
      <w:r>
        <w:rPr>
          <w:sz w:val="20"/>
          <w:szCs w:val="20"/>
        </w:rPr>
        <w:t>ons of $1,120,058 and realized $1,220,000 of cash flows from financing activities. As of December 31, 2022, the Company did not have any commitments for capital expenditures.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Cash used in operating activities increased from $963,819 for the year ended De</w:t>
      </w:r>
      <w:r>
        <w:rPr>
          <w:sz w:val="20"/>
          <w:szCs w:val="20"/>
        </w:rPr>
        <w:t>cember 31, 2021 to $1,120,058 for the year ended December 31, 2022. Cash used in operating activities was primarily a result of the Company’s non-cash items, such as loss from operations, loss on conversion of debt and share based compensation offset by fo</w:t>
      </w:r>
      <w:r>
        <w:rPr>
          <w:sz w:val="20"/>
          <w:szCs w:val="20"/>
        </w:rPr>
        <w:t>rgiveness of debt. Cash provided from financing activities decreased from $1,666,238 for the year ended December 31, 2021 to $1,220,000 for the year ended December 31, 2022. In 2021, the Company raised $1,811,238 from sales of common stock and warrants off</w:t>
      </w:r>
      <w:r>
        <w:rPr>
          <w:sz w:val="20"/>
          <w:szCs w:val="20"/>
        </w:rPr>
        <w:t>set by repayments of convertible notes of $50,000 and related party notes of $100,000. In 2022, the Company raise $1,220,000 from sales of common stock and warrants.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 has generated material operating losses since inception. The Company had a n</w:t>
      </w:r>
      <w:r>
        <w:rPr>
          <w:sz w:val="20"/>
          <w:szCs w:val="20"/>
        </w:rPr>
        <w:t>et loss of $2,470,161 for the year ended December 31, 2022, and a net loss of $2,527,766 for the year ended December 31, 2021. The Company expects to continue to experience net operating losses for the foreseeable future. Historically, the Company has reli</w:t>
      </w:r>
      <w:r>
        <w:rPr>
          <w:sz w:val="20"/>
          <w:szCs w:val="20"/>
        </w:rPr>
        <w:t>ed upon investor funds to maintain its operations and develop the Company’s business. The Company anticipates raising additional capital within the next twelve months for working capital as well as business expansion, although the Company can provide no as</w:t>
      </w:r>
      <w:r>
        <w:rPr>
          <w:sz w:val="20"/>
          <w:szCs w:val="20"/>
        </w:rPr>
        <w:t>surance that additional capital will be available on terms acceptable to the Company, if at all. If the Company is unable to obtain additional financing to meet its working capital requirements, it may have to curtail its business or cease all operations.</w:t>
      </w:r>
    </w:p>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 requires funding of at least $5 million per year to maintain current operating activities. Over the next 24 months, the Company believes it will cost approximately $9 million to fund: (1) fund the FDA approval process to conduct human clinica</w:t>
      </w:r>
      <w:r>
        <w:rPr>
          <w:sz w:val="20"/>
          <w:szCs w:val="20"/>
        </w:rPr>
        <w:t>l trials, (2) conduct Phase I, pilot, clinical trials, (3) activate several regional clinics to administer IsoPet</w:t>
      </w:r>
      <w:r>
        <w:rPr>
          <w:sz w:val="20"/>
          <w:szCs w:val="20"/>
          <w:vertAlign w:val="superscript"/>
        </w:rPr>
        <w:t xml:space="preserve">® </w:t>
      </w:r>
      <w:r>
        <w:rPr>
          <w:sz w:val="20"/>
          <w:szCs w:val="20"/>
        </w:rPr>
        <w:t>across the county, (4) create an independent production center within the current production site to create a template for future internation</w:t>
      </w:r>
      <w:r>
        <w:rPr>
          <w:sz w:val="20"/>
          <w:szCs w:val="20"/>
        </w:rPr>
        <w:t>al manufacturing, and (5) initiate regulatory approval processes outside of the United States.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principal variables in the timing and amount of spending for the brachytherapy products in the next 12 to 24 months will be the FDA’s classification of the</w:t>
      </w:r>
      <w:r>
        <w:rPr>
          <w:sz w:val="20"/>
          <w:szCs w:val="20"/>
        </w:rPr>
        <w:t xml:space="preserve"> Company’s brachytherapy products as Class II or Class III devices (or otherwise) and any requirements for additional studies, which may possibly include clinical studies. Thereafter, the principal variables in the amount of the Company’s spending and its </w:t>
      </w:r>
      <w:r>
        <w:rPr>
          <w:sz w:val="20"/>
          <w:szCs w:val="20"/>
        </w:rPr>
        <w:t>financing requirements would be the timing of any approvals and the nature of the Company’s arrangements with third parties for manufacturing, sales, distribution and licensing of those products and the products’ success in the U.S. and elsewhere. The Comp</w:t>
      </w:r>
      <w:r>
        <w:rPr>
          <w:sz w:val="20"/>
          <w:szCs w:val="20"/>
        </w:rPr>
        <w:t>any intends to fund its activities through strategic transactions such as licensing and partnership agreements or additional capital raises.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Although the Company is seeking to raise additional capital and has engaged in numerous discussions with investme</w:t>
      </w:r>
      <w:r>
        <w:rPr>
          <w:sz w:val="20"/>
          <w:szCs w:val="20"/>
        </w:rPr>
        <w:t>nt bankers and investors, to date, the Company has not received firm commitments for the required funding. Based upon its discussions, the Company anticipates that if the Company is able to obtain the funding required to retire outstanding debt, pay past d</w:t>
      </w:r>
      <w:r>
        <w:rPr>
          <w:sz w:val="20"/>
          <w:szCs w:val="20"/>
        </w:rPr>
        <w:t>ue payables and maintain its current operating activities, that the terms associated with such funding will result in material dilution to existing shareholders.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Recent </w:t>
      </w:r>
      <w:r>
        <w:rPr>
          <w:sz w:val="20"/>
          <w:szCs w:val="20"/>
        </w:rPr>
        <w:t>geopolitical events, including the inherent instability and volatility in global capital markets, as well as the lack of liquidity in the capital markets, could impact the Company’s ability to obtain financing and its ability to execute its business plan.</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Our Chief Executive Officer currently works from his home office in virtual communication with key personnel. Cadwell Laboratories, which is controlled by Carl Cadwell, a director of the Company, provides office space to management on an as-needed basis </w:t>
      </w:r>
      <w:r>
        <w:rPr>
          <w:sz w:val="20"/>
          <w:szCs w:val="20"/>
        </w:rPr>
        <w:t>until such time as the Company leases permanent office space.</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Off-Balance Sheet Arrangements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 does not have any off-balance sheet arrangements that are reasonably likely to have a current or future effect on the Company’s financial condition</w:t>
      </w:r>
      <w:r>
        <w:rPr>
          <w:sz w:val="20"/>
          <w:szCs w:val="20"/>
        </w:rPr>
        <w:t>, revenues, results of operations, liquidity or capital expenditures.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Accounting Policies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b/>
          <w:bCs/>
          <w:sz w:val="20"/>
          <w:szCs w:val="20"/>
        </w:rPr>
        <w:t>Use of Estimates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preparation of financial statements in accordance with generally accepted accounting principles requires management to make estimates and a</w:t>
      </w:r>
      <w:r>
        <w:rPr>
          <w:sz w:val="20"/>
          <w:szCs w:val="20"/>
        </w:rPr>
        <w:t>ssumptions that affect the reported amounts of assets and liabilities and the disclosure of contingent assets and liabilities at the date of financial statements and the reported amounts of revenues and expenses during the reporting period. Estimates the C</w:t>
      </w:r>
      <w:r>
        <w:rPr>
          <w:sz w:val="20"/>
          <w:szCs w:val="20"/>
        </w:rPr>
        <w:t>ompany considers include criteria for stock-based compensation expense, and valuation allowances on deferred tax assets. Actual results could differ from those estimates.</w:t>
      </w:r>
    </w:p>
    <w:p w:rsidR="00000000" w:rsidRDefault="00DA767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5756990"/>
        </w:trPr>
        <w:tc>
          <w:tcPr>
            <w:tcW w:w="5000" w:type="pct"/>
            <w:hideMark/>
          </w:tcPr>
          <w:p w:rsidR="00000000" w:rsidRDefault="00DA7678">
            <w:pPr>
              <w:jc w:val="center"/>
              <w:rPr>
                <w:rFonts w:eastAsia="Times New Roman"/>
                <w:sz w:val="20"/>
                <w:szCs w:val="20"/>
              </w:rPr>
            </w:pPr>
            <w:r>
              <w:rPr>
                <w:rFonts w:eastAsia="Times New Roman"/>
                <w:sz w:val="20"/>
                <w:szCs w:val="20"/>
              </w:rPr>
              <w:t>2</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b/>
          <w:bCs/>
          <w:sz w:val="20"/>
          <w:szCs w:val="20"/>
        </w:rPr>
        <w:t>Fixed Assets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Fixed </w:t>
      </w:r>
      <w:r>
        <w:rPr>
          <w:sz w:val="20"/>
          <w:szCs w:val="20"/>
        </w:rPr>
        <w:t>assets are carried at the lower of cost or net realizable value. Production equipment with a cost of $2,500 or greater and other fixed assets with a cost of $1,500 or greater are capitalized. Major betterments that extend the useful lives of assets are als</w:t>
      </w:r>
      <w:r>
        <w:rPr>
          <w:sz w:val="20"/>
          <w:szCs w:val="20"/>
        </w:rPr>
        <w:t>o capitalized. Normal maintenance and repairs are charged to expense as incurred. When assets are sold or otherwise disposed of, the cost and accumulated depreciation are removed from the accounts and any resulting gain or loss is recognized in operations.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Depreciation is computed using the straight-line method over the following estimated useful lives:</w:t>
      </w:r>
    </w:p>
    <w:p w:rsidR="00000000" w:rsidRDefault="00DA7678">
      <w:pPr>
        <w:pStyle w:val="a3"/>
        <w:spacing w:before="0" w:beforeAutospacing="0" w:after="0" w:afterAutospacing="0"/>
        <w:ind w:firstLine="720"/>
        <w:jc w:val="center"/>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849"/>
        <w:gridCol w:w="116"/>
        <w:gridCol w:w="2849"/>
      </w:tblGrid>
      <w:tr w:rsidR="00000000">
        <w:tc>
          <w:tcPr>
            <w:tcW w:w="2450" w:type="pct"/>
            <w:hideMark/>
          </w:tcPr>
          <w:p w:rsidR="00000000" w:rsidRDefault="00DA7678">
            <w:pPr>
              <w:rPr>
                <w:rFonts w:eastAsia="Times New Roman"/>
                <w:sz w:val="20"/>
                <w:szCs w:val="20"/>
              </w:rPr>
            </w:pPr>
            <w:r>
              <w:rPr>
                <w:rFonts w:eastAsia="Times New Roman"/>
                <w:sz w:val="20"/>
                <w:szCs w:val="20"/>
              </w:rPr>
              <w:t>Production equipment:</w:t>
            </w:r>
          </w:p>
        </w:tc>
        <w:tc>
          <w:tcPr>
            <w:tcW w:w="100" w:type="pct"/>
            <w:hideMark/>
          </w:tcPr>
          <w:p w:rsidR="00000000" w:rsidRDefault="00DA7678">
            <w:pPr>
              <w:rPr>
                <w:rFonts w:eastAsia="Times New Roman"/>
                <w:sz w:val="20"/>
                <w:szCs w:val="20"/>
              </w:rPr>
            </w:pPr>
            <w:r>
              <w:rPr>
                <w:rFonts w:eastAsia="Times New Roman"/>
                <w:sz w:val="20"/>
                <w:szCs w:val="20"/>
              </w:rPr>
              <w:t> </w:t>
            </w:r>
          </w:p>
        </w:tc>
        <w:tc>
          <w:tcPr>
            <w:tcW w:w="2450" w:type="pct"/>
            <w:hideMark/>
          </w:tcPr>
          <w:p w:rsidR="00000000" w:rsidRDefault="00DA7678">
            <w:pPr>
              <w:jc w:val="right"/>
              <w:rPr>
                <w:rFonts w:eastAsia="Times New Roman"/>
                <w:sz w:val="20"/>
                <w:szCs w:val="20"/>
              </w:rPr>
            </w:pPr>
            <w:r>
              <w:rPr>
                <w:rFonts w:eastAsia="Times New Roman"/>
                <w:sz w:val="20"/>
                <w:szCs w:val="20"/>
              </w:rPr>
              <w:t>3 to 7 years</w:t>
            </w:r>
          </w:p>
        </w:tc>
      </w:tr>
      <w:tr w:rsidR="00000000">
        <w:tc>
          <w:tcPr>
            <w:tcW w:w="0" w:type="auto"/>
            <w:hideMark/>
          </w:tcPr>
          <w:p w:rsidR="00000000" w:rsidRDefault="00DA7678">
            <w:pPr>
              <w:rPr>
                <w:rFonts w:eastAsia="Times New Roman"/>
                <w:sz w:val="20"/>
                <w:szCs w:val="20"/>
              </w:rPr>
            </w:pPr>
            <w:r>
              <w:rPr>
                <w:rFonts w:eastAsia="Times New Roman"/>
                <w:sz w:val="20"/>
                <w:szCs w:val="20"/>
              </w:rPr>
              <w:t>Office equipment:</w:t>
            </w:r>
          </w:p>
        </w:tc>
        <w:tc>
          <w:tcPr>
            <w:tcW w:w="0" w:type="auto"/>
            <w:hideMark/>
          </w:tcPr>
          <w:p w:rsidR="00000000" w:rsidRDefault="00DA7678">
            <w:pPr>
              <w:rPr>
                <w:rFonts w:eastAsia="Times New Roman"/>
                <w:sz w:val="20"/>
                <w:szCs w:val="20"/>
              </w:rPr>
            </w:pPr>
            <w:r>
              <w:rPr>
                <w:rFonts w:eastAsia="Times New Roman"/>
                <w:sz w:val="20"/>
                <w:szCs w:val="20"/>
              </w:rPr>
              <w:t> </w:t>
            </w:r>
          </w:p>
        </w:tc>
        <w:tc>
          <w:tcPr>
            <w:tcW w:w="0" w:type="auto"/>
            <w:hideMark/>
          </w:tcPr>
          <w:p w:rsidR="00000000" w:rsidRDefault="00DA7678">
            <w:pPr>
              <w:jc w:val="right"/>
              <w:rPr>
                <w:rFonts w:eastAsia="Times New Roman"/>
                <w:sz w:val="20"/>
                <w:szCs w:val="20"/>
              </w:rPr>
            </w:pPr>
            <w:r>
              <w:rPr>
                <w:rFonts w:eastAsia="Times New Roman"/>
                <w:sz w:val="20"/>
                <w:szCs w:val="20"/>
              </w:rPr>
              <w:t>2 to 5 years</w:t>
            </w:r>
          </w:p>
        </w:tc>
      </w:tr>
      <w:tr w:rsidR="00000000">
        <w:tc>
          <w:tcPr>
            <w:tcW w:w="0" w:type="auto"/>
            <w:hideMark/>
          </w:tcPr>
          <w:p w:rsidR="00000000" w:rsidRDefault="00DA7678">
            <w:pPr>
              <w:rPr>
                <w:rFonts w:eastAsia="Times New Roman"/>
                <w:sz w:val="20"/>
                <w:szCs w:val="20"/>
              </w:rPr>
            </w:pPr>
            <w:r>
              <w:rPr>
                <w:rFonts w:eastAsia="Times New Roman"/>
                <w:sz w:val="20"/>
                <w:szCs w:val="20"/>
              </w:rPr>
              <w:t>Furniture and fixtures:</w:t>
            </w:r>
          </w:p>
        </w:tc>
        <w:tc>
          <w:tcPr>
            <w:tcW w:w="0" w:type="auto"/>
            <w:hideMark/>
          </w:tcPr>
          <w:p w:rsidR="00000000" w:rsidRDefault="00DA7678">
            <w:pPr>
              <w:rPr>
                <w:rFonts w:eastAsia="Times New Roman"/>
                <w:sz w:val="20"/>
                <w:szCs w:val="20"/>
              </w:rPr>
            </w:pPr>
            <w:r>
              <w:rPr>
                <w:rFonts w:eastAsia="Times New Roman"/>
                <w:sz w:val="20"/>
                <w:szCs w:val="20"/>
              </w:rPr>
              <w:t> </w:t>
            </w:r>
          </w:p>
        </w:tc>
        <w:tc>
          <w:tcPr>
            <w:tcW w:w="0" w:type="auto"/>
            <w:hideMark/>
          </w:tcPr>
          <w:p w:rsidR="00000000" w:rsidRDefault="00DA7678">
            <w:pPr>
              <w:jc w:val="right"/>
              <w:rPr>
                <w:rFonts w:eastAsia="Times New Roman"/>
                <w:sz w:val="20"/>
                <w:szCs w:val="20"/>
              </w:rPr>
            </w:pPr>
            <w:r>
              <w:rPr>
                <w:rFonts w:eastAsia="Times New Roman"/>
                <w:sz w:val="20"/>
                <w:szCs w:val="20"/>
              </w:rPr>
              <w:t>2 to 5 years</w:t>
            </w:r>
          </w:p>
        </w:tc>
      </w:tr>
    </w:tbl>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Leasehold </w:t>
      </w:r>
      <w:r>
        <w:rPr>
          <w:sz w:val="20"/>
          <w:szCs w:val="20"/>
        </w:rPr>
        <w:t>improvements and capital lease assets are amortized over the shorter of the life of the lease or the estimated life of the asset.</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Management of the Company reviews the net carrying value of all of its equipment on an asset by asset basis whenever events </w:t>
      </w:r>
      <w:r>
        <w:rPr>
          <w:sz w:val="20"/>
          <w:szCs w:val="20"/>
        </w:rPr>
        <w:t>or changes in circumstances indicate that its carrying amount may not be recoverable. These reviews consider the net realizable value of each asset, as measured in accordance with the preceding paragraph, to determine whether impairment in value has occurr</w:t>
      </w:r>
      <w:r>
        <w:rPr>
          <w:sz w:val="20"/>
          <w:szCs w:val="20"/>
        </w:rPr>
        <w:t>ed, and the need for any asset impairment write-down.</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b/>
          <w:bCs/>
          <w:sz w:val="20"/>
          <w:szCs w:val="20"/>
        </w:rPr>
        <w:t>License Fees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License fees are stated at cost, less accumulated amortization. Amortization of license fees is computed using the straight-line method over the estimated economic useful life of the as</w:t>
      </w:r>
      <w:r>
        <w:rPr>
          <w:sz w:val="20"/>
          <w:szCs w:val="20"/>
        </w:rPr>
        <w:t>set.</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b/>
          <w:bCs/>
          <w:sz w:val="20"/>
          <w:szCs w:val="20"/>
        </w:rPr>
        <w:t>Patents and Intellectual Property</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While patents are being developed or pending, they are not being amortized. Management has determined that the economic life of the patents to be ten years and amortization, over such ten-year period and on a stra</w:t>
      </w:r>
      <w:r>
        <w:rPr>
          <w:sz w:val="20"/>
          <w:szCs w:val="20"/>
        </w:rPr>
        <w:t>ight-line basis will begin once the patents have been issued and the Company begins utilization of the patents through production and sales, resulting in revenues.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 evaluates the recoverability of intangible assets, including patents and intel</w:t>
      </w:r>
      <w:r>
        <w:rPr>
          <w:sz w:val="20"/>
          <w:szCs w:val="20"/>
        </w:rPr>
        <w:t>lectual property on a continual basis. Several factors are used to evaluate intangibles, including, but not limited to, management’s plans for future operations, recent operating results and projected and expected undiscounted future cash flows.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b/>
          <w:bCs/>
          <w:sz w:val="20"/>
          <w:szCs w:val="20"/>
        </w:rPr>
        <w:t xml:space="preserve">Revenue </w:t>
      </w:r>
      <w:r>
        <w:rPr>
          <w:b/>
          <w:bCs/>
          <w:sz w:val="20"/>
          <w:szCs w:val="20"/>
        </w:rPr>
        <w:t>Recognition</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In May 2014, the Financial Accounting Standards Board (“</w:t>
      </w:r>
      <w:r>
        <w:rPr>
          <w:i/>
          <w:iCs/>
          <w:sz w:val="20"/>
          <w:szCs w:val="20"/>
        </w:rPr>
        <w:t>FASB</w:t>
      </w:r>
      <w:r>
        <w:rPr>
          <w:sz w:val="20"/>
          <w:szCs w:val="20"/>
        </w:rPr>
        <w:t>”) issued Accounting Standard Update (“</w:t>
      </w:r>
      <w:r>
        <w:rPr>
          <w:i/>
          <w:iCs/>
          <w:sz w:val="20"/>
          <w:szCs w:val="20"/>
        </w:rPr>
        <w:t>ASU</w:t>
      </w:r>
      <w:r>
        <w:rPr>
          <w:sz w:val="20"/>
          <w:szCs w:val="20"/>
        </w:rPr>
        <w:t>”) No. 2014-09, Revenue from Contracts with Customers (Topic 606). This standard provides a single set of guidelines for revenue recognition</w:t>
      </w:r>
      <w:r>
        <w:rPr>
          <w:sz w:val="20"/>
          <w:szCs w:val="20"/>
        </w:rPr>
        <w:t xml:space="preserve"> to be used across all industries and requires additional disclosures. The updated guidance introduces a five-step model to achieve its core principal of the entity recognizing revenue to depict the transfer of goods or services to customers at an amount t</w:t>
      </w:r>
      <w:r>
        <w:rPr>
          <w:sz w:val="20"/>
          <w:szCs w:val="20"/>
        </w:rPr>
        <w:t>hat reflects the consideration to which the entity expects to be entitled in exchange for those goods or services. The Company adopted the updated guidance effective January 1, 2018 using the full retrospective method.</w:t>
      </w:r>
    </w:p>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Under </w:t>
      </w:r>
      <w:r>
        <w:rPr>
          <w:sz w:val="20"/>
          <w:szCs w:val="20"/>
        </w:rPr>
        <w:t>ASC 606, in order to recognize revenue, the Company is required to identify an approved contract with commitments to preform respective obligations, identify rights of each party in the transaction regarding goods to be transferred, identify the payment te</w:t>
      </w:r>
      <w:r>
        <w:rPr>
          <w:sz w:val="20"/>
          <w:szCs w:val="20"/>
        </w:rPr>
        <w:t>rms for the goods transferred, verify that the contract has commercial substance and verify that collection of substantially all consideration is probable. The adoption of ASC 606 did not have an impact on the Company’s operations or cash flows.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w:t>
      </w:r>
      <w:r>
        <w:rPr>
          <w:sz w:val="20"/>
          <w:szCs w:val="20"/>
        </w:rPr>
        <w:t>any recognized revenue as they (i) identified the contracts with each customer; (ii) identified the performance obligation in each contract; (iii) determined the transaction price in each contract; (iv) were able to allocate the transaction price to the pe</w:t>
      </w:r>
      <w:r>
        <w:rPr>
          <w:sz w:val="20"/>
          <w:szCs w:val="20"/>
        </w:rPr>
        <w:t>rformance obligations in the contract; and (v) recognized revenue upon the satisfaction of the performance obligation. Upon the sales of the product to complete the procedures on the animals, the Company recognized revenue as that was considered the perfor</w:t>
      </w:r>
      <w:r>
        <w:rPr>
          <w:sz w:val="20"/>
          <w:szCs w:val="20"/>
        </w:rPr>
        <w:t>mance obligation.</w:t>
      </w:r>
    </w:p>
    <w:p w:rsidR="00000000" w:rsidRDefault="00DA767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28757479"/>
        </w:trPr>
        <w:tc>
          <w:tcPr>
            <w:tcW w:w="5000" w:type="pct"/>
            <w:hideMark/>
          </w:tcPr>
          <w:p w:rsidR="00000000" w:rsidRDefault="00DA7678">
            <w:pPr>
              <w:jc w:val="center"/>
              <w:rPr>
                <w:rFonts w:eastAsia="Times New Roman"/>
                <w:sz w:val="20"/>
                <w:szCs w:val="20"/>
              </w:rPr>
            </w:pPr>
            <w:r>
              <w:rPr>
                <w:rFonts w:eastAsia="Times New Roman"/>
                <w:sz w:val="20"/>
                <w:szCs w:val="20"/>
              </w:rPr>
              <w:t>2</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b/>
          <w:bCs/>
          <w:sz w:val="20"/>
          <w:szCs w:val="20"/>
        </w:rPr>
        <w:t>Net Loss Per Share</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 accounts for its loss per common share by replacing primary and fully diluted earnings per share with basic and diluted earnings per share. Basic loss per share is computed by dividing loss ava</w:t>
      </w:r>
      <w:r>
        <w:rPr>
          <w:sz w:val="20"/>
          <w:szCs w:val="20"/>
        </w:rPr>
        <w:t>ilable to common stockholders (the numerator) by the weighted-average number of common shares outstanding (the denominator) for the period and does not include the impact of any potentially dilutive common stock equivalents. The computation of diluted earn</w:t>
      </w:r>
      <w:r>
        <w:rPr>
          <w:sz w:val="20"/>
          <w:szCs w:val="20"/>
        </w:rPr>
        <w:t>ings per share is similar to basic earnings per share, except that the denominator is increased to include the number of additional common shares that would have been outstanding if potentially dilutive common shares had been issued. When the Company incur</w:t>
      </w:r>
      <w:r>
        <w:rPr>
          <w:sz w:val="20"/>
          <w:szCs w:val="20"/>
        </w:rPr>
        <w:t>s a loss, the denominator is not increased by the potentially dilutive common shares as the effect would be anti-dilutive.</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b/>
          <w:bCs/>
          <w:sz w:val="20"/>
          <w:szCs w:val="20"/>
        </w:rPr>
        <w:t>Research and Development Costs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Research and developments costs, including salaries, research materials, administrative expenses a</w:t>
      </w:r>
      <w:r>
        <w:rPr>
          <w:sz w:val="20"/>
          <w:szCs w:val="20"/>
        </w:rPr>
        <w:t>nd contractor fees, are charged to operations as incurred. The cost of equipment used in research and development activities which has alternative uses is capitalized as part of fixed assets and not treated as an expense in the period acquired. Depreciatio</w:t>
      </w:r>
      <w:r>
        <w:rPr>
          <w:sz w:val="20"/>
          <w:szCs w:val="20"/>
        </w:rPr>
        <w:t>n of capitalized equipment used to perform research and development is classified as research and development expense in the year computed.</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b/>
          <w:bCs/>
          <w:sz w:val="20"/>
          <w:szCs w:val="20"/>
        </w:rPr>
        <w:t>Income Taxes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The </w:t>
      </w:r>
      <w:r>
        <w:rPr>
          <w:sz w:val="20"/>
          <w:szCs w:val="20"/>
        </w:rPr>
        <w:t>Company accounts for income taxes under FASB ASC Topic 740-10-25 (“</w:t>
      </w:r>
      <w:r>
        <w:rPr>
          <w:i/>
          <w:iCs/>
          <w:sz w:val="20"/>
          <w:szCs w:val="20"/>
        </w:rPr>
        <w:t>ASC 740-10-25</w:t>
      </w:r>
      <w:r>
        <w:rPr>
          <w:sz w:val="20"/>
          <w:szCs w:val="20"/>
        </w:rPr>
        <w:t>”). Under ASC 740-10-25, deferred tax assets and liabilities are recognized for the future tax consequences attributable to differences between the financial statement carrying</w:t>
      </w:r>
      <w:r>
        <w:rPr>
          <w:sz w:val="20"/>
          <w:szCs w:val="20"/>
        </w:rPr>
        <w:t xml:space="preserve"> amounts of existing assets and liabilities and their respective tax bases. Deferred tax assets and liabilities are measured using enacted tax rates expected to apply to taxable income in the years in which those temporary differences are expected to be re</w:t>
      </w:r>
      <w:r>
        <w:rPr>
          <w:sz w:val="20"/>
          <w:szCs w:val="20"/>
        </w:rPr>
        <w:t>covered or settled.</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Under ASC 740-10-25, the effect on deferred tax assets and liabilities of a change in tax rates is recognized in income in the period that includes the enactment date.</w:t>
      </w:r>
    </w:p>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 files income tax returns in the U.S. federal jurisdi</w:t>
      </w:r>
      <w:r>
        <w:rPr>
          <w:sz w:val="20"/>
          <w:szCs w:val="20"/>
        </w:rPr>
        <w:t>ction.</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Interest costs and penalties related to income taxes, if any, will be classified as interest expense and general and administrative costs, respectively, in the Company’s financial statements. For the years ended December 31, 2022 and 2021, the Com</w:t>
      </w:r>
      <w:r>
        <w:rPr>
          <w:sz w:val="20"/>
          <w:szCs w:val="20"/>
        </w:rPr>
        <w:t>pany did not recognize any interest or penalty expense related to income taxes. The Company believes that it is not reasonably possible for the amounts of unrecognized tax benefits to significantly increase or decrease within the next 12 months.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b/>
          <w:bCs/>
          <w:sz w:val="20"/>
          <w:szCs w:val="20"/>
        </w:rPr>
        <w:t>Fair Val</w:t>
      </w:r>
      <w:r>
        <w:rPr>
          <w:b/>
          <w:bCs/>
          <w:sz w:val="20"/>
          <w:szCs w:val="20"/>
        </w:rPr>
        <w:t>ue of Financial Instruments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 adopted ASC Topic 820 (“</w:t>
      </w:r>
      <w:r>
        <w:rPr>
          <w:i/>
          <w:iCs/>
          <w:sz w:val="20"/>
          <w:szCs w:val="20"/>
        </w:rPr>
        <w:t>Fair Value Measurements</w:t>
      </w:r>
      <w:r>
        <w:rPr>
          <w:sz w:val="20"/>
          <w:szCs w:val="20"/>
        </w:rPr>
        <w:t>”) as of January 1, 2008 for financial instruments measured as fair value on a recurring basis. ASC Topic 820 defines fair value, established a framework for measuring</w:t>
      </w:r>
      <w:r>
        <w:rPr>
          <w:sz w:val="20"/>
          <w:szCs w:val="20"/>
        </w:rPr>
        <w:t xml:space="preserve"> fair value in accordance with accounting principles generally accepted in the United States and expands disclosures about fair value measurements.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Fair value is defined as the price that would be received to sell an asset or paid to transfer a liability</w:t>
      </w:r>
      <w:r>
        <w:rPr>
          <w:sz w:val="20"/>
          <w:szCs w:val="20"/>
        </w:rPr>
        <w:t xml:space="preserve"> in an orderly transaction between market participants at the measurement date. ASC Topic 820 established a three-tier fair value hierarchy which prioritizes the inputs used in measuring fair value. The hierarchy gives the highest priority to unadjusted qu</w:t>
      </w:r>
      <w:r>
        <w:rPr>
          <w:sz w:val="20"/>
          <w:szCs w:val="20"/>
        </w:rPr>
        <w:t>oted prices in active markets for identical assets or liabilities (level 1 measurements) and the lowest priority to unobservable inputs (level 3 measurements). These tiers include:</w:t>
      </w:r>
    </w:p>
    <w:p w:rsidR="00000000" w:rsidRDefault="00DA767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DA7678">
            <w:pPr>
              <w:jc w:val="both"/>
              <w:rPr>
                <w:rFonts w:eastAsia="Times New Roman"/>
                <w:sz w:val="20"/>
                <w:szCs w:val="20"/>
              </w:rPr>
            </w:pPr>
            <w:r>
              <w:rPr>
                <w:rFonts w:eastAsia="Times New Roman"/>
                <w:sz w:val="20"/>
                <w:szCs w:val="20"/>
              </w:rPr>
              <w:t> </w:t>
            </w:r>
          </w:p>
        </w:tc>
        <w:tc>
          <w:tcPr>
            <w:tcW w:w="360" w:type="dxa"/>
            <w:hideMark/>
          </w:tcPr>
          <w:p w:rsidR="00000000" w:rsidRDefault="00DA7678">
            <w:pPr>
              <w:jc w:val="both"/>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Level 1, defined as observable inputs such as quoted prices for ident</w:t>
            </w:r>
            <w:r>
              <w:rPr>
                <w:rFonts w:eastAsia="Times New Roman"/>
                <w:sz w:val="20"/>
                <w:szCs w:val="20"/>
              </w:rPr>
              <w:t>ical instruments in active markets;</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 xml:space="preserve">Level </w:t>
            </w:r>
            <w:r>
              <w:rPr>
                <w:rFonts w:eastAsia="Times New Roman"/>
                <w:sz w:val="20"/>
                <w:szCs w:val="20"/>
              </w:rPr>
              <w:t xml:space="preserve">2, defined as inputs other than quoted prices in active markets that are either directly or indirectly observable such as quoted prices for similar instruments in active markets or quoted prices for identical or similar instruments in markets that are not </w:t>
            </w:r>
            <w:r>
              <w:rPr>
                <w:rFonts w:eastAsia="Times New Roman"/>
                <w:sz w:val="20"/>
                <w:szCs w:val="20"/>
              </w:rPr>
              <w:t>active; and</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Level 3, defined as unobservable inputs in which little or no market data exists, therefore requiring an entity to develop its own assumptions, such as valuations derived from valuation techniques in which one or more significant in</w:t>
            </w:r>
            <w:r>
              <w:rPr>
                <w:rFonts w:eastAsia="Times New Roman"/>
                <w:sz w:val="20"/>
                <w:szCs w:val="20"/>
              </w:rPr>
              <w:t>puts or significant value drivers are unobservable.</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b/>
          <w:bCs/>
          <w:sz w:val="20"/>
          <w:szCs w:val="20"/>
        </w:rPr>
        <w:t>Stock-Based Compensation</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The Company recognizes compensation costs under FASB ASC Topic 718, Compensation – </w:t>
      </w:r>
      <w:r>
        <w:rPr>
          <w:sz w:val="20"/>
          <w:szCs w:val="20"/>
        </w:rPr>
        <w:t>Stock Compensation and ASU 2018-07. Companies are required to measure the compensation costs of share-based compensation arrangements based on the grant-date fair value and recognize the costs in the financial statements over the period during which employ</w:t>
      </w:r>
      <w:r>
        <w:rPr>
          <w:sz w:val="20"/>
          <w:szCs w:val="20"/>
        </w:rPr>
        <w:t xml:space="preserve">ees are required to provide services. Share based compensation arrangements include stock options, restricted share plans, performance-based awards, share appreciation rights and employee share purchase plans. As such, compensation cost is measured on the </w:t>
      </w:r>
      <w:r>
        <w:rPr>
          <w:sz w:val="20"/>
          <w:szCs w:val="20"/>
        </w:rPr>
        <w:t>date of grant at their fair value. Such compensation amounts, if any, are amortized over the respective vesting periods of the option grant.</w:t>
      </w:r>
    </w:p>
    <w:p w:rsidR="00000000" w:rsidRDefault="00DA767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42251667"/>
        </w:trPr>
        <w:tc>
          <w:tcPr>
            <w:tcW w:w="5000" w:type="pct"/>
            <w:hideMark/>
          </w:tcPr>
          <w:p w:rsidR="00000000" w:rsidRDefault="00DA7678">
            <w:pPr>
              <w:jc w:val="center"/>
              <w:rPr>
                <w:rFonts w:eastAsia="Times New Roman"/>
                <w:sz w:val="20"/>
                <w:szCs w:val="20"/>
              </w:rPr>
            </w:pPr>
            <w:r>
              <w:rPr>
                <w:rFonts w:eastAsia="Times New Roman"/>
                <w:sz w:val="20"/>
                <w:szCs w:val="20"/>
              </w:rPr>
              <w:t>2</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ITEM 7A. QUANTITATIVE AND QUALITATIVE DISCLOSURES ABOUT MARKET RISK.</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This item is not applicable to</w:t>
      </w:r>
      <w:r>
        <w:rPr>
          <w:sz w:val="20"/>
          <w:szCs w:val="20"/>
        </w:rPr>
        <w:t xml:space="preserve"> the Company because the Company is a smaller reporting company as defined by Rule 12b-2 under the Securities Exchange Act of 1934.</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ITEM 8. FINANCIAL STATEMENTS AND SUPPLEMENTARY DATA.</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All financial information required by this Item is included on the </w:t>
      </w:r>
      <w:r>
        <w:rPr>
          <w:sz w:val="20"/>
          <w:szCs w:val="20"/>
        </w:rPr>
        <w:t>pages immediately following the Index to Financial Statements appearing on page F-1 and is hereby incorporated by reference.</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 xml:space="preserve">ITEM 9. </w:t>
      </w:r>
      <w:r>
        <w:rPr>
          <w:b/>
          <w:bCs/>
          <w:caps/>
          <w:sz w:val="20"/>
          <w:szCs w:val="20"/>
        </w:rPr>
        <w:t>Changes in and Disagreements with Accountants on Accounting and Financial Disclosure.</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None</w:t>
      </w:r>
    </w:p>
    <w:p w:rsidR="00000000" w:rsidRDefault="00DA767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66646088"/>
        </w:trPr>
        <w:tc>
          <w:tcPr>
            <w:tcW w:w="5000" w:type="pct"/>
            <w:hideMark/>
          </w:tcPr>
          <w:p w:rsidR="00000000" w:rsidRDefault="00DA7678">
            <w:pPr>
              <w:jc w:val="center"/>
              <w:rPr>
                <w:rFonts w:eastAsia="Times New Roman"/>
                <w:sz w:val="20"/>
                <w:szCs w:val="20"/>
              </w:rPr>
            </w:pPr>
            <w:r>
              <w:rPr>
                <w:rFonts w:eastAsia="Times New Roman"/>
                <w:sz w:val="20"/>
                <w:szCs w:val="20"/>
              </w:rPr>
              <w:t>2</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 xml:space="preserve">ITEM </w:t>
      </w:r>
      <w:r>
        <w:rPr>
          <w:b/>
          <w:bCs/>
          <w:sz w:val="20"/>
          <w:szCs w:val="20"/>
        </w:rPr>
        <w:t>9A. CONTROLS AND PROCEDURES.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Disclosure Controls and Procedures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Based on an evaluation as of the date of the end of the period covered by this report, the Company’s Chief Executive Officer and Interim Chief Financial Officer conducted an evaluation of </w:t>
      </w:r>
      <w:r>
        <w:rPr>
          <w:sz w:val="20"/>
          <w:szCs w:val="20"/>
        </w:rPr>
        <w:t xml:space="preserve">the effectiveness of the design and operation of the Company’s disclosure controls and procedures, as required by Exchange Act Rule 13a-15. Based on that evaluation, the Company’s Chief Executive Officer and Interim Chief Financial Officer concluded that, </w:t>
      </w:r>
      <w:r>
        <w:rPr>
          <w:sz w:val="20"/>
          <w:szCs w:val="20"/>
        </w:rPr>
        <w:t>because of the disclosed material weaknesses in the Company’s internal control over financial reporting, the Company’s disclosure controls and procedures were ineffective as of the end of the period covered by this report to ensure that information require</w:t>
      </w:r>
      <w:r>
        <w:rPr>
          <w:sz w:val="20"/>
          <w:szCs w:val="20"/>
        </w:rPr>
        <w:t>d to be disclosed by the Company in the reports that the Company files or submits under the Exchange Act is recorded, processed, summarized and reported within the time periods specified by the SEC’s rules and forms.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Disclosure controls and procedures ar</w:t>
      </w:r>
      <w:r>
        <w:rPr>
          <w:sz w:val="20"/>
          <w:szCs w:val="20"/>
        </w:rPr>
        <w:t>e controls and other procedures that are designed to ensure that information required to be disclosed in the Company’s reports filed or submitted under the Exchange Act is recorded, processed, summarized and reported, within the time periods specified in t</w:t>
      </w:r>
      <w:r>
        <w:rPr>
          <w:sz w:val="20"/>
          <w:szCs w:val="20"/>
        </w:rPr>
        <w:t>he SEC’s rules and forms. Disclosure controls and procedures include, without limitation, controls and procedures designed to ensure that information required to be disclosed in the Company’s reports filed under the Exchange Act is accumulated and communic</w:t>
      </w:r>
      <w:r>
        <w:rPr>
          <w:sz w:val="20"/>
          <w:szCs w:val="20"/>
        </w:rPr>
        <w:t>ated to management, including the Company’s Chief Executive Officer and the Company’s Interim Chief Financial Officer, to allow timely decisions regarding required disclosure.</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Management’s Annual Report on Internal Control Over Financial Reporting</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Management is responsible for establishing and maintaining adequate internal control over financial reporting as defined in Exchange Act Rule 13a-15(f). Management conducted an evaluation of the effectiveness of the internal control over financial reportin</w:t>
      </w:r>
      <w:r>
        <w:rPr>
          <w:sz w:val="20"/>
          <w:szCs w:val="20"/>
        </w:rPr>
        <w:t xml:space="preserve">g as of December 31, 2022, using the criteria established in </w:t>
      </w:r>
      <w:r>
        <w:rPr>
          <w:i/>
          <w:iCs/>
          <w:sz w:val="20"/>
          <w:szCs w:val="20"/>
        </w:rPr>
        <w:t xml:space="preserve">Internal Control – Integrated Framework (2013 framework) </w:t>
      </w:r>
      <w:r>
        <w:rPr>
          <w:sz w:val="20"/>
          <w:szCs w:val="20"/>
        </w:rPr>
        <w:t>issued by the Committee of Sponsoring Organizations of the Treadway Commission (“</w:t>
      </w:r>
      <w:r>
        <w:rPr>
          <w:i/>
          <w:iCs/>
          <w:sz w:val="20"/>
          <w:szCs w:val="20"/>
        </w:rPr>
        <w:t>COSO</w:t>
      </w:r>
      <w:r>
        <w:rPr>
          <w:sz w:val="20"/>
          <w:szCs w:val="20"/>
        </w:rPr>
        <w:t>”). Because of its inherent limitations, internal con</w:t>
      </w:r>
      <w:r>
        <w:rPr>
          <w:sz w:val="20"/>
          <w:szCs w:val="20"/>
        </w:rPr>
        <w:t>trol over financial reporting may not prevent or detect misstatements. Also, projections of any evaluation of effectiveness to future periods are subject to the risk that controls may become inadequate because of changes in conditions, or that the degree o</w:t>
      </w:r>
      <w:r>
        <w:rPr>
          <w:sz w:val="20"/>
          <w:szCs w:val="20"/>
        </w:rPr>
        <w:t>f compliance with the policies or procedures may deteriorate.</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A material weakness is a control deficiency, or combination of control deficiencies, that results in more than a remote likelihood that a material misstatement of the annual or interim financi</w:t>
      </w:r>
      <w:r>
        <w:rPr>
          <w:sz w:val="20"/>
          <w:szCs w:val="20"/>
        </w:rPr>
        <w:t>al statements will not be prevented or detected. As a result of management’s assessment, management has determined that there are material weaknesses due to the lack of segregation of duties and, due to the limited resources based on the size of the Compan</w:t>
      </w:r>
      <w:r>
        <w:rPr>
          <w:sz w:val="20"/>
          <w:szCs w:val="20"/>
        </w:rPr>
        <w:t>y. Due to the material weaknesses management concluded that as of December 31, 2022, the Company’s internal control over financial reporting was ineffective. In order to address and resolve the weaknesses, the Company will endeavor to locate and appoint ad</w:t>
      </w:r>
      <w:r>
        <w:rPr>
          <w:sz w:val="20"/>
          <w:szCs w:val="20"/>
        </w:rPr>
        <w:t>ditional qualified personnel to the board of directors and pertinent officer positions as the Company’s financial means allow. To date, the Company’s limited financial resources have not allowed the Company to hire the additional personnel necessary to add</w:t>
      </w:r>
      <w:r>
        <w:rPr>
          <w:sz w:val="20"/>
          <w:szCs w:val="20"/>
        </w:rPr>
        <w:t>ress the material weaknesses.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Management’s Annual Report on Internal Control Over Financial Reporting</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This annual report does not include an attestation report of the Company’s registered public accounting firm regarding internal control over financial</w:t>
      </w:r>
      <w:r>
        <w:rPr>
          <w:sz w:val="20"/>
          <w:szCs w:val="20"/>
        </w:rPr>
        <w:t xml:space="preserve"> reporting. Management’s report was not subject to attestation by the Company’s registered public accounting firm pursuant to temporary rules of the Securities and Exchange Commission that permit the Company to provide only management’s report in this annu</w:t>
      </w:r>
      <w:r>
        <w:rPr>
          <w:sz w:val="20"/>
          <w:szCs w:val="20"/>
        </w:rPr>
        <w:t>al report.</w:t>
      </w:r>
    </w:p>
    <w:p w:rsidR="00000000" w:rsidRDefault="00DA767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45777898"/>
        </w:trPr>
        <w:tc>
          <w:tcPr>
            <w:tcW w:w="5000" w:type="pct"/>
            <w:hideMark/>
          </w:tcPr>
          <w:p w:rsidR="00000000" w:rsidRDefault="00DA7678">
            <w:pPr>
              <w:jc w:val="center"/>
              <w:rPr>
                <w:rFonts w:eastAsia="Times New Roman"/>
                <w:sz w:val="20"/>
                <w:szCs w:val="20"/>
              </w:rPr>
            </w:pPr>
            <w:r>
              <w:rPr>
                <w:rFonts w:eastAsia="Times New Roman"/>
                <w:sz w:val="20"/>
                <w:szCs w:val="20"/>
              </w:rPr>
              <w:t>2</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Changes in Internal Control Over Financial Reporting</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There have been no changes in the Company’s internal control over financial reporting that occurred during the Company’s last fiscal quarter (the Company’s fourth fiscal quarter </w:t>
      </w:r>
      <w:r>
        <w:rPr>
          <w:sz w:val="20"/>
          <w:szCs w:val="20"/>
        </w:rPr>
        <w:t>in the case of an annual report) that has materially affected, or is reasonably likely to materially affect, the Company’s internal control over financial reporting.</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term “internal control over financial reporting” is defined as a process designed by</w:t>
      </w:r>
      <w:r>
        <w:rPr>
          <w:sz w:val="20"/>
          <w:szCs w:val="20"/>
        </w:rPr>
        <w:t>, or under the supervision of, the registrant’s principal executive and principal financial officers, or persons performing similar functions, and effected by the registrant’s board of directors, management and other personnel, to provide reasonable assura</w:t>
      </w:r>
      <w:r>
        <w:rPr>
          <w:sz w:val="20"/>
          <w:szCs w:val="20"/>
        </w:rPr>
        <w:t>nce regarding the reliability of financial reporting and the preparation of financial statements for external purposes in accordance with generally accepted accounting principles and includes those policies and procedures that:</w:t>
      </w:r>
    </w:p>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tc>
          <w:tcPr>
            <w:tcW w:w="720" w:type="dxa"/>
            <w:hideMark/>
          </w:tcPr>
          <w:p w:rsidR="00000000" w:rsidRDefault="00DA7678">
            <w:pPr>
              <w:jc w:val="both"/>
              <w:rPr>
                <w:rFonts w:eastAsia="Times New Roman"/>
                <w:sz w:val="20"/>
                <w:szCs w:val="20"/>
              </w:rPr>
            </w:pPr>
            <w:r>
              <w:rPr>
                <w:rFonts w:eastAsia="Times New Roman"/>
                <w:sz w:val="20"/>
                <w:szCs w:val="20"/>
              </w:rPr>
              <w:t>(a)</w:t>
            </w:r>
          </w:p>
        </w:tc>
        <w:tc>
          <w:tcPr>
            <w:tcW w:w="0" w:type="auto"/>
            <w:hideMark/>
          </w:tcPr>
          <w:p w:rsidR="00000000" w:rsidRDefault="00DA7678">
            <w:pPr>
              <w:jc w:val="both"/>
              <w:rPr>
                <w:rFonts w:eastAsia="Times New Roman"/>
                <w:sz w:val="20"/>
                <w:szCs w:val="20"/>
              </w:rPr>
            </w:pPr>
            <w:r>
              <w:rPr>
                <w:rFonts w:eastAsia="Times New Roman"/>
                <w:sz w:val="20"/>
                <w:szCs w:val="20"/>
              </w:rPr>
              <w:t xml:space="preserve">Pertain </w:t>
            </w:r>
            <w:r>
              <w:rPr>
                <w:rFonts w:eastAsia="Times New Roman"/>
                <w:sz w:val="20"/>
                <w:szCs w:val="20"/>
              </w:rPr>
              <w:t>to the maintenance of records that in reasonable detail accurately and fairly reflect the transactions and dispositions of the assets of the registrant;</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(b)</w:t>
            </w:r>
          </w:p>
        </w:tc>
        <w:tc>
          <w:tcPr>
            <w:tcW w:w="0" w:type="auto"/>
            <w:hideMark/>
          </w:tcPr>
          <w:p w:rsidR="00000000" w:rsidRDefault="00DA7678">
            <w:pPr>
              <w:jc w:val="both"/>
              <w:rPr>
                <w:rFonts w:eastAsia="Times New Roman"/>
                <w:sz w:val="20"/>
                <w:szCs w:val="20"/>
              </w:rPr>
            </w:pPr>
            <w:r>
              <w:rPr>
                <w:rFonts w:eastAsia="Times New Roman"/>
                <w:sz w:val="20"/>
                <w:szCs w:val="20"/>
              </w:rPr>
              <w:t>Provide reasonable assurance that transactions are recorded as necessary to permit preparatio</w:t>
            </w:r>
            <w:r>
              <w:rPr>
                <w:rFonts w:eastAsia="Times New Roman"/>
                <w:sz w:val="20"/>
                <w:szCs w:val="20"/>
              </w:rPr>
              <w:t>n of financial statements in accordance with generally accepted accounting principles, and that receipts and expenditures of the registrant are being made only in accordance with authorizations of management and directors of the registrant; and</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(c)</w:t>
            </w:r>
          </w:p>
        </w:tc>
        <w:tc>
          <w:tcPr>
            <w:tcW w:w="0" w:type="auto"/>
            <w:hideMark/>
          </w:tcPr>
          <w:p w:rsidR="00000000" w:rsidRDefault="00DA7678">
            <w:pPr>
              <w:jc w:val="both"/>
              <w:rPr>
                <w:rFonts w:eastAsia="Times New Roman"/>
                <w:sz w:val="20"/>
                <w:szCs w:val="20"/>
              </w:rPr>
            </w:pPr>
            <w:r>
              <w:rPr>
                <w:rFonts w:eastAsia="Times New Roman"/>
                <w:sz w:val="20"/>
                <w:szCs w:val="20"/>
              </w:rPr>
              <w:t>P</w:t>
            </w:r>
            <w:r>
              <w:rPr>
                <w:rFonts w:eastAsia="Times New Roman"/>
                <w:sz w:val="20"/>
                <w:szCs w:val="20"/>
              </w:rPr>
              <w:t>rovide reasonable assurance regarding prevention or timely detection of unauthorized acquisition, use or disposition of the registrant’s assets that could have a material effect on the financial statements.</w:t>
            </w:r>
          </w:p>
        </w:tc>
      </w:tr>
    </w:tbl>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 xml:space="preserve">ITEM </w:t>
      </w:r>
      <w:r>
        <w:rPr>
          <w:b/>
          <w:bCs/>
          <w:sz w:val="20"/>
          <w:szCs w:val="20"/>
        </w:rPr>
        <w:t>9B. OTHER INFORMATION.</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None.</w:t>
      </w:r>
    </w:p>
    <w:p w:rsidR="00000000" w:rsidRDefault="00DA767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86479588"/>
        </w:trPr>
        <w:tc>
          <w:tcPr>
            <w:tcW w:w="5000" w:type="pct"/>
            <w:hideMark/>
          </w:tcPr>
          <w:p w:rsidR="00000000" w:rsidRDefault="00DA7678">
            <w:pPr>
              <w:jc w:val="center"/>
              <w:rPr>
                <w:rFonts w:eastAsia="Times New Roman"/>
                <w:sz w:val="20"/>
                <w:szCs w:val="20"/>
              </w:rPr>
            </w:pPr>
            <w:r>
              <w:rPr>
                <w:rFonts w:eastAsia="Times New Roman"/>
                <w:sz w:val="20"/>
                <w:szCs w:val="20"/>
              </w:rPr>
              <w:t>3</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center"/>
        <w:rPr>
          <w:sz w:val="20"/>
          <w:szCs w:val="20"/>
        </w:rPr>
      </w:pPr>
      <w:r>
        <w:rPr>
          <w:b/>
          <w:bCs/>
          <w:sz w:val="20"/>
          <w:szCs w:val="20"/>
        </w:rPr>
        <w:t>PART III</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ITEM 10. DIRECTORS, EXECUTIVE OFFICERS AND CORPORATE GOVERNANCE.</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Company’s current directors and executive officers are as follows:</w:t>
      </w:r>
    </w:p>
    <w:p w:rsidR="00000000" w:rsidRDefault="00DA767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93"/>
        <w:gridCol w:w="166"/>
        <w:gridCol w:w="664"/>
        <w:gridCol w:w="166"/>
        <w:gridCol w:w="4817"/>
      </w:tblGrid>
      <w:tr w:rsidR="00000000">
        <w:tc>
          <w:tcPr>
            <w:tcW w:w="1500" w:type="pct"/>
            <w:tcBorders>
              <w:bottom w:val="single" w:sz="12" w:space="0" w:color="000000"/>
            </w:tcBorders>
            <w:hideMark/>
          </w:tcPr>
          <w:p w:rsidR="00000000" w:rsidRDefault="00DA7678">
            <w:pPr>
              <w:rPr>
                <w:rFonts w:eastAsia="Times New Roman"/>
                <w:sz w:val="20"/>
                <w:szCs w:val="20"/>
              </w:rPr>
            </w:pPr>
            <w:r>
              <w:rPr>
                <w:rFonts w:eastAsia="Times New Roman"/>
                <w:b/>
                <w:bCs/>
                <w:sz w:val="20"/>
                <w:szCs w:val="20"/>
              </w:rPr>
              <w:t>NAME</w:t>
            </w:r>
          </w:p>
        </w:tc>
        <w:tc>
          <w:tcPr>
            <w:tcW w:w="100" w:type="pct"/>
            <w:hideMark/>
          </w:tcPr>
          <w:p w:rsidR="00000000" w:rsidRDefault="00DA7678">
            <w:pPr>
              <w:rPr>
                <w:rFonts w:eastAsia="Times New Roman"/>
                <w:sz w:val="20"/>
                <w:szCs w:val="20"/>
              </w:rPr>
            </w:pPr>
            <w:r>
              <w:rPr>
                <w:rFonts w:eastAsia="Times New Roman"/>
                <w:sz w:val="20"/>
                <w:szCs w:val="20"/>
              </w:rPr>
              <w:t> </w:t>
            </w:r>
          </w:p>
        </w:tc>
        <w:tc>
          <w:tcPr>
            <w:tcW w:w="400" w:type="pct"/>
            <w:tcBorders>
              <w:bottom w:val="single" w:sz="12" w:space="0" w:color="000000"/>
            </w:tcBorders>
            <w:hideMark/>
          </w:tcPr>
          <w:p w:rsidR="00000000" w:rsidRDefault="00DA7678">
            <w:pPr>
              <w:rPr>
                <w:rFonts w:eastAsia="Times New Roman"/>
                <w:sz w:val="20"/>
                <w:szCs w:val="20"/>
              </w:rPr>
            </w:pPr>
            <w:r>
              <w:rPr>
                <w:rFonts w:eastAsia="Times New Roman"/>
                <w:b/>
                <w:bCs/>
                <w:sz w:val="20"/>
                <w:szCs w:val="20"/>
              </w:rPr>
              <w:t>AGE</w:t>
            </w:r>
          </w:p>
        </w:tc>
        <w:tc>
          <w:tcPr>
            <w:tcW w:w="100" w:type="pct"/>
            <w:hideMark/>
          </w:tcPr>
          <w:p w:rsidR="00000000" w:rsidRDefault="00DA7678">
            <w:pPr>
              <w:rPr>
                <w:rFonts w:eastAsia="Times New Roman"/>
                <w:sz w:val="20"/>
                <w:szCs w:val="20"/>
              </w:rPr>
            </w:pPr>
            <w:r>
              <w:rPr>
                <w:rFonts w:eastAsia="Times New Roman"/>
                <w:sz w:val="20"/>
                <w:szCs w:val="20"/>
              </w:rPr>
              <w:t> </w:t>
            </w:r>
          </w:p>
        </w:tc>
        <w:tc>
          <w:tcPr>
            <w:tcW w:w="2900" w:type="pct"/>
            <w:tcBorders>
              <w:bottom w:val="single" w:sz="12" w:space="0" w:color="000000"/>
            </w:tcBorders>
            <w:hideMark/>
          </w:tcPr>
          <w:p w:rsidR="00000000" w:rsidRDefault="00DA7678">
            <w:pPr>
              <w:rPr>
                <w:rFonts w:eastAsia="Times New Roman"/>
                <w:sz w:val="20"/>
                <w:szCs w:val="20"/>
              </w:rPr>
            </w:pPr>
            <w:r>
              <w:rPr>
                <w:rFonts w:eastAsia="Times New Roman"/>
                <w:b/>
                <w:bCs/>
                <w:sz w:val="20"/>
                <w:szCs w:val="20"/>
              </w:rPr>
              <w:t>POSITION</w:t>
            </w:r>
          </w:p>
        </w:tc>
      </w:tr>
      <w:tr w:rsidR="00000000">
        <w:tc>
          <w:tcPr>
            <w:tcW w:w="0" w:type="auto"/>
            <w:hideMark/>
          </w:tcPr>
          <w:p w:rsidR="00000000" w:rsidRDefault="00DA7678">
            <w:pPr>
              <w:rPr>
                <w:rFonts w:eastAsia="Times New Roman"/>
                <w:sz w:val="20"/>
                <w:szCs w:val="20"/>
              </w:rPr>
            </w:pPr>
            <w:r>
              <w:rPr>
                <w:rFonts w:eastAsia="Times New Roman"/>
                <w:sz w:val="20"/>
                <w:szCs w:val="20"/>
              </w:rPr>
              <w:t>Michael K. Korenko</w:t>
            </w:r>
          </w:p>
        </w:tc>
        <w:tc>
          <w:tcPr>
            <w:tcW w:w="0" w:type="auto"/>
            <w:hideMark/>
          </w:tcPr>
          <w:p w:rsidR="00000000" w:rsidRDefault="00DA7678">
            <w:pPr>
              <w:rPr>
                <w:rFonts w:eastAsia="Times New Roman"/>
                <w:sz w:val="20"/>
                <w:szCs w:val="20"/>
              </w:rPr>
            </w:pPr>
            <w:r>
              <w:rPr>
                <w:rFonts w:eastAsia="Times New Roman"/>
                <w:sz w:val="20"/>
                <w:szCs w:val="20"/>
              </w:rPr>
              <w:t> </w:t>
            </w:r>
          </w:p>
        </w:tc>
        <w:tc>
          <w:tcPr>
            <w:tcW w:w="0" w:type="auto"/>
            <w:hideMark/>
          </w:tcPr>
          <w:p w:rsidR="00000000" w:rsidRDefault="00DA7678">
            <w:pPr>
              <w:rPr>
                <w:rFonts w:eastAsia="Times New Roman"/>
                <w:sz w:val="20"/>
                <w:szCs w:val="20"/>
              </w:rPr>
            </w:pPr>
            <w:r>
              <w:rPr>
                <w:rFonts w:eastAsia="Times New Roman"/>
                <w:sz w:val="20"/>
                <w:szCs w:val="20"/>
              </w:rPr>
              <w:t>76</w:t>
            </w:r>
          </w:p>
        </w:tc>
        <w:tc>
          <w:tcPr>
            <w:tcW w:w="0" w:type="auto"/>
            <w:hideMark/>
          </w:tcPr>
          <w:p w:rsidR="00000000" w:rsidRDefault="00DA7678">
            <w:pPr>
              <w:rPr>
                <w:rFonts w:eastAsia="Times New Roman"/>
                <w:sz w:val="20"/>
                <w:szCs w:val="20"/>
              </w:rPr>
            </w:pPr>
            <w:r>
              <w:rPr>
                <w:rFonts w:eastAsia="Times New Roman"/>
                <w:sz w:val="20"/>
                <w:szCs w:val="20"/>
              </w:rPr>
              <w:t> </w:t>
            </w:r>
          </w:p>
        </w:tc>
        <w:tc>
          <w:tcPr>
            <w:tcW w:w="0" w:type="auto"/>
            <w:hideMark/>
          </w:tcPr>
          <w:p w:rsidR="00000000" w:rsidRDefault="00DA7678">
            <w:pPr>
              <w:rPr>
                <w:rFonts w:eastAsia="Times New Roman"/>
                <w:sz w:val="20"/>
                <w:szCs w:val="20"/>
              </w:rPr>
            </w:pPr>
            <w:r>
              <w:rPr>
                <w:rFonts w:eastAsia="Times New Roman"/>
                <w:sz w:val="20"/>
                <w:szCs w:val="20"/>
              </w:rPr>
              <w:t>President, Chief Executive Officer, and Director</w:t>
            </w:r>
          </w:p>
        </w:tc>
      </w:tr>
      <w:tr w:rsidR="00000000">
        <w:tc>
          <w:tcPr>
            <w:tcW w:w="0" w:type="auto"/>
            <w:hideMark/>
          </w:tcPr>
          <w:p w:rsidR="00000000" w:rsidRDefault="00DA7678">
            <w:pPr>
              <w:rPr>
                <w:rFonts w:eastAsia="Times New Roman"/>
                <w:sz w:val="20"/>
                <w:szCs w:val="20"/>
              </w:rPr>
            </w:pPr>
            <w:r>
              <w:rPr>
                <w:rFonts w:eastAsia="Times New Roman"/>
                <w:sz w:val="20"/>
                <w:szCs w:val="20"/>
              </w:rPr>
              <w:t>Michael Pollack</w:t>
            </w:r>
          </w:p>
        </w:tc>
        <w:tc>
          <w:tcPr>
            <w:tcW w:w="0" w:type="auto"/>
            <w:hideMark/>
          </w:tcPr>
          <w:p w:rsidR="00000000" w:rsidRDefault="00DA7678">
            <w:pPr>
              <w:rPr>
                <w:rFonts w:eastAsia="Times New Roman"/>
                <w:sz w:val="20"/>
                <w:szCs w:val="20"/>
              </w:rPr>
            </w:pPr>
            <w:r>
              <w:rPr>
                <w:rFonts w:eastAsia="Times New Roman"/>
                <w:sz w:val="20"/>
                <w:szCs w:val="20"/>
              </w:rPr>
              <w:t> </w:t>
            </w:r>
          </w:p>
        </w:tc>
        <w:tc>
          <w:tcPr>
            <w:tcW w:w="0" w:type="auto"/>
            <w:hideMark/>
          </w:tcPr>
          <w:p w:rsidR="00000000" w:rsidRDefault="00DA7678">
            <w:pPr>
              <w:rPr>
                <w:rFonts w:eastAsia="Times New Roman"/>
                <w:sz w:val="20"/>
                <w:szCs w:val="20"/>
              </w:rPr>
            </w:pPr>
            <w:r>
              <w:rPr>
                <w:rFonts w:eastAsia="Times New Roman"/>
                <w:sz w:val="20"/>
                <w:szCs w:val="20"/>
              </w:rPr>
              <w:t>56</w:t>
            </w:r>
          </w:p>
        </w:tc>
        <w:tc>
          <w:tcPr>
            <w:tcW w:w="0" w:type="auto"/>
            <w:hideMark/>
          </w:tcPr>
          <w:p w:rsidR="00000000" w:rsidRDefault="00DA7678">
            <w:pPr>
              <w:rPr>
                <w:rFonts w:eastAsia="Times New Roman"/>
                <w:sz w:val="20"/>
                <w:szCs w:val="20"/>
              </w:rPr>
            </w:pPr>
            <w:r>
              <w:rPr>
                <w:rFonts w:eastAsia="Times New Roman"/>
                <w:sz w:val="20"/>
                <w:szCs w:val="20"/>
              </w:rPr>
              <w:t> </w:t>
            </w:r>
          </w:p>
        </w:tc>
        <w:tc>
          <w:tcPr>
            <w:tcW w:w="0" w:type="auto"/>
            <w:hideMark/>
          </w:tcPr>
          <w:p w:rsidR="00000000" w:rsidRDefault="00DA7678">
            <w:pPr>
              <w:rPr>
                <w:rFonts w:eastAsia="Times New Roman"/>
                <w:sz w:val="20"/>
                <w:szCs w:val="20"/>
              </w:rPr>
            </w:pPr>
            <w:r>
              <w:rPr>
                <w:rFonts w:eastAsia="Times New Roman"/>
                <w:sz w:val="20"/>
                <w:szCs w:val="20"/>
              </w:rPr>
              <w:t>Interim Chief Financial Officer</w:t>
            </w:r>
          </w:p>
        </w:tc>
      </w:tr>
      <w:tr w:rsidR="00000000">
        <w:tc>
          <w:tcPr>
            <w:tcW w:w="0" w:type="auto"/>
            <w:hideMark/>
          </w:tcPr>
          <w:p w:rsidR="00000000" w:rsidRDefault="00DA7678">
            <w:pPr>
              <w:rPr>
                <w:rFonts w:eastAsia="Times New Roman"/>
                <w:sz w:val="20"/>
                <w:szCs w:val="20"/>
              </w:rPr>
            </w:pPr>
            <w:r>
              <w:rPr>
                <w:rFonts w:eastAsia="Times New Roman"/>
                <w:sz w:val="20"/>
                <w:szCs w:val="20"/>
              </w:rPr>
              <w:t>Carlton M. Cadwell</w:t>
            </w:r>
          </w:p>
        </w:tc>
        <w:tc>
          <w:tcPr>
            <w:tcW w:w="0" w:type="auto"/>
            <w:hideMark/>
          </w:tcPr>
          <w:p w:rsidR="00000000" w:rsidRDefault="00DA7678">
            <w:pPr>
              <w:rPr>
                <w:rFonts w:eastAsia="Times New Roman"/>
                <w:sz w:val="20"/>
                <w:szCs w:val="20"/>
              </w:rPr>
            </w:pPr>
            <w:r>
              <w:rPr>
                <w:rFonts w:eastAsia="Times New Roman"/>
                <w:sz w:val="20"/>
                <w:szCs w:val="20"/>
              </w:rPr>
              <w:t> </w:t>
            </w:r>
          </w:p>
        </w:tc>
        <w:tc>
          <w:tcPr>
            <w:tcW w:w="0" w:type="auto"/>
            <w:hideMark/>
          </w:tcPr>
          <w:p w:rsidR="00000000" w:rsidRDefault="00DA7678">
            <w:pPr>
              <w:rPr>
                <w:rFonts w:eastAsia="Times New Roman"/>
                <w:sz w:val="20"/>
                <w:szCs w:val="20"/>
              </w:rPr>
            </w:pPr>
            <w:r>
              <w:rPr>
                <w:rFonts w:eastAsia="Times New Roman"/>
                <w:sz w:val="20"/>
                <w:szCs w:val="20"/>
              </w:rPr>
              <w:t>78</w:t>
            </w:r>
          </w:p>
        </w:tc>
        <w:tc>
          <w:tcPr>
            <w:tcW w:w="0" w:type="auto"/>
            <w:hideMark/>
          </w:tcPr>
          <w:p w:rsidR="00000000" w:rsidRDefault="00DA7678">
            <w:pPr>
              <w:rPr>
                <w:rFonts w:eastAsia="Times New Roman"/>
                <w:sz w:val="20"/>
                <w:szCs w:val="20"/>
              </w:rPr>
            </w:pPr>
            <w:r>
              <w:rPr>
                <w:rFonts w:eastAsia="Times New Roman"/>
                <w:sz w:val="20"/>
                <w:szCs w:val="20"/>
              </w:rPr>
              <w:t> </w:t>
            </w:r>
          </w:p>
        </w:tc>
        <w:tc>
          <w:tcPr>
            <w:tcW w:w="0" w:type="auto"/>
            <w:hideMark/>
          </w:tcPr>
          <w:p w:rsidR="00000000" w:rsidRDefault="00DA7678">
            <w:pPr>
              <w:rPr>
                <w:rFonts w:eastAsia="Times New Roman"/>
                <w:sz w:val="20"/>
                <w:szCs w:val="20"/>
              </w:rPr>
            </w:pPr>
            <w:r>
              <w:rPr>
                <w:rFonts w:eastAsia="Times New Roman"/>
                <w:sz w:val="20"/>
                <w:szCs w:val="20"/>
              </w:rPr>
              <w:t>Chairman of the Board and Secretary</w:t>
            </w:r>
          </w:p>
        </w:tc>
      </w:tr>
    </w:tbl>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b/>
          <w:bCs/>
          <w:sz w:val="20"/>
          <w:szCs w:val="20"/>
        </w:rPr>
        <w:t>Term of Office</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All the Company’</w:t>
      </w:r>
      <w:r>
        <w:rPr>
          <w:sz w:val="20"/>
          <w:szCs w:val="20"/>
        </w:rPr>
        <w:t>s directors hold office until the next annual meeting of the stockholders or until their successors is elected and qualified. The Company’s executive officers are appointed by the Company’s board of directors and hold office until their resignation, remova</w:t>
      </w:r>
      <w:r>
        <w:rPr>
          <w:sz w:val="20"/>
          <w:szCs w:val="20"/>
        </w:rPr>
        <w:t>l, death or retirement.</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b/>
          <w:bCs/>
          <w:sz w:val="20"/>
          <w:szCs w:val="20"/>
        </w:rPr>
        <w:t>Background and Business Experience</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business experience during the past five years of each of the Company’s directors and executive officers is as follows: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b/>
          <w:bCs/>
          <w:i/>
          <w:iCs/>
          <w:sz w:val="20"/>
          <w:szCs w:val="20"/>
        </w:rPr>
        <w:t>Dr. Michael K. Korenko</w:t>
      </w:r>
      <w:r>
        <w:rPr>
          <w:b/>
          <w:bCs/>
          <w:sz w:val="20"/>
          <w:szCs w:val="20"/>
        </w:rPr>
        <w:t xml:space="preserve">, </w:t>
      </w:r>
      <w:r>
        <w:rPr>
          <w:sz w:val="20"/>
          <w:szCs w:val="20"/>
        </w:rPr>
        <w:t xml:space="preserve">President and Chief Executive Officer of the Company since December 2016, and a member of the Board of Directors since August 2017, joined the Company as an Advisor to the Board of the Company during 2009 and served as member of the Board from May 2009 to </w:t>
      </w:r>
      <w:r>
        <w:rPr>
          <w:sz w:val="20"/>
          <w:szCs w:val="20"/>
        </w:rPr>
        <w:t>March 2010. Dr. Korenko has also served on the Hanford Advisory Board since 2009. Dr. Korenko served as Business Development Manager for Curtiss-Wright from 2006 to 2009, as Chief Operating Officer for Curtiss-Wright from 2000 to 2005 and was Executive Vic</w:t>
      </w:r>
      <w:r>
        <w:rPr>
          <w:sz w:val="20"/>
          <w:szCs w:val="20"/>
        </w:rPr>
        <w:t>e President of Closure for Safe Sites of Colorado at Rocky Flats from 1994 to 2000. Dr. Korenko served as Vice President of Westinghouse from 1987 to 1994 and was responsible for the 300 and 400 areas, including the Fast Flux Testing Facility (“</w:t>
      </w:r>
      <w:r>
        <w:rPr>
          <w:i/>
          <w:iCs/>
          <w:sz w:val="20"/>
          <w:szCs w:val="20"/>
        </w:rPr>
        <w:t>FFTF</w:t>
      </w:r>
      <w:r>
        <w:rPr>
          <w:sz w:val="20"/>
          <w:szCs w:val="20"/>
        </w:rPr>
        <w:t xml:space="preserve">”) and </w:t>
      </w:r>
      <w:r>
        <w:rPr>
          <w:sz w:val="20"/>
          <w:szCs w:val="20"/>
        </w:rPr>
        <w:t>all engineering, safety analysis, and projects for the Hanford site.</w:t>
      </w:r>
    </w:p>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Dr. Korenko is the author of 28 patents and has received many awards, including the National Energy Resources Organization Research and Development Award, the U.S. Steelworkers Award fo</w:t>
      </w:r>
      <w:r>
        <w:rPr>
          <w:sz w:val="20"/>
          <w:szCs w:val="20"/>
        </w:rPr>
        <w:t xml:space="preserve">r Excellence in Promoting Safety, and the Westinghouse Total Quality Award for Performance Manager of the Year. Dr. Korenko has a Doctor of Science from MIT, was a NATO Postdoctoral Fellow at Oxford University, and was selected as a White House Fellow for </w:t>
      </w:r>
      <w:r>
        <w:rPr>
          <w:sz w:val="20"/>
          <w:szCs w:val="20"/>
        </w:rPr>
        <w:t>the Department of Defense, reporting to Secretary Cap Weinberger.</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Dr. Korenko brings to the Board over seven years’ experience working with and advising various small businesses, including companies involved in turnarounds. Dr. Korenko has also been invo</w:t>
      </w:r>
      <w:r>
        <w:rPr>
          <w:sz w:val="20"/>
          <w:szCs w:val="20"/>
        </w:rPr>
        <w:t>lved as an advisor to the Company since 2009 in the development of medical isotopes.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b/>
          <w:bCs/>
          <w:i/>
          <w:iCs/>
          <w:sz w:val="20"/>
          <w:szCs w:val="20"/>
        </w:rPr>
        <w:t>Carlton M. Cadwell</w:t>
      </w:r>
      <w:r>
        <w:rPr>
          <w:i/>
          <w:iCs/>
          <w:sz w:val="20"/>
          <w:szCs w:val="20"/>
        </w:rPr>
        <w:t>,</w:t>
      </w:r>
      <w:r>
        <w:rPr>
          <w:sz w:val="20"/>
          <w:szCs w:val="20"/>
        </w:rPr>
        <w:t xml:space="preserve"> Chairman of the Board and Secretary since December 2016, joined the Company as a director in 2006. Dr. Cadwell brings over 30 years of experience in </w:t>
      </w:r>
      <w:r>
        <w:rPr>
          <w:sz w:val="20"/>
          <w:szCs w:val="20"/>
        </w:rPr>
        <w:t>business management, strategic planning, and implementation. He co-founded Cadwell Laboratories, Inc. in 1979 and has served as its President since its inception. Cadwell Laboratories, Inc. is a major international provider of neurodiagnostic medical devic</w:t>
      </w:r>
      <w:r>
        <w:rPr>
          <w:sz w:val="20"/>
          <w:szCs w:val="20"/>
        </w:rPr>
        <w:t>es. After receiving his bachelor’s degree from the University of Oregon in 1966 and a doctoral degree from the University of Washington in 1970, he began his career serving in the United States Army as a dentist for three years. From 1973 to 1980, Dr. Cadw</w:t>
      </w:r>
      <w:r>
        <w:rPr>
          <w:sz w:val="20"/>
          <w:szCs w:val="20"/>
        </w:rPr>
        <w:t>ell practiced dentistry in private practice and since has started several businesses.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Mr. Cadwell brings to the Board over ten years of service on the Board and over forty-five years of experience as a successful entrepreneur, as well as medical expertis</w:t>
      </w:r>
      <w:r>
        <w:rPr>
          <w:sz w:val="20"/>
          <w:szCs w:val="20"/>
        </w:rPr>
        <w:t>e.</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b/>
          <w:bCs/>
          <w:i/>
          <w:iCs/>
          <w:sz w:val="20"/>
          <w:szCs w:val="20"/>
        </w:rPr>
        <w:t xml:space="preserve">Michael Pollack CPA, </w:t>
      </w:r>
      <w:r>
        <w:rPr>
          <w:sz w:val="20"/>
          <w:szCs w:val="20"/>
        </w:rPr>
        <w:t>the Interim Chief Financial Officer, joined the Company as interim Chief Financial Officer in December 2018. Mr. Pollack has been a partner in a certified public accounting firm for the past fifteen years and specializes in accoun</w:t>
      </w:r>
      <w:r>
        <w:rPr>
          <w:sz w:val="20"/>
          <w:szCs w:val="20"/>
        </w:rPr>
        <w:t>ting and auditing for small public companies. Mr. Pollack has approximately 30 years of experience in public accounting and consulting to over 100 publicly traded and 250 private companies. Mr. Pollack has also held CFO and Controller positions in an array</w:t>
      </w:r>
      <w:r>
        <w:rPr>
          <w:sz w:val="20"/>
          <w:szCs w:val="20"/>
        </w:rPr>
        <w:t xml:space="preserve"> of industries. Mr. Pollack graduated from the University of Maryland with a Bachelor of Arts in Economics. Mr. Pollack is a member of the American Institute of Certified Public Accountants, as well as licensed to practice in New Jersey, and New York.</w:t>
      </w:r>
    </w:p>
    <w:p w:rsidR="00000000" w:rsidRDefault="00DA767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07322748"/>
        </w:trPr>
        <w:tc>
          <w:tcPr>
            <w:tcW w:w="5000" w:type="pct"/>
            <w:hideMark/>
          </w:tcPr>
          <w:p w:rsidR="00000000" w:rsidRDefault="00DA7678">
            <w:pPr>
              <w:jc w:val="center"/>
              <w:rPr>
                <w:rFonts w:eastAsia="Times New Roman"/>
                <w:sz w:val="20"/>
                <w:szCs w:val="20"/>
              </w:rPr>
            </w:pPr>
            <w:r>
              <w:rPr>
                <w:rFonts w:eastAsia="Times New Roman"/>
                <w:sz w:val="20"/>
                <w:szCs w:val="20"/>
              </w:rPr>
              <w:t>3</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Identification of Significant Consultants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b/>
          <w:bCs/>
          <w:i/>
          <w:iCs/>
          <w:sz w:val="20"/>
          <w:szCs w:val="20"/>
        </w:rPr>
        <w:t>David J. Swanberg, M.S., P.E.</w:t>
      </w:r>
      <w:r>
        <w:rPr>
          <w:sz w:val="20"/>
          <w:szCs w:val="20"/>
        </w:rPr>
        <w:t xml:space="preserve"> Mr. Swanberg has over 30 years’ experience in radiochemical processing, medical isotope production, nuclear waste management, materials science, regulatory affairs, and pro</w:t>
      </w:r>
      <w:r>
        <w:rPr>
          <w:sz w:val="20"/>
          <w:szCs w:val="20"/>
        </w:rPr>
        <w:t>ject management. Mr. Swanberg has worked in diverse organizations ranging from small start-up businesses to corporations with multi-billion dollar annual revenues. From 2005 to 2008, he served as Executive Vice President of Operations and as a member of th</w:t>
      </w:r>
      <w:r>
        <w:rPr>
          <w:sz w:val="20"/>
          <w:szCs w:val="20"/>
        </w:rPr>
        <w:t>e Board of Directors for IsoRay Medical Inc. from 2005 to 2008 managing day-to-day operations, R&amp;D, and New Product Development. Mr. Swanberg was a co-founder of IsoRay and led the initial Cs-131 brachytherapy seed product development, FDA 510(k) submissio</w:t>
      </w:r>
      <w:r>
        <w:rPr>
          <w:sz w:val="20"/>
          <w:szCs w:val="20"/>
        </w:rPr>
        <w:t>n/clearance, and NRC Sealed Source review and registration. Mr. Swanberg led the radiation dosimetry evaluations to meet American Association of Physicists in Medicine guidelines and is a current member of the AAPM. Mr. Swanberg and participated in several</w:t>
      </w:r>
      <w:r>
        <w:rPr>
          <w:sz w:val="20"/>
          <w:szCs w:val="20"/>
        </w:rPr>
        <w:t xml:space="preserve"> capital financing rounds totaling over $30.0 million. Mr. Swanberg also served as Assistant General Manager of IsoRay LLC from 2000 to 2003, and in additionally in key management roles as IsoRay transitioned from IsoRay LLC to IsoRay Medical, Inc. Mr. Swa</w:t>
      </w:r>
      <w:r>
        <w:rPr>
          <w:sz w:val="20"/>
          <w:szCs w:val="20"/>
        </w:rPr>
        <w:t>nberg holds a BA in Chemistry from Bethel University (MN) and an MS in Chemical Engineering from Montana State University. Mr. Swanberg has numerous technical publications and holds several patents.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b/>
          <w:bCs/>
          <w:sz w:val="20"/>
          <w:szCs w:val="20"/>
        </w:rPr>
        <w:t>Medical and Veterinarian Advisory Boards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b/>
          <w:bCs/>
          <w:i/>
          <w:iCs/>
          <w:sz w:val="20"/>
          <w:szCs w:val="20"/>
        </w:rPr>
        <w:t>Dr. Barry D.</w:t>
      </w:r>
      <w:r>
        <w:rPr>
          <w:b/>
          <w:bCs/>
          <w:i/>
          <w:iCs/>
          <w:sz w:val="20"/>
          <w:szCs w:val="20"/>
        </w:rPr>
        <w:t xml:space="preserve"> Pressman MD, FACR - Chairman Medical Advisory Board. </w:t>
      </w:r>
      <w:r>
        <w:rPr>
          <w:sz w:val="20"/>
          <w:szCs w:val="20"/>
        </w:rPr>
        <w:t xml:space="preserve">Dr. Pressman is Professor and Chairman of the S. Mark Taper Foundation Imaging Centre and Department, and Chief of the Section of Neuroradiology and Head and Neck Radiology at </w:t>
      </w:r>
      <w:r>
        <w:rPr>
          <w:sz w:val="20"/>
          <w:szCs w:val="20"/>
          <w:u w:val="single"/>
        </w:rPr>
        <w:t>Cedars-Sinai Medical Cente</w:t>
      </w:r>
      <w:r>
        <w:rPr>
          <w:sz w:val="20"/>
          <w:szCs w:val="20"/>
          <w:u w:val="single"/>
        </w:rPr>
        <w:t>r</w:t>
      </w:r>
      <w:r>
        <w:rPr>
          <w:sz w:val="20"/>
          <w:szCs w:val="20"/>
        </w:rPr>
        <w:t>, located in Los Angeles, California.</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Dr. Pressman is a past President of The American College of Radiology, the Western Neuroradiological Society, as well as past President of the California Radiological Society. Currently he is a member of the America</w:t>
      </w:r>
      <w:r>
        <w:rPr>
          <w:sz w:val="20"/>
          <w:szCs w:val="20"/>
        </w:rPr>
        <w:t>n Society of Neuroradiology and the American Society of Pediatric Neuroradiology.</w:t>
      </w:r>
    </w:p>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Dr. Pressman earned his medical degree Cum Laude from Harvard Medical School after graduating Summa Cum Laude from Dartmouth College. After a surgical internship at Harvard</w:t>
      </w:r>
      <w:r>
        <w:rPr>
          <w:sz w:val="20"/>
          <w:szCs w:val="20"/>
        </w:rPr>
        <w:t>’s Peter Bent Brigham Hospital in Boston, he completed a diagnostic radiology residency at Columbia-Presbyterian Medical Center in New York and a Neuroradiology fellowship at George Washington University Hospital. During this period, he wrote many original</w:t>
      </w:r>
      <w:r>
        <w:rPr>
          <w:sz w:val="20"/>
          <w:szCs w:val="20"/>
        </w:rPr>
        <w:t xml:space="preserve"> papers for Computer Tomography (CT).</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b/>
          <w:bCs/>
          <w:i/>
          <w:iCs/>
          <w:sz w:val="20"/>
          <w:szCs w:val="20"/>
        </w:rPr>
        <w:t xml:space="preserve">Dr. Albert S. DeNittis MD, MS, FCPP - Medical Advisory Board. </w:t>
      </w:r>
      <w:r>
        <w:rPr>
          <w:sz w:val="20"/>
          <w:szCs w:val="20"/>
        </w:rPr>
        <w:t xml:space="preserve">Dr. Albert S. DeNittis is currently is the Chief of Radiation Oncology </w:t>
      </w:r>
      <w:r>
        <w:rPr>
          <w:sz w:val="20"/>
          <w:szCs w:val="20"/>
        </w:rPr>
        <w:t>at Lankenau Medical Center and Clinical Professor at Lankenau Institute for Medical Research in Wynnewood, Pennsylvania and the Director of Radiation Oncology at Brodesseur Cancer Center in New Jersey. He is also the Principal Investigator and in charge of</w:t>
      </w:r>
      <w:r>
        <w:rPr>
          <w:sz w:val="20"/>
          <w:szCs w:val="20"/>
        </w:rPr>
        <w:t xml:space="preserve"> a grant awarded by the NIH for its National Cancer Oncology Research Program (NCORP) at Main Line Health. Dr. DeNittis’ practice experience includes image-guided radiosurgery, stereotactic body radiation therapy (SBRT), intensity modulated radiation thera</w:t>
      </w:r>
      <w:r>
        <w:rPr>
          <w:sz w:val="20"/>
          <w:szCs w:val="20"/>
        </w:rPr>
        <w:t>py (IMRT), image guided radiation therapy (IGRT), high-dose rate (HDR) brachytherapy, cranial and extracranial stereotactic radiosurgery, respiratory gating, and Cyberknife.</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Dr. DeNittis has served on numerous regional, national and government committees</w:t>
      </w:r>
      <w:r>
        <w:rPr>
          <w:sz w:val="20"/>
          <w:szCs w:val="20"/>
        </w:rPr>
        <w:t xml:space="preserve"> related to key issues in Dr. DeNittis earned a BA and a MS at Rutgers University and a MD from the Robert Wood Johnson Medical School at the University of Medicine and Dentistry of New Jersey. He completed postdoctoral training internships and residency a</w:t>
      </w:r>
      <w:r>
        <w:rPr>
          <w:sz w:val="20"/>
          <w:szCs w:val="20"/>
        </w:rPr>
        <w:t>t the Department of Radiation Oncology at the Hospital of the University of Pennsylvania. Dr. DeNittis is board certified by the American Board of Radiology and Licensed in New Jersey and Pennsylvania.</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b/>
          <w:bCs/>
          <w:i/>
          <w:iCs/>
          <w:sz w:val="20"/>
          <w:szCs w:val="20"/>
        </w:rPr>
        <w:t>Dr. Alice Villalobos, DVM, FNAP - Chair of the Veter</w:t>
      </w:r>
      <w:r>
        <w:rPr>
          <w:b/>
          <w:bCs/>
          <w:i/>
          <w:iCs/>
          <w:sz w:val="20"/>
          <w:szCs w:val="20"/>
        </w:rPr>
        <w:t xml:space="preserve">inary Medicine Advisory Board. </w:t>
      </w:r>
      <w:r>
        <w:rPr>
          <w:sz w:val="20"/>
          <w:szCs w:val="20"/>
        </w:rPr>
        <w:t>Dr. Alice Villalobos is a well-known pioneer in the field of cancer care for companion animals and a founding member of the Veterinary Cancer Society. A 1972 graduate of UC Davis, she completed Dr. Gordon Theilen’s first mock</w:t>
      </w:r>
      <w:r>
        <w:rPr>
          <w:sz w:val="20"/>
          <w:szCs w:val="20"/>
        </w:rPr>
        <w:t xml:space="preserve"> residency program in oncology and has served the profession by consulting, writing and lecturing in the rapidly growing field of veterinary oncology and end of life care.</w:t>
      </w:r>
    </w:p>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38842827"/>
        </w:trPr>
        <w:tc>
          <w:tcPr>
            <w:tcW w:w="5000" w:type="pct"/>
            <w:hideMark/>
          </w:tcPr>
          <w:p w:rsidR="00000000" w:rsidRDefault="00DA7678">
            <w:pPr>
              <w:jc w:val="center"/>
              <w:rPr>
                <w:rFonts w:eastAsia="Times New Roman"/>
                <w:sz w:val="20"/>
                <w:szCs w:val="20"/>
              </w:rPr>
            </w:pPr>
            <w:r>
              <w:rPr>
                <w:rFonts w:eastAsia="Times New Roman"/>
                <w:sz w:val="20"/>
                <w:szCs w:val="20"/>
              </w:rPr>
              <w:t>3</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Dr. Alice Villalobos is President Emeritus of the Society for Veterinary</w:t>
      </w:r>
      <w:r>
        <w:rPr>
          <w:sz w:val="20"/>
          <w:szCs w:val="20"/>
        </w:rPr>
        <w:t xml:space="preserve"> Medical Ethics, Past President of the American Association of Human Animal Bond Veterinarians and Chair of the Veterinary Academy for the National Academies of Practice. She operated Coast Pet Clinic/Animal Cancer Center for 25 years, which is now VCA Coa</w:t>
      </w:r>
      <w:r>
        <w:rPr>
          <w:sz w:val="20"/>
          <w:szCs w:val="20"/>
        </w:rPr>
        <w:t>st Animal Hospital. She is the author of numerous articles, papers, and including her classic veterinarian textbook, Canine and Feline Geriatric Oncology: Honoring the Human-Animal Bond. She has lectured worldwide on oncology, quality of life, the human-an</w:t>
      </w:r>
      <w:r>
        <w:rPr>
          <w:sz w:val="20"/>
          <w:szCs w:val="20"/>
        </w:rPr>
        <w:t>imal bond and end of life care and bioethics. She founded Pawspice, an end of life care program that embraces kinder, gentler palliative cancer medicine and integrative care for pets with cancer and terminal illness (www.Pawspice.com). Dr. Alice is Directo</w:t>
      </w:r>
      <w:r>
        <w:rPr>
          <w:sz w:val="20"/>
          <w:szCs w:val="20"/>
        </w:rPr>
        <w:t>r of Animal Oncology Consultation Service in Woodland Hill, California and Pawspice at VCA Coast Animal Hospital in Hermosa Beach, California. Dr. Alice was elected 2016 Hermosa Beach Woman of the Year.</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Dr. Villalobos’ role with the Company is to support</w:t>
      </w:r>
      <w:r>
        <w:rPr>
          <w:sz w:val="20"/>
          <w:szCs w:val="20"/>
        </w:rPr>
        <w:t xml:space="preserve"> the commercialization of the Company’s yttrium-90 brachytherapy products for use in companion animals.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b/>
          <w:bCs/>
          <w:i/>
          <w:iCs/>
          <w:sz w:val="20"/>
          <w:szCs w:val="20"/>
        </w:rPr>
        <w:t>Dr. Richard Weller, DVM, DACVIM (Internal Medicine; Oncology) DipMS - Veterinary Medicine Advisory Board Member</w:t>
      </w:r>
      <w:r>
        <w:rPr>
          <w:b/>
          <w:bCs/>
          <w:sz w:val="20"/>
          <w:szCs w:val="20"/>
        </w:rPr>
        <w:t>.</w:t>
      </w:r>
      <w:r>
        <w:rPr>
          <w:sz w:val="20"/>
          <w:szCs w:val="20"/>
        </w:rPr>
        <w:t xml:space="preserve"> Prior to his retirement in 2014, Dr. </w:t>
      </w:r>
      <w:r>
        <w:rPr>
          <w:sz w:val="20"/>
          <w:szCs w:val="20"/>
        </w:rPr>
        <w:t>Weller was a Senior Program Manager in the Radiation Biology Group of the Biological Sciences Division at Pacific Northwest National Laboratory (PNNL), where he was involved in the development of RadioGel. A 1973 graduate of Washington State University. Dr</w:t>
      </w:r>
      <w:r>
        <w:rPr>
          <w:sz w:val="20"/>
          <w:szCs w:val="20"/>
        </w:rPr>
        <w:t>. Weller has extensive experience in designing and executing clinical studies, treatment planning, mechanisms of carcinogenesis, radiation biology, targeted delivery systems for chemotherapeutic and radio-therapeutic agents, bio-markers of disease, and com</w:t>
      </w:r>
      <w:r>
        <w:rPr>
          <w:sz w:val="20"/>
          <w:szCs w:val="20"/>
        </w:rPr>
        <w:t>parative oncology; as well as over 30 years of experience developing and using animal models, including the use of spontaneous tumors in companion animals, for bio-medical applications.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Dr. Weller is board-certified by the American College of Veterinary </w:t>
      </w:r>
      <w:r>
        <w:rPr>
          <w:sz w:val="20"/>
          <w:szCs w:val="20"/>
        </w:rPr>
        <w:t>Internal Medicine in Internal Medicine (1980) and Oncology (1987), Past Chairperson of the Organizing Committee for the Specialty of Veterinary Medical Oncology, Past Chairperson of the Board of Regents of the American College of Veterinary Internal Medici</w:t>
      </w:r>
      <w:r>
        <w:rPr>
          <w:sz w:val="20"/>
          <w:szCs w:val="20"/>
        </w:rPr>
        <w:t>ne, Past President of the Board of Regents of the American College of Veterinary Internal Medicine, Past President of the Specialty of Oncology, and a Charter Member of the Veterinary Cancer Society which he served as Treasurer for 16 years. He is an Honor</w:t>
      </w:r>
      <w:r>
        <w:rPr>
          <w:sz w:val="20"/>
          <w:szCs w:val="20"/>
        </w:rPr>
        <w:t>ary Professor of the Institute of Veterinary Medicine in Kyiv, Ukraine. Dr. Weller has lectured and trained veterinarians worldwide and has authored or co-authored over 250 articles, technical reports, book chapters, and presentations in his fields of expe</w:t>
      </w:r>
      <w:r>
        <w:rPr>
          <w:sz w:val="20"/>
          <w:szCs w:val="20"/>
        </w:rPr>
        <w:t>rtise.</w:t>
      </w:r>
    </w:p>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rPr>
          <w:sz w:val="20"/>
          <w:szCs w:val="20"/>
        </w:rPr>
      </w:pPr>
      <w:r>
        <w:rPr>
          <w:b/>
          <w:bCs/>
          <w:i/>
          <w:iCs/>
          <w:sz w:val="20"/>
          <w:szCs w:val="20"/>
          <w:u w:val="single"/>
        </w:rPr>
        <w:t>Section 16(a) Beneficial Ownership Reporting Compliance</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Section 16(a) of the Securities Exchange Act of 1934 requires the Company’</w:t>
      </w:r>
      <w:r>
        <w:rPr>
          <w:sz w:val="20"/>
          <w:szCs w:val="20"/>
        </w:rPr>
        <w:t>s executive officers, directors and persons who own more than 10% of the Company’s common stock to file with the SEC initial reports of beneficial ownership on Form 3, changes in beneficial ownership on Form 4, and an annual statement of beneficial ownersh</w:t>
      </w:r>
      <w:r>
        <w:rPr>
          <w:sz w:val="20"/>
          <w:szCs w:val="20"/>
        </w:rPr>
        <w:t>ip on Form 5. Such executive officers, directors and greater than 10% stockholders are required by SEC rules to furnish the Company with copies of all such forms that they have filed.</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Based solely on its review of such forms filed with the SEC and receiv</w:t>
      </w:r>
      <w:r>
        <w:rPr>
          <w:sz w:val="20"/>
          <w:szCs w:val="20"/>
        </w:rPr>
        <w:t>ed by the Company and representations from certain reporting persons, the Company believes that all reports required to be filed by each of each of its executive officers, directors and 10% stockholders were filed during the year ended December 31, 2022 an</w:t>
      </w:r>
      <w:r>
        <w:rPr>
          <w:sz w:val="20"/>
          <w:szCs w:val="20"/>
        </w:rPr>
        <w:t>d that such reports were timely.</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Code of Ethics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Company’s Board of Directors has not adopted a code of ethics that applies to the principal executive officer, principal financial officer, principal accounting officer or controller, or persons perfo</w:t>
      </w:r>
      <w:r>
        <w:rPr>
          <w:sz w:val="20"/>
          <w:szCs w:val="20"/>
        </w:rPr>
        <w:t>rming similar functions, because of the Company’s limited number of executive officers and employees that would be covered by such a code and the Company’s limited financial resources. The Company anticipates that it will adopt a code of ethics after it in</w:t>
      </w:r>
      <w:r>
        <w:rPr>
          <w:sz w:val="20"/>
          <w:szCs w:val="20"/>
        </w:rPr>
        <w:t>creases the number of executive officers and employees and obtain additional financial resources.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Audit Committee and Audit Committee Financial Expert</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As of the date of this report, the Company has not established an audit committee, and therefore, the</w:t>
      </w:r>
      <w:r>
        <w:rPr>
          <w:sz w:val="20"/>
          <w:szCs w:val="20"/>
        </w:rPr>
        <w:t xml:space="preserve"> Company’s full board of directors performs the functions that customarily would be undertaken by an audit committee. The Company’s board of directors during 2022 and 2021 was comprised of two directors, one of whom the Company had determined satisfied the</w:t>
      </w:r>
      <w:r>
        <w:rPr>
          <w:sz w:val="20"/>
          <w:szCs w:val="20"/>
        </w:rPr>
        <w:t xml:space="preserve"> general independence standards of the NASDAQ listing requirements.</w:t>
      </w:r>
    </w:p>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06458458"/>
        </w:trPr>
        <w:tc>
          <w:tcPr>
            <w:tcW w:w="5000" w:type="pct"/>
            <w:hideMark/>
          </w:tcPr>
          <w:p w:rsidR="00000000" w:rsidRDefault="00DA7678">
            <w:pPr>
              <w:jc w:val="center"/>
              <w:rPr>
                <w:rFonts w:eastAsia="Times New Roman"/>
                <w:sz w:val="20"/>
                <w:szCs w:val="20"/>
              </w:rPr>
            </w:pPr>
            <w:r>
              <w:rPr>
                <w:rFonts w:eastAsia="Times New Roman"/>
                <w:sz w:val="20"/>
                <w:szCs w:val="20"/>
              </w:rPr>
              <w:t>3</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w:t>
      </w:r>
      <w:r>
        <w:rPr>
          <w:sz w:val="20"/>
          <w:szCs w:val="20"/>
        </w:rPr>
        <w:t>s Board of Directors has determined that none of its current members qualifies as an “audit committee financial expert,” as defined by the rules of the SEC. In the future, the Company intends to establish board committees and to appoint such persons to tho</w:t>
      </w:r>
      <w:r>
        <w:rPr>
          <w:sz w:val="20"/>
          <w:szCs w:val="20"/>
        </w:rPr>
        <w:t>se committees as are necessary to meet the corporate governance requirements imposed by a national securities exchange, although it is not required to comply with such requirements until the Company elects to seek listing on a national securities exchange.</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Board of Directors; Attendance at Meetings</w:t>
      </w:r>
    </w:p>
    <w:p w:rsidR="00000000" w:rsidRDefault="00DA7678">
      <w:pPr>
        <w:pStyle w:val="a3"/>
        <w:spacing w:before="0" w:beforeAutospacing="0" w:after="0" w:afterAutospacing="0"/>
        <w:ind w:firstLine="900"/>
        <w:jc w:val="both"/>
        <w:rPr>
          <w:sz w:val="20"/>
          <w:szCs w:val="20"/>
        </w:rPr>
      </w:pPr>
      <w:r>
        <w:rPr>
          <w:sz w:val="20"/>
          <w:szCs w:val="20"/>
        </w:rPr>
        <w:t> </w:t>
      </w:r>
    </w:p>
    <w:p w:rsidR="00000000" w:rsidRDefault="00DA7678">
      <w:pPr>
        <w:pStyle w:val="a3"/>
        <w:spacing w:before="0" w:beforeAutospacing="0" w:after="0" w:afterAutospacing="0"/>
        <w:ind w:firstLine="900"/>
        <w:jc w:val="both"/>
        <w:rPr>
          <w:sz w:val="20"/>
          <w:szCs w:val="20"/>
        </w:rPr>
      </w:pPr>
      <w:r>
        <w:rPr>
          <w:sz w:val="20"/>
          <w:szCs w:val="20"/>
        </w:rPr>
        <w:t xml:space="preserve">The Board held no meetings and acted by unanimous written consent two times during the year ended December 31, 2022. In 2021, we conducted no board of director meetings and acted by unanimous written consent </w:t>
      </w:r>
      <w:r>
        <w:rPr>
          <w:sz w:val="20"/>
          <w:szCs w:val="20"/>
        </w:rPr>
        <w:t>two times. We have no formal policy with respect to the attendance of Board members at annual meetings of shareholders but encourage all incumbent directors and director nominees to attend each annual meeting of shareholders.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ITEM 11. EXECUTIVE COMPENSAT</w:t>
      </w:r>
      <w:r>
        <w:rPr>
          <w:b/>
          <w:bCs/>
          <w:sz w:val="20"/>
          <w:szCs w:val="20"/>
        </w:rPr>
        <w:t>ION.</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Summary Compensation Table</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following table sets forth the compensation paid to the Company’s Chief Executive Officer and those executive officers that earned in excess of $100,000 during the year ended December 31, 2022 (collectively, the “</w:t>
      </w:r>
      <w:r>
        <w:rPr>
          <w:i/>
          <w:iCs/>
          <w:sz w:val="20"/>
          <w:szCs w:val="20"/>
        </w:rPr>
        <w:t>Nam</w:t>
      </w:r>
      <w:r>
        <w:rPr>
          <w:i/>
          <w:iCs/>
          <w:sz w:val="20"/>
          <w:szCs w:val="20"/>
        </w:rPr>
        <w:t>ed Executive Officers</w:t>
      </w:r>
      <w:r>
        <w:rPr>
          <w:sz w:val="20"/>
          <w:szCs w:val="20"/>
        </w:rPr>
        <w:t>”):</w:t>
      </w:r>
    </w:p>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288"/>
        <w:gridCol w:w="132"/>
        <w:gridCol w:w="50"/>
        <w:gridCol w:w="463"/>
        <w:gridCol w:w="50"/>
        <w:gridCol w:w="131"/>
        <w:gridCol w:w="100"/>
        <w:gridCol w:w="650"/>
        <w:gridCol w:w="50"/>
        <w:gridCol w:w="131"/>
        <w:gridCol w:w="100"/>
        <w:gridCol w:w="550"/>
        <w:gridCol w:w="50"/>
        <w:gridCol w:w="131"/>
        <w:gridCol w:w="100"/>
        <w:gridCol w:w="534"/>
        <w:gridCol w:w="50"/>
        <w:gridCol w:w="131"/>
        <w:gridCol w:w="100"/>
        <w:gridCol w:w="534"/>
        <w:gridCol w:w="50"/>
        <w:gridCol w:w="131"/>
        <w:gridCol w:w="100"/>
        <w:gridCol w:w="650"/>
        <w:gridCol w:w="50"/>
      </w:tblGrid>
      <w:tr w:rsidR="00000000">
        <w:tc>
          <w:tcPr>
            <w:tcW w:w="0" w:type="auto"/>
            <w:tcBorders>
              <w:bottom w:val="single" w:sz="12" w:space="0" w:color="000000"/>
            </w:tcBorders>
            <w:vAlign w:val="bottom"/>
            <w:hideMark/>
          </w:tcPr>
          <w:p w:rsidR="00000000" w:rsidRDefault="00DA7678">
            <w:pPr>
              <w:rPr>
                <w:rFonts w:eastAsia="Times New Roman"/>
                <w:sz w:val="20"/>
                <w:szCs w:val="20"/>
              </w:rPr>
            </w:pPr>
            <w:r>
              <w:rPr>
                <w:rFonts w:eastAsia="Times New Roman"/>
                <w:sz w:val="20"/>
                <w:szCs w:val="20"/>
              </w:rPr>
              <w:t xml:space="preserve">Name and Principal Position </w:t>
            </w:r>
            <w:r>
              <w:rPr>
                <w:rFonts w:eastAsia="Times New Roman"/>
                <w:sz w:val="20"/>
                <w:szCs w:val="20"/>
                <w:vertAlign w:val="superscript"/>
              </w:rPr>
              <w:t>(1)</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Year</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Salary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Bonus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 xml:space="preserve">Stock </w:t>
            </w:r>
            <w:r>
              <w:rPr>
                <w:rFonts w:eastAsia="Times New Roman"/>
                <w:sz w:val="20"/>
                <w:szCs w:val="20"/>
              </w:rPr>
              <w:br/>
              <w:t>Awards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pStyle w:val="a3"/>
              <w:spacing w:before="0" w:beforeAutospacing="0" w:after="0" w:afterAutospacing="0"/>
              <w:jc w:val="center"/>
              <w:rPr>
                <w:sz w:val="20"/>
                <w:szCs w:val="20"/>
              </w:rPr>
            </w:pPr>
            <w:r>
              <w:rPr>
                <w:sz w:val="20"/>
                <w:szCs w:val="20"/>
              </w:rPr>
              <w:t>Option</w:t>
            </w:r>
          </w:p>
          <w:p w:rsidR="00000000" w:rsidRDefault="00DA7678">
            <w:pPr>
              <w:pStyle w:val="a3"/>
              <w:spacing w:before="0" w:beforeAutospacing="0" w:after="0" w:afterAutospacing="0"/>
              <w:jc w:val="center"/>
              <w:rPr>
                <w:sz w:val="20"/>
                <w:szCs w:val="20"/>
              </w:rPr>
            </w:pPr>
            <w:r>
              <w:rPr>
                <w:sz w:val="20"/>
                <w:szCs w:val="20"/>
              </w:rPr>
              <w:t>Awards</w:t>
            </w:r>
            <w:r>
              <w:rPr>
                <w:sz w:val="20"/>
                <w:szCs w:val="20"/>
              </w:rPr>
              <w:br/>
              <w:t>($)</w:t>
            </w:r>
            <w:r>
              <w:rPr>
                <w:sz w:val="20"/>
                <w:szCs w:val="20"/>
                <w:vertAlign w:val="superscript"/>
              </w:rPr>
              <w:t>(2)</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 xml:space="preserve">Total </w:t>
            </w:r>
            <w:r>
              <w:rPr>
                <w:rFonts w:eastAsia="Times New Roman"/>
                <w:sz w:val="20"/>
                <w:szCs w:val="20"/>
              </w:rPr>
              <w:br/>
              <w:t>($)</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A7678">
            <w:pPr>
              <w:jc w:val="both"/>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vAlign w:val="bottom"/>
            <w:hideMark/>
          </w:tcPr>
          <w:p w:rsidR="00000000" w:rsidRDefault="00DA7678">
            <w:pPr>
              <w:jc w:val="cente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vAlign w:val="bottom"/>
            <w:hideMark/>
          </w:tcPr>
          <w:p w:rsidR="00000000" w:rsidRDefault="00DA7678">
            <w:pPr>
              <w:jc w:val="both"/>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vAlign w:val="bottom"/>
            <w:hideMark/>
          </w:tcPr>
          <w:p w:rsidR="00000000" w:rsidRDefault="00DA7678">
            <w:pPr>
              <w:jc w:val="both"/>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vAlign w:val="bottom"/>
            <w:hideMark/>
          </w:tcPr>
          <w:p w:rsidR="00000000" w:rsidRDefault="00DA7678">
            <w:pPr>
              <w:jc w:val="both"/>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vAlign w:val="bottom"/>
            <w:hideMark/>
          </w:tcPr>
          <w:p w:rsidR="00000000" w:rsidRDefault="00DA7678">
            <w:pPr>
              <w:jc w:val="both"/>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vAlign w:val="bottom"/>
            <w:hideMark/>
          </w:tcPr>
          <w:p w:rsidR="00000000" w:rsidRDefault="00DA7678">
            <w:pPr>
              <w:jc w:val="both"/>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r>
      <w:tr w:rsidR="00000000">
        <w:tc>
          <w:tcPr>
            <w:tcW w:w="2000" w:type="pct"/>
            <w:shd w:val="clear" w:color="auto" w:fill="CCEEFF"/>
            <w:vAlign w:val="bottom"/>
            <w:hideMark/>
          </w:tcPr>
          <w:p w:rsidR="00000000" w:rsidRDefault="00DA7678">
            <w:pPr>
              <w:jc w:val="both"/>
              <w:rPr>
                <w:rFonts w:eastAsia="Times New Roman"/>
                <w:sz w:val="20"/>
                <w:szCs w:val="20"/>
              </w:rPr>
            </w:pPr>
            <w:r>
              <w:rPr>
                <w:rFonts w:eastAsia="Times New Roman"/>
                <w:sz w:val="20"/>
                <w:szCs w:val="20"/>
              </w:rPr>
              <w:t>Dr. Michael K. Korenko</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jc w:val="cente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DA7678">
            <w:pPr>
              <w:jc w:val="center"/>
              <w:rPr>
                <w:rFonts w:eastAsia="Times New Roman"/>
                <w:sz w:val="20"/>
                <w:szCs w:val="20"/>
              </w:rPr>
            </w:pPr>
            <w:r>
              <w:rPr>
                <w:rFonts w:eastAsia="Times New Roman"/>
                <w:sz w:val="20"/>
                <w:szCs w:val="20"/>
              </w:rPr>
              <w:t>2022</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230,625</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30,000</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260,625</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jc w:val="both"/>
              <w:rPr>
                <w:rFonts w:eastAsia="Times New Roman"/>
                <w:sz w:val="20"/>
                <w:szCs w:val="20"/>
              </w:rPr>
            </w:pPr>
            <w:r>
              <w:rPr>
                <w:rFonts w:eastAsia="Times New Roman"/>
                <w:sz w:val="20"/>
                <w:szCs w:val="20"/>
              </w:rPr>
              <w:t>CEO, President and Director</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center"/>
              <w:rPr>
                <w:rFonts w:eastAsia="Times New Roman"/>
                <w:sz w:val="20"/>
                <w:szCs w:val="20"/>
              </w:rPr>
            </w:pPr>
            <w:r>
              <w:rPr>
                <w:rFonts w:eastAsia="Times New Roman"/>
                <w:sz w:val="20"/>
                <w:szCs w:val="20"/>
              </w:rPr>
              <w:t>2021</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225,000</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30,000</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255,000</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DA7678">
            <w:pPr>
              <w:jc w:val="both"/>
              <w:rPr>
                <w:rFonts w:eastAsia="Times New Roman"/>
                <w:sz w:val="20"/>
                <w:szCs w:val="20"/>
              </w:rPr>
            </w:pPr>
            <w:r>
              <w:rPr>
                <w:rFonts w:eastAsia="Times New Roman"/>
                <w:sz w:val="20"/>
                <w:szCs w:val="20"/>
              </w:rPr>
              <w:t> </w:t>
            </w:r>
          </w:p>
        </w:tc>
        <w:tc>
          <w:tcPr>
            <w:tcW w:w="360" w:type="dxa"/>
            <w:hideMark/>
          </w:tcPr>
          <w:p w:rsidR="00000000" w:rsidRDefault="00DA7678">
            <w:pPr>
              <w:jc w:val="both"/>
              <w:rPr>
                <w:rFonts w:eastAsia="Times New Roman"/>
                <w:sz w:val="20"/>
                <w:szCs w:val="20"/>
              </w:rPr>
            </w:pPr>
            <w:r>
              <w:rPr>
                <w:rFonts w:eastAsia="Times New Roman"/>
                <w:sz w:val="20"/>
                <w:szCs w:val="20"/>
              </w:rPr>
              <w:t>(1)</w:t>
            </w:r>
          </w:p>
        </w:tc>
        <w:tc>
          <w:tcPr>
            <w:tcW w:w="0" w:type="auto"/>
            <w:hideMark/>
          </w:tcPr>
          <w:p w:rsidR="00000000" w:rsidRDefault="00DA7678">
            <w:pPr>
              <w:jc w:val="both"/>
              <w:rPr>
                <w:rFonts w:eastAsia="Times New Roman"/>
                <w:sz w:val="20"/>
                <w:szCs w:val="20"/>
              </w:rPr>
            </w:pPr>
            <w:r>
              <w:rPr>
                <w:rFonts w:eastAsia="Times New Roman"/>
                <w:sz w:val="20"/>
                <w:szCs w:val="20"/>
              </w:rPr>
              <w:t>Michael Pollack began serving as the Company’</w:t>
            </w:r>
            <w:r>
              <w:rPr>
                <w:rFonts w:eastAsia="Times New Roman"/>
                <w:sz w:val="20"/>
                <w:szCs w:val="20"/>
              </w:rPr>
              <w:t>s Interim Chief Financial Officer in December 2018 and was paid no compensation directly in 2021 or 2022. Accordingly, he has not been included in this table.</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(2)</w:t>
            </w:r>
          </w:p>
        </w:tc>
        <w:tc>
          <w:tcPr>
            <w:tcW w:w="0" w:type="auto"/>
            <w:hideMark/>
          </w:tcPr>
          <w:p w:rsidR="00000000" w:rsidRDefault="00DA7678">
            <w:pPr>
              <w:jc w:val="both"/>
              <w:rPr>
                <w:rFonts w:eastAsia="Times New Roman"/>
                <w:sz w:val="20"/>
                <w:szCs w:val="20"/>
              </w:rPr>
            </w:pPr>
            <w:r>
              <w:rPr>
                <w:rFonts w:eastAsia="Times New Roman"/>
                <w:sz w:val="20"/>
                <w:szCs w:val="20"/>
              </w:rPr>
              <w:t xml:space="preserve">The </w:t>
            </w:r>
            <w:r>
              <w:rPr>
                <w:rFonts w:eastAsia="Times New Roman"/>
                <w:sz w:val="20"/>
                <w:szCs w:val="20"/>
              </w:rPr>
              <w:t>amounts in this column represent the grant date fair value of stock option awards, computed in accordance with FASB ASC Topic 718.</w:t>
            </w:r>
          </w:p>
        </w:tc>
      </w:tr>
    </w:tbl>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Narrative Disclosure to Summary Compensation Table</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i/>
          <w:iCs/>
          <w:sz w:val="20"/>
          <w:szCs w:val="20"/>
        </w:rPr>
        <w:t xml:space="preserve">Dr. Michael K. Korenko. </w:t>
      </w:r>
      <w:r>
        <w:rPr>
          <w:sz w:val="20"/>
          <w:szCs w:val="20"/>
        </w:rPr>
        <w:t>On October 24, 2018, Mr. Korenko entered into</w:t>
      </w:r>
      <w:r>
        <w:rPr>
          <w:sz w:val="20"/>
          <w:szCs w:val="20"/>
        </w:rPr>
        <w:t xml:space="preserve"> an employment agreement with the Company (the “</w:t>
      </w:r>
      <w:r>
        <w:rPr>
          <w:i/>
          <w:iCs/>
          <w:sz w:val="20"/>
          <w:szCs w:val="20"/>
        </w:rPr>
        <w:t>Old Employment Agreement</w:t>
      </w:r>
      <w:r>
        <w:rPr>
          <w:sz w:val="20"/>
          <w:szCs w:val="20"/>
        </w:rPr>
        <w:t>”), which was scheduled to terminate on December 31, 2019. On June 4, 2019, Mr. Korenko and the Company entered into a new employment agreement, effective June 11, 2019, which shall te</w:t>
      </w:r>
      <w:r>
        <w:rPr>
          <w:sz w:val="20"/>
          <w:szCs w:val="20"/>
        </w:rPr>
        <w:t>rminate on December 31, 2020 and December 31 of subsequent years (the “</w:t>
      </w:r>
      <w:r>
        <w:rPr>
          <w:i/>
          <w:iCs/>
          <w:sz w:val="20"/>
          <w:szCs w:val="20"/>
        </w:rPr>
        <w:t>Termination Date</w:t>
      </w:r>
      <w:r>
        <w:rPr>
          <w:sz w:val="20"/>
          <w:szCs w:val="20"/>
        </w:rPr>
        <w:t>”) if the agreement is extended pursuant to its terms. Under the terms of his employment agreement, the Company may terminate Dr. Korenko’s employment either with or wit</w:t>
      </w:r>
      <w:r>
        <w:rPr>
          <w:sz w:val="20"/>
          <w:szCs w:val="20"/>
        </w:rPr>
        <w:t>hout cause prior to the Termination Date, but in the event of a termination without cause, Dr. Korenko shall be entitled to receive monthly payments of his base salary for a period of six months thereafter, all of Dr. Korenko’s outstanding options, if any,</w:t>
      </w:r>
      <w:r>
        <w:rPr>
          <w:sz w:val="20"/>
          <w:szCs w:val="20"/>
        </w:rPr>
        <w:t xml:space="preserve"> shall vest, and Dr. Korenko shall be entitled to receive all past due compensation within three weeks of the date of termination.</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The Company shall pay to Dr. Korenko an annual base compensation of $180,000, which is payable in equal monthly intervals. </w:t>
      </w:r>
      <w:r>
        <w:rPr>
          <w:sz w:val="20"/>
          <w:szCs w:val="20"/>
        </w:rPr>
        <w:t>Of the $180,000 in annual base salary, $60,000 of annual pay shall be deferred and accrued until the Company’s cash balance exceeds $1,000,000, which occurred in December 2020. Dr. Korenko’s employment agreement provides that he shall receive a stock optio</w:t>
      </w:r>
      <w:r>
        <w:rPr>
          <w:sz w:val="20"/>
          <w:szCs w:val="20"/>
        </w:rPr>
        <w:t>n grant issued under the Company’s 2015 Omnibus Securities and Incentive Plan in an amount equal to 21 million options ten days after the Company’s 1-for-8 reverse split, which was consummated in late June 2019. The options shall have a seven-year term, sh</w:t>
      </w:r>
      <w:r>
        <w:rPr>
          <w:sz w:val="20"/>
          <w:szCs w:val="20"/>
        </w:rPr>
        <w:t>all be exercisable at a price of $0.024 per share, and shall vest as follows: 50% shall vest in equal amounts at the end of each quarter for the two quarters after grant date, 25% shall vest upon the Company filing for a patent, and the remaining 25% shall</w:t>
      </w:r>
      <w:r>
        <w:rPr>
          <w:sz w:val="20"/>
          <w:szCs w:val="20"/>
        </w:rPr>
        <w:t xml:space="preserve"> vest upon the first commercial sale of IsoPet. In December 2020, Mr. Korenko exercised 2,500,000 of these options for $60,000.</w:t>
      </w:r>
    </w:p>
    <w:p w:rsidR="00000000" w:rsidRDefault="00DA767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69438664"/>
        </w:trPr>
        <w:tc>
          <w:tcPr>
            <w:tcW w:w="5000" w:type="pct"/>
            <w:hideMark/>
          </w:tcPr>
          <w:p w:rsidR="00000000" w:rsidRDefault="00DA7678">
            <w:pPr>
              <w:jc w:val="center"/>
              <w:rPr>
                <w:rFonts w:eastAsia="Times New Roman"/>
                <w:sz w:val="20"/>
                <w:szCs w:val="20"/>
              </w:rPr>
            </w:pPr>
            <w:r>
              <w:rPr>
                <w:rFonts w:eastAsia="Times New Roman"/>
                <w:sz w:val="20"/>
                <w:szCs w:val="20"/>
              </w:rPr>
              <w:t>3</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The </w:t>
      </w:r>
      <w:r>
        <w:rPr>
          <w:sz w:val="20"/>
          <w:szCs w:val="20"/>
        </w:rPr>
        <w:t>Company paid bonuses to certain employees based on their performance, the Company’s need to retain such employees, and funds available. All bonus payments were approved by the Company’s Board of Directors.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On June 4, 2019, the Company entered into an Exe</w:t>
      </w:r>
      <w:r>
        <w:rPr>
          <w:sz w:val="20"/>
          <w:szCs w:val="20"/>
        </w:rPr>
        <w:t xml:space="preserve">cutive Employment Agreement (“Employment Agreement”) with Dr. Michael K. Korenko, the Company’s Chief Executive Officer. The employment term under the Employment Agreement commenced with an effective date of June 11, 2019 and expires on December 31, 2020, </w:t>
      </w:r>
      <w:r>
        <w:rPr>
          <w:sz w:val="20"/>
          <w:szCs w:val="20"/>
        </w:rPr>
        <w:t>and December 31 of each successive year if the Employment Agreement is extended, unless terminated earlier as set forth in the Employment Agreement. The Company on December 31, 2020 extended this agreement through December 31, 2021 while renegotiating term</w:t>
      </w:r>
      <w:r>
        <w:rPr>
          <w:sz w:val="20"/>
          <w:szCs w:val="20"/>
        </w:rPr>
        <w:t>s of a new Employment Agreement. On May 3, 2021, the Company and the Chief Executive Officer agreed the terms of a new Employment Agreement with an effective date of January 1, 2021 that has a term of three years and expires December 31, 2023.</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Under the </w:t>
      </w:r>
      <w:r>
        <w:rPr>
          <w:sz w:val="20"/>
          <w:szCs w:val="20"/>
        </w:rPr>
        <w:t>terms of the Employment Agreement, the Company shall pay to Dr. Korenko a base compensation of $225,000. In addition, there is a discretionary bonus to be earned in the amount of $7,500 per quarter upon the satisfaction of conditions to be determined by th</w:t>
      </w:r>
      <w:r>
        <w:rPr>
          <w:sz w:val="20"/>
          <w:szCs w:val="20"/>
        </w:rPr>
        <w:t>e Board of Directors of the Company.</w:t>
      </w:r>
    </w:p>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Outstanding Equity Awards at Fiscal Year-End Table</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following table sets forth all outstanding equity awards held by the Company’s Named Executive Officers as of the end of last fiscal year.</w:t>
      </w:r>
    </w:p>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0"/>
        <w:gridCol w:w="154"/>
        <w:gridCol w:w="84"/>
        <w:gridCol w:w="916"/>
        <w:gridCol w:w="71"/>
        <w:gridCol w:w="154"/>
        <w:gridCol w:w="96"/>
        <w:gridCol w:w="1048"/>
        <w:gridCol w:w="71"/>
        <w:gridCol w:w="154"/>
        <w:gridCol w:w="71"/>
        <w:gridCol w:w="903"/>
        <w:gridCol w:w="72"/>
        <w:gridCol w:w="155"/>
        <w:gridCol w:w="72"/>
        <w:gridCol w:w="903"/>
        <w:gridCol w:w="72"/>
      </w:tblGrid>
      <w:tr w:rsidR="00000000">
        <w:tc>
          <w:tcPr>
            <w:tcW w:w="0" w:type="auto"/>
            <w:vAlign w:val="bottom"/>
            <w:hideMark/>
          </w:tcPr>
          <w:p w:rsidR="00000000" w:rsidRDefault="00DA7678">
            <w:pPr>
              <w:jc w:val="both"/>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14"/>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Option Awards</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vAlign w:val="bottom"/>
            <w:hideMark/>
          </w:tcPr>
          <w:p w:rsidR="00000000" w:rsidRDefault="00DA7678">
            <w:pPr>
              <w:rPr>
                <w:rFonts w:eastAsia="Times New Roman"/>
                <w:sz w:val="20"/>
                <w:szCs w:val="20"/>
              </w:rPr>
            </w:pPr>
            <w:r>
              <w:rPr>
                <w:rFonts w:eastAsia="Times New Roman"/>
                <w:sz w:val="20"/>
                <w:szCs w:val="20"/>
              </w:rPr>
              <w:t>Name</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 xml:space="preserve">Number of </w:t>
            </w:r>
            <w:r>
              <w:rPr>
                <w:rFonts w:eastAsia="Times New Roman"/>
                <w:sz w:val="20"/>
                <w:szCs w:val="20"/>
              </w:rPr>
              <w:br/>
              <w:t xml:space="preserve">Securities </w:t>
            </w:r>
            <w:r>
              <w:rPr>
                <w:rFonts w:eastAsia="Times New Roman"/>
                <w:sz w:val="20"/>
                <w:szCs w:val="20"/>
              </w:rPr>
              <w:br/>
              <w:t xml:space="preserve">Underlying </w:t>
            </w:r>
            <w:r>
              <w:rPr>
                <w:rFonts w:eastAsia="Times New Roman"/>
                <w:sz w:val="20"/>
                <w:szCs w:val="20"/>
              </w:rPr>
              <w:br/>
              <w:t xml:space="preserve">Unexercised </w:t>
            </w:r>
            <w:r>
              <w:rPr>
                <w:rFonts w:eastAsia="Times New Roman"/>
                <w:sz w:val="20"/>
                <w:szCs w:val="20"/>
              </w:rPr>
              <w:br/>
              <w:t xml:space="preserve">Options(#) </w:t>
            </w:r>
            <w:r>
              <w:rPr>
                <w:rFonts w:eastAsia="Times New Roman"/>
                <w:sz w:val="20"/>
                <w:szCs w:val="20"/>
              </w:rPr>
              <w:br/>
              <w:t>Exercisable</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 xml:space="preserve">Number of </w:t>
            </w:r>
            <w:r>
              <w:rPr>
                <w:rFonts w:eastAsia="Times New Roman"/>
                <w:sz w:val="20"/>
                <w:szCs w:val="20"/>
              </w:rPr>
              <w:br/>
              <w:t xml:space="preserve">Securities </w:t>
            </w:r>
            <w:r>
              <w:rPr>
                <w:rFonts w:eastAsia="Times New Roman"/>
                <w:sz w:val="20"/>
                <w:szCs w:val="20"/>
              </w:rPr>
              <w:br/>
              <w:t xml:space="preserve">Underlying </w:t>
            </w:r>
            <w:r>
              <w:rPr>
                <w:rFonts w:eastAsia="Times New Roman"/>
                <w:sz w:val="20"/>
                <w:szCs w:val="20"/>
              </w:rPr>
              <w:br/>
              <w:t xml:space="preserve">Unexercised </w:t>
            </w:r>
            <w:r>
              <w:rPr>
                <w:rFonts w:eastAsia="Times New Roman"/>
                <w:sz w:val="20"/>
                <w:szCs w:val="20"/>
              </w:rPr>
              <w:br/>
              <w:t xml:space="preserve">Options (#) </w:t>
            </w:r>
            <w:r>
              <w:rPr>
                <w:rFonts w:eastAsia="Times New Roman"/>
                <w:sz w:val="20"/>
                <w:szCs w:val="20"/>
              </w:rPr>
              <w:br/>
              <w:t>Unexercisable</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 xml:space="preserve">Option </w:t>
            </w:r>
            <w:r>
              <w:rPr>
                <w:rFonts w:eastAsia="Times New Roman"/>
                <w:sz w:val="20"/>
                <w:szCs w:val="20"/>
              </w:rPr>
              <w:br/>
              <w:t xml:space="preserve">Exercise </w:t>
            </w:r>
            <w:r>
              <w:rPr>
                <w:rFonts w:eastAsia="Times New Roman"/>
                <w:sz w:val="20"/>
                <w:szCs w:val="20"/>
              </w:rPr>
              <w:br/>
              <w:t>Price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 xml:space="preserve">Option </w:t>
            </w:r>
            <w:r>
              <w:rPr>
                <w:rFonts w:eastAsia="Times New Roman"/>
                <w:sz w:val="20"/>
                <w:szCs w:val="20"/>
              </w:rPr>
              <w:br/>
              <w:t>Exercise Date</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2000" w:type="pct"/>
            <w:shd w:val="clear" w:color="auto" w:fill="CCEEFF"/>
            <w:vAlign w:val="bottom"/>
            <w:hideMark/>
          </w:tcPr>
          <w:p w:rsidR="00000000" w:rsidRDefault="00DA7678">
            <w:pPr>
              <w:jc w:val="both"/>
              <w:rPr>
                <w:rFonts w:eastAsia="Times New Roman"/>
                <w:sz w:val="20"/>
                <w:szCs w:val="20"/>
              </w:rPr>
            </w:pPr>
            <w:r>
              <w:rPr>
                <w:rFonts w:eastAsia="Times New Roman"/>
                <w:sz w:val="20"/>
                <w:szCs w:val="20"/>
              </w:rPr>
              <w:t>NONE</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Compensation of Directors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During the year ended December 31, 2022, the Company’s non-employee directors were not paid any compensation.</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The </w:t>
      </w:r>
      <w:r>
        <w:rPr>
          <w:sz w:val="20"/>
          <w:szCs w:val="20"/>
        </w:rPr>
        <w:t>following table sets forth, for each of the Company’s non-employee directors who served during 2022, the aggregate number of stock awards and the aggregate number of stock option awards that were outstanding as of December 31, 2022:</w:t>
      </w:r>
    </w:p>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16"/>
        <w:gridCol w:w="166"/>
        <w:gridCol w:w="83"/>
        <w:gridCol w:w="1163"/>
        <w:gridCol w:w="83"/>
        <w:gridCol w:w="166"/>
        <w:gridCol w:w="83"/>
        <w:gridCol w:w="1163"/>
        <w:gridCol w:w="83"/>
      </w:tblGrid>
      <w:tr w:rsidR="00000000">
        <w:tc>
          <w:tcPr>
            <w:tcW w:w="0" w:type="auto"/>
            <w:vAlign w:val="bottom"/>
            <w:hideMark/>
          </w:tcPr>
          <w:p w:rsidR="00000000" w:rsidRDefault="00DA7678">
            <w:pPr>
              <w:jc w:val="both"/>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DA7678">
            <w:pPr>
              <w:jc w:val="center"/>
              <w:rPr>
                <w:rFonts w:eastAsia="Times New Roman"/>
                <w:b/>
                <w:bCs/>
                <w:sz w:val="20"/>
                <w:szCs w:val="20"/>
              </w:rPr>
            </w:pPr>
            <w:r>
              <w:rPr>
                <w:rFonts w:eastAsia="Times New Roman"/>
                <w:b/>
                <w:bCs/>
                <w:sz w:val="20"/>
                <w:szCs w:val="20"/>
              </w:rPr>
              <w:t>Outstanding</w:t>
            </w:r>
          </w:p>
        </w:tc>
        <w:tc>
          <w:tcPr>
            <w:tcW w:w="0" w:type="auto"/>
            <w:vAlign w:val="bottom"/>
            <w:hideMark/>
          </w:tcPr>
          <w:p w:rsidR="00000000" w:rsidRDefault="00DA7678">
            <w:pPr>
              <w:rPr>
                <w:rFonts w:eastAsia="Times New Roman"/>
                <w:b/>
                <w:bCs/>
                <w:sz w:val="20"/>
                <w:szCs w:val="20"/>
              </w:rPr>
            </w:pPr>
            <w:r>
              <w:rPr>
                <w:rFonts w:eastAsia="Times New Roman"/>
                <w:b/>
                <w:bCs/>
                <w:sz w:val="20"/>
                <w:szCs w:val="20"/>
              </w:rPr>
              <w:t> </w:t>
            </w:r>
          </w:p>
        </w:tc>
        <w:tc>
          <w:tcPr>
            <w:tcW w:w="0" w:type="auto"/>
            <w:vAlign w:val="bottom"/>
            <w:hideMark/>
          </w:tcPr>
          <w:p w:rsidR="00000000" w:rsidRDefault="00DA7678">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DA7678">
            <w:pPr>
              <w:jc w:val="center"/>
              <w:rPr>
                <w:rFonts w:eastAsia="Times New Roman"/>
                <w:b/>
                <w:bCs/>
                <w:sz w:val="20"/>
                <w:szCs w:val="20"/>
              </w:rPr>
            </w:pPr>
            <w:r>
              <w:rPr>
                <w:rFonts w:eastAsia="Times New Roman"/>
                <w:b/>
                <w:bCs/>
                <w:sz w:val="20"/>
                <w:szCs w:val="20"/>
              </w:rPr>
              <w:t>Outstanding</w:t>
            </w:r>
          </w:p>
        </w:tc>
        <w:tc>
          <w:tcPr>
            <w:tcW w:w="0" w:type="auto"/>
            <w:vAlign w:val="bottom"/>
            <w:hideMark/>
          </w:tcPr>
          <w:p w:rsidR="00000000" w:rsidRDefault="00DA767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DA7678">
            <w:pPr>
              <w:jc w:val="both"/>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DA7678">
            <w:pPr>
              <w:jc w:val="center"/>
              <w:rPr>
                <w:rFonts w:eastAsia="Times New Roman"/>
                <w:b/>
                <w:bCs/>
                <w:sz w:val="20"/>
                <w:szCs w:val="20"/>
              </w:rPr>
            </w:pPr>
            <w:r>
              <w:rPr>
                <w:rFonts w:eastAsia="Times New Roman"/>
                <w:b/>
                <w:bCs/>
                <w:sz w:val="20"/>
                <w:szCs w:val="20"/>
              </w:rPr>
              <w:t>Stock</w:t>
            </w:r>
          </w:p>
        </w:tc>
        <w:tc>
          <w:tcPr>
            <w:tcW w:w="0" w:type="auto"/>
            <w:vAlign w:val="bottom"/>
            <w:hideMark/>
          </w:tcPr>
          <w:p w:rsidR="00000000" w:rsidRDefault="00DA7678">
            <w:pPr>
              <w:rPr>
                <w:rFonts w:eastAsia="Times New Roman"/>
                <w:b/>
                <w:bCs/>
                <w:sz w:val="20"/>
                <w:szCs w:val="20"/>
              </w:rPr>
            </w:pPr>
            <w:r>
              <w:rPr>
                <w:rFonts w:eastAsia="Times New Roman"/>
                <w:b/>
                <w:bCs/>
                <w:sz w:val="20"/>
                <w:szCs w:val="20"/>
              </w:rPr>
              <w:t> </w:t>
            </w:r>
          </w:p>
        </w:tc>
        <w:tc>
          <w:tcPr>
            <w:tcW w:w="0" w:type="auto"/>
            <w:vAlign w:val="bottom"/>
            <w:hideMark/>
          </w:tcPr>
          <w:p w:rsidR="00000000" w:rsidRDefault="00DA7678">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DA7678">
            <w:pPr>
              <w:jc w:val="center"/>
              <w:rPr>
                <w:rFonts w:eastAsia="Times New Roman"/>
                <w:b/>
                <w:bCs/>
                <w:sz w:val="20"/>
                <w:szCs w:val="20"/>
              </w:rPr>
            </w:pPr>
            <w:r>
              <w:rPr>
                <w:rFonts w:eastAsia="Times New Roman"/>
                <w:b/>
                <w:bCs/>
                <w:sz w:val="20"/>
                <w:szCs w:val="20"/>
              </w:rPr>
              <w:t>Stock</w:t>
            </w:r>
          </w:p>
        </w:tc>
        <w:tc>
          <w:tcPr>
            <w:tcW w:w="0" w:type="auto"/>
            <w:vAlign w:val="bottom"/>
            <w:hideMark/>
          </w:tcPr>
          <w:p w:rsidR="00000000" w:rsidRDefault="00DA7678">
            <w:pPr>
              <w:rPr>
                <w:rFonts w:eastAsia="Times New Roman"/>
                <w:b/>
                <w:bCs/>
                <w:sz w:val="20"/>
                <w:szCs w:val="20"/>
              </w:rPr>
            </w:pPr>
            <w:r>
              <w:rPr>
                <w:rFonts w:eastAsia="Times New Roman"/>
                <w:b/>
                <w:bCs/>
                <w:sz w:val="20"/>
                <w:szCs w:val="20"/>
              </w:rPr>
              <w:t> </w:t>
            </w:r>
          </w:p>
        </w:tc>
      </w:tr>
      <w:tr w:rsidR="00000000">
        <w:tc>
          <w:tcPr>
            <w:tcW w:w="0" w:type="auto"/>
            <w:tcBorders>
              <w:bottom w:val="single" w:sz="12" w:space="0" w:color="000000"/>
            </w:tcBorders>
            <w:vAlign w:val="bottom"/>
            <w:hideMark/>
          </w:tcPr>
          <w:p w:rsidR="00000000" w:rsidRDefault="00DA7678">
            <w:pPr>
              <w:jc w:val="both"/>
              <w:rPr>
                <w:rFonts w:eastAsia="Times New Roman"/>
                <w:b/>
                <w:bCs/>
                <w:sz w:val="20"/>
                <w:szCs w:val="20"/>
              </w:rPr>
            </w:pPr>
            <w:r>
              <w:rPr>
                <w:rFonts w:eastAsia="Times New Roman"/>
                <w:b/>
                <w:bCs/>
                <w:sz w:val="20"/>
                <w:szCs w:val="20"/>
              </w:rPr>
              <w:t>Name</w:t>
            </w:r>
          </w:p>
        </w:tc>
        <w:tc>
          <w:tcPr>
            <w:tcW w:w="0" w:type="auto"/>
            <w:tcMar>
              <w:top w:w="0" w:type="dxa"/>
              <w:left w:w="0" w:type="dxa"/>
              <w:bottom w:w="30" w:type="dxa"/>
              <w:right w:w="0" w:type="dxa"/>
            </w:tcMar>
            <w:vAlign w:val="bottom"/>
            <w:hideMark/>
          </w:tcPr>
          <w:p w:rsidR="00000000" w:rsidRDefault="00DA767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b/>
                <w:bCs/>
                <w:sz w:val="20"/>
                <w:szCs w:val="20"/>
              </w:rPr>
            </w:pPr>
            <w:r>
              <w:rPr>
                <w:rFonts w:eastAsia="Times New Roman"/>
                <w:b/>
                <w:bCs/>
                <w:sz w:val="20"/>
                <w:szCs w:val="20"/>
              </w:rPr>
              <w:t>Awards (#)</w:t>
            </w:r>
          </w:p>
        </w:tc>
        <w:tc>
          <w:tcPr>
            <w:tcW w:w="0" w:type="auto"/>
            <w:tcMar>
              <w:top w:w="0" w:type="dxa"/>
              <w:left w:w="0" w:type="dxa"/>
              <w:bottom w:w="30" w:type="dxa"/>
              <w:right w:w="0" w:type="dxa"/>
            </w:tcMar>
            <w:vAlign w:val="bottom"/>
            <w:hideMark/>
          </w:tcPr>
          <w:p w:rsidR="00000000" w:rsidRDefault="00DA767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b/>
                <w:bCs/>
                <w:sz w:val="20"/>
                <w:szCs w:val="20"/>
              </w:rPr>
            </w:pPr>
            <w:r>
              <w:rPr>
                <w:rFonts w:eastAsia="Times New Roman"/>
                <w:b/>
                <w:bCs/>
                <w:sz w:val="20"/>
                <w:szCs w:val="20"/>
              </w:rPr>
              <w:t>Options (#)</w:t>
            </w:r>
          </w:p>
        </w:tc>
        <w:tc>
          <w:tcPr>
            <w:tcW w:w="0" w:type="auto"/>
            <w:tcMar>
              <w:top w:w="0" w:type="dxa"/>
              <w:left w:w="0" w:type="dxa"/>
              <w:bottom w:w="30" w:type="dxa"/>
              <w:right w:w="0" w:type="dxa"/>
            </w:tcMar>
            <w:vAlign w:val="bottom"/>
            <w:hideMark/>
          </w:tcPr>
          <w:p w:rsidR="00000000" w:rsidRDefault="00DA7678">
            <w:pPr>
              <w:rPr>
                <w:rFonts w:eastAsia="Times New Roman"/>
                <w:b/>
                <w:bCs/>
                <w:sz w:val="20"/>
                <w:szCs w:val="20"/>
              </w:rPr>
            </w:pPr>
            <w:r>
              <w:rPr>
                <w:rFonts w:eastAsia="Times New Roman"/>
                <w:b/>
                <w:bCs/>
                <w:sz w:val="20"/>
                <w:szCs w:val="20"/>
              </w:rPr>
              <w:t> </w:t>
            </w:r>
          </w:p>
        </w:tc>
      </w:tr>
      <w:tr w:rsidR="00000000">
        <w:tc>
          <w:tcPr>
            <w:tcW w:w="3200" w:type="pct"/>
            <w:shd w:val="clear" w:color="auto" w:fill="CCEEFF"/>
            <w:vAlign w:val="bottom"/>
            <w:hideMark/>
          </w:tcPr>
          <w:p w:rsidR="00000000" w:rsidRDefault="00DA7678">
            <w:pPr>
              <w:jc w:val="both"/>
              <w:rPr>
                <w:rFonts w:eastAsia="Times New Roman"/>
                <w:sz w:val="20"/>
                <w:szCs w:val="20"/>
              </w:rPr>
            </w:pPr>
            <w:r>
              <w:rPr>
                <w:rFonts w:eastAsia="Times New Roman"/>
                <w:sz w:val="20"/>
                <w:szCs w:val="20"/>
              </w:rPr>
              <w:t>Carlton M. Cadwell</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During </w:t>
      </w:r>
      <w:r>
        <w:rPr>
          <w:sz w:val="20"/>
          <w:szCs w:val="20"/>
        </w:rPr>
        <w:t>June 2016, the Company granted to Mr. Cadwell options to purchase 12,500 shares of common stock at an exercise price of $8.00 per share, which options expired June 21, 2019. These options had a grant date fair value of $34,771, which amounts were calculate</w:t>
      </w:r>
      <w:r>
        <w:rPr>
          <w:sz w:val="20"/>
          <w:szCs w:val="20"/>
        </w:rPr>
        <w:t>d in accordance with ASC Topic 718.</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Additionally, the Company granted warrants to purchase 6,425,503 shares of Company common stock to Carlton Cadwell in 2018 as a result of the Path Forward Agreements and conversion of his advances to the Company. These</w:t>
      </w:r>
      <w:r>
        <w:rPr>
          <w:sz w:val="20"/>
          <w:szCs w:val="20"/>
        </w:rPr>
        <w:t xml:space="preserve"> warrants expired in October 2020.</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There are no employment contracts or compensatory plans or arrangements with respect to any director that would result in payments by the Company to such person because of his or her resignation as a director or any cha</w:t>
      </w:r>
      <w:r>
        <w:rPr>
          <w:sz w:val="20"/>
          <w:szCs w:val="20"/>
        </w:rPr>
        <w:t>nge in control of the Company.</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Compensation Committee Interlocks and Insider Participation</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None of our officers currently serves, or has served during the last completed fiscal year, on the compensation committee or board of directors of any other enti</w:t>
      </w:r>
      <w:r>
        <w:rPr>
          <w:sz w:val="20"/>
          <w:szCs w:val="20"/>
        </w:rPr>
        <w:t>ty that has one or more officers serving as a member of our board of directors.</w:t>
      </w:r>
    </w:p>
    <w:p w:rsidR="00000000" w:rsidRDefault="00DA767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76516480"/>
        </w:trPr>
        <w:tc>
          <w:tcPr>
            <w:tcW w:w="5000" w:type="pct"/>
            <w:hideMark/>
          </w:tcPr>
          <w:p w:rsidR="00000000" w:rsidRDefault="00DA7678">
            <w:pPr>
              <w:jc w:val="center"/>
              <w:rPr>
                <w:rFonts w:eastAsia="Times New Roman"/>
                <w:sz w:val="20"/>
                <w:szCs w:val="20"/>
              </w:rPr>
            </w:pPr>
            <w:r>
              <w:rPr>
                <w:rFonts w:eastAsia="Times New Roman"/>
                <w:sz w:val="20"/>
                <w:szCs w:val="20"/>
              </w:rPr>
              <w:t>3</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ITEM 12. SECURITY OWNERSHIP OF CERTAIN BENEFICIAL OWNERS AND MANAGEMENT AND RELATED STOCKHOLDER MATTERS.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Beneficial Ownership of the Company’s Common Stock</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following table sets forth, as of March 1, 2023, the number of shares of common stock beneficially owned by the following persons: (i) all persons the Company knows to be beneficial owners of at least 5% of the Company’s common stock, (ii) the Company’</w:t>
      </w:r>
      <w:r>
        <w:rPr>
          <w:sz w:val="20"/>
          <w:szCs w:val="20"/>
        </w:rPr>
        <w:t>s current directors, (iii) the Company’s current executive officers, and (iv) all current directors and executive officers as a group.</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As of March 1, 2023, there were 362,541,528 shares of common stock outstanding and up to 64,762,379 shares issuable upo</w:t>
      </w:r>
      <w:r>
        <w:rPr>
          <w:sz w:val="20"/>
          <w:szCs w:val="20"/>
        </w:rPr>
        <w:t>n exercise of common stock equivalents, assuming exercise and conversion occurred as of that date, for a total of 427,303,907 shares.</w:t>
      </w:r>
    </w:p>
    <w:p w:rsidR="00000000" w:rsidRDefault="00DA767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471"/>
        <w:gridCol w:w="155"/>
        <w:gridCol w:w="74"/>
        <w:gridCol w:w="1150"/>
        <w:gridCol w:w="73"/>
        <w:gridCol w:w="156"/>
        <w:gridCol w:w="73"/>
        <w:gridCol w:w="987"/>
        <w:gridCol w:w="167"/>
      </w:tblGrid>
      <w:tr w:rsidR="00000000">
        <w:tc>
          <w:tcPr>
            <w:tcW w:w="0" w:type="auto"/>
            <w:tcBorders>
              <w:bottom w:val="single" w:sz="12" w:space="0" w:color="000000"/>
            </w:tcBorders>
            <w:vAlign w:val="bottom"/>
            <w:hideMark/>
          </w:tcPr>
          <w:p w:rsidR="00000000" w:rsidRDefault="00DA7678">
            <w:pPr>
              <w:jc w:val="both"/>
              <w:rPr>
                <w:rFonts w:eastAsia="Times New Roman"/>
                <w:b/>
                <w:bCs/>
                <w:sz w:val="20"/>
                <w:szCs w:val="20"/>
              </w:rPr>
            </w:pPr>
            <w:r>
              <w:rPr>
                <w:rFonts w:eastAsia="Times New Roman"/>
                <w:b/>
                <w:bCs/>
                <w:sz w:val="20"/>
                <w:szCs w:val="20"/>
              </w:rPr>
              <w:t>Name and Address of Beneficial Owner</w:t>
            </w:r>
            <w:r>
              <w:rPr>
                <w:rFonts w:eastAsia="Times New Roman"/>
                <w:b/>
                <w:bCs/>
                <w:sz w:val="20"/>
                <w:szCs w:val="20"/>
                <w:vertAlign w:val="superscript"/>
              </w:rPr>
              <w:t>(1)</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pStyle w:val="a3"/>
              <w:spacing w:before="0" w:beforeAutospacing="0" w:after="0" w:afterAutospacing="0"/>
              <w:jc w:val="center"/>
              <w:rPr>
                <w:sz w:val="20"/>
                <w:szCs w:val="20"/>
              </w:rPr>
            </w:pPr>
            <w:r>
              <w:rPr>
                <w:b/>
                <w:bCs/>
                <w:sz w:val="20"/>
                <w:szCs w:val="20"/>
              </w:rPr>
              <w:t>Amount and</w:t>
            </w:r>
            <w:r>
              <w:rPr>
                <w:b/>
                <w:bCs/>
                <w:sz w:val="20"/>
                <w:szCs w:val="20"/>
              </w:rPr>
              <w:br/>
              <w:t>Nature</w:t>
            </w:r>
          </w:p>
          <w:p w:rsidR="00000000" w:rsidRDefault="00DA7678">
            <w:pPr>
              <w:pStyle w:val="a3"/>
              <w:spacing w:before="0" w:beforeAutospacing="0" w:after="0" w:afterAutospacing="0"/>
              <w:jc w:val="center"/>
              <w:rPr>
                <w:sz w:val="20"/>
                <w:szCs w:val="20"/>
              </w:rPr>
            </w:pPr>
            <w:r>
              <w:rPr>
                <w:b/>
                <w:bCs/>
                <w:sz w:val="20"/>
                <w:szCs w:val="20"/>
              </w:rPr>
              <w:t>of Beneficial Ownership</w:t>
            </w:r>
            <w:r>
              <w:rPr>
                <w:b/>
                <w:bCs/>
                <w:sz w:val="20"/>
                <w:szCs w:val="20"/>
                <w:vertAlign w:val="superscript"/>
              </w:rPr>
              <w:t>(2)</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b/>
                <w:bCs/>
                <w:sz w:val="20"/>
                <w:szCs w:val="20"/>
              </w:rPr>
            </w:pPr>
            <w:r>
              <w:rPr>
                <w:rFonts w:eastAsia="Times New Roman"/>
                <w:b/>
                <w:bCs/>
                <w:sz w:val="20"/>
                <w:szCs w:val="20"/>
              </w:rPr>
              <w:t>Percent of Class</w:t>
            </w:r>
          </w:p>
        </w:tc>
        <w:tc>
          <w:tcPr>
            <w:tcW w:w="0" w:type="auto"/>
            <w:tcMar>
              <w:top w:w="0" w:type="dxa"/>
              <w:left w:w="0" w:type="dxa"/>
              <w:bottom w:w="30" w:type="dxa"/>
              <w:right w:w="0" w:type="dxa"/>
            </w:tcMar>
            <w:vAlign w:val="bottom"/>
            <w:hideMark/>
          </w:tcPr>
          <w:p w:rsidR="00000000" w:rsidRDefault="00DA7678">
            <w:pPr>
              <w:rPr>
                <w:rFonts w:eastAsia="Times New Roman"/>
                <w:b/>
                <w:bCs/>
                <w:sz w:val="20"/>
                <w:szCs w:val="20"/>
              </w:rPr>
            </w:pPr>
            <w:r>
              <w:rPr>
                <w:rFonts w:eastAsia="Times New Roman"/>
                <w:b/>
                <w:bCs/>
                <w:sz w:val="20"/>
                <w:szCs w:val="20"/>
              </w:rPr>
              <w:t> </w:t>
            </w:r>
          </w:p>
        </w:tc>
      </w:tr>
      <w:tr w:rsidR="00000000">
        <w:tc>
          <w:tcPr>
            <w:tcW w:w="3300" w:type="pct"/>
            <w:shd w:val="clear" w:color="auto" w:fill="CCEEFF"/>
            <w:vAlign w:val="bottom"/>
            <w:hideMark/>
          </w:tcPr>
          <w:p w:rsidR="00000000" w:rsidRDefault="00DA7678">
            <w:pPr>
              <w:jc w:val="both"/>
              <w:rPr>
                <w:rFonts w:eastAsia="Times New Roman"/>
                <w:sz w:val="20"/>
                <w:szCs w:val="20"/>
              </w:rPr>
            </w:pPr>
            <w:r>
              <w:rPr>
                <w:rFonts w:eastAsia="Times New Roman"/>
                <w:sz w:val="20"/>
                <w:szCs w:val="20"/>
              </w:rPr>
              <w:t>Cadwell</w:t>
            </w:r>
            <w:r>
              <w:rPr>
                <w:rFonts w:eastAsia="Times New Roman"/>
                <w:sz w:val="20"/>
                <w:szCs w:val="20"/>
              </w:rPr>
              <w:t xml:space="preserve"> Family Irrevocable Trust</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26,912</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DA7678">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jc w:val="both"/>
              <w:rPr>
                <w:rFonts w:eastAsia="Times New Roman"/>
                <w:sz w:val="20"/>
                <w:szCs w:val="20"/>
              </w:rPr>
            </w:pPr>
            <w:r>
              <w:rPr>
                <w:rFonts w:eastAsia="Times New Roman"/>
                <w:sz w:val="20"/>
                <w:szCs w:val="20"/>
              </w:rPr>
              <w:t xml:space="preserve">Carlton M. Cadwell </w:t>
            </w:r>
            <w:r>
              <w:rPr>
                <w:rFonts w:eastAsia="Times New Roman"/>
                <w:sz w:val="20"/>
                <w:szCs w:val="20"/>
                <w:vertAlign w:val="superscript"/>
              </w:rPr>
              <w:t>(3)</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15,406,979</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3.61</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DA7678">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jc w:val="both"/>
              <w:rPr>
                <w:rFonts w:eastAsia="Times New Roman"/>
                <w:sz w:val="20"/>
                <w:szCs w:val="20"/>
              </w:rPr>
            </w:pPr>
            <w:r>
              <w:rPr>
                <w:rFonts w:eastAsia="Times New Roman"/>
                <w:sz w:val="20"/>
                <w:szCs w:val="20"/>
              </w:rPr>
              <w:t xml:space="preserve">Michael K. Korenko </w:t>
            </w:r>
            <w:r>
              <w:rPr>
                <w:rFonts w:eastAsia="Times New Roman"/>
                <w:sz w:val="20"/>
                <w:szCs w:val="20"/>
                <w:vertAlign w:val="superscript"/>
              </w:rPr>
              <w:t>(4)</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24,885,090</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5.83</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DA7678">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jc w:val="both"/>
              <w:rPr>
                <w:rFonts w:eastAsia="Times New Roman"/>
                <w:sz w:val="20"/>
                <w:szCs w:val="20"/>
              </w:rPr>
            </w:pPr>
            <w:r>
              <w:rPr>
                <w:rFonts w:eastAsia="Times New Roman"/>
                <w:sz w:val="20"/>
                <w:szCs w:val="20"/>
              </w:rPr>
              <w:t>Michael Pollack</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16,000</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xml:space="preserve"> *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jc w:val="both"/>
              <w:rPr>
                <w:rFonts w:eastAsia="Times New Roman"/>
                <w:b/>
                <w:bCs/>
                <w:sz w:val="20"/>
                <w:szCs w:val="20"/>
              </w:rPr>
            </w:pPr>
            <w:r>
              <w:rPr>
                <w:rFonts w:eastAsia="Times New Roman"/>
                <w:b/>
                <w:bCs/>
                <w:sz w:val="20"/>
                <w:szCs w:val="20"/>
              </w:rPr>
              <w:t>All Current Directors and Executive Officers as a group (3 individuals)</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40,334,981</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9.44</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r>
    </w:tbl>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360"/>
        <w:jc w:val="both"/>
        <w:rPr>
          <w:sz w:val="20"/>
          <w:szCs w:val="20"/>
        </w:rPr>
      </w:pPr>
      <w:r>
        <w:rPr>
          <w:sz w:val="20"/>
          <w:szCs w:val="20"/>
        </w:rPr>
        <w:t>*Less than 1%</w:t>
      </w:r>
    </w:p>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tc>
          <w:tcPr>
            <w:tcW w:w="360" w:type="dxa"/>
            <w:hideMark/>
          </w:tcPr>
          <w:p w:rsidR="00000000" w:rsidRDefault="00DA7678">
            <w:pPr>
              <w:jc w:val="both"/>
              <w:rPr>
                <w:rFonts w:eastAsia="Times New Roman"/>
                <w:sz w:val="20"/>
                <w:szCs w:val="20"/>
              </w:rPr>
            </w:pPr>
            <w:r>
              <w:rPr>
                <w:rFonts w:eastAsia="Times New Roman"/>
                <w:sz w:val="20"/>
                <w:szCs w:val="20"/>
                <w:vertAlign w:val="superscript"/>
              </w:rPr>
              <w:t>(1)</w:t>
            </w:r>
          </w:p>
        </w:tc>
        <w:tc>
          <w:tcPr>
            <w:tcW w:w="0" w:type="auto"/>
            <w:hideMark/>
          </w:tcPr>
          <w:p w:rsidR="00000000" w:rsidRDefault="00DA7678">
            <w:pPr>
              <w:jc w:val="both"/>
              <w:rPr>
                <w:rFonts w:eastAsia="Times New Roman"/>
                <w:sz w:val="20"/>
                <w:szCs w:val="20"/>
              </w:rPr>
            </w:pPr>
            <w:r>
              <w:rPr>
                <w:rFonts w:eastAsia="Times New Roman"/>
                <w:sz w:val="20"/>
                <w:szCs w:val="20"/>
              </w:rPr>
              <w:t xml:space="preserve">The </w:t>
            </w:r>
            <w:r>
              <w:rPr>
                <w:rFonts w:eastAsia="Times New Roman"/>
                <w:sz w:val="20"/>
                <w:szCs w:val="20"/>
              </w:rPr>
              <w:t>address of each of the beneficial owners above is c/o Vivos Inc, 719 Jadwin Avenue, Richland, WA 99336, except that the address of the Cadwell Family Irrevocable Trust (the “</w:t>
            </w:r>
            <w:r>
              <w:rPr>
                <w:rFonts w:eastAsia="Times New Roman"/>
                <w:i/>
                <w:iCs/>
                <w:sz w:val="20"/>
                <w:szCs w:val="20"/>
              </w:rPr>
              <w:t>Cadwell Trust</w:t>
            </w:r>
            <w:r>
              <w:rPr>
                <w:rFonts w:eastAsia="Times New Roman"/>
                <w:sz w:val="20"/>
                <w:szCs w:val="20"/>
              </w:rPr>
              <w:t>”) is 909 North Kellogg Street, Kennewick, WA 99336.</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r>
      <w:tr w:rsidR="00000000">
        <w:tc>
          <w:tcPr>
            <w:tcW w:w="0" w:type="auto"/>
            <w:hideMark/>
          </w:tcPr>
          <w:p w:rsidR="00000000" w:rsidRDefault="00DA7678">
            <w:pPr>
              <w:jc w:val="both"/>
              <w:rPr>
                <w:rFonts w:eastAsia="Times New Roman"/>
                <w:sz w:val="20"/>
                <w:szCs w:val="20"/>
              </w:rPr>
            </w:pPr>
            <w:r>
              <w:rPr>
                <w:rFonts w:eastAsia="Times New Roman"/>
                <w:sz w:val="20"/>
                <w:szCs w:val="20"/>
                <w:vertAlign w:val="superscript"/>
              </w:rPr>
              <w:t>(2)</w:t>
            </w:r>
          </w:p>
        </w:tc>
        <w:tc>
          <w:tcPr>
            <w:tcW w:w="0" w:type="auto"/>
            <w:hideMark/>
          </w:tcPr>
          <w:p w:rsidR="00000000" w:rsidRDefault="00DA7678">
            <w:pPr>
              <w:jc w:val="both"/>
              <w:rPr>
                <w:rFonts w:eastAsia="Times New Roman"/>
                <w:sz w:val="20"/>
                <w:szCs w:val="20"/>
              </w:rPr>
            </w:pPr>
            <w:r>
              <w:rPr>
                <w:rFonts w:eastAsia="Times New Roman"/>
                <w:sz w:val="20"/>
                <w:szCs w:val="20"/>
              </w:rPr>
              <w:t xml:space="preserve">In </w:t>
            </w:r>
            <w:r>
              <w:rPr>
                <w:rFonts w:eastAsia="Times New Roman"/>
                <w:sz w:val="20"/>
                <w:szCs w:val="20"/>
              </w:rPr>
              <w:t>determining beneficial ownership of the Company’s common stock as of a given date, the number of shares shown includes shares of common stock which may be acquired upon exercise of the common stock equivalents within 60 days of that date. In determining th</w:t>
            </w:r>
            <w:r>
              <w:rPr>
                <w:rFonts w:eastAsia="Times New Roman"/>
                <w:sz w:val="20"/>
                <w:szCs w:val="20"/>
              </w:rPr>
              <w:t>e percent of common stock owned by a person or entity on March 1, 2023, (a) the numerator is the number of shares of the class beneficially owned by such person or entity, including shares which may be acquired within 60 days on exercise of the common stoc</w:t>
            </w:r>
            <w:r>
              <w:rPr>
                <w:rFonts w:eastAsia="Times New Roman"/>
                <w:sz w:val="20"/>
                <w:szCs w:val="20"/>
              </w:rPr>
              <w:t>k equivalents, and (b) the denominator is the sum of (i) the total shares of common stock outstanding on March 1, 2023, and (ii) the total number of shares that the beneficial owner may acquire upon conversion of the common stock equivalents. Subject to co</w:t>
            </w:r>
            <w:r>
              <w:rPr>
                <w:rFonts w:eastAsia="Times New Roman"/>
                <w:sz w:val="20"/>
                <w:szCs w:val="20"/>
              </w:rPr>
              <w:t>mmunity property laws where applicable, the Company believes that each beneficial owner has sole power to vote and dispose of its shares, except that under the terms of the Cadwell Trust, Dr. Cadwell does not have or share voting or investment power over t</w:t>
            </w:r>
            <w:r>
              <w:rPr>
                <w:rFonts w:eastAsia="Times New Roman"/>
                <w:sz w:val="20"/>
                <w:szCs w:val="20"/>
              </w:rPr>
              <w:t>he shares beneficially owned by the Cadwell Trust.</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r>
      <w:tr w:rsidR="00000000">
        <w:tc>
          <w:tcPr>
            <w:tcW w:w="0" w:type="auto"/>
            <w:hideMark/>
          </w:tcPr>
          <w:p w:rsidR="00000000" w:rsidRDefault="00DA7678">
            <w:pPr>
              <w:jc w:val="both"/>
              <w:rPr>
                <w:rFonts w:eastAsia="Times New Roman"/>
                <w:sz w:val="20"/>
                <w:szCs w:val="20"/>
              </w:rPr>
            </w:pPr>
            <w:r>
              <w:rPr>
                <w:rFonts w:eastAsia="Times New Roman"/>
                <w:sz w:val="20"/>
                <w:szCs w:val="20"/>
                <w:vertAlign w:val="superscript"/>
              </w:rPr>
              <w:t>(3)</w:t>
            </w:r>
          </w:p>
        </w:tc>
        <w:tc>
          <w:tcPr>
            <w:tcW w:w="0" w:type="auto"/>
            <w:hideMark/>
          </w:tcPr>
          <w:p w:rsidR="00000000" w:rsidRDefault="00DA7678">
            <w:pPr>
              <w:jc w:val="both"/>
              <w:rPr>
                <w:rFonts w:eastAsia="Times New Roman"/>
                <w:sz w:val="20"/>
                <w:szCs w:val="20"/>
              </w:rPr>
            </w:pPr>
            <w:r>
              <w:rPr>
                <w:rFonts w:eastAsia="Times New Roman"/>
                <w:sz w:val="20"/>
                <w:szCs w:val="20"/>
              </w:rPr>
              <w:t xml:space="preserve">Includes </w:t>
            </w:r>
            <w:r>
              <w:rPr>
                <w:rFonts w:eastAsia="Times New Roman"/>
                <w:sz w:val="20"/>
                <w:szCs w:val="20"/>
              </w:rPr>
              <w:t>1,136,137 shares issuable upon conversion of Series A Preferred; and 4,816,275 shares issuable upon conversion of Series C Preferred, and 2,316,830 shares of common stock issued to AMIC Gift, LLC, an LLC controlled by Carlton and his wife.</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r>
      <w:tr w:rsidR="00000000">
        <w:tc>
          <w:tcPr>
            <w:tcW w:w="0" w:type="auto"/>
            <w:hideMark/>
          </w:tcPr>
          <w:p w:rsidR="00000000" w:rsidRDefault="00DA7678">
            <w:pPr>
              <w:jc w:val="both"/>
              <w:rPr>
                <w:rFonts w:eastAsia="Times New Roman"/>
                <w:sz w:val="20"/>
                <w:szCs w:val="20"/>
              </w:rPr>
            </w:pPr>
            <w:r>
              <w:rPr>
                <w:rFonts w:eastAsia="Times New Roman"/>
                <w:sz w:val="20"/>
                <w:szCs w:val="20"/>
                <w:vertAlign w:val="superscript"/>
              </w:rPr>
              <w:t>(4)</w:t>
            </w:r>
          </w:p>
        </w:tc>
        <w:tc>
          <w:tcPr>
            <w:tcW w:w="0" w:type="auto"/>
            <w:hideMark/>
          </w:tcPr>
          <w:p w:rsidR="00000000" w:rsidRDefault="00DA7678">
            <w:pPr>
              <w:jc w:val="both"/>
              <w:rPr>
                <w:rFonts w:eastAsia="Times New Roman"/>
                <w:sz w:val="20"/>
                <w:szCs w:val="20"/>
              </w:rPr>
            </w:pPr>
            <w:r>
              <w:rPr>
                <w:rFonts w:eastAsia="Times New Roman"/>
                <w:sz w:val="20"/>
                <w:szCs w:val="20"/>
              </w:rPr>
              <w:t>Includ</w:t>
            </w:r>
            <w:r>
              <w:rPr>
                <w:rFonts w:eastAsia="Times New Roman"/>
                <w:sz w:val="20"/>
                <w:szCs w:val="20"/>
              </w:rPr>
              <w:t>es 15,000,000 shares issuable for vested RSUs.</w:t>
            </w:r>
          </w:p>
        </w:tc>
      </w:tr>
    </w:tbl>
    <w:p w:rsidR="00000000" w:rsidRDefault="00DA767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9161079"/>
        </w:trPr>
        <w:tc>
          <w:tcPr>
            <w:tcW w:w="5000" w:type="pct"/>
            <w:hideMark/>
          </w:tcPr>
          <w:p w:rsidR="00000000" w:rsidRDefault="00DA7678">
            <w:pPr>
              <w:jc w:val="center"/>
              <w:rPr>
                <w:rFonts w:eastAsia="Times New Roman"/>
                <w:sz w:val="20"/>
                <w:szCs w:val="20"/>
              </w:rPr>
            </w:pPr>
            <w:r>
              <w:rPr>
                <w:rFonts w:eastAsia="Times New Roman"/>
                <w:sz w:val="20"/>
                <w:szCs w:val="20"/>
              </w:rPr>
              <w:t>3</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Beneficial Ownership of the Company’s Series A Convertible Preferred Stock</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As </w:t>
      </w:r>
      <w:r>
        <w:rPr>
          <w:sz w:val="20"/>
          <w:szCs w:val="20"/>
        </w:rPr>
        <w:t>of March 1, 2023, there were 2,071,007 shares of Series A Preferred issued and outstanding, convertible into 2,588,758 shares of the Company’s common stock.</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following table sets forth, as of March 1, 2023, the number of shares of Series A Preferred b</w:t>
      </w:r>
      <w:r>
        <w:rPr>
          <w:sz w:val="20"/>
          <w:szCs w:val="20"/>
        </w:rPr>
        <w:t>eneficially owned by the following persons: (i) all persons the Company known to be beneficial owners of at least 5% of the Company’s Series A Preferred, (ii) the Company’s current directors, (iii) the Company’s current executive officers, and (iv) all cur</w:t>
      </w:r>
      <w:r>
        <w:rPr>
          <w:sz w:val="20"/>
          <w:szCs w:val="20"/>
        </w:rPr>
        <w:t>rent directors and executive officers as a group.</w:t>
      </w:r>
    </w:p>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471"/>
        <w:gridCol w:w="155"/>
        <w:gridCol w:w="72"/>
        <w:gridCol w:w="1152"/>
        <w:gridCol w:w="73"/>
        <w:gridCol w:w="156"/>
        <w:gridCol w:w="73"/>
        <w:gridCol w:w="987"/>
        <w:gridCol w:w="167"/>
      </w:tblGrid>
      <w:tr w:rsidR="00000000">
        <w:tc>
          <w:tcPr>
            <w:tcW w:w="0" w:type="auto"/>
            <w:tcBorders>
              <w:bottom w:val="single" w:sz="12" w:space="0" w:color="000000"/>
            </w:tcBorders>
            <w:vAlign w:val="bottom"/>
            <w:hideMark/>
          </w:tcPr>
          <w:p w:rsidR="00000000" w:rsidRDefault="00DA7678">
            <w:pPr>
              <w:jc w:val="both"/>
              <w:rPr>
                <w:rFonts w:eastAsia="Times New Roman"/>
                <w:b/>
                <w:bCs/>
                <w:sz w:val="20"/>
                <w:szCs w:val="20"/>
              </w:rPr>
            </w:pPr>
            <w:r>
              <w:rPr>
                <w:rFonts w:eastAsia="Times New Roman"/>
                <w:b/>
                <w:bCs/>
                <w:sz w:val="20"/>
                <w:szCs w:val="20"/>
              </w:rPr>
              <w:t xml:space="preserve">Name and Address of Beneficial Owner </w:t>
            </w:r>
            <w:r>
              <w:rPr>
                <w:rFonts w:eastAsia="Times New Roman"/>
                <w:b/>
                <w:bCs/>
                <w:sz w:val="20"/>
                <w:szCs w:val="20"/>
                <w:vertAlign w:val="superscript"/>
              </w:rPr>
              <w:t>(1)</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pStyle w:val="a3"/>
              <w:spacing w:before="0" w:beforeAutospacing="0" w:after="0" w:afterAutospacing="0"/>
              <w:jc w:val="center"/>
              <w:rPr>
                <w:sz w:val="20"/>
                <w:szCs w:val="20"/>
              </w:rPr>
            </w:pPr>
            <w:r>
              <w:rPr>
                <w:b/>
                <w:bCs/>
                <w:sz w:val="20"/>
                <w:szCs w:val="20"/>
              </w:rPr>
              <w:t>Amount and</w:t>
            </w:r>
            <w:r>
              <w:rPr>
                <w:b/>
                <w:bCs/>
                <w:sz w:val="20"/>
                <w:szCs w:val="20"/>
              </w:rPr>
              <w:br/>
              <w:t>Nature</w:t>
            </w:r>
          </w:p>
          <w:p w:rsidR="00000000" w:rsidRDefault="00DA7678">
            <w:pPr>
              <w:pStyle w:val="a3"/>
              <w:spacing w:before="0" w:beforeAutospacing="0" w:after="0" w:afterAutospacing="0"/>
              <w:jc w:val="center"/>
              <w:rPr>
                <w:sz w:val="20"/>
                <w:szCs w:val="20"/>
              </w:rPr>
            </w:pPr>
            <w:r>
              <w:rPr>
                <w:b/>
                <w:bCs/>
                <w:sz w:val="20"/>
                <w:szCs w:val="20"/>
              </w:rPr>
              <w:t>of Beneficial</w:t>
            </w:r>
          </w:p>
          <w:p w:rsidR="00000000" w:rsidRDefault="00DA7678">
            <w:pPr>
              <w:pStyle w:val="a3"/>
              <w:spacing w:before="0" w:beforeAutospacing="0" w:after="0" w:afterAutospacing="0"/>
              <w:jc w:val="center"/>
              <w:rPr>
                <w:sz w:val="20"/>
                <w:szCs w:val="20"/>
              </w:rPr>
            </w:pPr>
            <w:r>
              <w:rPr>
                <w:b/>
                <w:bCs/>
                <w:sz w:val="20"/>
                <w:szCs w:val="20"/>
              </w:rPr>
              <w:t xml:space="preserve">Ownership </w:t>
            </w:r>
            <w:r>
              <w:rPr>
                <w:b/>
                <w:bCs/>
                <w:sz w:val="20"/>
                <w:szCs w:val="20"/>
                <w:vertAlign w:val="superscript"/>
              </w:rPr>
              <w:t>(2)</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b/>
                <w:bCs/>
                <w:sz w:val="20"/>
                <w:szCs w:val="20"/>
              </w:rPr>
            </w:pPr>
            <w:r>
              <w:rPr>
                <w:rFonts w:eastAsia="Times New Roman"/>
                <w:b/>
                <w:bCs/>
                <w:sz w:val="20"/>
                <w:szCs w:val="20"/>
              </w:rPr>
              <w:t>Percent of Class</w:t>
            </w:r>
          </w:p>
        </w:tc>
        <w:tc>
          <w:tcPr>
            <w:tcW w:w="0" w:type="auto"/>
            <w:tcMar>
              <w:top w:w="0" w:type="dxa"/>
              <w:left w:w="0" w:type="dxa"/>
              <w:bottom w:w="30" w:type="dxa"/>
              <w:right w:w="0" w:type="dxa"/>
            </w:tcMar>
            <w:vAlign w:val="bottom"/>
            <w:hideMark/>
          </w:tcPr>
          <w:p w:rsidR="00000000" w:rsidRDefault="00DA7678">
            <w:pPr>
              <w:rPr>
                <w:rFonts w:eastAsia="Times New Roman"/>
                <w:b/>
                <w:bCs/>
                <w:sz w:val="20"/>
                <w:szCs w:val="20"/>
              </w:rPr>
            </w:pPr>
            <w:r>
              <w:rPr>
                <w:rFonts w:eastAsia="Times New Roman"/>
                <w:b/>
                <w:bCs/>
                <w:sz w:val="20"/>
                <w:szCs w:val="20"/>
              </w:rPr>
              <w:t> </w:t>
            </w:r>
          </w:p>
        </w:tc>
      </w:tr>
      <w:tr w:rsidR="00000000">
        <w:tc>
          <w:tcPr>
            <w:tcW w:w="3300" w:type="pct"/>
            <w:shd w:val="clear" w:color="auto" w:fill="CCEEFF"/>
            <w:vAlign w:val="bottom"/>
            <w:hideMark/>
          </w:tcPr>
          <w:p w:rsidR="00000000" w:rsidRDefault="00DA7678">
            <w:pPr>
              <w:jc w:val="both"/>
              <w:rPr>
                <w:rFonts w:eastAsia="Times New Roman"/>
                <w:sz w:val="20"/>
                <w:szCs w:val="20"/>
              </w:rPr>
            </w:pPr>
            <w:r>
              <w:rPr>
                <w:rFonts w:eastAsia="Times New Roman"/>
                <w:sz w:val="20"/>
                <w:szCs w:val="20"/>
              </w:rPr>
              <w:t>Cadwell Family Irrevocable Trust</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148,309</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7.16</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DA7678">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jc w:val="both"/>
              <w:rPr>
                <w:rFonts w:eastAsia="Times New Roman"/>
                <w:sz w:val="20"/>
                <w:szCs w:val="20"/>
              </w:rPr>
            </w:pPr>
            <w:r>
              <w:rPr>
                <w:rFonts w:eastAsia="Times New Roman"/>
                <w:sz w:val="20"/>
                <w:szCs w:val="20"/>
              </w:rPr>
              <w:t>Carlton M. Cadwell</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908,910</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43.89</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DA7678">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jc w:val="both"/>
              <w:rPr>
                <w:rFonts w:eastAsia="Times New Roman"/>
                <w:sz w:val="20"/>
                <w:szCs w:val="20"/>
              </w:rPr>
            </w:pPr>
            <w:r>
              <w:rPr>
                <w:rFonts w:eastAsia="Times New Roman"/>
                <w:sz w:val="20"/>
                <w:szCs w:val="20"/>
              </w:rPr>
              <w:t>Michael K. Korenko</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DA7678">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rPr>
                <w:rFonts w:eastAsia="Times New Roman"/>
                <w:b/>
                <w:bCs/>
                <w:sz w:val="20"/>
                <w:szCs w:val="20"/>
              </w:rPr>
            </w:pPr>
            <w:r>
              <w:rPr>
                <w:rFonts w:eastAsia="Times New Roman"/>
                <w:b/>
                <w:bCs/>
                <w:sz w:val="20"/>
                <w:szCs w:val="20"/>
              </w:rPr>
              <w:t>All Current Directors and Executive Officers as a group (2 individuals)</w:t>
            </w:r>
            <w:r>
              <w:rPr>
                <w:rFonts w:eastAsia="Times New Roman"/>
                <w:b/>
                <w:bCs/>
                <w:sz w:val="20"/>
                <w:szCs w:val="20"/>
                <w:vertAlign w:val="superscript"/>
              </w:rPr>
              <w:t>(3)</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1,057,219</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51.05</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DA7678">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jc w:val="both"/>
              <w:rPr>
                <w:rFonts w:eastAsia="Times New Roman"/>
                <w:b/>
                <w:bCs/>
                <w:sz w:val="20"/>
                <w:szCs w:val="20"/>
              </w:rPr>
            </w:pPr>
            <w:r>
              <w:rPr>
                <w:rFonts w:eastAsia="Times New Roman"/>
                <w:b/>
                <w:bCs/>
                <w:sz w:val="20"/>
                <w:szCs w:val="20"/>
              </w:rPr>
              <w:t>Major Shareholder(s):</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jc w:val="both"/>
              <w:rPr>
                <w:rFonts w:eastAsia="Times New Roman"/>
                <w:sz w:val="20"/>
                <w:szCs w:val="20"/>
              </w:rPr>
            </w:pPr>
            <w:r>
              <w:rPr>
                <w:rFonts w:eastAsia="Times New Roman"/>
                <w:sz w:val="20"/>
                <w:szCs w:val="20"/>
              </w:rPr>
              <w:t>L. Bruce Jolliff</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197,979</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9.56</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DA7678">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jc w:val="both"/>
              <w:rPr>
                <w:rFonts w:eastAsia="Times New Roman"/>
                <w:sz w:val="20"/>
                <w:szCs w:val="20"/>
              </w:rPr>
            </w:pPr>
            <w:r>
              <w:rPr>
                <w:rFonts w:eastAsia="Times New Roman"/>
                <w:sz w:val="20"/>
                <w:szCs w:val="20"/>
              </w:rPr>
              <w:t>Stoel Rives</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133,333</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6.44</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r>
    </w:tbl>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tc>
          <w:tcPr>
            <w:tcW w:w="360" w:type="dxa"/>
            <w:hideMark/>
          </w:tcPr>
          <w:p w:rsidR="00000000" w:rsidRDefault="00DA7678">
            <w:pPr>
              <w:jc w:val="both"/>
              <w:rPr>
                <w:rFonts w:eastAsia="Times New Roman"/>
                <w:sz w:val="20"/>
                <w:szCs w:val="20"/>
              </w:rPr>
            </w:pPr>
            <w:r>
              <w:rPr>
                <w:rFonts w:eastAsia="Times New Roman"/>
                <w:sz w:val="20"/>
                <w:szCs w:val="20"/>
                <w:vertAlign w:val="superscript"/>
              </w:rPr>
              <w:t>(1)</w:t>
            </w:r>
          </w:p>
        </w:tc>
        <w:tc>
          <w:tcPr>
            <w:tcW w:w="0" w:type="auto"/>
            <w:hideMark/>
          </w:tcPr>
          <w:p w:rsidR="00000000" w:rsidRDefault="00DA7678">
            <w:pPr>
              <w:jc w:val="both"/>
              <w:rPr>
                <w:rFonts w:eastAsia="Times New Roman"/>
                <w:sz w:val="20"/>
                <w:szCs w:val="20"/>
              </w:rPr>
            </w:pPr>
            <w:r>
              <w:rPr>
                <w:rFonts w:eastAsia="Times New Roman"/>
                <w:sz w:val="20"/>
                <w:szCs w:val="20"/>
              </w:rPr>
              <w:t xml:space="preserve">The </w:t>
            </w:r>
            <w:r>
              <w:rPr>
                <w:rFonts w:eastAsia="Times New Roman"/>
                <w:sz w:val="20"/>
                <w:szCs w:val="20"/>
              </w:rPr>
              <w:t>address of each of the beneficial owners above is c/o Vivos Inc, 719 Jadwin Avenue, Richland, WA 99336, except that the address of (i) the Cadwell Family Irrevocable Trust (the “</w:t>
            </w:r>
            <w:r>
              <w:rPr>
                <w:rFonts w:eastAsia="Times New Roman"/>
                <w:i/>
                <w:iCs/>
                <w:sz w:val="20"/>
                <w:szCs w:val="20"/>
              </w:rPr>
              <w:t>Cadwell Trust</w:t>
            </w:r>
            <w:r>
              <w:rPr>
                <w:rFonts w:eastAsia="Times New Roman"/>
                <w:sz w:val="20"/>
                <w:szCs w:val="20"/>
              </w:rPr>
              <w:t>”) is 909 North Kellogg Street, Kennewick, WA 99336; (ii) L. Bruc</w:t>
            </w:r>
            <w:r>
              <w:rPr>
                <w:rFonts w:eastAsia="Times New Roman"/>
                <w:sz w:val="20"/>
                <w:szCs w:val="20"/>
              </w:rPr>
              <w:t>e Jolliff is 206 N 41st St. Unit 1, Yakima, WA 98901; and (iii) Stoel Rives is One Union Square, 600 University Street, Suite 3600, Seattle, WA 98101.</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r>
      <w:tr w:rsidR="00000000">
        <w:tc>
          <w:tcPr>
            <w:tcW w:w="0" w:type="auto"/>
            <w:hideMark/>
          </w:tcPr>
          <w:p w:rsidR="00000000" w:rsidRDefault="00DA7678">
            <w:pPr>
              <w:jc w:val="both"/>
              <w:rPr>
                <w:rFonts w:eastAsia="Times New Roman"/>
                <w:sz w:val="20"/>
                <w:szCs w:val="20"/>
              </w:rPr>
            </w:pPr>
            <w:r>
              <w:rPr>
                <w:rFonts w:eastAsia="Times New Roman"/>
                <w:sz w:val="20"/>
                <w:szCs w:val="20"/>
                <w:vertAlign w:val="superscript"/>
              </w:rPr>
              <w:t>(2)</w:t>
            </w:r>
          </w:p>
        </w:tc>
        <w:tc>
          <w:tcPr>
            <w:tcW w:w="0" w:type="auto"/>
            <w:hideMark/>
          </w:tcPr>
          <w:p w:rsidR="00000000" w:rsidRDefault="00DA7678">
            <w:pPr>
              <w:jc w:val="both"/>
              <w:rPr>
                <w:rFonts w:eastAsia="Times New Roman"/>
                <w:sz w:val="20"/>
                <w:szCs w:val="20"/>
              </w:rPr>
            </w:pPr>
            <w:r>
              <w:rPr>
                <w:rFonts w:eastAsia="Times New Roman"/>
                <w:sz w:val="20"/>
                <w:szCs w:val="20"/>
              </w:rPr>
              <w:t xml:space="preserve">Subject </w:t>
            </w:r>
            <w:r>
              <w:rPr>
                <w:rFonts w:eastAsia="Times New Roman"/>
                <w:sz w:val="20"/>
                <w:szCs w:val="20"/>
              </w:rPr>
              <w:t>to community property laws where applicable, the Company believes that each beneficial owner has sole power to vote and dispose of its shares, except that Dr. Cadwell under the terms of the Cadwell Trust does not have or share voting or investment power ov</w:t>
            </w:r>
            <w:r>
              <w:rPr>
                <w:rFonts w:eastAsia="Times New Roman"/>
                <w:sz w:val="20"/>
                <w:szCs w:val="20"/>
              </w:rPr>
              <w:t>er the Series A Convertible Preferred beneficially owned by the Cadwell Trust.</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r>
      <w:tr w:rsidR="00000000">
        <w:tc>
          <w:tcPr>
            <w:tcW w:w="0" w:type="auto"/>
            <w:hideMark/>
          </w:tcPr>
          <w:p w:rsidR="00000000" w:rsidRDefault="00DA7678">
            <w:pPr>
              <w:jc w:val="both"/>
              <w:rPr>
                <w:rFonts w:eastAsia="Times New Roman"/>
                <w:sz w:val="20"/>
                <w:szCs w:val="20"/>
              </w:rPr>
            </w:pPr>
            <w:r>
              <w:rPr>
                <w:rFonts w:eastAsia="Times New Roman"/>
                <w:sz w:val="20"/>
                <w:szCs w:val="20"/>
                <w:vertAlign w:val="superscript"/>
              </w:rPr>
              <w:t>(3)</w:t>
            </w:r>
          </w:p>
        </w:tc>
        <w:tc>
          <w:tcPr>
            <w:tcW w:w="0" w:type="auto"/>
            <w:hideMark/>
          </w:tcPr>
          <w:p w:rsidR="00000000" w:rsidRDefault="00DA7678">
            <w:pPr>
              <w:jc w:val="both"/>
              <w:rPr>
                <w:rFonts w:eastAsia="Times New Roman"/>
                <w:sz w:val="20"/>
                <w:szCs w:val="20"/>
              </w:rPr>
            </w:pPr>
            <w:r>
              <w:rPr>
                <w:rFonts w:eastAsia="Times New Roman"/>
                <w:sz w:val="20"/>
                <w:szCs w:val="20"/>
              </w:rPr>
              <w:t>Michael Pollack, the Company’s Interim Chief Financial Officer, does not hold any Company Series A Convertible Preferred, and has therefore been omitted from this tabl</w:t>
            </w:r>
            <w:r>
              <w:rPr>
                <w:rFonts w:eastAsia="Times New Roman"/>
                <w:sz w:val="20"/>
                <w:szCs w:val="20"/>
              </w:rPr>
              <w:t>e.</w:t>
            </w:r>
          </w:p>
        </w:tc>
      </w:tr>
    </w:tbl>
    <w:p w:rsidR="00000000" w:rsidRDefault="00DA767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18002611"/>
        </w:trPr>
        <w:tc>
          <w:tcPr>
            <w:tcW w:w="5000" w:type="pct"/>
            <w:hideMark/>
          </w:tcPr>
          <w:p w:rsidR="00000000" w:rsidRDefault="00DA7678">
            <w:pPr>
              <w:jc w:val="center"/>
              <w:rPr>
                <w:rFonts w:eastAsia="Times New Roman"/>
                <w:sz w:val="20"/>
                <w:szCs w:val="20"/>
              </w:rPr>
            </w:pPr>
            <w:r>
              <w:rPr>
                <w:rFonts w:eastAsia="Times New Roman"/>
                <w:sz w:val="20"/>
                <w:szCs w:val="20"/>
              </w:rPr>
              <w:t>3</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Beneficial Ownership of the Company’s Series B Convertible Preferred Stock</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As </w:t>
      </w:r>
      <w:r>
        <w:rPr>
          <w:sz w:val="20"/>
          <w:szCs w:val="20"/>
        </w:rPr>
        <w:t>of March 1, 2023, there were 200,363 shares of Series B Preferred issued and outstanding, convertible into 2,504.538 shares of the Company’s common stock.</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following table sets forth, as of March 1, 2023, the number of shares of Series B Preferred ben</w:t>
      </w:r>
      <w:r>
        <w:rPr>
          <w:sz w:val="20"/>
          <w:szCs w:val="20"/>
        </w:rPr>
        <w:t>eficially owned by the following persons: (i) all persons the Company known to be beneficial owners of at least 5% of the Company’s Series B Preferred, (ii) the Company’s current directors, (iii) the Company’s current executive officers, and (iv) all curre</w:t>
      </w:r>
      <w:r>
        <w:rPr>
          <w:sz w:val="20"/>
          <w:szCs w:val="20"/>
        </w:rPr>
        <w:t>nt directors and executive officers as a group.</w:t>
      </w:r>
    </w:p>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471"/>
        <w:gridCol w:w="155"/>
        <w:gridCol w:w="72"/>
        <w:gridCol w:w="1152"/>
        <w:gridCol w:w="73"/>
        <w:gridCol w:w="156"/>
        <w:gridCol w:w="73"/>
        <w:gridCol w:w="987"/>
        <w:gridCol w:w="167"/>
      </w:tblGrid>
      <w:tr w:rsidR="00000000">
        <w:tc>
          <w:tcPr>
            <w:tcW w:w="0" w:type="auto"/>
            <w:tcBorders>
              <w:bottom w:val="single" w:sz="12" w:space="0" w:color="000000"/>
            </w:tcBorders>
            <w:vAlign w:val="bottom"/>
            <w:hideMark/>
          </w:tcPr>
          <w:p w:rsidR="00000000" w:rsidRDefault="00DA7678">
            <w:pPr>
              <w:jc w:val="both"/>
              <w:rPr>
                <w:rFonts w:eastAsia="Times New Roman"/>
                <w:b/>
                <w:bCs/>
                <w:sz w:val="20"/>
                <w:szCs w:val="20"/>
              </w:rPr>
            </w:pPr>
            <w:r>
              <w:rPr>
                <w:rFonts w:eastAsia="Times New Roman"/>
                <w:b/>
                <w:bCs/>
                <w:sz w:val="20"/>
                <w:szCs w:val="20"/>
              </w:rPr>
              <w:t xml:space="preserve">Name and Address of Beneficial Owner </w:t>
            </w:r>
            <w:r>
              <w:rPr>
                <w:rFonts w:eastAsia="Times New Roman"/>
                <w:b/>
                <w:bCs/>
                <w:sz w:val="20"/>
                <w:szCs w:val="20"/>
                <w:vertAlign w:val="superscript"/>
              </w:rPr>
              <w:t>(1)</w:t>
            </w:r>
          </w:p>
        </w:tc>
        <w:tc>
          <w:tcPr>
            <w:tcW w:w="0" w:type="auto"/>
            <w:tcMar>
              <w:top w:w="0" w:type="dxa"/>
              <w:left w:w="0" w:type="dxa"/>
              <w:bottom w:w="30" w:type="dxa"/>
              <w:right w:w="0" w:type="dxa"/>
            </w:tcMar>
            <w:vAlign w:val="bottom"/>
            <w:hideMark/>
          </w:tcPr>
          <w:p w:rsidR="00000000" w:rsidRDefault="00DA767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b/>
                <w:bCs/>
                <w:sz w:val="20"/>
                <w:szCs w:val="20"/>
              </w:rPr>
            </w:pPr>
            <w:r>
              <w:rPr>
                <w:rFonts w:eastAsia="Times New Roman"/>
                <w:b/>
                <w:bCs/>
                <w:sz w:val="20"/>
                <w:szCs w:val="20"/>
              </w:rPr>
              <w:t>Amount and</w:t>
            </w:r>
            <w:r>
              <w:rPr>
                <w:rFonts w:eastAsia="Times New Roman"/>
                <w:b/>
                <w:bCs/>
                <w:sz w:val="20"/>
                <w:szCs w:val="20"/>
              </w:rPr>
              <w:br/>
              <w:t xml:space="preserve">Nature of Beneficial Ownership </w:t>
            </w:r>
            <w:r>
              <w:rPr>
                <w:rFonts w:eastAsia="Times New Roman"/>
                <w:b/>
                <w:bCs/>
                <w:sz w:val="20"/>
                <w:szCs w:val="20"/>
                <w:vertAlign w:val="superscript"/>
              </w:rPr>
              <w:t>(2)</w:t>
            </w:r>
          </w:p>
        </w:tc>
        <w:tc>
          <w:tcPr>
            <w:tcW w:w="0" w:type="auto"/>
            <w:tcMar>
              <w:top w:w="0" w:type="dxa"/>
              <w:left w:w="0" w:type="dxa"/>
              <w:bottom w:w="30" w:type="dxa"/>
              <w:right w:w="0" w:type="dxa"/>
            </w:tcMar>
            <w:vAlign w:val="bottom"/>
            <w:hideMark/>
          </w:tcPr>
          <w:p w:rsidR="00000000" w:rsidRDefault="00DA767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b/>
                <w:bCs/>
                <w:sz w:val="20"/>
                <w:szCs w:val="20"/>
              </w:rPr>
            </w:pPr>
            <w:r>
              <w:rPr>
                <w:rFonts w:eastAsia="Times New Roman"/>
                <w:b/>
                <w:bCs/>
                <w:sz w:val="20"/>
                <w:szCs w:val="20"/>
              </w:rPr>
              <w:t>Percent of Class</w:t>
            </w:r>
          </w:p>
        </w:tc>
        <w:tc>
          <w:tcPr>
            <w:tcW w:w="0" w:type="auto"/>
            <w:tcMar>
              <w:top w:w="0" w:type="dxa"/>
              <w:left w:w="0" w:type="dxa"/>
              <w:bottom w:w="30" w:type="dxa"/>
              <w:right w:w="0" w:type="dxa"/>
            </w:tcMar>
            <w:vAlign w:val="bottom"/>
            <w:hideMark/>
          </w:tcPr>
          <w:p w:rsidR="00000000" w:rsidRDefault="00DA7678">
            <w:pPr>
              <w:rPr>
                <w:rFonts w:eastAsia="Times New Roman"/>
                <w:b/>
                <w:bCs/>
                <w:sz w:val="20"/>
                <w:szCs w:val="20"/>
              </w:rPr>
            </w:pPr>
            <w:r>
              <w:rPr>
                <w:rFonts w:eastAsia="Times New Roman"/>
                <w:b/>
                <w:bCs/>
                <w:sz w:val="20"/>
                <w:szCs w:val="20"/>
              </w:rPr>
              <w:t> </w:t>
            </w:r>
          </w:p>
        </w:tc>
      </w:tr>
      <w:tr w:rsidR="00000000">
        <w:tc>
          <w:tcPr>
            <w:tcW w:w="3300" w:type="pct"/>
            <w:shd w:val="clear" w:color="auto" w:fill="CCEEFF"/>
            <w:vAlign w:val="bottom"/>
            <w:hideMark/>
          </w:tcPr>
          <w:p w:rsidR="00000000" w:rsidRDefault="00DA7678">
            <w:pPr>
              <w:jc w:val="both"/>
              <w:rPr>
                <w:rFonts w:eastAsia="Times New Roman"/>
                <w:b/>
                <w:bCs/>
                <w:sz w:val="20"/>
                <w:szCs w:val="20"/>
              </w:rPr>
            </w:pPr>
            <w:r>
              <w:rPr>
                <w:rFonts w:eastAsia="Times New Roman"/>
                <w:b/>
                <w:bCs/>
                <w:sz w:val="20"/>
                <w:szCs w:val="20"/>
              </w:rPr>
              <w:t>All Current Directors and Executive Officers as a group (3 individuals)</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DA7678">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jc w:val="both"/>
              <w:rPr>
                <w:rFonts w:eastAsia="Times New Roman"/>
                <w:b/>
                <w:bCs/>
                <w:sz w:val="20"/>
                <w:szCs w:val="20"/>
              </w:rPr>
            </w:pPr>
            <w:r>
              <w:rPr>
                <w:rFonts w:eastAsia="Times New Roman"/>
                <w:b/>
                <w:bCs/>
                <w:sz w:val="20"/>
                <w:szCs w:val="20"/>
              </w:rPr>
              <w:t>Major Shareholder(s):</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jc w:val="both"/>
              <w:rPr>
                <w:rFonts w:eastAsia="Times New Roman"/>
                <w:sz w:val="20"/>
                <w:szCs w:val="20"/>
              </w:rPr>
            </w:pPr>
            <w:r>
              <w:rPr>
                <w:rFonts w:eastAsia="Times New Roman"/>
                <w:sz w:val="20"/>
                <w:szCs w:val="20"/>
              </w:rPr>
              <w:t>Jason Adelman</w:t>
            </w:r>
            <w:r>
              <w:rPr>
                <w:rFonts w:eastAsia="Times New Roman"/>
                <w:sz w:val="20"/>
                <w:szCs w:val="20"/>
                <w:vertAlign w:val="superscript"/>
              </w:rPr>
              <w:t>(3)</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200,000</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99</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r>
    </w:tbl>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left="360"/>
        <w:jc w:val="both"/>
        <w:rPr>
          <w:sz w:val="20"/>
          <w:szCs w:val="20"/>
        </w:rPr>
      </w:pPr>
      <w:r>
        <w:rPr>
          <w:sz w:val="20"/>
          <w:szCs w:val="20"/>
        </w:rPr>
        <w:t>*Less than 1%</w:t>
      </w:r>
    </w:p>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tc>
          <w:tcPr>
            <w:tcW w:w="360" w:type="dxa"/>
            <w:hideMark/>
          </w:tcPr>
          <w:p w:rsidR="00000000" w:rsidRDefault="00DA7678">
            <w:pPr>
              <w:jc w:val="both"/>
              <w:rPr>
                <w:rFonts w:eastAsia="Times New Roman"/>
                <w:sz w:val="20"/>
                <w:szCs w:val="20"/>
              </w:rPr>
            </w:pPr>
            <w:r>
              <w:rPr>
                <w:rFonts w:eastAsia="Times New Roman"/>
                <w:sz w:val="20"/>
                <w:szCs w:val="20"/>
                <w:vertAlign w:val="superscript"/>
              </w:rPr>
              <w:t>(1)</w:t>
            </w:r>
          </w:p>
        </w:tc>
        <w:tc>
          <w:tcPr>
            <w:tcW w:w="0" w:type="auto"/>
            <w:hideMark/>
          </w:tcPr>
          <w:p w:rsidR="00000000" w:rsidRDefault="00DA7678">
            <w:pPr>
              <w:jc w:val="both"/>
              <w:rPr>
                <w:rFonts w:eastAsia="Times New Roman"/>
                <w:sz w:val="20"/>
                <w:szCs w:val="20"/>
              </w:rPr>
            </w:pPr>
            <w:r>
              <w:rPr>
                <w:rFonts w:eastAsia="Times New Roman"/>
                <w:sz w:val="20"/>
                <w:szCs w:val="20"/>
              </w:rPr>
              <w:t>None of the Company’</w:t>
            </w:r>
            <w:r>
              <w:rPr>
                <w:rFonts w:eastAsia="Times New Roman"/>
                <w:sz w:val="20"/>
                <w:szCs w:val="20"/>
              </w:rPr>
              <w:t>s directors and executive officers hold any shares of the Company’s Series B Convertible Preferred, and they have therefore been omitted from this table. The address of the beneficial owners is as follows: (i) Jason Adelman (JTA Resources LLC. is 40 East 6</w:t>
            </w:r>
            <w:r>
              <w:rPr>
                <w:rFonts w:eastAsia="Times New Roman"/>
                <w:sz w:val="20"/>
                <w:szCs w:val="20"/>
              </w:rPr>
              <w:t>6th St., New York, NY 10065.</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r>
      <w:tr w:rsidR="00000000">
        <w:tc>
          <w:tcPr>
            <w:tcW w:w="0" w:type="auto"/>
            <w:hideMark/>
          </w:tcPr>
          <w:p w:rsidR="00000000" w:rsidRDefault="00DA7678">
            <w:pPr>
              <w:jc w:val="both"/>
              <w:rPr>
                <w:rFonts w:eastAsia="Times New Roman"/>
                <w:sz w:val="20"/>
                <w:szCs w:val="20"/>
              </w:rPr>
            </w:pPr>
            <w:r>
              <w:rPr>
                <w:rFonts w:eastAsia="Times New Roman"/>
                <w:sz w:val="20"/>
                <w:szCs w:val="20"/>
                <w:vertAlign w:val="superscript"/>
              </w:rPr>
              <w:t>(2)</w:t>
            </w:r>
          </w:p>
        </w:tc>
        <w:tc>
          <w:tcPr>
            <w:tcW w:w="0" w:type="auto"/>
            <w:hideMark/>
          </w:tcPr>
          <w:p w:rsidR="00000000" w:rsidRDefault="00DA7678">
            <w:pPr>
              <w:jc w:val="both"/>
              <w:rPr>
                <w:rFonts w:eastAsia="Times New Roman"/>
                <w:sz w:val="20"/>
                <w:szCs w:val="20"/>
              </w:rPr>
            </w:pPr>
            <w:r>
              <w:rPr>
                <w:rFonts w:eastAsia="Times New Roman"/>
                <w:sz w:val="20"/>
                <w:szCs w:val="20"/>
              </w:rPr>
              <w:t xml:space="preserve">Subject </w:t>
            </w:r>
            <w:r>
              <w:rPr>
                <w:rFonts w:eastAsia="Times New Roman"/>
                <w:sz w:val="20"/>
                <w:szCs w:val="20"/>
              </w:rPr>
              <w:t>to community property laws where applicable, the Company believes that each beneficial owner has sole power to vote and dispose of its shares.</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r>
      <w:tr w:rsidR="00000000">
        <w:tc>
          <w:tcPr>
            <w:tcW w:w="0" w:type="auto"/>
            <w:hideMark/>
          </w:tcPr>
          <w:p w:rsidR="00000000" w:rsidRDefault="00DA7678">
            <w:pPr>
              <w:jc w:val="both"/>
              <w:rPr>
                <w:rFonts w:eastAsia="Times New Roman"/>
                <w:sz w:val="20"/>
                <w:szCs w:val="20"/>
              </w:rPr>
            </w:pPr>
            <w:r>
              <w:rPr>
                <w:rFonts w:eastAsia="Times New Roman"/>
                <w:sz w:val="20"/>
                <w:szCs w:val="20"/>
                <w:vertAlign w:val="superscript"/>
              </w:rPr>
              <w:t>(3)</w:t>
            </w:r>
          </w:p>
        </w:tc>
        <w:tc>
          <w:tcPr>
            <w:tcW w:w="0" w:type="auto"/>
            <w:hideMark/>
          </w:tcPr>
          <w:p w:rsidR="00000000" w:rsidRDefault="00DA7678">
            <w:pPr>
              <w:jc w:val="both"/>
              <w:rPr>
                <w:rFonts w:eastAsia="Times New Roman"/>
                <w:sz w:val="20"/>
                <w:szCs w:val="20"/>
              </w:rPr>
            </w:pPr>
            <w:r>
              <w:rPr>
                <w:rFonts w:eastAsia="Times New Roman"/>
                <w:sz w:val="20"/>
                <w:szCs w:val="20"/>
              </w:rPr>
              <w:t>Represents 200,000 shares of Series B Preferred held by JTA Resources LLC.</w:t>
            </w:r>
          </w:p>
        </w:tc>
      </w:tr>
    </w:tbl>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u w:val="single"/>
        </w:rPr>
        <w:t>Beneficial Ownership of t</w:t>
      </w:r>
      <w:r>
        <w:rPr>
          <w:b/>
          <w:bCs/>
          <w:sz w:val="20"/>
          <w:szCs w:val="20"/>
          <w:u w:val="single"/>
        </w:rPr>
        <w:t>he Company’s Series C Convertible Preferred Stock</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As of March 1, 2023, there were 385,302 shares of Series C Preferred issued and outstanding, convertible into 4,816,275 shares of the Company’s common stock.</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The following table sets forth, as of March </w:t>
      </w:r>
      <w:r>
        <w:rPr>
          <w:sz w:val="20"/>
          <w:szCs w:val="20"/>
        </w:rPr>
        <w:t>1, 2023, the number of shares of Series C Preferred beneficially owned by the following persons: (i) all persons the Company known to be beneficial owners of at least 5% of the Company’s Series C Preferred, (ii) the Company’s current directors, (iii) the C</w:t>
      </w:r>
      <w:r>
        <w:rPr>
          <w:sz w:val="20"/>
          <w:szCs w:val="20"/>
        </w:rPr>
        <w:t>ompany’s current executive officers, and (iv) all current directors and executive officers as a group.</w:t>
      </w:r>
    </w:p>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471"/>
        <w:gridCol w:w="155"/>
        <w:gridCol w:w="72"/>
        <w:gridCol w:w="1152"/>
        <w:gridCol w:w="73"/>
        <w:gridCol w:w="156"/>
        <w:gridCol w:w="73"/>
        <w:gridCol w:w="987"/>
        <w:gridCol w:w="167"/>
      </w:tblGrid>
      <w:tr w:rsidR="00000000">
        <w:tc>
          <w:tcPr>
            <w:tcW w:w="0" w:type="auto"/>
            <w:tcBorders>
              <w:bottom w:val="single" w:sz="12" w:space="0" w:color="000000"/>
            </w:tcBorders>
            <w:vAlign w:val="bottom"/>
            <w:hideMark/>
          </w:tcPr>
          <w:p w:rsidR="00000000" w:rsidRDefault="00DA7678">
            <w:pPr>
              <w:jc w:val="both"/>
              <w:rPr>
                <w:rFonts w:eastAsia="Times New Roman"/>
                <w:b/>
                <w:bCs/>
                <w:sz w:val="20"/>
                <w:szCs w:val="20"/>
              </w:rPr>
            </w:pPr>
            <w:r>
              <w:rPr>
                <w:rFonts w:eastAsia="Times New Roman"/>
                <w:b/>
                <w:bCs/>
                <w:sz w:val="20"/>
                <w:szCs w:val="20"/>
              </w:rPr>
              <w:t>Name and Address of Beneficial Owner (1)</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pStyle w:val="a3"/>
              <w:spacing w:before="0" w:beforeAutospacing="0" w:after="0" w:afterAutospacing="0"/>
              <w:jc w:val="center"/>
              <w:rPr>
                <w:sz w:val="20"/>
                <w:szCs w:val="20"/>
              </w:rPr>
            </w:pPr>
            <w:r>
              <w:rPr>
                <w:b/>
                <w:bCs/>
                <w:sz w:val="20"/>
                <w:szCs w:val="20"/>
              </w:rPr>
              <w:t>Amount and</w:t>
            </w:r>
          </w:p>
          <w:p w:rsidR="00000000" w:rsidRDefault="00DA7678">
            <w:pPr>
              <w:pStyle w:val="a3"/>
              <w:spacing w:before="0" w:beforeAutospacing="0" w:after="0" w:afterAutospacing="0"/>
              <w:jc w:val="center"/>
              <w:rPr>
                <w:sz w:val="20"/>
                <w:szCs w:val="20"/>
              </w:rPr>
            </w:pPr>
            <w:r>
              <w:rPr>
                <w:b/>
                <w:bCs/>
                <w:sz w:val="20"/>
                <w:szCs w:val="20"/>
              </w:rPr>
              <w:t>Nature</w:t>
            </w:r>
          </w:p>
          <w:p w:rsidR="00000000" w:rsidRDefault="00DA7678">
            <w:pPr>
              <w:pStyle w:val="a3"/>
              <w:spacing w:before="0" w:beforeAutospacing="0" w:after="0" w:afterAutospacing="0"/>
              <w:jc w:val="center"/>
              <w:rPr>
                <w:sz w:val="20"/>
                <w:szCs w:val="20"/>
              </w:rPr>
            </w:pPr>
            <w:r>
              <w:rPr>
                <w:b/>
                <w:bCs/>
                <w:sz w:val="20"/>
                <w:szCs w:val="20"/>
              </w:rPr>
              <w:t>of Beneficial</w:t>
            </w:r>
          </w:p>
          <w:p w:rsidR="00000000" w:rsidRDefault="00DA7678">
            <w:pPr>
              <w:pStyle w:val="a3"/>
              <w:spacing w:before="0" w:beforeAutospacing="0" w:after="0" w:afterAutospacing="0"/>
              <w:jc w:val="center"/>
              <w:rPr>
                <w:sz w:val="20"/>
                <w:szCs w:val="20"/>
              </w:rPr>
            </w:pPr>
            <w:r>
              <w:rPr>
                <w:b/>
                <w:bCs/>
                <w:sz w:val="20"/>
                <w:szCs w:val="20"/>
              </w:rPr>
              <w:t>Ownership (2)</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pStyle w:val="a3"/>
              <w:spacing w:before="0" w:beforeAutospacing="0" w:after="0" w:afterAutospacing="0"/>
              <w:jc w:val="center"/>
              <w:rPr>
                <w:sz w:val="20"/>
                <w:szCs w:val="20"/>
              </w:rPr>
            </w:pPr>
            <w:r>
              <w:rPr>
                <w:b/>
                <w:bCs/>
                <w:sz w:val="20"/>
                <w:szCs w:val="20"/>
              </w:rPr>
              <w:t>Percent of</w:t>
            </w:r>
          </w:p>
          <w:p w:rsidR="00000000" w:rsidRDefault="00DA7678">
            <w:pPr>
              <w:pStyle w:val="a3"/>
              <w:spacing w:before="0" w:beforeAutospacing="0" w:after="0" w:afterAutospacing="0"/>
              <w:jc w:val="center"/>
              <w:rPr>
                <w:sz w:val="20"/>
                <w:szCs w:val="20"/>
              </w:rPr>
            </w:pPr>
            <w:r>
              <w:rPr>
                <w:b/>
                <w:bCs/>
                <w:sz w:val="20"/>
                <w:szCs w:val="20"/>
              </w:rPr>
              <w:t>Class</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3300" w:type="pct"/>
            <w:shd w:val="clear" w:color="auto" w:fill="CCEEFF"/>
            <w:vAlign w:val="bottom"/>
            <w:hideMark/>
          </w:tcPr>
          <w:p w:rsidR="00000000" w:rsidRDefault="00DA7678">
            <w:pPr>
              <w:jc w:val="both"/>
              <w:rPr>
                <w:rFonts w:eastAsia="Times New Roman"/>
                <w:sz w:val="20"/>
                <w:szCs w:val="20"/>
              </w:rPr>
            </w:pPr>
            <w:r>
              <w:rPr>
                <w:rFonts w:eastAsia="Times New Roman"/>
                <w:sz w:val="20"/>
                <w:szCs w:val="20"/>
              </w:rPr>
              <w:t>Carlton M. Cadwell</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385,302</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DA7678">
            <w:pPr>
              <w:jc w:val="both"/>
              <w:rPr>
                <w:rFonts w:eastAsia="Times New Roman"/>
                <w:b/>
                <w:bCs/>
                <w:sz w:val="20"/>
                <w:szCs w:val="20"/>
              </w:rPr>
            </w:pPr>
            <w:r>
              <w:rPr>
                <w:rFonts w:eastAsia="Times New Roman"/>
                <w:b/>
                <w:bCs/>
                <w:sz w:val="20"/>
                <w:szCs w:val="20"/>
              </w:rPr>
              <w:t xml:space="preserve">All Current Directors and Executive Officers as a group (3 individuals) </w:t>
            </w:r>
            <w:r>
              <w:rPr>
                <w:rFonts w:eastAsia="Times New Roman"/>
                <w:b/>
                <w:bCs/>
                <w:sz w:val="20"/>
                <w:szCs w:val="20"/>
                <w:vertAlign w:val="superscript"/>
              </w:rPr>
              <w:t>(3)</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385,302</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100</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r>
    </w:tbl>
    <w:p w:rsidR="00000000" w:rsidRDefault="00DA7678">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DA7678">
            <w:pPr>
              <w:jc w:val="both"/>
              <w:rPr>
                <w:rFonts w:eastAsia="Times New Roman"/>
                <w:sz w:val="20"/>
                <w:szCs w:val="20"/>
              </w:rPr>
            </w:pPr>
            <w:r>
              <w:rPr>
                <w:rFonts w:eastAsia="Times New Roman"/>
                <w:sz w:val="20"/>
                <w:szCs w:val="20"/>
                <w:vertAlign w:val="superscript"/>
              </w:rPr>
              <w:t>(1)</w:t>
            </w:r>
          </w:p>
        </w:tc>
        <w:tc>
          <w:tcPr>
            <w:tcW w:w="0" w:type="auto"/>
            <w:hideMark/>
          </w:tcPr>
          <w:p w:rsidR="00000000" w:rsidRDefault="00DA7678">
            <w:pPr>
              <w:jc w:val="both"/>
              <w:rPr>
                <w:rFonts w:eastAsia="Times New Roman"/>
                <w:sz w:val="20"/>
                <w:szCs w:val="20"/>
              </w:rPr>
            </w:pPr>
            <w:r>
              <w:rPr>
                <w:rFonts w:eastAsia="Times New Roman"/>
                <w:sz w:val="20"/>
                <w:szCs w:val="20"/>
              </w:rPr>
              <w:t xml:space="preserve">The </w:t>
            </w:r>
            <w:r>
              <w:rPr>
                <w:rFonts w:eastAsia="Times New Roman"/>
                <w:sz w:val="20"/>
                <w:szCs w:val="20"/>
              </w:rPr>
              <w:t xml:space="preserve">address of each of the beneficial owners above is c/o Vivos Inc, 719 Jadwin Avenue, Richland, WA 99336., </w:t>
            </w:r>
          </w:p>
        </w:tc>
      </w:tr>
      <w:tr w:rsidR="00000000">
        <w:trPr>
          <w:tblCellSpacing w:w="0" w:type="dxa"/>
        </w:trPr>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DA7678">
            <w:pPr>
              <w:jc w:val="both"/>
              <w:rPr>
                <w:rFonts w:eastAsia="Times New Roman"/>
                <w:sz w:val="20"/>
                <w:szCs w:val="20"/>
              </w:rPr>
            </w:pPr>
            <w:r>
              <w:rPr>
                <w:rFonts w:eastAsia="Times New Roman"/>
                <w:sz w:val="20"/>
                <w:szCs w:val="20"/>
                <w:vertAlign w:val="superscript"/>
              </w:rPr>
              <w:t>(2)</w:t>
            </w:r>
          </w:p>
        </w:tc>
        <w:tc>
          <w:tcPr>
            <w:tcW w:w="0" w:type="auto"/>
            <w:hideMark/>
          </w:tcPr>
          <w:p w:rsidR="00000000" w:rsidRDefault="00DA7678">
            <w:pPr>
              <w:jc w:val="both"/>
              <w:rPr>
                <w:rFonts w:eastAsia="Times New Roman"/>
                <w:sz w:val="20"/>
                <w:szCs w:val="20"/>
              </w:rPr>
            </w:pPr>
            <w:r>
              <w:rPr>
                <w:rFonts w:eastAsia="Times New Roman"/>
                <w:sz w:val="20"/>
                <w:szCs w:val="20"/>
              </w:rPr>
              <w:t>Subject to community property laws where applicable, the Company believes that each beneficial owner has sole power to vote and dispose of i</w:t>
            </w:r>
            <w:r>
              <w:rPr>
                <w:rFonts w:eastAsia="Times New Roman"/>
                <w:sz w:val="20"/>
                <w:szCs w:val="20"/>
              </w:rPr>
              <w:t>ts shares, except that Dr. Cadwell under the terms of the Cadwell Trust does not have or share voting or investment power over the Series C Preferred beneficially owned by the Cadwell Trust.</w:t>
            </w:r>
          </w:p>
        </w:tc>
      </w:tr>
      <w:tr w:rsidR="00000000">
        <w:trPr>
          <w:tblCellSpacing w:w="0" w:type="dxa"/>
        </w:trPr>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DA7678">
            <w:pPr>
              <w:jc w:val="both"/>
              <w:rPr>
                <w:rFonts w:eastAsia="Times New Roman"/>
                <w:sz w:val="20"/>
                <w:szCs w:val="20"/>
              </w:rPr>
            </w:pPr>
            <w:r>
              <w:rPr>
                <w:rFonts w:eastAsia="Times New Roman"/>
                <w:sz w:val="20"/>
                <w:szCs w:val="20"/>
                <w:vertAlign w:val="superscript"/>
              </w:rPr>
              <w:t>(3)</w:t>
            </w:r>
          </w:p>
        </w:tc>
        <w:tc>
          <w:tcPr>
            <w:tcW w:w="0" w:type="auto"/>
            <w:hideMark/>
          </w:tcPr>
          <w:p w:rsidR="00000000" w:rsidRDefault="00DA7678">
            <w:pPr>
              <w:jc w:val="both"/>
              <w:rPr>
                <w:rFonts w:eastAsia="Times New Roman"/>
                <w:sz w:val="20"/>
                <w:szCs w:val="20"/>
              </w:rPr>
            </w:pPr>
            <w:r>
              <w:rPr>
                <w:rFonts w:eastAsia="Times New Roman"/>
                <w:sz w:val="20"/>
                <w:szCs w:val="20"/>
              </w:rPr>
              <w:t xml:space="preserve">Neither Michael Korenko, the Company’s Chief Executive </w:t>
            </w:r>
            <w:r>
              <w:rPr>
                <w:rFonts w:eastAsia="Times New Roman"/>
                <w:sz w:val="20"/>
                <w:szCs w:val="20"/>
              </w:rPr>
              <w:t>Officer, nor Michael Pollack, the Company’s Interim Chief Financial Officer, hold any shares of the Company’s Series C Preferred, and they have therefore been omitted from this table.</w:t>
            </w:r>
          </w:p>
        </w:tc>
      </w:tr>
    </w:tbl>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Changes in Control</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The </w:t>
      </w:r>
      <w:r>
        <w:rPr>
          <w:sz w:val="20"/>
          <w:szCs w:val="20"/>
        </w:rPr>
        <w:t>Company does not know of any arrangements, including any pledges of the Company’s securities that may result in a change in control of the Company.</w:t>
      </w:r>
    </w:p>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40205995"/>
        </w:trPr>
        <w:tc>
          <w:tcPr>
            <w:tcW w:w="5000" w:type="pct"/>
            <w:hideMark/>
          </w:tcPr>
          <w:p w:rsidR="00000000" w:rsidRDefault="00DA7678">
            <w:pPr>
              <w:jc w:val="center"/>
              <w:rPr>
                <w:rFonts w:eastAsia="Times New Roman"/>
                <w:sz w:val="20"/>
                <w:szCs w:val="20"/>
              </w:rPr>
            </w:pPr>
            <w:r>
              <w:rPr>
                <w:rFonts w:eastAsia="Times New Roman"/>
                <w:sz w:val="20"/>
                <w:szCs w:val="20"/>
              </w:rPr>
              <w:t>3</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ITEM 13. CERTAIN RELATIONSHIPS AND RELATED TRANSACTIONS, AND DIRECTOR INDEPENDENCE.</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Indebtedne</w:t>
      </w:r>
      <w:r>
        <w:rPr>
          <w:b/>
          <w:bCs/>
          <w:i/>
          <w:iCs/>
          <w:sz w:val="20"/>
          <w:szCs w:val="20"/>
          <w:u w:val="single"/>
        </w:rPr>
        <w:t>ss from Related Parties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On January 24, 2019, the Company entered into a note payable with a trust related to Mr. Cadwell in the amount of $60,000. The note is for a one-year period maturing January 24, 2020 and bears interest at an annual rate of 8.0%. T</w:t>
      </w:r>
      <w:r>
        <w:rPr>
          <w:sz w:val="20"/>
          <w:szCs w:val="20"/>
        </w:rPr>
        <w:t>his note was converted into shares of common stock in December 2021.</w:t>
      </w:r>
    </w:p>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On March 27, 2019 the Company entered into a note payable with a trust related to Mr. Cadwell in the amount of $48,000. The note is for a one-year period maturing March 27, 2020 and bea</w:t>
      </w:r>
      <w:r>
        <w:rPr>
          <w:sz w:val="20"/>
          <w:szCs w:val="20"/>
        </w:rPr>
        <w:t>rs interest at an annual rate of 8.0%. This note was repaid in December 2021.</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On April 29, 2019, the Company entered into a note payable with a trust related to Mr. Cadwell in the amount of $29,000. The note is for a one-year period maturing April 29, 20</w:t>
      </w:r>
      <w:r>
        <w:rPr>
          <w:sz w:val="20"/>
          <w:szCs w:val="20"/>
        </w:rPr>
        <w:t>20 and bears interest at an annual rate of 8.0%. This note was repaid in December 2021.</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On May 20, 2019 and May 23, 2019, Mr. Korenko advanced $20,000 collectively to the Company. Mr. Korenko is not charging interest on these amounts advanced and they ar</w:t>
      </w:r>
      <w:r>
        <w:rPr>
          <w:sz w:val="20"/>
          <w:szCs w:val="20"/>
        </w:rPr>
        <w:t>e short-term advances, due on demand. Of this amount $5,000 was repaid and the balance of $15,000 was converted into a convertible note payable at an annual interest rate of 8% due January 15, 2020. This note was converted in April 2020.</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On </w:t>
      </w:r>
      <w:r>
        <w:rPr>
          <w:sz w:val="20"/>
          <w:szCs w:val="20"/>
        </w:rPr>
        <w:t>July 5, 2019, the Company entered into a note payable with a trust related to Mr. Cadwell in the amount of $50,000. The note is for a one-year period maturing July 5, 2020 and bears interest at an annual rate of 8.0%. Of this amount, $23,000 was paid in De</w:t>
      </w:r>
      <w:r>
        <w:rPr>
          <w:sz w:val="20"/>
          <w:szCs w:val="20"/>
        </w:rPr>
        <w:t>cember 2021, and the balance was converted into shares of common stock in December 2021.</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On November 25, 2019, the Company entered into a note payable with a trust related to Mr. Cadwell in the amount of $50,000. The note is for a one-year period maturin</w:t>
      </w:r>
      <w:r>
        <w:rPr>
          <w:sz w:val="20"/>
          <w:szCs w:val="20"/>
        </w:rPr>
        <w:t>g November 25, 2020 and bears interest at an annual rate of 8.0%. This note was converted into shares of common stock in December 2021.</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 borrowed $107,000 in the year ended December 31, 2020 from its CEO and repaid these amounts in full.</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Ind</w:t>
      </w:r>
      <w:r>
        <w:rPr>
          <w:b/>
          <w:bCs/>
          <w:i/>
          <w:iCs/>
          <w:sz w:val="20"/>
          <w:szCs w:val="20"/>
          <w:u w:val="single"/>
        </w:rPr>
        <w:t>ependent Directors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Company’s common stock is traded on the OTCQB Marketplace, which does not impose any independence requirements on the Board of Directors or the board committees of the companies whose stock is traded on that market. The Company has</w:t>
      </w:r>
      <w:r>
        <w:rPr>
          <w:sz w:val="20"/>
          <w:szCs w:val="20"/>
        </w:rPr>
        <w:t xml:space="preserve"> decided to adopt the independence standards of the Nasdaq listing rules in determining whether the Company’s directors are independent. Generally, under those rules a director does not qualify as an independent director if the director or a member of the </w:t>
      </w:r>
      <w:r>
        <w:rPr>
          <w:sz w:val="20"/>
          <w:szCs w:val="20"/>
        </w:rPr>
        <w:t>director’s immediate family has had in the past three years certain relationships or affiliations with the Company, the Company’s auditors, or other companies that do business with the Company. The Company’s Board of Directors has determined that Mr. Cadwe</w:t>
      </w:r>
      <w:r>
        <w:rPr>
          <w:sz w:val="20"/>
          <w:szCs w:val="20"/>
        </w:rPr>
        <w:t>ll is qualified as an independent director under those Nasdaq rules, and accordingly, would have been qualified under those rules to serve on a compensation committee or a nominating committee, if the Company had established such committees of the Company’</w:t>
      </w:r>
      <w:r>
        <w:rPr>
          <w:sz w:val="20"/>
          <w:szCs w:val="20"/>
        </w:rPr>
        <w:t>s Board of Directors. Dr. Korenko is not an independent director due to his employment by the Company as an executive officer.</w:t>
      </w:r>
    </w:p>
    <w:p w:rsidR="00000000" w:rsidRDefault="00DA767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23751626"/>
        </w:trPr>
        <w:tc>
          <w:tcPr>
            <w:tcW w:w="5000" w:type="pct"/>
            <w:hideMark/>
          </w:tcPr>
          <w:p w:rsidR="00000000" w:rsidRDefault="00DA7678">
            <w:pPr>
              <w:jc w:val="center"/>
              <w:rPr>
                <w:rFonts w:eastAsia="Times New Roman"/>
                <w:sz w:val="20"/>
                <w:szCs w:val="20"/>
              </w:rPr>
            </w:pPr>
            <w:r>
              <w:rPr>
                <w:rFonts w:eastAsia="Times New Roman"/>
                <w:sz w:val="20"/>
                <w:szCs w:val="20"/>
              </w:rPr>
              <w:t>3</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ITEM 14. PRINCIPAL ACCOUNTANT FEES AND SERVICES.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Audit Fees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The </w:t>
      </w:r>
      <w:r>
        <w:rPr>
          <w:sz w:val="20"/>
          <w:szCs w:val="20"/>
        </w:rPr>
        <w:t>aggregate fees incurred by the Company’s principal accountant for the audit of the Company’s annual financial statements, review of financial statements included in the quarterly reports and other fees that are normally provided by the accountant in connec</w:t>
      </w:r>
      <w:r>
        <w:rPr>
          <w:sz w:val="20"/>
          <w:szCs w:val="20"/>
        </w:rPr>
        <w:t>tion with statutory and regulatory filings or engagements for the years ended December 31, 2022 and 2021 were $42,250 and $36,000, respectively, all of which was paid to Fruci &amp; Associates II, PLLC.</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Audit Related Fees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aggregate fees billed for prof</w:t>
      </w:r>
      <w:r>
        <w:rPr>
          <w:sz w:val="20"/>
          <w:szCs w:val="20"/>
        </w:rPr>
        <w:t>essional services that are reasonably related to the performance of the audit or review of the Company’s financial statements but are not reported “Audit Fees” for the years ended December 31, 2022 and 2021 in the amounts of $0 and $2,250, respectively. Al</w:t>
      </w:r>
      <w:r>
        <w:rPr>
          <w:sz w:val="20"/>
          <w:szCs w:val="20"/>
        </w:rPr>
        <w:t>l services performed by the Company’s Registered Public Accounting Firm, Fruci &amp; Associates II, PLLC have been pre-approved by the Company’s Board of Directors.</w:t>
      </w:r>
    </w:p>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Tax Fees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The aggregate fees billed for professional services rendered by principal accounta</w:t>
      </w:r>
      <w:r>
        <w:rPr>
          <w:sz w:val="20"/>
          <w:szCs w:val="20"/>
        </w:rPr>
        <w:t>nt for tax compliance, tax advice and tax planning during the years ended December 31, 2022 and 2021 were $3,250 and $3,250, respectively, all of which was paid to Fruci &amp; Associates II, PLLC.</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u w:val="single"/>
        </w:rPr>
        <w:t>All Other Fees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Other fees billed for products or services p</w:t>
      </w:r>
      <w:r>
        <w:rPr>
          <w:sz w:val="20"/>
          <w:szCs w:val="20"/>
        </w:rPr>
        <w:t>rovided by the Company’s principal accountant during the years ended December 31, 2022 and 2021 There were no fees incurred to Fruci &amp; Associates II, PLLC related to all other fees.</w:t>
      </w:r>
    </w:p>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70759015"/>
        </w:trPr>
        <w:tc>
          <w:tcPr>
            <w:tcW w:w="5000" w:type="pct"/>
            <w:hideMark/>
          </w:tcPr>
          <w:p w:rsidR="00000000" w:rsidRDefault="00DA7678">
            <w:pPr>
              <w:jc w:val="center"/>
              <w:rPr>
                <w:rFonts w:eastAsia="Times New Roman"/>
                <w:sz w:val="20"/>
                <w:szCs w:val="20"/>
              </w:rPr>
            </w:pPr>
            <w:r>
              <w:rPr>
                <w:rFonts w:eastAsia="Times New Roman"/>
                <w:sz w:val="20"/>
                <w:szCs w:val="20"/>
              </w:rPr>
              <w:t>4</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center"/>
        <w:rPr>
          <w:sz w:val="20"/>
          <w:szCs w:val="20"/>
        </w:rPr>
      </w:pPr>
      <w:r>
        <w:rPr>
          <w:b/>
          <w:bCs/>
          <w:sz w:val="20"/>
          <w:szCs w:val="20"/>
        </w:rPr>
        <w:t>PART IV</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 xml:space="preserve">ITEM </w:t>
      </w:r>
      <w:r>
        <w:rPr>
          <w:b/>
          <w:bCs/>
          <w:sz w:val="20"/>
          <w:szCs w:val="20"/>
        </w:rPr>
        <w:t>15. EXHIBITS AND FINANCIAL STATEMENT SCHEDULES.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(a) Documents filed as part of this Report.</w:t>
      </w:r>
    </w:p>
    <w:p w:rsidR="00000000" w:rsidRDefault="00DA767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tc>
          <w:tcPr>
            <w:tcW w:w="720" w:type="dxa"/>
            <w:hideMark/>
          </w:tcPr>
          <w:p w:rsidR="00000000" w:rsidRDefault="00DA7678">
            <w:pPr>
              <w:jc w:val="both"/>
              <w:rPr>
                <w:rFonts w:eastAsia="Times New Roman"/>
                <w:sz w:val="20"/>
                <w:szCs w:val="20"/>
              </w:rPr>
            </w:pPr>
            <w:r>
              <w:rPr>
                <w:rFonts w:eastAsia="Times New Roman"/>
                <w:b/>
                <w:bCs/>
                <w:i/>
                <w:iCs/>
                <w:sz w:val="20"/>
                <w:szCs w:val="20"/>
              </w:rPr>
              <w:t>1.</w:t>
            </w:r>
          </w:p>
        </w:tc>
        <w:tc>
          <w:tcPr>
            <w:tcW w:w="0" w:type="auto"/>
            <w:hideMark/>
          </w:tcPr>
          <w:p w:rsidR="00000000" w:rsidRDefault="00DA7678">
            <w:pPr>
              <w:jc w:val="both"/>
              <w:rPr>
                <w:rFonts w:eastAsia="Times New Roman"/>
                <w:sz w:val="20"/>
                <w:szCs w:val="20"/>
              </w:rPr>
            </w:pPr>
            <w:r>
              <w:rPr>
                <w:rFonts w:eastAsia="Times New Roman"/>
                <w:b/>
                <w:bCs/>
                <w:i/>
                <w:iCs/>
                <w:sz w:val="20"/>
                <w:szCs w:val="20"/>
                <w:u w:val="single"/>
              </w:rPr>
              <w:t>Financial Statements</w:t>
            </w:r>
            <w:r>
              <w:rPr>
                <w:rFonts w:eastAsia="Times New Roman"/>
                <w:b/>
                <w:bCs/>
                <w:i/>
                <w:iCs/>
                <w:sz w:val="20"/>
                <w:szCs w:val="20"/>
              </w:rPr>
              <w:t xml:space="preserve">. </w:t>
            </w:r>
            <w:r>
              <w:rPr>
                <w:rFonts w:eastAsia="Times New Roman"/>
                <w:sz w:val="20"/>
                <w:szCs w:val="20"/>
              </w:rPr>
              <w:t>The Vivos Inc. Balance Sheets as of December 31, 2022 and 2021, the Statements of Operations for the years ended December 31, 2022 and 2021, the Statements of Changes in Stockholders’ Deficit for the years ended December 31, 2022 and 2021, and the Statemen</w:t>
            </w:r>
            <w:r>
              <w:rPr>
                <w:rFonts w:eastAsia="Times New Roman"/>
                <w:sz w:val="20"/>
                <w:szCs w:val="20"/>
              </w:rPr>
              <w:t>ts of Cash Flows for the years ended December 31, 2022 and 2021, together with the notes thereto and the reports of Fruci &amp; Associates II, PLLC as required by Item 8 are included in this 2022 Annual Report on Form 10-K as set forth in Item 8 above.</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r>
      <w:tr w:rsidR="00000000">
        <w:tc>
          <w:tcPr>
            <w:tcW w:w="0" w:type="auto"/>
            <w:hideMark/>
          </w:tcPr>
          <w:p w:rsidR="00000000" w:rsidRDefault="00DA7678">
            <w:pPr>
              <w:jc w:val="both"/>
              <w:rPr>
                <w:rFonts w:eastAsia="Times New Roman"/>
                <w:sz w:val="20"/>
                <w:szCs w:val="20"/>
              </w:rPr>
            </w:pPr>
            <w:r>
              <w:rPr>
                <w:rFonts w:eastAsia="Times New Roman"/>
                <w:b/>
                <w:bCs/>
                <w:i/>
                <w:iCs/>
                <w:sz w:val="20"/>
                <w:szCs w:val="20"/>
              </w:rPr>
              <w:t>2</w:t>
            </w:r>
            <w:r>
              <w:rPr>
                <w:rFonts w:eastAsia="Times New Roman"/>
                <w:b/>
                <w:bCs/>
                <w:i/>
                <w:iCs/>
                <w:sz w:val="20"/>
                <w:szCs w:val="20"/>
              </w:rPr>
              <w:t>.</w:t>
            </w:r>
          </w:p>
        </w:tc>
        <w:tc>
          <w:tcPr>
            <w:tcW w:w="0" w:type="auto"/>
            <w:hideMark/>
          </w:tcPr>
          <w:p w:rsidR="00000000" w:rsidRDefault="00DA7678">
            <w:pPr>
              <w:jc w:val="both"/>
              <w:rPr>
                <w:rFonts w:eastAsia="Times New Roman"/>
                <w:sz w:val="20"/>
                <w:szCs w:val="20"/>
              </w:rPr>
            </w:pPr>
            <w:r>
              <w:rPr>
                <w:rFonts w:eastAsia="Times New Roman"/>
                <w:b/>
                <w:bCs/>
                <w:i/>
                <w:iCs/>
                <w:sz w:val="20"/>
                <w:szCs w:val="20"/>
                <w:u w:val="single"/>
              </w:rPr>
              <w:t>Financial Statement Schedules</w:t>
            </w:r>
            <w:r>
              <w:rPr>
                <w:rFonts w:eastAsia="Times New Roman"/>
                <w:sz w:val="20"/>
                <w:szCs w:val="20"/>
              </w:rPr>
              <w:t xml:space="preserve">. All financial statement schedules have been omitted since they are either not required or not applicable, </w:t>
            </w:r>
            <w:r>
              <w:rPr>
                <w:rFonts w:eastAsia="Times New Roman"/>
                <w:sz w:val="20"/>
                <w:szCs w:val="20"/>
              </w:rPr>
              <w:t>or because the information required is included in the financial statements or the notes thereto.</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r>
      <w:tr w:rsidR="00000000">
        <w:tc>
          <w:tcPr>
            <w:tcW w:w="0" w:type="auto"/>
            <w:hideMark/>
          </w:tcPr>
          <w:p w:rsidR="00000000" w:rsidRDefault="00DA7678">
            <w:pPr>
              <w:jc w:val="both"/>
              <w:rPr>
                <w:rFonts w:eastAsia="Times New Roman"/>
                <w:sz w:val="20"/>
                <w:szCs w:val="20"/>
              </w:rPr>
            </w:pPr>
            <w:r>
              <w:rPr>
                <w:rFonts w:eastAsia="Times New Roman"/>
                <w:b/>
                <w:bCs/>
                <w:i/>
                <w:iCs/>
                <w:sz w:val="20"/>
                <w:szCs w:val="20"/>
              </w:rPr>
              <w:t>3.</w:t>
            </w:r>
          </w:p>
        </w:tc>
        <w:tc>
          <w:tcPr>
            <w:tcW w:w="0" w:type="auto"/>
            <w:hideMark/>
          </w:tcPr>
          <w:p w:rsidR="00000000" w:rsidRDefault="00DA7678">
            <w:pPr>
              <w:jc w:val="both"/>
              <w:rPr>
                <w:rFonts w:eastAsia="Times New Roman"/>
                <w:sz w:val="20"/>
                <w:szCs w:val="20"/>
              </w:rPr>
            </w:pPr>
            <w:r>
              <w:rPr>
                <w:rFonts w:eastAsia="Times New Roman"/>
                <w:b/>
                <w:bCs/>
                <w:i/>
                <w:iCs/>
                <w:sz w:val="20"/>
                <w:szCs w:val="20"/>
                <w:u w:val="single"/>
              </w:rPr>
              <w:t>Exhibits</w:t>
            </w:r>
            <w:r>
              <w:rPr>
                <w:rFonts w:eastAsia="Times New Roman"/>
                <w:sz w:val="20"/>
                <w:szCs w:val="20"/>
              </w:rPr>
              <w:t>. The following exhibits are either filed as a part hereof or are incorporated by reference. Exhibit numbers correspond to the numbering syst</w:t>
            </w:r>
            <w:r>
              <w:rPr>
                <w:rFonts w:eastAsia="Times New Roman"/>
                <w:sz w:val="20"/>
                <w:szCs w:val="20"/>
              </w:rPr>
              <w:t>em in Item 601 of Regulation S-K.</w:t>
            </w:r>
          </w:p>
        </w:tc>
      </w:tr>
    </w:tbl>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144"/>
        <w:gridCol w:w="7082"/>
      </w:tblGrid>
      <w:tr w:rsidR="00000000">
        <w:tc>
          <w:tcPr>
            <w:tcW w:w="1080" w:type="dxa"/>
            <w:tcBorders>
              <w:bottom w:val="single" w:sz="12" w:space="0" w:color="000000"/>
            </w:tcBorders>
            <w:hideMark/>
          </w:tcPr>
          <w:p w:rsidR="00000000" w:rsidRDefault="00DA7678">
            <w:pPr>
              <w:pStyle w:val="a3"/>
              <w:spacing w:before="0" w:beforeAutospacing="0" w:after="0" w:afterAutospacing="0"/>
              <w:rPr>
                <w:sz w:val="20"/>
                <w:szCs w:val="20"/>
              </w:rPr>
            </w:pPr>
            <w:r>
              <w:rPr>
                <w:b/>
                <w:bCs/>
                <w:sz w:val="20"/>
                <w:szCs w:val="20"/>
              </w:rPr>
              <w:t>Exhibit</w:t>
            </w:r>
          </w:p>
          <w:p w:rsidR="00000000" w:rsidRDefault="00DA7678">
            <w:pPr>
              <w:pStyle w:val="a3"/>
              <w:spacing w:before="0" w:beforeAutospacing="0" w:after="0" w:afterAutospacing="0"/>
              <w:jc w:val="both"/>
              <w:rPr>
                <w:sz w:val="20"/>
                <w:szCs w:val="20"/>
              </w:rPr>
            </w:pPr>
            <w:r>
              <w:rPr>
                <w:b/>
                <w:bCs/>
                <w:sz w:val="20"/>
                <w:szCs w:val="20"/>
              </w:rPr>
              <w:t>Number</w:t>
            </w:r>
          </w:p>
        </w:tc>
        <w:tc>
          <w:tcPr>
            <w:tcW w:w="144" w:type="dxa"/>
            <w:hideMark/>
          </w:tcPr>
          <w:p w:rsidR="00000000" w:rsidRDefault="00DA7678">
            <w:pPr>
              <w:jc w:val="both"/>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DA7678">
            <w:pPr>
              <w:jc w:val="both"/>
              <w:rPr>
                <w:rFonts w:eastAsia="Times New Roman"/>
                <w:sz w:val="20"/>
                <w:szCs w:val="20"/>
              </w:rPr>
            </w:pPr>
            <w:r>
              <w:rPr>
                <w:rFonts w:eastAsia="Times New Roman"/>
                <w:b/>
                <w:bCs/>
                <w:sz w:val="20"/>
                <w:szCs w:val="20"/>
              </w:rPr>
              <w:t>Description</w:t>
            </w:r>
          </w:p>
        </w:tc>
      </w:tr>
      <w:tr w:rsidR="00000000">
        <w:tc>
          <w:tcPr>
            <w:tcW w:w="0" w:type="auto"/>
            <w:hideMark/>
          </w:tcPr>
          <w:p w:rsidR="00000000" w:rsidRDefault="00DA7678">
            <w:pPr>
              <w:jc w:val="center"/>
              <w:rPr>
                <w:rFonts w:eastAsia="Times New Roman"/>
                <w:sz w:val="20"/>
                <w:szCs w:val="20"/>
              </w:rPr>
            </w:pPr>
            <w:r>
              <w:rPr>
                <w:rFonts w:eastAsia="Times New Roman"/>
                <w:sz w:val="20"/>
                <w:szCs w:val="20"/>
              </w:rPr>
              <w:t>3.1</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hyperlink r:id="rId4" w:history="1">
              <w:r>
                <w:rPr>
                  <w:rStyle w:val="a4"/>
                  <w:rFonts w:eastAsia="Times New Roman"/>
                  <w:sz w:val="20"/>
                  <w:szCs w:val="20"/>
                </w:rPr>
                <w:t>Certificate of Incorporation of Savage Mountain Sports Corporation, dated January 11</w:t>
              </w:r>
              <w:r>
                <w:rPr>
                  <w:rStyle w:val="a4"/>
                  <w:rFonts w:eastAsia="Times New Roman"/>
                  <w:sz w:val="20"/>
                  <w:szCs w:val="20"/>
                </w:rPr>
                <w:t>, 2000 (incorporated by reference to Exhibit 3.1 to the Company’s Registration Statement on Form 10-12G (File No. 000-53497) filed on November 12, 2008).</w:t>
              </w:r>
            </w:hyperlink>
          </w:p>
        </w:tc>
      </w:tr>
      <w:tr w:rsidR="00000000">
        <w:tc>
          <w:tcPr>
            <w:tcW w:w="0" w:type="auto"/>
            <w:hideMark/>
          </w:tcPr>
          <w:p w:rsidR="00000000" w:rsidRDefault="00DA7678">
            <w:pPr>
              <w:jc w:val="center"/>
              <w:rPr>
                <w:rFonts w:eastAsia="Times New Roman"/>
                <w:sz w:val="20"/>
                <w:szCs w:val="20"/>
              </w:rPr>
            </w:pPr>
            <w:r>
              <w:rPr>
                <w:rFonts w:eastAsia="Times New Roman"/>
                <w:sz w:val="20"/>
                <w:szCs w:val="20"/>
              </w:rPr>
              <w:t>3.2</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hyperlink r:id="rId5" w:history="1">
              <w:r>
                <w:rPr>
                  <w:rStyle w:val="a4"/>
                  <w:rFonts w:eastAsia="Times New Roman"/>
                  <w:sz w:val="20"/>
                  <w:szCs w:val="20"/>
                </w:rPr>
                <w:t>By-Laws (incorporated by reference to Exhibit 3.2 to the Company’s Registration Statement on Form 10-12G (File No. 000-53497) filed on November 12, 2008).</w:t>
              </w:r>
            </w:hyperlink>
          </w:p>
        </w:tc>
      </w:tr>
      <w:tr w:rsidR="00000000">
        <w:tc>
          <w:tcPr>
            <w:tcW w:w="0" w:type="auto"/>
            <w:hideMark/>
          </w:tcPr>
          <w:p w:rsidR="00000000" w:rsidRDefault="00DA7678">
            <w:pPr>
              <w:jc w:val="center"/>
              <w:rPr>
                <w:rFonts w:eastAsia="Times New Roman"/>
                <w:sz w:val="20"/>
                <w:szCs w:val="20"/>
              </w:rPr>
            </w:pPr>
            <w:r>
              <w:rPr>
                <w:rFonts w:eastAsia="Times New Roman"/>
                <w:sz w:val="20"/>
                <w:szCs w:val="20"/>
              </w:rPr>
              <w:t>3</w:t>
            </w:r>
            <w:r>
              <w:rPr>
                <w:rFonts w:eastAsia="Times New Roman"/>
                <w:sz w:val="20"/>
                <w:szCs w:val="20"/>
              </w:rPr>
              <w:t>.3</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hyperlink r:id="rId6" w:history="1">
              <w:r>
                <w:rPr>
                  <w:rStyle w:val="a4"/>
                  <w:rFonts w:eastAsia="Times New Roman"/>
                  <w:sz w:val="20"/>
                  <w:szCs w:val="20"/>
                </w:rPr>
                <w:t>Certificate of Amendment of Certificate of Incorporation changing the name of the Company to Advanced Medical Isotope Corporation, dated May 23, 2006 (i</w:t>
              </w:r>
              <w:r>
                <w:rPr>
                  <w:rStyle w:val="a4"/>
                  <w:rFonts w:eastAsia="Times New Roman"/>
                  <w:sz w:val="20"/>
                  <w:szCs w:val="20"/>
                </w:rPr>
                <w:t>ncorporated by reference to Exhibit 3.5 to the Company’s Registration Statement on Form 10-12G (File No. 000-53497) filed on November 12, 2008).</w:t>
              </w:r>
            </w:hyperlink>
          </w:p>
        </w:tc>
      </w:tr>
      <w:tr w:rsidR="00000000">
        <w:tc>
          <w:tcPr>
            <w:tcW w:w="0" w:type="auto"/>
            <w:hideMark/>
          </w:tcPr>
          <w:p w:rsidR="00000000" w:rsidRDefault="00DA7678">
            <w:pPr>
              <w:jc w:val="center"/>
              <w:rPr>
                <w:rFonts w:eastAsia="Times New Roman"/>
                <w:sz w:val="20"/>
                <w:szCs w:val="20"/>
              </w:rPr>
            </w:pPr>
            <w:r>
              <w:rPr>
                <w:rFonts w:eastAsia="Times New Roman"/>
                <w:sz w:val="20"/>
                <w:szCs w:val="20"/>
              </w:rPr>
              <w:t>3.4</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hyperlink r:id="rId7" w:history="1">
              <w:r>
                <w:rPr>
                  <w:rStyle w:val="a4"/>
                  <w:rFonts w:eastAsia="Times New Roman"/>
                  <w:sz w:val="20"/>
                  <w:szCs w:val="20"/>
                </w:rPr>
                <w:t>Certi</w:t>
              </w:r>
              <w:r>
                <w:rPr>
                  <w:rStyle w:val="a4"/>
                  <w:rFonts w:eastAsia="Times New Roman"/>
                  <w:sz w:val="20"/>
                  <w:szCs w:val="20"/>
                </w:rPr>
                <w:t>ficate of Amendment of Certificate of Incorporation increasing authorized capital dated September 26, 2006 (incorporated by reference to Exhibit 3.6 to the Company’s Registration Statement on Form 10-12G (File No. 000-53497) filed on November 12, 2008).</w:t>
              </w:r>
            </w:hyperlink>
          </w:p>
        </w:tc>
      </w:tr>
      <w:tr w:rsidR="00000000">
        <w:tc>
          <w:tcPr>
            <w:tcW w:w="0" w:type="auto"/>
            <w:hideMark/>
          </w:tcPr>
          <w:p w:rsidR="00000000" w:rsidRDefault="00DA7678">
            <w:pPr>
              <w:jc w:val="center"/>
              <w:rPr>
                <w:rFonts w:eastAsia="Times New Roman"/>
                <w:sz w:val="20"/>
                <w:szCs w:val="20"/>
              </w:rPr>
            </w:pPr>
            <w:r>
              <w:rPr>
                <w:rFonts w:eastAsia="Times New Roman"/>
                <w:sz w:val="20"/>
                <w:szCs w:val="20"/>
              </w:rPr>
              <w:t>3</w:t>
            </w:r>
            <w:r>
              <w:rPr>
                <w:rFonts w:eastAsia="Times New Roman"/>
                <w:sz w:val="20"/>
                <w:szCs w:val="20"/>
              </w:rPr>
              <w:t>.5</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hyperlink r:id="rId8" w:history="1">
              <w:r>
                <w:rPr>
                  <w:rStyle w:val="a4"/>
                  <w:rFonts w:eastAsia="Times New Roman"/>
                  <w:sz w:val="20"/>
                  <w:szCs w:val="20"/>
                </w:rPr>
                <w:t>Certificate of Amendment to the Certificate of Incorporation increasing authorized common stock and authorizing preferred stock, dated May 18, 2011 (inc</w:t>
              </w:r>
              <w:r>
                <w:rPr>
                  <w:rStyle w:val="a4"/>
                  <w:rFonts w:eastAsia="Times New Roman"/>
                  <w:sz w:val="20"/>
                  <w:szCs w:val="20"/>
                </w:rPr>
                <w:t>orporated by reference to Exhibit 3.1 to the Company’s Current Report on Form 8-K filed on May 18, 2011).</w:t>
              </w:r>
            </w:hyperlink>
          </w:p>
        </w:tc>
      </w:tr>
      <w:tr w:rsidR="00000000">
        <w:tc>
          <w:tcPr>
            <w:tcW w:w="0" w:type="auto"/>
            <w:hideMark/>
          </w:tcPr>
          <w:p w:rsidR="00000000" w:rsidRDefault="00DA7678">
            <w:pPr>
              <w:jc w:val="center"/>
              <w:rPr>
                <w:rFonts w:eastAsia="Times New Roman"/>
                <w:sz w:val="20"/>
                <w:szCs w:val="20"/>
              </w:rPr>
            </w:pPr>
            <w:r>
              <w:rPr>
                <w:rFonts w:eastAsia="Times New Roman"/>
                <w:sz w:val="20"/>
                <w:szCs w:val="20"/>
              </w:rPr>
              <w:t>3.6</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hyperlink r:id="rId9" w:history="1">
              <w:r>
                <w:rPr>
                  <w:rStyle w:val="a4"/>
                  <w:rFonts w:eastAsia="Times New Roman"/>
                  <w:sz w:val="20"/>
                  <w:szCs w:val="20"/>
                </w:rPr>
                <w:t xml:space="preserve">Certificate of Amendment to the Certificate </w:t>
              </w:r>
              <w:r>
                <w:rPr>
                  <w:rStyle w:val="a4"/>
                  <w:rFonts w:eastAsia="Times New Roman"/>
                  <w:sz w:val="20"/>
                  <w:szCs w:val="20"/>
                </w:rPr>
                <w:t>of Incorporation authorizing a series of Preferred Stock to be named “Series A Convertible Preferred Stock”, consisting of 2,500,000 shares, which series shall have specific designations, powers, preferences and relative and other special rights, qualifica</w:t>
              </w:r>
              <w:r>
                <w:rPr>
                  <w:rStyle w:val="a4"/>
                  <w:rFonts w:eastAsia="Times New Roman"/>
                  <w:sz w:val="20"/>
                  <w:szCs w:val="20"/>
                </w:rPr>
                <w:t>tions, limitations and restrictions as outlined in the Certificate of Designations, filed June 30, 2015 (incorporated by reference to Exhibit 4.1 to the Company’s Current Report on Form 8-K filed on July 7, 2015).</w:t>
              </w:r>
            </w:hyperlink>
          </w:p>
        </w:tc>
      </w:tr>
      <w:tr w:rsidR="00000000">
        <w:tc>
          <w:tcPr>
            <w:tcW w:w="0" w:type="auto"/>
            <w:hideMark/>
          </w:tcPr>
          <w:p w:rsidR="00000000" w:rsidRDefault="00DA7678">
            <w:pPr>
              <w:jc w:val="center"/>
              <w:rPr>
                <w:rFonts w:eastAsia="Times New Roman"/>
                <w:sz w:val="20"/>
                <w:szCs w:val="20"/>
              </w:rPr>
            </w:pPr>
            <w:r>
              <w:rPr>
                <w:rFonts w:eastAsia="Times New Roman"/>
                <w:sz w:val="20"/>
                <w:szCs w:val="20"/>
              </w:rPr>
              <w:t>3.7</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hyperlink r:id="rId10" w:history="1">
              <w:r>
                <w:rPr>
                  <w:rStyle w:val="a4"/>
                  <w:rFonts w:eastAsia="Times New Roman"/>
                  <w:sz w:val="20"/>
                  <w:szCs w:val="20"/>
                </w:rPr>
                <w:t>Certificate of Amendment to the Certificate of Incorporation increasing the authorized series of “Series A Convertible Preferred Stock” to 5,000,000 shares, filed March 31, 2016 (incorporated by r</w:t>
              </w:r>
              <w:r>
                <w:rPr>
                  <w:rStyle w:val="a4"/>
                  <w:rFonts w:eastAsia="Times New Roman"/>
                  <w:sz w:val="20"/>
                  <w:szCs w:val="20"/>
                </w:rPr>
                <w:t>eference to Exhibit 10.1 to the Company’s Current Report on Form 8-K filed on April 7, 2016).</w:t>
              </w:r>
            </w:hyperlink>
          </w:p>
        </w:tc>
      </w:tr>
      <w:tr w:rsidR="00000000">
        <w:tc>
          <w:tcPr>
            <w:tcW w:w="0" w:type="auto"/>
            <w:hideMark/>
          </w:tcPr>
          <w:p w:rsidR="00000000" w:rsidRDefault="00DA7678">
            <w:pPr>
              <w:jc w:val="center"/>
              <w:rPr>
                <w:rFonts w:eastAsia="Times New Roman"/>
                <w:sz w:val="20"/>
                <w:szCs w:val="20"/>
              </w:rPr>
            </w:pPr>
            <w:r>
              <w:rPr>
                <w:rFonts w:eastAsia="Times New Roman"/>
                <w:sz w:val="20"/>
                <w:szCs w:val="20"/>
              </w:rPr>
              <w:t>3.8</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hyperlink r:id="rId11" w:history="1">
              <w:r>
                <w:rPr>
                  <w:rStyle w:val="a4"/>
                  <w:rFonts w:eastAsia="Times New Roman"/>
                  <w:sz w:val="20"/>
                  <w:szCs w:val="20"/>
                </w:rPr>
                <w:t>Certificate of Amendment to the Certificate of Incorporation authorizing a series of Preferred Stock to be named “Series B Convertible Preferred Stock”, consisting</w:t>
              </w:r>
              <w:r>
                <w:rPr>
                  <w:rStyle w:val="a4"/>
                  <w:rFonts w:eastAsia="Times New Roman"/>
                  <w:sz w:val="20"/>
                  <w:szCs w:val="20"/>
                </w:rPr>
                <w:t xml:space="preserve"> of 5,000,000 shares, which series shall have specific designations, powers, preferences and relative and other special rights, qualifications, limitations and restrictions as outlined in the Certificate of Designations, filed October 10, 2018 (incorporate</w:t>
              </w:r>
              <w:r>
                <w:rPr>
                  <w:rStyle w:val="a4"/>
                  <w:rFonts w:eastAsia="Times New Roman"/>
                  <w:sz w:val="20"/>
                  <w:szCs w:val="20"/>
                </w:rPr>
                <w:t>d by reference to Exhibit 3.1 to the Company’s Current Report on Form 8-K filed on October 17, 2018).</w:t>
              </w:r>
            </w:hyperlink>
          </w:p>
        </w:tc>
      </w:tr>
    </w:tbl>
    <w:p w:rsidR="00000000" w:rsidRDefault="00DA767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62376821"/>
        </w:trPr>
        <w:tc>
          <w:tcPr>
            <w:tcW w:w="5000" w:type="pct"/>
            <w:hideMark/>
          </w:tcPr>
          <w:p w:rsidR="00000000" w:rsidRDefault="00DA7678">
            <w:pPr>
              <w:jc w:val="center"/>
              <w:rPr>
                <w:rFonts w:eastAsia="Times New Roman"/>
                <w:sz w:val="20"/>
                <w:szCs w:val="20"/>
              </w:rPr>
            </w:pPr>
            <w:r>
              <w:rPr>
                <w:rFonts w:eastAsia="Times New Roman"/>
                <w:sz w:val="20"/>
                <w:szCs w:val="20"/>
              </w:rPr>
              <w:t>4</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144"/>
        <w:gridCol w:w="7082"/>
      </w:tblGrid>
      <w:tr w:rsidR="00000000">
        <w:tc>
          <w:tcPr>
            <w:tcW w:w="1080" w:type="dxa"/>
            <w:hideMark/>
          </w:tcPr>
          <w:p w:rsidR="00000000" w:rsidRDefault="00DA7678">
            <w:pPr>
              <w:jc w:val="center"/>
              <w:rPr>
                <w:rFonts w:eastAsia="Times New Roman"/>
                <w:sz w:val="20"/>
                <w:szCs w:val="20"/>
              </w:rPr>
            </w:pPr>
            <w:r>
              <w:rPr>
                <w:rFonts w:eastAsia="Times New Roman"/>
                <w:sz w:val="20"/>
                <w:szCs w:val="20"/>
              </w:rPr>
              <w:t>4.1</w:t>
            </w:r>
          </w:p>
        </w:tc>
        <w:tc>
          <w:tcPr>
            <w:tcW w:w="144" w:type="dxa"/>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hyperlink r:id="rId12" w:history="1">
              <w:r>
                <w:rPr>
                  <w:rStyle w:val="a4"/>
                  <w:rFonts w:eastAsia="Times New Roman"/>
                  <w:sz w:val="20"/>
                  <w:szCs w:val="20"/>
                </w:rPr>
                <w:t>Form of Warrant (incorporated by reference to Exhibit 4.1 to the Company’s Current Report on Form 8-K filed on October 17, 2018).</w:t>
              </w:r>
            </w:hyperlink>
          </w:p>
        </w:tc>
      </w:tr>
      <w:tr w:rsidR="00000000">
        <w:tc>
          <w:tcPr>
            <w:tcW w:w="0" w:type="auto"/>
            <w:hideMark/>
          </w:tcPr>
          <w:p w:rsidR="00000000" w:rsidRDefault="00DA7678">
            <w:pPr>
              <w:jc w:val="center"/>
              <w:rPr>
                <w:rFonts w:eastAsia="Times New Roman"/>
                <w:sz w:val="20"/>
                <w:szCs w:val="20"/>
              </w:rPr>
            </w:pPr>
            <w:r>
              <w:rPr>
                <w:rFonts w:eastAsia="Times New Roman"/>
                <w:sz w:val="20"/>
                <w:szCs w:val="20"/>
              </w:rPr>
              <w:t>10.1</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hyperlink r:id="rId13" w:history="1">
              <w:r>
                <w:rPr>
                  <w:rStyle w:val="a4"/>
                  <w:rFonts w:eastAsia="Times New Roman"/>
                  <w:sz w:val="20"/>
                  <w:szCs w:val="20"/>
                </w:rPr>
                <w:t xml:space="preserve">Agreement and Plan of Reorganization, dated as of December 15, 1998, by and among HHH Entertainment, Inc. and Earth Sports Products, Inc. (incorporated by reference to Exhibit 10.1 </w:t>
              </w:r>
              <w:r>
                <w:rPr>
                  <w:rStyle w:val="a4"/>
                  <w:rFonts w:eastAsia="Times New Roman"/>
                  <w:sz w:val="20"/>
                  <w:szCs w:val="20"/>
                </w:rPr>
                <w:t>to the Company’s Registration Statement on Form 10-12G (File No. 000-53497) filed on November 12, 2008).</w:t>
              </w:r>
            </w:hyperlink>
          </w:p>
        </w:tc>
      </w:tr>
      <w:tr w:rsidR="00000000">
        <w:tc>
          <w:tcPr>
            <w:tcW w:w="0" w:type="auto"/>
            <w:hideMark/>
          </w:tcPr>
          <w:p w:rsidR="00000000" w:rsidRDefault="00DA7678">
            <w:pPr>
              <w:jc w:val="center"/>
              <w:rPr>
                <w:rFonts w:eastAsia="Times New Roman"/>
                <w:sz w:val="20"/>
                <w:szCs w:val="20"/>
              </w:rPr>
            </w:pPr>
            <w:r>
              <w:rPr>
                <w:rFonts w:eastAsia="Times New Roman"/>
                <w:sz w:val="20"/>
                <w:szCs w:val="20"/>
              </w:rPr>
              <w:t>10.2</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hyperlink r:id="rId14" w:history="1">
              <w:r>
                <w:rPr>
                  <w:rStyle w:val="a4"/>
                  <w:rFonts w:eastAsia="Times New Roman"/>
                  <w:sz w:val="20"/>
                  <w:szCs w:val="20"/>
                </w:rPr>
                <w:t>Agreement and Plan of Merger of HHH Entertainment, Inc. and Savage Mountain Sports Corporation, dated as of January 6, 2000 (incorporated by reference to Ex</w:t>
              </w:r>
              <w:r>
                <w:rPr>
                  <w:rStyle w:val="a4"/>
                  <w:rFonts w:eastAsia="Times New Roman"/>
                  <w:sz w:val="20"/>
                  <w:szCs w:val="20"/>
                </w:rPr>
                <w:t>hibit 10.2 to the Company’s Registration Statement on Form 10-12G (File No. 000-53497), filed on November 12, 2008).</w:t>
              </w:r>
            </w:hyperlink>
          </w:p>
        </w:tc>
      </w:tr>
      <w:tr w:rsidR="00000000">
        <w:tc>
          <w:tcPr>
            <w:tcW w:w="0" w:type="auto"/>
            <w:hideMark/>
          </w:tcPr>
          <w:p w:rsidR="00000000" w:rsidRDefault="00DA7678">
            <w:pPr>
              <w:jc w:val="center"/>
              <w:rPr>
                <w:rFonts w:eastAsia="Times New Roman"/>
                <w:sz w:val="20"/>
                <w:szCs w:val="20"/>
              </w:rPr>
            </w:pPr>
            <w:r>
              <w:rPr>
                <w:rFonts w:eastAsia="Times New Roman"/>
                <w:sz w:val="20"/>
                <w:szCs w:val="20"/>
              </w:rPr>
              <w:t>10.3</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hyperlink r:id="rId15" w:history="1">
              <w:r>
                <w:rPr>
                  <w:rStyle w:val="a4"/>
                  <w:rFonts w:eastAsia="Times New Roman"/>
                  <w:sz w:val="20"/>
                  <w:szCs w:val="20"/>
                </w:rPr>
                <w:t>Agreement and Plan of Acquisiti</w:t>
              </w:r>
              <w:r>
                <w:rPr>
                  <w:rStyle w:val="a4"/>
                  <w:rFonts w:eastAsia="Times New Roman"/>
                  <w:sz w:val="20"/>
                  <w:szCs w:val="20"/>
                </w:rPr>
                <w:t>on by and between Neu-Hope Technologies, Inc., UTEK Corporation and Advanced Medical Isotope Corporation, dated September 22, 2006 (incorporated by reference to Exhibit 10.4 to the Company’s Registration Statement on Form 10-12G (File No. 000-53497), filed</w:t>
              </w:r>
              <w:r>
                <w:rPr>
                  <w:rStyle w:val="a4"/>
                  <w:rFonts w:eastAsia="Times New Roman"/>
                  <w:sz w:val="20"/>
                  <w:szCs w:val="20"/>
                </w:rPr>
                <w:t xml:space="preserve"> on November 12, 2008).</w:t>
              </w:r>
            </w:hyperlink>
          </w:p>
        </w:tc>
      </w:tr>
      <w:tr w:rsidR="00000000">
        <w:tc>
          <w:tcPr>
            <w:tcW w:w="0" w:type="auto"/>
            <w:hideMark/>
          </w:tcPr>
          <w:p w:rsidR="00000000" w:rsidRDefault="00DA7678">
            <w:pPr>
              <w:jc w:val="center"/>
              <w:rPr>
                <w:rFonts w:eastAsia="Times New Roman"/>
                <w:sz w:val="20"/>
                <w:szCs w:val="20"/>
              </w:rPr>
            </w:pPr>
            <w:r>
              <w:rPr>
                <w:rFonts w:eastAsia="Times New Roman"/>
                <w:sz w:val="20"/>
                <w:szCs w:val="20"/>
              </w:rPr>
              <w:t>10.4</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hyperlink r:id="rId16" w:history="1">
              <w:r>
                <w:rPr>
                  <w:rStyle w:val="a4"/>
                  <w:rFonts w:eastAsia="Times New Roman"/>
                  <w:sz w:val="20"/>
                  <w:szCs w:val="20"/>
                </w:rPr>
                <w:t>Agreement and Plan of Acquisition by and between Isonics Corporation and Advanced Medical Isotope Corporation dated June 13,</w:t>
              </w:r>
              <w:r>
                <w:rPr>
                  <w:rStyle w:val="a4"/>
                  <w:rFonts w:eastAsia="Times New Roman"/>
                  <w:sz w:val="20"/>
                  <w:szCs w:val="20"/>
                </w:rPr>
                <w:t xml:space="preserve"> 2007 (incorporated by reference to Exhibit 10.6 to the Company’s Registration Statement on Form 10-12G (File No. 000-53497), filed on November 12, 2008).</w:t>
              </w:r>
            </w:hyperlink>
          </w:p>
        </w:tc>
      </w:tr>
      <w:tr w:rsidR="00000000">
        <w:tc>
          <w:tcPr>
            <w:tcW w:w="0" w:type="auto"/>
            <w:hideMark/>
          </w:tcPr>
          <w:p w:rsidR="00000000" w:rsidRDefault="00DA7678">
            <w:pPr>
              <w:jc w:val="center"/>
              <w:rPr>
                <w:rFonts w:eastAsia="Times New Roman"/>
                <w:sz w:val="20"/>
                <w:szCs w:val="20"/>
              </w:rPr>
            </w:pPr>
            <w:r>
              <w:rPr>
                <w:rFonts w:eastAsia="Times New Roman"/>
                <w:sz w:val="20"/>
                <w:szCs w:val="20"/>
              </w:rPr>
              <w:t>10.5</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hyperlink r:id="rId17" w:history="1">
              <w:r>
                <w:rPr>
                  <w:rStyle w:val="a4"/>
                  <w:rFonts w:eastAsia="Times New Roman"/>
                  <w:sz w:val="20"/>
                  <w:szCs w:val="20"/>
                </w:rPr>
                <w:t>Form of Non-Statutory Stock Option Agreement (incorporated by reference to Exhibit 10.1 to the Company’s Current Report on Form 8-K filed on March 15, 2012).</w:t>
              </w:r>
            </w:hyperlink>
          </w:p>
        </w:tc>
      </w:tr>
      <w:tr w:rsidR="00000000">
        <w:tc>
          <w:tcPr>
            <w:tcW w:w="0" w:type="auto"/>
            <w:hideMark/>
          </w:tcPr>
          <w:p w:rsidR="00000000" w:rsidRDefault="00DA7678">
            <w:pPr>
              <w:jc w:val="center"/>
              <w:rPr>
                <w:rFonts w:eastAsia="Times New Roman"/>
                <w:sz w:val="20"/>
                <w:szCs w:val="20"/>
              </w:rPr>
            </w:pPr>
            <w:r>
              <w:rPr>
                <w:rFonts w:eastAsia="Times New Roman"/>
                <w:sz w:val="20"/>
                <w:szCs w:val="20"/>
              </w:rPr>
              <w:t>10.6</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hyperlink r:id="rId18" w:history="1">
              <w:r>
                <w:rPr>
                  <w:rStyle w:val="a4"/>
                  <w:rFonts w:eastAsia="Times New Roman"/>
                  <w:sz w:val="20"/>
                  <w:szCs w:val="20"/>
                </w:rPr>
                <w:t>Promissory Note dated December 16, 2008 between Advanced Medical Isotope Corporation and Carlton M. Cadwell (incorporated by reference to Exhibit 10.11 to the Company’s Annual Report on Form 10-K filed on March 3, 2012).</w:t>
              </w:r>
            </w:hyperlink>
          </w:p>
        </w:tc>
      </w:tr>
      <w:tr w:rsidR="00000000">
        <w:tc>
          <w:tcPr>
            <w:tcW w:w="0" w:type="auto"/>
            <w:hideMark/>
          </w:tcPr>
          <w:p w:rsidR="00000000" w:rsidRDefault="00DA7678">
            <w:pPr>
              <w:jc w:val="center"/>
              <w:rPr>
                <w:rFonts w:eastAsia="Times New Roman"/>
                <w:sz w:val="20"/>
                <w:szCs w:val="20"/>
              </w:rPr>
            </w:pPr>
            <w:r>
              <w:rPr>
                <w:rFonts w:eastAsia="Times New Roman"/>
                <w:sz w:val="20"/>
                <w:szCs w:val="20"/>
              </w:rPr>
              <w:t>10.7</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hyperlink r:id="rId19" w:history="1">
              <w:r>
                <w:rPr>
                  <w:rStyle w:val="a4"/>
                  <w:rFonts w:eastAsia="Times New Roman"/>
                  <w:sz w:val="20"/>
                  <w:szCs w:val="20"/>
                </w:rPr>
                <w:t>2015 Omnibus Securities and Incentive Plan (incorporated by reference to Exhibit 10.12 to the Company’s Annual Report on Form 10-K, filed May 25, 2016).</w:t>
              </w:r>
            </w:hyperlink>
          </w:p>
        </w:tc>
      </w:tr>
      <w:tr w:rsidR="00000000">
        <w:tc>
          <w:tcPr>
            <w:tcW w:w="0" w:type="auto"/>
            <w:hideMark/>
          </w:tcPr>
          <w:p w:rsidR="00000000" w:rsidRDefault="00DA7678">
            <w:pPr>
              <w:jc w:val="center"/>
              <w:rPr>
                <w:rFonts w:eastAsia="Times New Roman"/>
                <w:sz w:val="20"/>
                <w:szCs w:val="20"/>
              </w:rPr>
            </w:pPr>
            <w:r>
              <w:rPr>
                <w:rFonts w:eastAsia="Times New Roman"/>
                <w:sz w:val="20"/>
                <w:szCs w:val="20"/>
              </w:rPr>
              <w:t>10.8</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hyperlink r:id="rId20" w:history="1">
              <w:r>
                <w:rPr>
                  <w:rStyle w:val="a4"/>
                  <w:rFonts w:eastAsia="Times New Roman"/>
                  <w:sz w:val="20"/>
                  <w:szCs w:val="20"/>
                </w:rPr>
                <w:t>Washington State University Sub-Award Agreement for the period December 15, 2017 through January 31, 2018.(incorporated by reference to Exhibit 10.13 to the Comp</w:t>
              </w:r>
              <w:r>
                <w:rPr>
                  <w:rStyle w:val="a4"/>
                  <w:rFonts w:eastAsia="Times New Roman"/>
                  <w:sz w:val="20"/>
                  <w:szCs w:val="20"/>
                </w:rPr>
                <w:t>any’s Annual report on Form 10-K, filed April 2, 2018).</w:t>
              </w:r>
            </w:hyperlink>
          </w:p>
        </w:tc>
      </w:tr>
      <w:tr w:rsidR="00000000">
        <w:tc>
          <w:tcPr>
            <w:tcW w:w="0" w:type="auto"/>
            <w:hideMark/>
          </w:tcPr>
          <w:p w:rsidR="00000000" w:rsidRDefault="00DA7678">
            <w:pPr>
              <w:jc w:val="center"/>
              <w:rPr>
                <w:rFonts w:eastAsia="Times New Roman"/>
                <w:sz w:val="20"/>
                <w:szCs w:val="20"/>
              </w:rPr>
            </w:pPr>
            <w:r>
              <w:rPr>
                <w:rFonts w:eastAsia="Times New Roman"/>
                <w:sz w:val="20"/>
                <w:szCs w:val="20"/>
              </w:rPr>
              <w:t>10.9</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hyperlink r:id="rId21" w:history="1">
              <w:r>
                <w:rPr>
                  <w:rStyle w:val="a4"/>
                  <w:rFonts w:eastAsia="Times New Roman"/>
                  <w:sz w:val="20"/>
                  <w:szCs w:val="20"/>
                </w:rPr>
                <w:t>The Curators of the University of Missouri Sponsored Research Contract for the period November 1,</w:t>
              </w:r>
              <w:r>
                <w:rPr>
                  <w:rStyle w:val="a4"/>
                  <w:rFonts w:eastAsia="Times New Roman"/>
                  <w:sz w:val="20"/>
                  <w:szCs w:val="20"/>
                </w:rPr>
                <w:t xml:space="preserve"> 2017 through October 31, 2018. (incorporated by reference to Exhibit 10.14 to the Company’s Annual report on Form 10-K, filed April 2, 2018).</w:t>
              </w:r>
            </w:hyperlink>
          </w:p>
        </w:tc>
      </w:tr>
      <w:tr w:rsidR="00000000">
        <w:tc>
          <w:tcPr>
            <w:tcW w:w="0" w:type="auto"/>
            <w:hideMark/>
          </w:tcPr>
          <w:p w:rsidR="00000000" w:rsidRDefault="00DA7678">
            <w:pPr>
              <w:jc w:val="center"/>
              <w:rPr>
                <w:rFonts w:eastAsia="Times New Roman"/>
                <w:sz w:val="20"/>
                <w:szCs w:val="20"/>
              </w:rPr>
            </w:pPr>
            <w:r>
              <w:rPr>
                <w:rFonts w:eastAsia="Times New Roman"/>
                <w:sz w:val="20"/>
                <w:szCs w:val="20"/>
              </w:rPr>
              <w:t>10.10</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hyperlink r:id="rId22" w:history="1">
              <w:r>
                <w:rPr>
                  <w:rStyle w:val="a4"/>
                  <w:rFonts w:eastAsia="Times New Roman"/>
                  <w:sz w:val="20"/>
                  <w:szCs w:val="20"/>
                </w:rPr>
                <w:t>Form of Se</w:t>
              </w:r>
              <w:r>
                <w:rPr>
                  <w:rStyle w:val="a4"/>
                  <w:rFonts w:eastAsia="Times New Roman"/>
                  <w:sz w:val="20"/>
                  <w:szCs w:val="20"/>
                </w:rPr>
                <w:t>curities Purchase Agreement (incorporated by reference to Exhibit 10.1 to the Company’s Current Report on Form 8-K filed on October 17, 2018).</w:t>
              </w:r>
            </w:hyperlink>
          </w:p>
        </w:tc>
      </w:tr>
      <w:tr w:rsidR="00000000">
        <w:tc>
          <w:tcPr>
            <w:tcW w:w="0" w:type="auto"/>
            <w:hideMark/>
          </w:tcPr>
          <w:p w:rsidR="00000000" w:rsidRDefault="00DA7678">
            <w:pPr>
              <w:jc w:val="center"/>
              <w:rPr>
                <w:rFonts w:eastAsia="Times New Roman"/>
                <w:sz w:val="20"/>
                <w:szCs w:val="20"/>
              </w:rPr>
            </w:pPr>
            <w:r>
              <w:rPr>
                <w:rFonts w:eastAsia="Times New Roman"/>
                <w:sz w:val="20"/>
                <w:szCs w:val="20"/>
              </w:rPr>
              <w:t>10.11</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hyperlink r:id="rId23" w:history="1">
              <w:r>
                <w:rPr>
                  <w:rStyle w:val="a4"/>
                  <w:rFonts w:eastAsia="Times New Roman"/>
                  <w:sz w:val="20"/>
                  <w:szCs w:val="20"/>
                </w:rPr>
                <w:t>Employment</w:t>
              </w:r>
              <w:r>
                <w:rPr>
                  <w:rStyle w:val="a4"/>
                  <w:rFonts w:eastAsia="Times New Roman"/>
                  <w:sz w:val="20"/>
                  <w:szCs w:val="20"/>
                </w:rPr>
                <w:t xml:space="preserve"> Agreement by and between Vivos Inc. and Michael Korenko, dated June 4, 2019 (incorporated by reference to Exhibit 6.18 to the Company’s Offering Statement on Form 1-A filed on July 29, 2019).</w:t>
              </w:r>
            </w:hyperlink>
          </w:p>
        </w:tc>
      </w:tr>
      <w:tr w:rsidR="00000000">
        <w:tc>
          <w:tcPr>
            <w:tcW w:w="0" w:type="auto"/>
            <w:hideMark/>
          </w:tcPr>
          <w:p w:rsidR="00000000" w:rsidRDefault="00DA7678">
            <w:pPr>
              <w:jc w:val="center"/>
              <w:rPr>
                <w:rFonts w:eastAsia="Times New Roman"/>
                <w:sz w:val="20"/>
                <w:szCs w:val="20"/>
              </w:rPr>
            </w:pPr>
            <w:r>
              <w:rPr>
                <w:rFonts w:eastAsia="Times New Roman"/>
                <w:sz w:val="20"/>
                <w:szCs w:val="20"/>
              </w:rPr>
              <w:t>23</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hyperlink r:id="rId24" w:history="1">
              <w:r>
                <w:rPr>
                  <w:rStyle w:val="a4"/>
                  <w:rFonts w:eastAsia="Times New Roman"/>
                  <w:sz w:val="20"/>
                  <w:szCs w:val="20"/>
                </w:rPr>
                <w:t>Consent of Independent Registere</w:t>
              </w:r>
              <w:r>
                <w:rPr>
                  <w:rStyle w:val="a4"/>
                  <w:rFonts w:eastAsia="Times New Roman"/>
                  <w:sz w:val="20"/>
                  <w:szCs w:val="20"/>
                </w:rPr>
                <w:t>d Public Accounting Firm</w:t>
              </w:r>
            </w:hyperlink>
          </w:p>
        </w:tc>
      </w:tr>
      <w:tr w:rsidR="00000000">
        <w:tc>
          <w:tcPr>
            <w:tcW w:w="0" w:type="auto"/>
            <w:hideMark/>
          </w:tcPr>
          <w:p w:rsidR="00000000" w:rsidRDefault="00DA7678">
            <w:pPr>
              <w:jc w:val="center"/>
              <w:rPr>
                <w:rFonts w:eastAsia="Times New Roman"/>
                <w:sz w:val="20"/>
                <w:szCs w:val="20"/>
              </w:rPr>
            </w:pPr>
            <w:r>
              <w:rPr>
                <w:rFonts w:eastAsia="Times New Roman"/>
                <w:sz w:val="20"/>
                <w:szCs w:val="20"/>
              </w:rPr>
              <w:t>31.1*</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hyperlink r:id="rId25" w:history="1">
              <w:r>
                <w:rPr>
                  <w:rStyle w:val="a4"/>
                  <w:rFonts w:eastAsia="Times New Roman"/>
                  <w:sz w:val="20"/>
                  <w:szCs w:val="20"/>
                </w:rPr>
                <w:t>Certification of Chief Executive Officer pursuant to Sec. 302 of the Sarbanes-Oxley Act of 2002 (4)</w:t>
              </w:r>
            </w:hyperlink>
          </w:p>
        </w:tc>
      </w:tr>
      <w:tr w:rsidR="00000000">
        <w:tc>
          <w:tcPr>
            <w:tcW w:w="0" w:type="auto"/>
            <w:hideMark/>
          </w:tcPr>
          <w:p w:rsidR="00000000" w:rsidRDefault="00DA7678">
            <w:pPr>
              <w:jc w:val="center"/>
              <w:rPr>
                <w:rFonts w:eastAsia="Times New Roman"/>
                <w:sz w:val="20"/>
                <w:szCs w:val="20"/>
              </w:rPr>
            </w:pPr>
            <w:r>
              <w:rPr>
                <w:rFonts w:eastAsia="Times New Roman"/>
                <w:sz w:val="20"/>
                <w:szCs w:val="20"/>
              </w:rPr>
              <w:t>31.2*</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hyperlink r:id="rId26" w:history="1">
              <w:r>
                <w:rPr>
                  <w:rStyle w:val="a4"/>
                  <w:rFonts w:eastAsia="Times New Roman"/>
                  <w:sz w:val="20"/>
                  <w:szCs w:val="20"/>
                </w:rPr>
                <w:t>Certification of Chief Financial Officer pursuant to Sec. 302 of the Sarbanes-Oxley Act of 2002 (4)</w:t>
              </w:r>
            </w:hyperlink>
          </w:p>
        </w:tc>
      </w:tr>
      <w:tr w:rsidR="00000000">
        <w:tc>
          <w:tcPr>
            <w:tcW w:w="0" w:type="auto"/>
            <w:hideMark/>
          </w:tcPr>
          <w:p w:rsidR="00000000" w:rsidRDefault="00DA7678">
            <w:pPr>
              <w:jc w:val="center"/>
              <w:rPr>
                <w:rFonts w:eastAsia="Times New Roman"/>
                <w:sz w:val="20"/>
                <w:szCs w:val="20"/>
              </w:rPr>
            </w:pPr>
            <w:r>
              <w:rPr>
                <w:rFonts w:eastAsia="Times New Roman"/>
                <w:sz w:val="20"/>
                <w:szCs w:val="20"/>
              </w:rPr>
              <w:t>32.1*</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hyperlink r:id="rId27" w:history="1">
              <w:r>
                <w:rPr>
                  <w:rStyle w:val="a4"/>
                  <w:rFonts w:eastAsia="Times New Roman"/>
                  <w:sz w:val="20"/>
                  <w:szCs w:val="20"/>
                </w:rPr>
                <w:t>Certification of Chief Executive Officer and Chief Financial Officer pursuant to 18 U.S.C. Section 1350 (4)</w:t>
              </w:r>
            </w:hyperlink>
          </w:p>
        </w:tc>
      </w:tr>
      <w:tr w:rsidR="00000000">
        <w:tc>
          <w:tcPr>
            <w:tcW w:w="0" w:type="auto"/>
            <w:hideMark/>
          </w:tcPr>
          <w:p w:rsidR="00000000" w:rsidRDefault="00DA7678">
            <w:pPr>
              <w:jc w:val="center"/>
              <w:rPr>
                <w:rFonts w:eastAsia="Times New Roman"/>
                <w:sz w:val="20"/>
                <w:szCs w:val="20"/>
              </w:rPr>
            </w:pPr>
            <w:r>
              <w:rPr>
                <w:rFonts w:eastAsia="Times New Roman"/>
                <w:sz w:val="20"/>
                <w:szCs w:val="20"/>
              </w:rPr>
              <w:t>101.INS*</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Inline XBRL Instance Document</w:t>
            </w:r>
          </w:p>
        </w:tc>
      </w:tr>
      <w:tr w:rsidR="00000000">
        <w:tc>
          <w:tcPr>
            <w:tcW w:w="0" w:type="auto"/>
            <w:hideMark/>
          </w:tcPr>
          <w:p w:rsidR="00000000" w:rsidRDefault="00DA7678">
            <w:pPr>
              <w:jc w:val="center"/>
              <w:rPr>
                <w:rFonts w:eastAsia="Times New Roman"/>
                <w:sz w:val="20"/>
                <w:szCs w:val="20"/>
              </w:rPr>
            </w:pPr>
            <w:r>
              <w:rPr>
                <w:rFonts w:eastAsia="Times New Roman"/>
                <w:sz w:val="20"/>
                <w:szCs w:val="20"/>
              </w:rPr>
              <w:t>101.SCH*</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Inline XBRL Taxonomy Extension Schema</w:t>
            </w:r>
          </w:p>
        </w:tc>
      </w:tr>
      <w:tr w:rsidR="00000000">
        <w:tc>
          <w:tcPr>
            <w:tcW w:w="0" w:type="auto"/>
            <w:hideMark/>
          </w:tcPr>
          <w:p w:rsidR="00000000" w:rsidRDefault="00DA7678">
            <w:pPr>
              <w:jc w:val="center"/>
              <w:rPr>
                <w:rFonts w:eastAsia="Times New Roman"/>
                <w:sz w:val="20"/>
                <w:szCs w:val="20"/>
              </w:rPr>
            </w:pPr>
            <w:r>
              <w:rPr>
                <w:rFonts w:eastAsia="Times New Roman"/>
                <w:sz w:val="20"/>
                <w:szCs w:val="20"/>
              </w:rPr>
              <w:t>101.CAL*</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Inline XBRL Taxonomy Extension Calculation Linkbase</w:t>
            </w:r>
          </w:p>
        </w:tc>
      </w:tr>
      <w:tr w:rsidR="00000000">
        <w:tc>
          <w:tcPr>
            <w:tcW w:w="0" w:type="auto"/>
            <w:hideMark/>
          </w:tcPr>
          <w:p w:rsidR="00000000" w:rsidRDefault="00DA7678">
            <w:pPr>
              <w:jc w:val="center"/>
              <w:rPr>
                <w:rFonts w:eastAsia="Times New Roman"/>
                <w:sz w:val="20"/>
                <w:szCs w:val="20"/>
              </w:rPr>
            </w:pPr>
            <w:r>
              <w:rPr>
                <w:rFonts w:eastAsia="Times New Roman"/>
                <w:sz w:val="20"/>
                <w:szCs w:val="20"/>
              </w:rPr>
              <w:t>101.DEF*</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Inline XBRL Taxonomy Extension Definition Linkbase</w:t>
            </w:r>
          </w:p>
        </w:tc>
      </w:tr>
      <w:tr w:rsidR="00000000">
        <w:tc>
          <w:tcPr>
            <w:tcW w:w="0" w:type="auto"/>
            <w:hideMark/>
          </w:tcPr>
          <w:p w:rsidR="00000000" w:rsidRDefault="00DA7678">
            <w:pPr>
              <w:jc w:val="center"/>
              <w:rPr>
                <w:rFonts w:eastAsia="Times New Roman"/>
                <w:sz w:val="20"/>
                <w:szCs w:val="20"/>
              </w:rPr>
            </w:pPr>
            <w:r>
              <w:rPr>
                <w:rFonts w:eastAsia="Times New Roman"/>
                <w:sz w:val="20"/>
                <w:szCs w:val="20"/>
              </w:rPr>
              <w:t>101.LAB*</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xml:space="preserve">Inline </w:t>
            </w:r>
            <w:r>
              <w:rPr>
                <w:rFonts w:eastAsia="Times New Roman"/>
                <w:sz w:val="20"/>
                <w:szCs w:val="20"/>
              </w:rPr>
              <w:t>XBRL Taxonomy Extension Label Linkbase</w:t>
            </w:r>
          </w:p>
        </w:tc>
      </w:tr>
      <w:tr w:rsidR="00000000">
        <w:tc>
          <w:tcPr>
            <w:tcW w:w="0" w:type="auto"/>
            <w:hideMark/>
          </w:tcPr>
          <w:p w:rsidR="00000000" w:rsidRDefault="00DA7678">
            <w:pPr>
              <w:jc w:val="center"/>
              <w:rPr>
                <w:rFonts w:eastAsia="Times New Roman"/>
                <w:sz w:val="20"/>
                <w:szCs w:val="20"/>
              </w:rPr>
            </w:pPr>
            <w:r>
              <w:rPr>
                <w:rFonts w:eastAsia="Times New Roman"/>
                <w:sz w:val="20"/>
                <w:szCs w:val="20"/>
              </w:rPr>
              <w:t>101.PRE*</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Inline XBRL Taxonomy Extension Presentation Linkbase</w:t>
            </w:r>
          </w:p>
        </w:tc>
      </w:tr>
      <w:tr w:rsidR="00000000">
        <w:tc>
          <w:tcPr>
            <w:tcW w:w="0" w:type="auto"/>
            <w:hideMark/>
          </w:tcPr>
          <w:p w:rsidR="00000000" w:rsidRDefault="00DA7678">
            <w:pPr>
              <w:jc w:val="center"/>
              <w:rPr>
                <w:rFonts w:eastAsia="Times New Roman"/>
                <w:sz w:val="20"/>
                <w:szCs w:val="20"/>
              </w:rPr>
            </w:pPr>
            <w:r>
              <w:rPr>
                <w:rFonts w:eastAsia="Times New Roman"/>
                <w:sz w:val="20"/>
                <w:szCs w:val="20"/>
              </w:rPr>
              <w:t>104</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Cover Page Interactive Data File (formatted as Inline XBRL and contained in Exhibit 101)</w:t>
            </w:r>
          </w:p>
        </w:tc>
      </w:tr>
    </w:tbl>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Filed herewith.</w:t>
      </w:r>
    </w:p>
    <w:p w:rsidR="00000000" w:rsidRDefault="00DA767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66545386"/>
        </w:trPr>
        <w:tc>
          <w:tcPr>
            <w:tcW w:w="5000" w:type="pct"/>
            <w:hideMark/>
          </w:tcPr>
          <w:p w:rsidR="00000000" w:rsidRDefault="00DA7678">
            <w:pPr>
              <w:jc w:val="center"/>
              <w:rPr>
                <w:rFonts w:eastAsia="Times New Roman"/>
                <w:sz w:val="20"/>
                <w:szCs w:val="20"/>
              </w:rPr>
            </w:pPr>
            <w:r>
              <w:rPr>
                <w:rFonts w:eastAsia="Times New Roman"/>
                <w:sz w:val="20"/>
                <w:szCs w:val="20"/>
              </w:rPr>
              <w:t>4</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center"/>
        <w:rPr>
          <w:sz w:val="20"/>
          <w:szCs w:val="20"/>
        </w:rPr>
      </w:pPr>
      <w:r>
        <w:rPr>
          <w:b/>
          <w:bCs/>
          <w:sz w:val="20"/>
          <w:szCs w:val="20"/>
        </w:rPr>
        <w:t>SIGNATURES</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Pursuant to the requirements of Section 13 or 15(d) of the Securities Exchange Act of 1934, the Registrant has duly caused this report to be signed on its behalf by the undersigned, thereunto duly authorized.</w:t>
      </w:r>
    </w:p>
    <w:p w:rsidR="00000000" w:rsidRDefault="00DA767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93"/>
        <w:gridCol w:w="534"/>
        <w:gridCol w:w="3679"/>
      </w:tblGrid>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gridSpan w:val="2"/>
            <w:hideMark/>
          </w:tcPr>
          <w:p w:rsidR="00000000" w:rsidRDefault="00DA7678">
            <w:pPr>
              <w:jc w:val="both"/>
              <w:rPr>
                <w:rFonts w:eastAsia="Times New Roman"/>
                <w:sz w:val="20"/>
                <w:szCs w:val="20"/>
              </w:rPr>
            </w:pPr>
            <w:r>
              <w:rPr>
                <w:rFonts w:eastAsia="Times New Roman"/>
                <w:sz w:val="20"/>
                <w:szCs w:val="20"/>
              </w:rPr>
              <w:t>VIVOS INC.</w:t>
            </w:r>
          </w:p>
        </w:tc>
      </w:tr>
      <w:tr w:rsidR="00000000">
        <w:tc>
          <w:tcPr>
            <w:tcW w:w="2500" w:type="pct"/>
            <w:hideMark/>
          </w:tcPr>
          <w:p w:rsidR="00000000" w:rsidRDefault="00DA7678">
            <w:pPr>
              <w:jc w:val="both"/>
              <w:rPr>
                <w:rFonts w:eastAsia="Times New Roman"/>
                <w:sz w:val="20"/>
                <w:szCs w:val="20"/>
              </w:rPr>
            </w:pPr>
            <w:r>
              <w:rPr>
                <w:rFonts w:eastAsia="Times New Roman"/>
                <w:sz w:val="20"/>
                <w:szCs w:val="20"/>
              </w:rPr>
              <w:t> </w:t>
            </w:r>
          </w:p>
        </w:tc>
        <w:tc>
          <w:tcPr>
            <w:tcW w:w="250" w:type="pct"/>
            <w:hideMark/>
          </w:tcPr>
          <w:p w:rsidR="00000000" w:rsidRDefault="00DA7678">
            <w:pPr>
              <w:jc w:val="both"/>
              <w:rPr>
                <w:rFonts w:eastAsia="Times New Roman"/>
                <w:sz w:val="20"/>
                <w:szCs w:val="20"/>
              </w:rPr>
            </w:pPr>
            <w:r>
              <w:rPr>
                <w:rFonts w:eastAsia="Times New Roman"/>
                <w:sz w:val="20"/>
                <w:szCs w:val="20"/>
              </w:rPr>
              <w:t> </w:t>
            </w:r>
          </w:p>
        </w:tc>
        <w:tc>
          <w:tcPr>
            <w:tcW w:w="2250" w:type="pct"/>
            <w:hideMark/>
          </w:tcPr>
          <w:p w:rsidR="00000000" w:rsidRDefault="00DA7678">
            <w:pPr>
              <w:jc w:val="both"/>
              <w:rPr>
                <w:rFonts w:eastAsia="Times New Roman"/>
                <w:sz w:val="20"/>
                <w:szCs w:val="20"/>
              </w:rPr>
            </w:pPr>
            <w:r>
              <w:rPr>
                <w:rFonts w:eastAsia="Times New Roman"/>
                <w:sz w:val="20"/>
                <w:szCs w:val="20"/>
              </w:rPr>
              <w:t> </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Date: March 1, 2023</w:t>
            </w:r>
          </w:p>
        </w:tc>
        <w:tc>
          <w:tcPr>
            <w:tcW w:w="0" w:type="auto"/>
            <w:hideMark/>
          </w:tcPr>
          <w:p w:rsidR="00000000" w:rsidRDefault="00DA7678">
            <w:pPr>
              <w:jc w:val="both"/>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DA7678">
            <w:pPr>
              <w:jc w:val="both"/>
              <w:rPr>
                <w:rFonts w:eastAsia="Times New Roman"/>
                <w:sz w:val="20"/>
                <w:szCs w:val="20"/>
              </w:rPr>
            </w:pPr>
            <w:r>
              <w:rPr>
                <w:rFonts w:eastAsia="Times New Roman"/>
                <w:i/>
                <w:iCs/>
                <w:sz w:val="20"/>
                <w:szCs w:val="20"/>
              </w:rPr>
              <w:t>/s/ Michael K. Korenko</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Name:</w:t>
            </w:r>
          </w:p>
        </w:tc>
        <w:tc>
          <w:tcPr>
            <w:tcW w:w="0" w:type="auto"/>
            <w:hideMark/>
          </w:tcPr>
          <w:p w:rsidR="00000000" w:rsidRDefault="00DA7678">
            <w:pPr>
              <w:jc w:val="both"/>
              <w:rPr>
                <w:rFonts w:eastAsia="Times New Roman"/>
                <w:sz w:val="20"/>
                <w:szCs w:val="20"/>
              </w:rPr>
            </w:pPr>
            <w:r>
              <w:rPr>
                <w:rFonts w:eastAsia="Times New Roman"/>
                <w:sz w:val="20"/>
                <w:szCs w:val="20"/>
              </w:rPr>
              <w:t>Michael K. Korenko</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xml:space="preserve">Title: </w:t>
            </w:r>
          </w:p>
        </w:tc>
        <w:tc>
          <w:tcPr>
            <w:tcW w:w="0" w:type="auto"/>
            <w:hideMark/>
          </w:tcPr>
          <w:p w:rsidR="00000000" w:rsidRDefault="00DA7678">
            <w:pPr>
              <w:jc w:val="both"/>
              <w:rPr>
                <w:rFonts w:eastAsia="Times New Roman"/>
                <w:sz w:val="20"/>
                <w:szCs w:val="20"/>
              </w:rPr>
            </w:pPr>
            <w:r>
              <w:rPr>
                <w:rFonts w:eastAsia="Times New Roman"/>
                <w:sz w:val="20"/>
                <w:szCs w:val="20"/>
              </w:rPr>
              <w:t>Chief Executive Officer</w:t>
            </w:r>
          </w:p>
        </w:tc>
      </w:tr>
    </w:tbl>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Pursuant </w:t>
      </w:r>
      <w:r>
        <w:rPr>
          <w:sz w:val="20"/>
          <w:szCs w:val="20"/>
        </w:rPr>
        <w:t>to the requirements of the Securities Exchange Act of 1934, this report has been signed below by the following persons on behalf of the Registrant and in the capacities and on the dates indicated.</w:t>
      </w:r>
    </w:p>
    <w:p w:rsidR="00000000" w:rsidRDefault="00DA767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93"/>
        <w:gridCol w:w="534"/>
        <w:gridCol w:w="3679"/>
      </w:tblGrid>
      <w:tr w:rsidR="00000000">
        <w:tc>
          <w:tcPr>
            <w:tcW w:w="2500" w:type="pct"/>
            <w:hideMark/>
          </w:tcPr>
          <w:p w:rsidR="00000000" w:rsidRDefault="00DA7678">
            <w:pPr>
              <w:jc w:val="both"/>
              <w:rPr>
                <w:rFonts w:eastAsia="Times New Roman"/>
                <w:sz w:val="20"/>
                <w:szCs w:val="20"/>
              </w:rPr>
            </w:pPr>
            <w:r>
              <w:rPr>
                <w:rFonts w:eastAsia="Times New Roman"/>
                <w:sz w:val="20"/>
                <w:szCs w:val="20"/>
              </w:rPr>
              <w:t>Date: March 1, 2023</w:t>
            </w:r>
          </w:p>
        </w:tc>
        <w:tc>
          <w:tcPr>
            <w:tcW w:w="250" w:type="pct"/>
            <w:hideMark/>
          </w:tcPr>
          <w:p w:rsidR="00000000" w:rsidRDefault="00DA7678">
            <w:pPr>
              <w:jc w:val="both"/>
              <w:rPr>
                <w:rFonts w:eastAsia="Times New Roman"/>
                <w:sz w:val="20"/>
                <w:szCs w:val="20"/>
              </w:rPr>
            </w:pPr>
            <w:r>
              <w:rPr>
                <w:rFonts w:eastAsia="Times New Roman"/>
                <w:sz w:val="20"/>
                <w:szCs w:val="20"/>
              </w:rPr>
              <w:t>By:</w:t>
            </w:r>
          </w:p>
        </w:tc>
        <w:tc>
          <w:tcPr>
            <w:tcW w:w="2250" w:type="pct"/>
            <w:tcBorders>
              <w:bottom w:val="single" w:sz="12" w:space="0" w:color="000000"/>
            </w:tcBorders>
            <w:hideMark/>
          </w:tcPr>
          <w:p w:rsidR="00000000" w:rsidRDefault="00DA7678">
            <w:pPr>
              <w:jc w:val="both"/>
              <w:rPr>
                <w:rFonts w:eastAsia="Times New Roman"/>
                <w:sz w:val="20"/>
                <w:szCs w:val="20"/>
              </w:rPr>
            </w:pPr>
            <w:r>
              <w:rPr>
                <w:rFonts w:eastAsia="Times New Roman"/>
                <w:i/>
                <w:iCs/>
                <w:sz w:val="20"/>
                <w:szCs w:val="20"/>
              </w:rPr>
              <w:t>/s/ Michael K. Korenko</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Name:</w:t>
            </w:r>
          </w:p>
        </w:tc>
        <w:tc>
          <w:tcPr>
            <w:tcW w:w="0" w:type="auto"/>
            <w:hideMark/>
          </w:tcPr>
          <w:p w:rsidR="00000000" w:rsidRDefault="00DA7678">
            <w:pPr>
              <w:jc w:val="both"/>
              <w:rPr>
                <w:rFonts w:eastAsia="Times New Roman"/>
                <w:sz w:val="20"/>
                <w:szCs w:val="20"/>
              </w:rPr>
            </w:pPr>
            <w:r>
              <w:rPr>
                <w:rFonts w:eastAsia="Times New Roman"/>
                <w:sz w:val="20"/>
                <w:szCs w:val="20"/>
              </w:rPr>
              <w:t>Michael K. Korenko</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xml:space="preserve">Title: </w:t>
            </w:r>
          </w:p>
        </w:tc>
        <w:tc>
          <w:tcPr>
            <w:tcW w:w="0" w:type="auto"/>
            <w:hideMark/>
          </w:tcPr>
          <w:p w:rsidR="00000000" w:rsidRDefault="00DA7678">
            <w:pPr>
              <w:pStyle w:val="a3"/>
              <w:spacing w:before="0" w:beforeAutospacing="0" w:after="0" w:afterAutospacing="0"/>
              <w:jc w:val="both"/>
              <w:rPr>
                <w:sz w:val="20"/>
                <w:szCs w:val="20"/>
              </w:rPr>
            </w:pPr>
            <w:r>
              <w:rPr>
                <w:sz w:val="20"/>
                <w:szCs w:val="20"/>
              </w:rPr>
              <w:t>Chief Executive Officer</w:t>
            </w:r>
          </w:p>
          <w:p w:rsidR="00000000" w:rsidRDefault="00DA7678">
            <w:pPr>
              <w:pStyle w:val="a3"/>
              <w:spacing w:before="0" w:beforeAutospacing="0" w:after="0" w:afterAutospacing="0"/>
              <w:jc w:val="both"/>
              <w:rPr>
                <w:sz w:val="20"/>
                <w:szCs w:val="20"/>
              </w:rPr>
            </w:pPr>
            <w:r>
              <w:rPr>
                <w:sz w:val="20"/>
                <w:szCs w:val="20"/>
              </w:rPr>
              <w:t>(Principal Executive Officer)</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Date: March 1, 2023</w:t>
            </w:r>
          </w:p>
        </w:tc>
        <w:tc>
          <w:tcPr>
            <w:tcW w:w="0" w:type="auto"/>
            <w:hideMark/>
          </w:tcPr>
          <w:p w:rsidR="00000000" w:rsidRDefault="00DA7678">
            <w:pPr>
              <w:jc w:val="both"/>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DA7678">
            <w:pPr>
              <w:jc w:val="both"/>
              <w:rPr>
                <w:rFonts w:eastAsia="Times New Roman"/>
                <w:sz w:val="20"/>
                <w:szCs w:val="20"/>
              </w:rPr>
            </w:pPr>
            <w:r>
              <w:rPr>
                <w:rFonts w:eastAsia="Times New Roman"/>
                <w:i/>
                <w:iCs/>
                <w:sz w:val="20"/>
                <w:szCs w:val="20"/>
              </w:rPr>
              <w:t>/s/ Michael Pollack</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Name:</w:t>
            </w:r>
          </w:p>
        </w:tc>
        <w:tc>
          <w:tcPr>
            <w:tcW w:w="0" w:type="auto"/>
            <w:hideMark/>
          </w:tcPr>
          <w:p w:rsidR="00000000" w:rsidRDefault="00DA7678">
            <w:pPr>
              <w:jc w:val="both"/>
              <w:rPr>
                <w:rFonts w:eastAsia="Times New Roman"/>
                <w:sz w:val="20"/>
                <w:szCs w:val="20"/>
              </w:rPr>
            </w:pPr>
            <w:r>
              <w:rPr>
                <w:rFonts w:eastAsia="Times New Roman"/>
                <w:sz w:val="20"/>
                <w:szCs w:val="20"/>
              </w:rPr>
              <w:t>Michael Pollack</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xml:space="preserve">Title: </w:t>
            </w:r>
          </w:p>
        </w:tc>
        <w:tc>
          <w:tcPr>
            <w:tcW w:w="0" w:type="auto"/>
            <w:hideMark/>
          </w:tcPr>
          <w:p w:rsidR="00000000" w:rsidRDefault="00DA7678">
            <w:pPr>
              <w:pStyle w:val="a3"/>
              <w:spacing w:before="0" w:beforeAutospacing="0" w:after="0" w:afterAutospacing="0"/>
              <w:jc w:val="both"/>
              <w:rPr>
                <w:sz w:val="20"/>
                <w:szCs w:val="20"/>
              </w:rPr>
            </w:pPr>
            <w:r>
              <w:rPr>
                <w:sz w:val="20"/>
                <w:szCs w:val="20"/>
              </w:rPr>
              <w:t>Interim Chief Financial Officer</w:t>
            </w:r>
          </w:p>
          <w:p w:rsidR="00000000" w:rsidRDefault="00DA7678">
            <w:pPr>
              <w:pStyle w:val="a3"/>
              <w:spacing w:before="0" w:beforeAutospacing="0" w:after="0" w:afterAutospacing="0"/>
              <w:jc w:val="both"/>
              <w:rPr>
                <w:sz w:val="20"/>
                <w:szCs w:val="20"/>
              </w:rPr>
            </w:pPr>
            <w:r>
              <w:rPr>
                <w:sz w:val="20"/>
                <w:szCs w:val="20"/>
              </w:rPr>
              <w:t xml:space="preserve">(Principal </w:t>
            </w:r>
            <w:r>
              <w:rPr>
                <w:sz w:val="20"/>
                <w:szCs w:val="20"/>
              </w:rPr>
              <w:t>Financial and Accounting Officer)</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Date: March 1, 2023</w:t>
            </w:r>
          </w:p>
        </w:tc>
        <w:tc>
          <w:tcPr>
            <w:tcW w:w="0" w:type="auto"/>
            <w:hideMark/>
          </w:tcPr>
          <w:p w:rsidR="00000000" w:rsidRDefault="00DA7678">
            <w:pPr>
              <w:jc w:val="both"/>
              <w:rPr>
                <w:rFonts w:eastAsia="Times New Roman"/>
                <w:sz w:val="20"/>
                <w:szCs w:val="20"/>
              </w:rPr>
            </w:pPr>
            <w:r>
              <w:rPr>
                <w:rFonts w:eastAsia="Times New Roman"/>
                <w:sz w:val="20"/>
                <w:szCs w:val="20"/>
              </w:rPr>
              <w:t xml:space="preserve">By: </w:t>
            </w:r>
          </w:p>
        </w:tc>
        <w:tc>
          <w:tcPr>
            <w:tcW w:w="0" w:type="auto"/>
            <w:tcBorders>
              <w:bottom w:val="single" w:sz="12" w:space="0" w:color="000000"/>
            </w:tcBorders>
            <w:hideMark/>
          </w:tcPr>
          <w:p w:rsidR="00000000" w:rsidRDefault="00DA7678">
            <w:pPr>
              <w:jc w:val="both"/>
              <w:rPr>
                <w:rFonts w:eastAsia="Times New Roman"/>
                <w:sz w:val="20"/>
                <w:szCs w:val="20"/>
              </w:rPr>
            </w:pPr>
            <w:r>
              <w:rPr>
                <w:rFonts w:eastAsia="Times New Roman"/>
                <w:i/>
                <w:iCs/>
                <w:sz w:val="20"/>
                <w:szCs w:val="20"/>
              </w:rPr>
              <w:t>/s/ Carlton M. Cadwell</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xml:space="preserve">Name: </w:t>
            </w:r>
          </w:p>
        </w:tc>
        <w:tc>
          <w:tcPr>
            <w:tcW w:w="0" w:type="auto"/>
            <w:hideMark/>
          </w:tcPr>
          <w:p w:rsidR="00000000" w:rsidRDefault="00DA7678">
            <w:pPr>
              <w:jc w:val="both"/>
              <w:rPr>
                <w:rFonts w:eastAsia="Times New Roman"/>
                <w:sz w:val="20"/>
                <w:szCs w:val="20"/>
              </w:rPr>
            </w:pPr>
            <w:r>
              <w:rPr>
                <w:rFonts w:eastAsia="Times New Roman"/>
                <w:sz w:val="20"/>
                <w:szCs w:val="20"/>
              </w:rPr>
              <w:t>Carlton M. Cadwell</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xml:space="preserve">Title: </w:t>
            </w:r>
          </w:p>
        </w:tc>
        <w:tc>
          <w:tcPr>
            <w:tcW w:w="0" w:type="auto"/>
            <w:hideMark/>
          </w:tcPr>
          <w:p w:rsidR="00000000" w:rsidRDefault="00DA7678">
            <w:pPr>
              <w:jc w:val="both"/>
              <w:rPr>
                <w:rFonts w:eastAsia="Times New Roman"/>
                <w:sz w:val="20"/>
                <w:szCs w:val="20"/>
              </w:rPr>
            </w:pPr>
            <w:r>
              <w:rPr>
                <w:rFonts w:eastAsia="Times New Roman"/>
                <w:sz w:val="20"/>
                <w:szCs w:val="20"/>
              </w:rPr>
              <w:t>Secretary and Chairman of the Board</w:t>
            </w:r>
          </w:p>
        </w:tc>
      </w:tr>
    </w:tbl>
    <w:p w:rsidR="00000000" w:rsidRDefault="00DA767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82309630"/>
        </w:trPr>
        <w:tc>
          <w:tcPr>
            <w:tcW w:w="5000" w:type="pct"/>
            <w:hideMark/>
          </w:tcPr>
          <w:p w:rsidR="00000000" w:rsidRDefault="00DA7678">
            <w:pPr>
              <w:jc w:val="center"/>
              <w:rPr>
                <w:rFonts w:eastAsia="Times New Roman"/>
                <w:sz w:val="20"/>
                <w:szCs w:val="20"/>
              </w:rPr>
            </w:pPr>
            <w:r>
              <w:rPr>
                <w:rFonts w:eastAsia="Times New Roman"/>
                <w:sz w:val="20"/>
                <w:szCs w:val="20"/>
              </w:rPr>
              <w:t>4</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center"/>
        <w:rPr>
          <w:sz w:val="20"/>
          <w:szCs w:val="20"/>
        </w:rPr>
      </w:pPr>
      <w:r>
        <w:rPr>
          <w:b/>
          <w:bCs/>
          <w:sz w:val="20"/>
          <w:szCs w:val="20"/>
        </w:rPr>
        <w:t>Vivos Inc.</w:t>
      </w:r>
    </w:p>
    <w:p w:rsidR="00000000" w:rsidRDefault="00DA7678">
      <w:pPr>
        <w:pStyle w:val="a3"/>
        <w:spacing w:before="0" w:beforeAutospacing="0" w:after="0" w:afterAutospacing="0"/>
        <w:jc w:val="center"/>
        <w:rPr>
          <w:sz w:val="20"/>
          <w:szCs w:val="20"/>
        </w:rPr>
      </w:pPr>
      <w:r>
        <w:rPr>
          <w:b/>
          <w:bCs/>
          <w:sz w:val="20"/>
          <w:szCs w:val="20"/>
        </w:rPr>
        <w:t>Index to Financial Statements</w:t>
      </w:r>
    </w:p>
    <w:p w:rsidR="00000000" w:rsidRDefault="00DA767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436"/>
        <w:gridCol w:w="150"/>
        <w:gridCol w:w="720"/>
      </w:tblGrid>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150" w:type="dxa"/>
            <w:hideMark/>
          </w:tcPr>
          <w:p w:rsidR="00000000" w:rsidRDefault="00DA7678">
            <w:pPr>
              <w:jc w:val="both"/>
              <w:rPr>
                <w:rFonts w:eastAsia="Times New Roman"/>
                <w:sz w:val="20"/>
                <w:szCs w:val="20"/>
              </w:rPr>
            </w:pPr>
            <w:r>
              <w:rPr>
                <w:rFonts w:eastAsia="Times New Roman"/>
                <w:sz w:val="20"/>
                <w:szCs w:val="20"/>
              </w:rPr>
              <w:t> </w:t>
            </w:r>
          </w:p>
        </w:tc>
        <w:tc>
          <w:tcPr>
            <w:tcW w:w="720" w:type="dxa"/>
            <w:tcBorders>
              <w:bottom w:val="single" w:sz="12" w:space="0" w:color="000000"/>
            </w:tcBorders>
            <w:hideMark/>
          </w:tcPr>
          <w:p w:rsidR="00000000" w:rsidRDefault="00DA7678">
            <w:pPr>
              <w:jc w:val="center"/>
              <w:rPr>
                <w:rFonts w:eastAsia="Times New Roman"/>
                <w:sz w:val="20"/>
                <w:szCs w:val="20"/>
              </w:rPr>
            </w:pPr>
            <w:r>
              <w:rPr>
                <w:rFonts w:eastAsia="Times New Roman"/>
                <w:b/>
                <w:bCs/>
                <w:sz w:val="20"/>
                <w:szCs w:val="20"/>
              </w:rPr>
              <w:t>Pages</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DA7678">
            <w:pPr>
              <w:jc w:val="both"/>
              <w:rPr>
                <w:rFonts w:eastAsia="Times New Roman"/>
                <w:sz w:val="20"/>
                <w:szCs w:val="20"/>
              </w:rPr>
            </w:pPr>
            <w:hyperlink w:anchor="toc_001" w:history="1">
              <w:r>
                <w:rPr>
                  <w:rStyle w:val="a4"/>
                  <w:rFonts w:eastAsia="Times New Roman"/>
                  <w:sz w:val="20"/>
                  <w:szCs w:val="20"/>
                </w:rPr>
                <w:t>Report of Independent Registered Public Accounting Firm</w:t>
              </w:r>
            </w:hyperlink>
            <w:r>
              <w:rPr>
                <w:rFonts w:eastAsia="Times New Roman"/>
                <w:sz w:val="20"/>
                <w:szCs w:val="20"/>
              </w:rPr>
              <w:t xml:space="preserve"> (PCAOB ID No.</w:t>
            </w:r>
            <w:r>
              <w:rPr>
                <w:rFonts w:eastAsia="Times New Roman"/>
                <w:sz w:val="20"/>
                <w:szCs w:val="20"/>
              </w:rPr>
              <w:t xml:space="preserve"> </w:t>
            </w:r>
            <w:r>
              <w:rPr>
                <w:rFonts w:eastAsia="Times New Roman"/>
                <w:sz w:val="20"/>
                <w:szCs w:val="20"/>
              </w:rPr>
              <w:t>552</w:t>
            </w:r>
            <w:r>
              <w:rPr>
                <w:rFonts w:eastAsia="Times New Roman"/>
                <w:sz w:val="20"/>
                <w:szCs w:val="20"/>
              </w:rPr>
              <w:t>5</w:t>
            </w:r>
            <w:r>
              <w:rPr>
                <w:rFonts w:eastAsia="Times New Roman"/>
                <w:sz w:val="20"/>
                <w:szCs w:val="20"/>
              </w:rPr>
              <w:t>)</w:t>
            </w:r>
          </w:p>
        </w:tc>
        <w:tc>
          <w:tcPr>
            <w:tcW w:w="0" w:type="auto"/>
            <w:shd w:val="clear" w:color="auto" w:fill="CCEEFF"/>
            <w:hideMark/>
          </w:tcPr>
          <w:p w:rsidR="00000000" w:rsidRDefault="00DA7678">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DA7678">
            <w:pPr>
              <w:jc w:val="center"/>
              <w:rPr>
                <w:rFonts w:eastAsia="Times New Roman"/>
                <w:sz w:val="20"/>
                <w:szCs w:val="20"/>
              </w:rPr>
            </w:pPr>
            <w:r>
              <w:rPr>
                <w:rFonts w:eastAsia="Times New Roman"/>
                <w:sz w:val="20"/>
                <w:szCs w:val="20"/>
              </w:rPr>
              <w:t>F-1</w:t>
            </w:r>
          </w:p>
        </w:tc>
      </w:tr>
      <w:tr w:rsidR="00000000">
        <w:tc>
          <w:tcPr>
            <w:tcW w:w="0" w:type="auto"/>
            <w:shd w:val="clear" w:color="auto" w:fill="FFFFFF"/>
            <w:hideMark/>
          </w:tcPr>
          <w:p w:rsidR="00000000" w:rsidRDefault="00DA767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DA767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DA767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DA7678">
            <w:pPr>
              <w:jc w:val="both"/>
              <w:rPr>
                <w:rFonts w:eastAsia="Times New Roman"/>
                <w:sz w:val="20"/>
                <w:szCs w:val="20"/>
              </w:rPr>
            </w:pPr>
            <w:r>
              <w:rPr>
                <w:rFonts w:eastAsia="Times New Roman"/>
                <w:b/>
                <w:bCs/>
                <w:sz w:val="20"/>
                <w:szCs w:val="20"/>
              </w:rPr>
              <w:t>Financial Statements:</w:t>
            </w:r>
          </w:p>
        </w:tc>
        <w:tc>
          <w:tcPr>
            <w:tcW w:w="0" w:type="auto"/>
            <w:shd w:val="clear" w:color="auto" w:fill="CCEEFF"/>
            <w:hideMark/>
          </w:tcPr>
          <w:p w:rsidR="00000000" w:rsidRDefault="00DA7678">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DA7678">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DA767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DA767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DA767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DA7678">
            <w:pPr>
              <w:jc w:val="both"/>
              <w:rPr>
                <w:rFonts w:eastAsia="Times New Roman"/>
                <w:sz w:val="20"/>
                <w:szCs w:val="20"/>
              </w:rPr>
            </w:pPr>
            <w:hyperlink w:anchor="viv_027" w:history="1">
              <w:r>
                <w:rPr>
                  <w:rStyle w:val="a4"/>
                  <w:rFonts w:eastAsia="Times New Roman"/>
                  <w:sz w:val="20"/>
                  <w:szCs w:val="20"/>
                </w:rPr>
                <w:t>Balance Sheets as of December 31, 2022 and 2021</w:t>
              </w:r>
            </w:hyperlink>
          </w:p>
        </w:tc>
        <w:tc>
          <w:tcPr>
            <w:tcW w:w="0" w:type="auto"/>
            <w:shd w:val="clear" w:color="auto" w:fill="CCEEFF"/>
            <w:hideMark/>
          </w:tcPr>
          <w:p w:rsidR="00000000" w:rsidRDefault="00DA7678">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DA7678">
            <w:pPr>
              <w:jc w:val="center"/>
              <w:rPr>
                <w:rFonts w:eastAsia="Times New Roman"/>
                <w:sz w:val="20"/>
                <w:szCs w:val="20"/>
              </w:rPr>
            </w:pPr>
            <w:r>
              <w:rPr>
                <w:rFonts w:eastAsia="Times New Roman"/>
                <w:sz w:val="20"/>
                <w:szCs w:val="20"/>
              </w:rPr>
              <w:t>F-3</w:t>
            </w:r>
          </w:p>
        </w:tc>
      </w:tr>
      <w:tr w:rsidR="00000000">
        <w:tc>
          <w:tcPr>
            <w:tcW w:w="0" w:type="auto"/>
            <w:shd w:val="clear" w:color="auto" w:fill="FFFFFF"/>
            <w:hideMark/>
          </w:tcPr>
          <w:p w:rsidR="00000000" w:rsidRDefault="00DA767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DA767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DA767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DA7678">
            <w:pPr>
              <w:jc w:val="both"/>
              <w:rPr>
                <w:rFonts w:eastAsia="Times New Roman"/>
                <w:sz w:val="20"/>
                <w:szCs w:val="20"/>
              </w:rPr>
            </w:pPr>
            <w:hyperlink w:anchor="viv_028" w:history="1">
              <w:r>
                <w:rPr>
                  <w:rStyle w:val="a4"/>
                  <w:rFonts w:eastAsia="Times New Roman"/>
                  <w:sz w:val="20"/>
                  <w:szCs w:val="20"/>
                </w:rPr>
                <w:t>Statements of Operations for the years ended December 31, 2022 and 2021</w:t>
              </w:r>
            </w:hyperlink>
          </w:p>
        </w:tc>
        <w:tc>
          <w:tcPr>
            <w:tcW w:w="0" w:type="auto"/>
            <w:shd w:val="clear" w:color="auto" w:fill="CCEEFF"/>
            <w:hideMark/>
          </w:tcPr>
          <w:p w:rsidR="00000000" w:rsidRDefault="00DA7678">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DA7678">
            <w:pPr>
              <w:jc w:val="center"/>
              <w:rPr>
                <w:rFonts w:eastAsia="Times New Roman"/>
                <w:sz w:val="20"/>
                <w:szCs w:val="20"/>
              </w:rPr>
            </w:pPr>
            <w:r>
              <w:rPr>
                <w:rFonts w:eastAsia="Times New Roman"/>
                <w:sz w:val="20"/>
                <w:szCs w:val="20"/>
              </w:rPr>
              <w:t>F-4</w:t>
            </w:r>
          </w:p>
        </w:tc>
      </w:tr>
      <w:tr w:rsidR="00000000">
        <w:tc>
          <w:tcPr>
            <w:tcW w:w="0" w:type="auto"/>
            <w:shd w:val="clear" w:color="auto" w:fill="FFFFFF"/>
            <w:hideMark/>
          </w:tcPr>
          <w:p w:rsidR="00000000" w:rsidRDefault="00DA767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DA767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DA767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DA7678">
            <w:pPr>
              <w:jc w:val="both"/>
              <w:rPr>
                <w:rFonts w:eastAsia="Times New Roman"/>
                <w:sz w:val="20"/>
                <w:szCs w:val="20"/>
              </w:rPr>
            </w:pPr>
            <w:hyperlink w:anchor="viv_029" w:history="1">
              <w:r>
                <w:rPr>
                  <w:rStyle w:val="a4"/>
                  <w:rFonts w:eastAsia="Times New Roman"/>
                  <w:sz w:val="20"/>
                  <w:szCs w:val="20"/>
                </w:rPr>
                <w:t>Statement of Changes in Stockholders’ Equity for the years ended December 31, 2022 and 2021</w:t>
              </w:r>
            </w:hyperlink>
          </w:p>
        </w:tc>
        <w:tc>
          <w:tcPr>
            <w:tcW w:w="0" w:type="auto"/>
            <w:shd w:val="clear" w:color="auto" w:fill="CCEEFF"/>
            <w:hideMark/>
          </w:tcPr>
          <w:p w:rsidR="00000000" w:rsidRDefault="00DA7678">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DA7678">
            <w:pPr>
              <w:jc w:val="center"/>
              <w:rPr>
                <w:rFonts w:eastAsia="Times New Roman"/>
                <w:sz w:val="20"/>
                <w:szCs w:val="20"/>
              </w:rPr>
            </w:pPr>
            <w:r>
              <w:rPr>
                <w:rFonts w:eastAsia="Times New Roman"/>
                <w:sz w:val="20"/>
                <w:szCs w:val="20"/>
              </w:rPr>
              <w:t>F-5</w:t>
            </w:r>
          </w:p>
        </w:tc>
      </w:tr>
      <w:tr w:rsidR="00000000">
        <w:tc>
          <w:tcPr>
            <w:tcW w:w="0" w:type="auto"/>
            <w:shd w:val="clear" w:color="auto" w:fill="FFFFFF"/>
            <w:hideMark/>
          </w:tcPr>
          <w:p w:rsidR="00000000" w:rsidRDefault="00DA767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DA767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DA767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DA7678">
            <w:pPr>
              <w:jc w:val="both"/>
              <w:rPr>
                <w:rFonts w:eastAsia="Times New Roman"/>
                <w:sz w:val="20"/>
                <w:szCs w:val="20"/>
              </w:rPr>
            </w:pPr>
            <w:hyperlink w:anchor="viv_030" w:history="1">
              <w:r>
                <w:rPr>
                  <w:rStyle w:val="a4"/>
                  <w:rFonts w:eastAsia="Times New Roman"/>
                  <w:sz w:val="20"/>
                  <w:szCs w:val="20"/>
                </w:rPr>
                <w:t>Statements of Cash Flow for the years ended December 31, 2022 and 2021</w:t>
              </w:r>
            </w:hyperlink>
          </w:p>
        </w:tc>
        <w:tc>
          <w:tcPr>
            <w:tcW w:w="0" w:type="auto"/>
            <w:shd w:val="clear" w:color="auto" w:fill="CCEEFF"/>
            <w:hideMark/>
          </w:tcPr>
          <w:p w:rsidR="00000000" w:rsidRDefault="00DA7678">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DA7678">
            <w:pPr>
              <w:jc w:val="center"/>
              <w:rPr>
                <w:rFonts w:eastAsia="Times New Roman"/>
                <w:sz w:val="20"/>
                <w:szCs w:val="20"/>
              </w:rPr>
            </w:pPr>
            <w:r>
              <w:rPr>
                <w:rFonts w:eastAsia="Times New Roman"/>
                <w:sz w:val="20"/>
                <w:szCs w:val="20"/>
              </w:rPr>
              <w:t>F-6</w:t>
            </w:r>
          </w:p>
        </w:tc>
      </w:tr>
      <w:tr w:rsidR="00000000">
        <w:tc>
          <w:tcPr>
            <w:tcW w:w="0" w:type="auto"/>
            <w:shd w:val="clear" w:color="auto" w:fill="FFFFFF"/>
            <w:hideMark/>
          </w:tcPr>
          <w:p w:rsidR="00000000" w:rsidRDefault="00DA767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DA7678">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DA7678">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DA7678">
            <w:pPr>
              <w:jc w:val="both"/>
              <w:rPr>
                <w:rFonts w:eastAsia="Times New Roman"/>
                <w:sz w:val="20"/>
                <w:szCs w:val="20"/>
              </w:rPr>
            </w:pPr>
            <w:hyperlink w:anchor="viv_031" w:history="1">
              <w:r>
                <w:rPr>
                  <w:rStyle w:val="a4"/>
                  <w:rFonts w:eastAsia="Times New Roman"/>
                  <w:sz w:val="20"/>
                  <w:szCs w:val="20"/>
                </w:rPr>
                <w:t>Notes</w:t>
              </w:r>
              <w:r>
                <w:rPr>
                  <w:rStyle w:val="a4"/>
                  <w:rFonts w:eastAsia="Times New Roman"/>
                  <w:sz w:val="20"/>
                  <w:szCs w:val="20"/>
                </w:rPr>
                <w:t xml:space="preserve"> to Financial Statements</w:t>
              </w:r>
            </w:hyperlink>
          </w:p>
        </w:tc>
        <w:tc>
          <w:tcPr>
            <w:tcW w:w="0" w:type="auto"/>
            <w:shd w:val="clear" w:color="auto" w:fill="CCEEFF"/>
            <w:hideMark/>
          </w:tcPr>
          <w:p w:rsidR="00000000" w:rsidRDefault="00DA7678">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DA7678">
            <w:pPr>
              <w:jc w:val="center"/>
              <w:rPr>
                <w:rFonts w:eastAsia="Times New Roman"/>
                <w:sz w:val="20"/>
                <w:szCs w:val="20"/>
              </w:rPr>
            </w:pPr>
            <w:r>
              <w:rPr>
                <w:rFonts w:eastAsia="Times New Roman"/>
                <w:sz w:val="20"/>
                <w:szCs w:val="20"/>
              </w:rPr>
              <w:t>F-7</w:t>
            </w:r>
          </w:p>
        </w:tc>
      </w:tr>
    </w:tbl>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99521953"/>
        </w:trPr>
        <w:tc>
          <w:tcPr>
            <w:tcW w:w="5000" w:type="pct"/>
            <w:hideMark/>
          </w:tcPr>
          <w:p w:rsidR="00000000" w:rsidRDefault="00DA7678">
            <w:pPr>
              <w:jc w:val="center"/>
              <w:rPr>
                <w:rFonts w:eastAsia="Times New Roman"/>
                <w:sz w:val="20"/>
                <w:szCs w:val="20"/>
              </w:rPr>
            </w:pPr>
            <w:r>
              <w:rPr>
                <w:rFonts w:eastAsia="Times New Roman"/>
                <w:sz w:val="20"/>
                <w:szCs w:val="20"/>
              </w:rPr>
              <w:t>4</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right"/>
        <w:rPr>
          <w:sz w:val="20"/>
          <w:szCs w:val="20"/>
        </w:rPr>
      </w:pPr>
      <w:r>
        <w:rPr>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center"/>
        <w:rPr>
          <w:sz w:val="20"/>
          <w:szCs w:val="20"/>
        </w:rPr>
      </w:pPr>
      <w:r>
        <w:rPr>
          <w:b/>
          <w:bCs/>
          <w:sz w:val="20"/>
          <w:szCs w:val="20"/>
        </w:rPr>
        <w:t>REPORT OF INDEPENDENT REGISTERED PUBLIC ACCOUNTING FIRM</w:t>
      </w:r>
    </w:p>
    <w:p w:rsidR="00000000" w:rsidRDefault="00DA7678">
      <w:pPr>
        <w:pStyle w:val="a3"/>
        <w:spacing w:before="0" w:beforeAutospacing="0" w:after="0" w:afterAutospacing="0"/>
        <w:jc w:val="center"/>
        <w:rPr>
          <w:sz w:val="20"/>
          <w:szCs w:val="20"/>
        </w:rPr>
      </w:pPr>
      <w:r>
        <w:rPr>
          <w:b/>
          <w:bCs/>
          <w:sz w:val="20"/>
          <w:szCs w:val="20"/>
        </w:rPr>
        <w:t> </w:t>
      </w:r>
    </w:p>
    <w:p w:rsidR="00000000" w:rsidRDefault="00DA7678">
      <w:pPr>
        <w:pStyle w:val="a3"/>
        <w:spacing w:before="0" w:beforeAutospacing="0" w:after="0" w:afterAutospacing="0"/>
        <w:jc w:val="both"/>
        <w:rPr>
          <w:sz w:val="20"/>
          <w:szCs w:val="20"/>
        </w:rPr>
      </w:pPr>
      <w:r>
        <w:rPr>
          <w:sz w:val="20"/>
          <w:szCs w:val="20"/>
        </w:rPr>
        <w:t>To the Board of Directors and Shareholders of Vivos, Inc.</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Opinion on the Financial Statements</w:t>
      </w:r>
    </w:p>
    <w:p w:rsidR="00000000" w:rsidRDefault="00DA7678">
      <w:pPr>
        <w:pStyle w:val="a3"/>
        <w:spacing w:before="0" w:beforeAutospacing="0" w:after="0" w:afterAutospacing="0"/>
        <w:jc w:val="both"/>
        <w:rPr>
          <w:sz w:val="20"/>
          <w:szCs w:val="20"/>
        </w:rPr>
      </w:pPr>
      <w:r>
        <w:rPr>
          <w:b/>
          <w:bCs/>
          <w:sz w:val="20"/>
          <w:szCs w:val="20"/>
        </w:rPr>
        <w:t> </w:t>
      </w:r>
    </w:p>
    <w:p w:rsidR="00000000" w:rsidRDefault="00DA7678">
      <w:pPr>
        <w:pStyle w:val="a3"/>
        <w:spacing w:before="0" w:beforeAutospacing="0" w:after="0" w:afterAutospacing="0"/>
        <w:jc w:val="both"/>
        <w:rPr>
          <w:sz w:val="20"/>
          <w:szCs w:val="20"/>
        </w:rPr>
      </w:pPr>
      <w:r>
        <w:rPr>
          <w:sz w:val="20"/>
          <w:szCs w:val="20"/>
        </w:rPr>
        <w:t xml:space="preserve">We </w:t>
      </w:r>
      <w:r>
        <w:rPr>
          <w:sz w:val="20"/>
          <w:szCs w:val="20"/>
        </w:rPr>
        <w:t>have audited the accompanying balance sheets of Vivos, Inc. (“the Company”) as of December 31, 2022 and 2021, and the related statements of operations, changes in stockholders’ equity, and cash flows for each of the years in the two-year period ended Decem</w:t>
      </w:r>
      <w:r>
        <w:rPr>
          <w:sz w:val="20"/>
          <w:szCs w:val="20"/>
        </w:rPr>
        <w:t>ber 31, 2022, and the related notes (collectively referred to as the financial statements). In our opinion, the financial statements present fairly, in all material respects, the financial position of the Company as of December 31, 2022 and 2021 and the re</w:t>
      </w:r>
      <w:r>
        <w:rPr>
          <w:sz w:val="20"/>
          <w:szCs w:val="20"/>
        </w:rPr>
        <w:t>sults of its operations and its cash flows for each of the years in the two-year period ended December 31, 2022, in conformity with accounting principles generally accepted in the United States of America.</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Going Concern</w:t>
      </w:r>
    </w:p>
    <w:p w:rsidR="00000000" w:rsidRDefault="00DA7678">
      <w:pPr>
        <w:pStyle w:val="a3"/>
        <w:spacing w:before="0" w:beforeAutospacing="0" w:after="0" w:afterAutospacing="0"/>
        <w:jc w:val="both"/>
        <w:rPr>
          <w:sz w:val="20"/>
          <w:szCs w:val="20"/>
        </w:rPr>
      </w:pPr>
      <w:r>
        <w:rPr>
          <w:b/>
          <w:bCs/>
          <w:sz w:val="20"/>
          <w:szCs w:val="20"/>
        </w:rPr>
        <w:t> </w:t>
      </w:r>
    </w:p>
    <w:p w:rsidR="00000000" w:rsidRDefault="00DA7678">
      <w:pPr>
        <w:pStyle w:val="a3"/>
        <w:spacing w:before="0" w:beforeAutospacing="0" w:after="0" w:afterAutospacing="0"/>
        <w:jc w:val="both"/>
        <w:rPr>
          <w:sz w:val="20"/>
          <w:szCs w:val="20"/>
        </w:rPr>
      </w:pPr>
      <w:r>
        <w:rPr>
          <w:sz w:val="20"/>
          <w:szCs w:val="20"/>
        </w:rPr>
        <w:t>The accompanying financial state</w:t>
      </w:r>
      <w:r>
        <w:rPr>
          <w:sz w:val="20"/>
          <w:szCs w:val="20"/>
        </w:rPr>
        <w:t>ments have been prepared assuming that the Company will continue as a going concern. As discussed in Note 1 to the financial statements, the Company has suffered recurring losses, has utilized significant cash in operations, and its cash position is not su</w:t>
      </w:r>
      <w:r>
        <w:rPr>
          <w:sz w:val="20"/>
          <w:szCs w:val="20"/>
        </w:rPr>
        <w:t>fficient to support operations. These factors, among others, raise substantial doubt about the Company’s ability to continue as a going concern. Management’s plans in regard to these matters are also described in Note 1. The financial statements do not inc</w:t>
      </w:r>
      <w:r>
        <w:rPr>
          <w:sz w:val="20"/>
          <w:szCs w:val="20"/>
        </w:rPr>
        <w:t>lude any adjustments that might result from the outcome of this uncertainty.</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Basis for Opinion</w:t>
      </w:r>
    </w:p>
    <w:p w:rsidR="00000000" w:rsidRDefault="00DA7678">
      <w:pPr>
        <w:pStyle w:val="a3"/>
        <w:spacing w:before="0" w:beforeAutospacing="0" w:after="0" w:afterAutospacing="0"/>
        <w:jc w:val="both"/>
        <w:rPr>
          <w:sz w:val="20"/>
          <w:szCs w:val="20"/>
        </w:rPr>
      </w:pPr>
      <w:r>
        <w:rPr>
          <w:b/>
          <w:bCs/>
          <w:sz w:val="20"/>
          <w:szCs w:val="20"/>
        </w:rPr>
        <w:t> </w:t>
      </w:r>
    </w:p>
    <w:p w:rsidR="00000000" w:rsidRDefault="00DA7678">
      <w:pPr>
        <w:pStyle w:val="a3"/>
        <w:spacing w:before="0" w:beforeAutospacing="0" w:after="0" w:afterAutospacing="0"/>
        <w:jc w:val="both"/>
        <w:rPr>
          <w:sz w:val="20"/>
          <w:szCs w:val="20"/>
        </w:rPr>
      </w:pPr>
      <w:r>
        <w:rPr>
          <w:sz w:val="20"/>
          <w:szCs w:val="20"/>
        </w:rPr>
        <w:t>These financial statements are the responsibility of the Company’s management. Our responsibility is to express an opinion on the Company’s financial stateme</w:t>
      </w:r>
      <w:r>
        <w:rPr>
          <w:sz w:val="20"/>
          <w:szCs w:val="20"/>
        </w:rPr>
        <w:t>nts based on our audits. We are a public accounting firm registered with the Public Company Accounting Oversight Board (United States) (PCAOB) and are required to be independent with respect to the Company in accordance with the U.S. federal securities law</w:t>
      </w:r>
      <w:r>
        <w:rPr>
          <w:sz w:val="20"/>
          <w:szCs w:val="20"/>
        </w:rPr>
        <w:t>s and the applicable rules and regulations of the Securities and Exchange Commission and the PCAOB.</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We conducted our audits in accordance with the standards of the PCAOB. Those standards require that we plan and perform the audit to obtain reasonable ass</w:t>
      </w:r>
      <w:r>
        <w:rPr>
          <w:sz w:val="20"/>
          <w:szCs w:val="20"/>
        </w:rPr>
        <w:t>urance about whether the financial statements are free of material misstatement, whether due to error or fraud. The Company is not required to have, nor were we engaged to perform, an audit of its internal control over financial reporting. As part of our a</w:t>
      </w:r>
      <w:r>
        <w:rPr>
          <w:sz w:val="20"/>
          <w:szCs w:val="20"/>
        </w:rPr>
        <w:t>udits, we are required to obtain an understanding of internal control over financial reporting, but not for the purpose of expressing an opinion on the effectiveness of the Company’s internal control over financial reporting. Accordingly, we express no suc</w:t>
      </w:r>
      <w:r>
        <w:rPr>
          <w:sz w:val="20"/>
          <w:szCs w:val="20"/>
        </w:rPr>
        <w:t>h opinion.</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Our audits included performing procedures to assess the risks of material misstatement of the financial statements, whether due to error or fraud, and performing procedures that respond to those risks. Such procedures included examining, on a </w:t>
      </w:r>
      <w:r>
        <w:rPr>
          <w:sz w:val="20"/>
          <w:szCs w:val="20"/>
        </w:rPr>
        <w:t>test basis, evidence regarding the amounts and disclosures in the financial statements. Our audits also included evaluating the accounting principles used and significant estimates made by management, as well as evaluating the overall presentation of the f</w:t>
      </w:r>
      <w:r>
        <w:rPr>
          <w:sz w:val="20"/>
          <w:szCs w:val="20"/>
        </w:rPr>
        <w:t>inancial statements. We believe that our audits provide a reasonable basis for our opinion.</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Critical Audit Matters</w:t>
      </w:r>
    </w:p>
    <w:p w:rsidR="00000000" w:rsidRDefault="00DA7678">
      <w:pPr>
        <w:pStyle w:val="a3"/>
        <w:spacing w:before="0" w:beforeAutospacing="0" w:after="0" w:afterAutospacing="0"/>
        <w:jc w:val="both"/>
        <w:rPr>
          <w:sz w:val="20"/>
          <w:szCs w:val="20"/>
        </w:rPr>
      </w:pPr>
      <w:r>
        <w:rPr>
          <w:b/>
          <w:bCs/>
          <w:sz w:val="20"/>
          <w:szCs w:val="20"/>
        </w:rPr>
        <w:t> </w:t>
      </w:r>
    </w:p>
    <w:p w:rsidR="00000000" w:rsidRDefault="00DA7678">
      <w:pPr>
        <w:pStyle w:val="a3"/>
        <w:spacing w:before="0" w:beforeAutospacing="0" w:after="0" w:afterAutospacing="0"/>
        <w:jc w:val="both"/>
        <w:rPr>
          <w:sz w:val="20"/>
          <w:szCs w:val="20"/>
        </w:rPr>
      </w:pPr>
      <w:r>
        <w:rPr>
          <w:sz w:val="20"/>
          <w:szCs w:val="20"/>
        </w:rPr>
        <w:t>The critical audit matters communicated below are matters arising from the current period audit of the financial statements that were com</w:t>
      </w:r>
      <w:r>
        <w:rPr>
          <w:sz w:val="20"/>
          <w:szCs w:val="20"/>
        </w:rPr>
        <w:t>municated or required to be communicated to the audit committee and that: (1) relate to accounts or disclosures that are material to the financial statements and (2) involved our especially challenging, subjective, or complex judgments. The communication o</w:t>
      </w:r>
      <w:r>
        <w:rPr>
          <w:sz w:val="20"/>
          <w:szCs w:val="20"/>
        </w:rPr>
        <w:t>f critical audit matters does not alter in any way our opinion on the financial statements, taken as a whole, and we are not, by communicating the critical audit matters below, providing separate opinions on the critical audit matters or on the accounts or</w:t>
      </w:r>
      <w:r>
        <w:rPr>
          <w:sz w:val="20"/>
          <w:szCs w:val="20"/>
        </w:rPr>
        <w:t xml:space="preserve"> disclosures to which they relate.</w:t>
      </w:r>
    </w:p>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94333182"/>
        </w:trPr>
        <w:tc>
          <w:tcPr>
            <w:tcW w:w="5000" w:type="pct"/>
            <w:hideMark/>
          </w:tcPr>
          <w:p w:rsidR="00000000" w:rsidRDefault="00DA767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jc w:val="cente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Equity Transactions (Notes 4 and 5 to the financial statements)</w:t>
      </w:r>
    </w:p>
    <w:p w:rsidR="00000000" w:rsidRDefault="00DA7678">
      <w:pPr>
        <w:pStyle w:val="a3"/>
        <w:spacing w:before="0" w:beforeAutospacing="0" w:after="0" w:afterAutospacing="0"/>
        <w:jc w:val="both"/>
        <w:rPr>
          <w:sz w:val="20"/>
          <w:szCs w:val="20"/>
        </w:rPr>
      </w:pPr>
      <w:r>
        <w:rPr>
          <w:b/>
          <w:bCs/>
          <w:i/>
          <w:iCs/>
          <w:sz w:val="20"/>
          <w:szCs w:val="20"/>
        </w:rPr>
        <w:t> </w:t>
      </w:r>
    </w:p>
    <w:p w:rsidR="00000000" w:rsidRDefault="00DA7678">
      <w:pPr>
        <w:pStyle w:val="a3"/>
        <w:spacing w:before="0" w:beforeAutospacing="0" w:after="0" w:afterAutospacing="0"/>
        <w:jc w:val="both"/>
        <w:rPr>
          <w:sz w:val="20"/>
          <w:szCs w:val="20"/>
        </w:rPr>
      </w:pPr>
      <w:r>
        <w:rPr>
          <w:i/>
          <w:iCs/>
          <w:sz w:val="20"/>
          <w:szCs w:val="20"/>
        </w:rPr>
        <w:t>Description of the Critical Audit Matter</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The Company’</w:t>
      </w:r>
      <w:r>
        <w:rPr>
          <w:sz w:val="20"/>
          <w:szCs w:val="20"/>
        </w:rPr>
        <w:t>s evaluation of common shares issuances, including in exchange for stock warrants involved complexity and judgement in applying the relevant accounting standards when auditing management’s conclusions on the classification and recognition of warrants on is</w:t>
      </w:r>
      <w:r>
        <w:rPr>
          <w:sz w:val="20"/>
          <w:szCs w:val="20"/>
        </w:rPr>
        <w:t>suance and on exercise and equity transactions upon issuance.</w:t>
      </w:r>
    </w:p>
    <w:p w:rsidR="00000000" w:rsidRDefault="00DA7678">
      <w:pPr>
        <w:pStyle w:val="a3"/>
        <w:spacing w:before="0" w:beforeAutospacing="0" w:after="0" w:afterAutospacing="0"/>
        <w:ind w:left="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i/>
          <w:iCs/>
          <w:sz w:val="20"/>
          <w:szCs w:val="20"/>
        </w:rPr>
        <w:t>How the Critical Audit Matter Was Addressed in the Audit</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Our principal audit procedures to evaluate management’s calculation and recording of common share issuances included the following:</w:t>
      </w:r>
    </w:p>
    <w:p w:rsidR="00000000" w:rsidRDefault="00DA7678">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DA7678">
            <w:pPr>
              <w:rPr>
                <w:sz w:val="20"/>
                <w:szCs w:val="20"/>
              </w:rPr>
            </w:pPr>
          </w:p>
        </w:tc>
        <w:tc>
          <w:tcPr>
            <w:tcW w:w="360" w:type="dxa"/>
            <w:hideMark/>
          </w:tcPr>
          <w:p w:rsidR="00000000" w:rsidRDefault="00DA7678">
            <w:pPr>
              <w:jc w:val="both"/>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We evaluated the appropriateness and consistency of management’s methods and assumptions used in the identification, recognition, measurement, and disclosure of considerations of the underlying warrants and share issuances during the year, including th</w:t>
            </w:r>
            <w:r>
              <w:rPr>
                <w:rFonts w:eastAsia="Times New Roman"/>
                <w:sz w:val="20"/>
                <w:szCs w:val="20"/>
              </w:rPr>
              <w:t>e classification with respect to the terms and in considering applicable generally accepted accounting standards.</w:t>
            </w:r>
          </w:p>
        </w:tc>
      </w:tr>
      <w:tr w:rsidR="00000000">
        <w:trPr>
          <w:tblCellSpacing w:w="0" w:type="dxa"/>
        </w:trPr>
        <w:tc>
          <w:tcPr>
            <w:tcW w:w="0" w:type="auto"/>
            <w:hideMark/>
          </w:tcPr>
          <w:p w:rsidR="00000000" w:rsidRDefault="00DA7678">
            <w:pPr>
              <w:jc w:val="both"/>
              <w:rPr>
                <w:rFonts w:eastAsia="Times New Roman"/>
                <w:sz w:val="20"/>
                <w:szCs w:val="20"/>
              </w:rPr>
            </w:pPr>
          </w:p>
        </w:tc>
        <w:tc>
          <w:tcPr>
            <w:tcW w:w="0" w:type="auto"/>
            <w:hideMark/>
          </w:tcPr>
          <w:p w:rsidR="00000000" w:rsidRDefault="00DA7678">
            <w:pPr>
              <w:jc w:val="both"/>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We read the applicable agreements and compared the key terms to management’s analysis of the transaction.</w:t>
            </w:r>
          </w:p>
        </w:tc>
      </w:tr>
      <w:tr w:rsidR="00000000">
        <w:trPr>
          <w:tblCellSpacing w:w="0" w:type="dxa"/>
        </w:trPr>
        <w:tc>
          <w:tcPr>
            <w:tcW w:w="0" w:type="auto"/>
            <w:hideMark/>
          </w:tcPr>
          <w:p w:rsidR="00000000" w:rsidRDefault="00DA7678">
            <w:pPr>
              <w:jc w:val="both"/>
              <w:rPr>
                <w:rFonts w:eastAsia="Times New Roman"/>
                <w:sz w:val="20"/>
                <w:szCs w:val="20"/>
              </w:rPr>
            </w:pPr>
          </w:p>
        </w:tc>
        <w:tc>
          <w:tcPr>
            <w:tcW w:w="0" w:type="auto"/>
            <w:hideMark/>
          </w:tcPr>
          <w:p w:rsidR="00000000" w:rsidRDefault="00DA7678">
            <w:pPr>
              <w:jc w:val="both"/>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 xml:space="preserve">We </w:t>
            </w:r>
            <w:r>
              <w:rPr>
                <w:rFonts w:eastAsia="Times New Roman"/>
                <w:sz w:val="20"/>
                <w:szCs w:val="20"/>
              </w:rPr>
              <w:t>read, evaluated, and tested the reasonableness of management’s calculation utilized in the determination of common shares issued, including exchange for stock warrants.</w:t>
            </w:r>
          </w:p>
        </w:tc>
      </w:tr>
      <w:tr w:rsidR="00000000">
        <w:trPr>
          <w:tblCellSpacing w:w="0" w:type="dxa"/>
        </w:trPr>
        <w:tc>
          <w:tcPr>
            <w:tcW w:w="0" w:type="auto"/>
            <w:hideMark/>
          </w:tcPr>
          <w:p w:rsidR="00000000" w:rsidRDefault="00DA7678">
            <w:pPr>
              <w:jc w:val="both"/>
              <w:rPr>
                <w:rFonts w:eastAsia="Times New Roman"/>
                <w:sz w:val="20"/>
                <w:szCs w:val="20"/>
              </w:rPr>
            </w:pPr>
          </w:p>
        </w:tc>
        <w:tc>
          <w:tcPr>
            <w:tcW w:w="0" w:type="auto"/>
            <w:hideMark/>
          </w:tcPr>
          <w:p w:rsidR="00000000" w:rsidRDefault="00DA7678">
            <w:pPr>
              <w:jc w:val="both"/>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We evaluated whether management had appropriately considered new information that c</w:t>
            </w:r>
            <w:r>
              <w:rPr>
                <w:rFonts w:eastAsia="Times New Roman"/>
                <w:sz w:val="20"/>
                <w:szCs w:val="20"/>
              </w:rPr>
              <w:t>ould significantly change the measurement or disclosure of common shares issued including exchange for stock warrants, and evaluated the disclosures related to the financial statement impacts of the transactions.</w:t>
            </w:r>
          </w:p>
        </w:tc>
      </w:tr>
      <w:tr w:rsidR="00000000">
        <w:trPr>
          <w:tblCellSpacing w:w="0" w:type="dxa"/>
        </w:trPr>
        <w:tc>
          <w:tcPr>
            <w:tcW w:w="0" w:type="auto"/>
            <w:hideMark/>
          </w:tcPr>
          <w:p w:rsidR="00000000" w:rsidRDefault="00DA7678">
            <w:pPr>
              <w:jc w:val="both"/>
              <w:rPr>
                <w:rFonts w:eastAsia="Times New Roman"/>
                <w:sz w:val="20"/>
                <w:szCs w:val="20"/>
              </w:rPr>
            </w:pPr>
          </w:p>
        </w:tc>
        <w:tc>
          <w:tcPr>
            <w:tcW w:w="0" w:type="auto"/>
            <w:hideMark/>
          </w:tcPr>
          <w:p w:rsidR="00000000" w:rsidRDefault="00DA7678">
            <w:pPr>
              <w:jc w:val="both"/>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We reviewed current and subsequent peri</w:t>
            </w:r>
            <w:r>
              <w:rPr>
                <w:rFonts w:eastAsia="Times New Roman"/>
                <w:sz w:val="20"/>
                <w:szCs w:val="20"/>
              </w:rPr>
              <w:t>od accounting records and third-party documentation to identify unrecorded equity transactions.</w:t>
            </w:r>
          </w:p>
        </w:tc>
      </w:tr>
    </w:tbl>
    <w:p w:rsidR="00000000" w:rsidRDefault="00DA7678">
      <w:pPr>
        <w:pStyle w:val="a3"/>
        <w:spacing w:before="0" w:beforeAutospacing="0" w:after="0" w:afterAutospacing="0"/>
        <w:ind w:left="576" w:hanging="288"/>
        <w:jc w:val="both"/>
        <w:rPr>
          <w:sz w:val="20"/>
          <w:szCs w:val="20"/>
        </w:rPr>
      </w:pPr>
      <w:r>
        <w:rPr>
          <w:sz w:val="20"/>
          <w:szCs w:val="20"/>
        </w:rPr>
        <w:t> </w:t>
      </w:r>
    </w:p>
    <w:p w:rsidR="00000000" w:rsidRDefault="00DA7678">
      <w:pPr>
        <w:pStyle w:val="a3"/>
        <w:spacing w:before="0" w:beforeAutospacing="0" w:after="0" w:afterAutospacing="0"/>
        <w:ind w:left="576" w:hanging="288"/>
        <w:jc w:val="both"/>
        <w:rPr>
          <w:sz w:val="20"/>
          <w:szCs w:val="20"/>
        </w:rPr>
      </w:pPr>
      <w:r>
        <w:rPr>
          <w:noProof/>
          <w:sz w:val="20"/>
          <w:szCs w:val="20"/>
        </w:rPr>
        <w:drawing>
          <wp:inline distT="0" distB="0" distL="0" distR="0">
            <wp:extent cx="304800" cy="30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A7678">
      <w:pPr>
        <w:pStyle w:val="a3"/>
        <w:spacing w:before="0" w:beforeAutospacing="0" w:after="0" w:afterAutospacing="0"/>
        <w:ind w:left="576" w:hanging="288"/>
        <w:jc w:val="both"/>
        <w:rPr>
          <w:sz w:val="20"/>
          <w:szCs w:val="20"/>
        </w:rPr>
      </w:pPr>
      <w:r>
        <w:rPr>
          <w:vanish/>
          <w:sz w:val="20"/>
          <w:szCs w:val="20"/>
        </w:rPr>
        <w:t>Fruci &amp; Associates II, PLL</w:t>
      </w:r>
      <w:r>
        <w:rPr>
          <w:vanish/>
          <w:sz w:val="20"/>
          <w:szCs w:val="20"/>
        </w:rPr>
        <w:t>C</w:t>
      </w:r>
    </w:p>
    <w:tbl>
      <w:tblPr>
        <w:tblW w:w="5000" w:type="pct"/>
        <w:tblCellMar>
          <w:left w:w="0" w:type="dxa"/>
          <w:right w:w="0" w:type="dxa"/>
        </w:tblCellMar>
        <w:tblLook w:val="04A0" w:firstRow="1" w:lastRow="0" w:firstColumn="1" w:lastColumn="0" w:noHBand="0" w:noVBand="1"/>
      </w:tblPr>
      <w:tblGrid>
        <w:gridCol w:w="4153"/>
        <w:gridCol w:w="4153"/>
      </w:tblGrid>
      <w:tr w:rsidR="00000000">
        <w:tc>
          <w:tcPr>
            <w:tcW w:w="2500" w:type="pct"/>
            <w:hideMark/>
          </w:tcPr>
          <w:p w:rsidR="00000000" w:rsidRDefault="00DA7678">
            <w:pPr>
              <w:pStyle w:val="a3"/>
              <w:spacing w:before="0" w:beforeAutospacing="0" w:after="0" w:afterAutospacing="0"/>
              <w:rPr>
                <w:sz w:val="20"/>
                <w:szCs w:val="20"/>
              </w:rPr>
            </w:pPr>
            <w:r>
              <w:rPr>
                <w:sz w:val="20"/>
                <w:szCs w:val="20"/>
              </w:rPr>
              <w:t>We have served as the Company’s auditor since 2016.</w:t>
            </w:r>
          </w:p>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rPr>
                <w:sz w:val="20"/>
                <w:szCs w:val="20"/>
              </w:rPr>
            </w:pPr>
            <w:r>
              <w:rPr>
                <w:sz w:val="20"/>
                <w:szCs w:val="20"/>
              </w:rPr>
              <w:t>Spokane, Washingto</w:t>
            </w:r>
            <w:r>
              <w:rPr>
                <w:sz w:val="20"/>
                <w:szCs w:val="20"/>
              </w:rPr>
              <w:t>n</w:t>
            </w:r>
          </w:p>
        </w:tc>
        <w:tc>
          <w:tcPr>
            <w:tcW w:w="2500" w:type="pct"/>
            <w:hideMark/>
          </w:tcPr>
          <w:p w:rsidR="00000000" w:rsidRDefault="00DA7678">
            <w:pPr>
              <w:rPr>
                <w:rFonts w:eastAsia="Times New Roman"/>
                <w:sz w:val="20"/>
                <w:szCs w:val="20"/>
              </w:rPr>
            </w:pPr>
            <w:r>
              <w:rPr>
                <w:rFonts w:eastAsia="Times New Roman"/>
                <w:sz w:val="20"/>
                <w:szCs w:val="20"/>
              </w:rPr>
              <w:t> </w:t>
            </w:r>
          </w:p>
        </w:tc>
      </w:tr>
      <w:tr w:rsidR="00000000">
        <w:tc>
          <w:tcPr>
            <w:tcW w:w="0" w:type="auto"/>
            <w:hideMark/>
          </w:tcPr>
          <w:p w:rsidR="00000000" w:rsidRDefault="00DA7678">
            <w:pPr>
              <w:rPr>
                <w:rFonts w:eastAsia="Times New Roman"/>
                <w:sz w:val="20"/>
                <w:szCs w:val="20"/>
              </w:rPr>
            </w:pPr>
            <w:r>
              <w:rPr>
                <w:rFonts w:eastAsia="Times New Roman"/>
                <w:sz w:val="20"/>
                <w:szCs w:val="20"/>
              </w:rPr>
              <w:t>March 1, 2023</w:t>
            </w:r>
          </w:p>
        </w:tc>
        <w:tc>
          <w:tcPr>
            <w:tcW w:w="0" w:type="auto"/>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56717136"/>
        </w:trPr>
        <w:tc>
          <w:tcPr>
            <w:tcW w:w="5000" w:type="pct"/>
            <w:hideMark/>
          </w:tcPr>
          <w:p w:rsidR="00000000" w:rsidRDefault="00DA767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jc w:val="cente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center"/>
        <w:rPr>
          <w:sz w:val="20"/>
          <w:szCs w:val="20"/>
        </w:rPr>
      </w:pPr>
      <w:r>
        <w:rPr>
          <w:b/>
          <w:bCs/>
          <w:sz w:val="20"/>
          <w:szCs w:val="20"/>
        </w:rPr>
        <w:t>VIVOS INC</w:t>
      </w:r>
    </w:p>
    <w:p w:rsidR="00000000" w:rsidRDefault="00DA7678">
      <w:pPr>
        <w:pStyle w:val="a3"/>
        <w:spacing w:before="0" w:beforeAutospacing="0" w:after="0" w:afterAutospacing="0"/>
        <w:jc w:val="center"/>
        <w:rPr>
          <w:sz w:val="20"/>
          <w:szCs w:val="20"/>
        </w:rPr>
      </w:pPr>
      <w:r>
        <w:rPr>
          <w:b/>
          <w:bCs/>
          <w:sz w:val="20"/>
          <w:szCs w:val="20"/>
        </w:rPr>
        <w:t>CONDENSED BALANCE SHEETS</w:t>
      </w:r>
    </w:p>
    <w:p w:rsidR="00000000" w:rsidRDefault="00DA7678">
      <w:pPr>
        <w:pStyle w:val="a3"/>
        <w:spacing w:before="0" w:beforeAutospacing="0" w:after="0" w:afterAutospacing="0"/>
        <w:jc w:val="center"/>
        <w:rPr>
          <w:sz w:val="20"/>
          <w:szCs w:val="20"/>
        </w:rPr>
      </w:pPr>
      <w:r>
        <w:rPr>
          <w:b/>
          <w:bCs/>
          <w:sz w:val="20"/>
          <w:szCs w:val="20"/>
        </w:rPr>
        <w:t xml:space="preserve">DECEMBER 31, 2022 AND 2021 </w:t>
      </w:r>
    </w:p>
    <w:p w:rsidR="00000000" w:rsidRDefault="00DA767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Balance Sheets"/>
      </w:tblPr>
      <w:tblGrid>
        <w:gridCol w:w="5144"/>
        <w:gridCol w:w="161"/>
        <w:gridCol w:w="101"/>
        <w:gridCol w:w="1241"/>
        <w:gridCol w:w="78"/>
        <w:gridCol w:w="161"/>
        <w:gridCol w:w="101"/>
        <w:gridCol w:w="1241"/>
        <w:gridCol w:w="78"/>
      </w:tblGrid>
      <w:tr w:rsidR="00000000">
        <w:tc>
          <w:tcPr>
            <w:tcW w:w="0" w:type="auto"/>
            <w:vAlign w:val="bottom"/>
            <w:hideMark/>
          </w:tcPr>
          <w:p w:rsidR="00000000" w:rsidRDefault="00DA7678">
            <w:pPr>
              <w:jc w:val="center"/>
              <w:rPr>
                <w:rFonts w:eastAsia="Times New Roman"/>
                <w:sz w:val="20"/>
                <w:szCs w:val="20"/>
              </w:rPr>
            </w:pPr>
            <w:r>
              <w:rPr>
                <w:rFonts w:eastAsia="Times New Roman"/>
                <w:sz w:val="20"/>
                <w:szCs w:val="20"/>
              </w:rPr>
              <w:t> </w:t>
            </w:r>
          </w:p>
        </w:tc>
        <w:tc>
          <w:tcPr>
            <w:tcW w:w="0" w:type="auto"/>
            <w:vAlign w:val="bottom"/>
            <w:hideMark/>
          </w:tcPr>
          <w:p w:rsidR="00000000" w:rsidRDefault="00DA7678">
            <w:pPr>
              <w:jc w:val="cente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DA7678">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DA7678">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DA7678">
            <w:pPr>
              <w:jc w:val="cente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DA7678">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DA7678">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DA767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DA7678">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DA7678">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DA7678">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jc w:val="center"/>
              <w:rPr>
                <w:rFonts w:eastAsia="Times New Roman"/>
                <w:b/>
                <w:bCs/>
                <w:sz w:val="20"/>
                <w:szCs w:val="20"/>
                <w:u w:val="single"/>
              </w:rPr>
            </w:pPr>
            <w:r>
              <w:rPr>
                <w:rFonts w:eastAsia="Times New Roman"/>
                <w:b/>
                <w:bCs/>
                <w:sz w:val="20"/>
                <w:szCs w:val="20"/>
                <w:u w:val="single"/>
              </w:rPr>
              <w:t>ASSETS</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Current Assets:</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3100" w:type="pct"/>
            <w:shd w:val="clear" w:color="auto" w:fill="FFFFFF"/>
            <w:tcMar>
              <w:top w:w="0" w:type="dxa"/>
              <w:left w:w="200" w:type="dxa"/>
              <w:bottom w:w="0" w:type="dxa"/>
              <w:right w:w="0" w:type="dxa"/>
            </w:tcMar>
            <w:vAlign w:val="bottom"/>
            <w:hideMark/>
          </w:tcPr>
          <w:p w:rsidR="00000000" w:rsidRDefault="00DA7678">
            <w:pPr>
              <w:rPr>
                <w:rFonts w:eastAsia="Times New Roman"/>
                <w:sz w:val="20"/>
                <w:szCs w:val="20"/>
              </w:rPr>
            </w:pPr>
            <w:r>
              <w:rPr>
                <w:rFonts w:eastAsia="Times New Roman"/>
                <w:sz w:val="20"/>
                <w:szCs w:val="20"/>
              </w:rPr>
              <w:t>Cash</w:t>
            </w:r>
          </w:p>
        </w:tc>
        <w:tc>
          <w:tcPr>
            <w:tcW w:w="100" w:type="pct"/>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DA7678">
            <w:pPr>
              <w:jc w:val="right"/>
              <w:rPr>
                <w:rFonts w:eastAsia="Times New Roman"/>
                <w:sz w:val="20"/>
                <w:szCs w:val="20"/>
              </w:rPr>
            </w:pPr>
            <w:r>
              <w:rPr>
                <w:rFonts w:eastAsia="Times New Roman"/>
                <w:sz w:val="20"/>
                <w:szCs w:val="20"/>
              </w:rPr>
              <w:t>1,706,065</w:t>
            </w:r>
          </w:p>
        </w:tc>
        <w:tc>
          <w:tcPr>
            <w:tcW w:w="50" w:type="pct"/>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DA7678">
            <w:pPr>
              <w:jc w:val="right"/>
              <w:rPr>
                <w:rFonts w:eastAsia="Times New Roman"/>
                <w:sz w:val="20"/>
                <w:szCs w:val="20"/>
              </w:rPr>
            </w:pPr>
            <w:r>
              <w:rPr>
                <w:rFonts w:eastAsia="Times New Roman"/>
                <w:sz w:val="20"/>
                <w:szCs w:val="20"/>
              </w:rPr>
              <w:t>1,606,123</w:t>
            </w:r>
          </w:p>
        </w:tc>
        <w:tc>
          <w:tcPr>
            <w:tcW w:w="50" w:type="pct"/>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A7678">
            <w:pPr>
              <w:rPr>
                <w:rFonts w:eastAsia="Times New Roman"/>
                <w:sz w:val="20"/>
                <w:szCs w:val="20"/>
              </w:rPr>
            </w:pPr>
            <w:r>
              <w:rPr>
                <w:rFonts w:eastAsia="Times New Roman"/>
                <w:sz w:val="20"/>
                <w:szCs w:val="20"/>
              </w:rPr>
              <w:t>Accounts receivable</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11,000</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Prepaid expenses</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25,671</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28,175</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Total Current Assets</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1,742,736</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1,634,298</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b/>
                <w:bCs/>
                <w:sz w:val="20"/>
                <w:szCs w:val="20"/>
              </w:rPr>
            </w:pPr>
            <w:r>
              <w:rPr>
                <w:rFonts w:eastAsia="Times New Roman"/>
                <w:b/>
                <w:bCs/>
                <w:sz w:val="20"/>
                <w:szCs w:val="20"/>
              </w:rPr>
              <w:t>TOTAL ASSETS</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1,742,736</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1,634,298</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jc w:val="center"/>
              <w:rPr>
                <w:rFonts w:eastAsia="Times New Roman"/>
                <w:b/>
                <w:bCs/>
                <w:sz w:val="20"/>
                <w:szCs w:val="20"/>
                <w:u w:val="single"/>
              </w:rPr>
            </w:pPr>
            <w:r>
              <w:rPr>
                <w:rFonts w:eastAsia="Times New Roman"/>
                <w:b/>
                <w:bCs/>
                <w:sz w:val="20"/>
                <w:szCs w:val="20"/>
                <w:u w:val="single"/>
              </w:rPr>
              <w:t>LIABILITIES AND STOCKHOLDERS’ EQUITY</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rPr>
                <w:rFonts w:eastAsia="Times New Roman"/>
                <w:b/>
                <w:bCs/>
                <w:sz w:val="20"/>
                <w:szCs w:val="20"/>
              </w:rPr>
            </w:pPr>
            <w:r>
              <w:rPr>
                <w:rFonts w:eastAsia="Times New Roman"/>
                <w:b/>
                <w:bCs/>
                <w:sz w:val="20"/>
                <w:szCs w:val="20"/>
              </w:rPr>
              <w:t>LIABILITIES</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Accounts payable and accrued expenses</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81,692</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166,915</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Total Current Liabilities</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81,692</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166,915</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DA7678">
            <w:pPr>
              <w:rPr>
                <w:rFonts w:eastAsia="Times New Roman"/>
                <w:b/>
                <w:bCs/>
                <w:sz w:val="20"/>
                <w:szCs w:val="20"/>
              </w:rPr>
            </w:pPr>
            <w:r>
              <w:rPr>
                <w:rFonts w:eastAsia="Times New Roman"/>
                <w:b/>
                <w:bCs/>
                <w:sz w:val="20"/>
                <w:szCs w:val="20"/>
              </w:rPr>
              <w:t>Total Liabilities</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81,692</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166,915</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Commitments and contingencies</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rPr>
                <w:rFonts w:eastAsia="Times New Roman"/>
                <w:b/>
                <w:bCs/>
                <w:sz w:val="20"/>
                <w:szCs w:val="20"/>
              </w:rPr>
            </w:pPr>
            <w:r>
              <w:rPr>
                <w:rFonts w:eastAsia="Times New Roman"/>
                <w:b/>
                <w:bCs/>
                <w:sz w:val="20"/>
                <w:szCs w:val="20"/>
              </w:rPr>
              <w:t>STOCKHOLDERS’ EQUITY</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A7678">
            <w:pPr>
              <w:rPr>
                <w:rFonts w:eastAsia="Times New Roman"/>
                <w:sz w:val="20"/>
                <w:szCs w:val="20"/>
              </w:rPr>
            </w:pPr>
            <w:r>
              <w:rPr>
                <w:rFonts w:eastAsia="Times New Roman"/>
                <w:sz w:val="20"/>
                <w:szCs w:val="20"/>
              </w:rPr>
              <w:t xml:space="preserve">Preferred stock, par value,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w:t>
            </w:r>
            <w:r>
              <w:rPr>
                <w:rFonts w:eastAsia="Times New Roman"/>
                <w:sz w:val="20"/>
                <w:szCs w:val="20"/>
              </w:rPr>
              <w:t xml:space="preserve"> </w:t>
            </w:r>
            <w:r>
              <w:rPr>
                <w:rFonts w:eastAsia="Times New Roman"/>
                <w:sz w:val="20"/>
                <w:szCs w:val="20"/>
              </w:rPr>
              <w:t>20,000,00</w:t>
            </w:r>
            <w:r>
              <w:rPr>
                <w:rFonts w:eastAsia="Times New Roman"/>
                <w:sz w:val="20"/>
                <w:szCs w:val="20"/>
              </w:rPr>
              <w:t>0</w:t>
            </w:r>
            <w:r>
              <w:rPr>
                <w:rFonts w:eastAsia="Times New Roman"/>
                <w:sz w:val="20"/>
                <w:szCs w:val="20"/>
              </w:rPr>
              <w:t xml:space="preserve"> shares authorized, Series A Convertible Preferred,</w:t>
            </w:r>
            <w:r>
              <w:rPr>
                <w:rFonts w:eastAsia="Times New Roman"/>
                <w:sz w:val="20"/>
                <w:szCs w:val="20"/>
              </w:rPr>
              <w:t xml:space="preserve"> </w:t>
            </w:r>
            <w:r>
              <w:rPr>
                <w:rFonts w:eastAsia="Times New Roman"/>
                <w:sz w:val="20"/>
                <w:szCs w:val="20"/>
              </w:rPr>
              <w:t>5,000,00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2,071,00</w:t>
            </w:r>
            <w:r>
              <w:rPr>
                <w:rFonts w:eastAsia="Times New Roman"/>
                <w:sz w:val="20"/>
                <w:szCs w:val="20"/>
              </w:rPr>
              <w:t>7</w:t>
            </w:r>
            <w:r>
              <w:rPr>
                <w:rFonts w:eastAsia="Times New Roman"/>
                <w:sz w:val="20"/>
                <w:szCs w:val="20"/>
              </w:rPr>
              <w:t xml:space="preserve"> shares issued and outstanding, respectively</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2,071</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2,071</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A7678">
            <w:pPr>
              <w:rPr>
                <w:rFonts w:eastAsia="Times New Roman"/>
                <w:sz w:val="20"/>
                <w:szCs w:val="20"/>
              </w:rPr>
            </w:pPr>
            <w:r>
              <w:rPr>
                <w:rFonts w:eastAsia="Times New Roman"/>
                <w:sz w:val="20"/>
                <w:szCs w:val="20"/>
              </w:rPr>
              <w:t xml:space="preserve">Additional paid in capital - Series A Convertible </w:t>
            </w:r>
            <w:r>
              <w:rPr>
                <w:rFonts w:eastAsia="Times New Roman"/>
                <w:sz w:val="20"/>
                <w:szCs w:val="20"/>
              </w:rPr>
              <w:t>preferred stock</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8,842,458</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8,842,458</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A7678">
            <w:pPr>
              <w:rPr>
                <w:rFonts w:eastAsia="Times New Roman"/>
                <w:sz w:val="20"/>
                <w:szCs w:val="20"/>
              </w:rPr>
            </w:pPr>
            <w:r>
              <w:rPr>
                <w:rFonts w:eastAsia="Times New Roman"/>
                <w:sz w:val="20"/>
                <w:szCs w:val="20"/>
              </w:rPr>
              <w:t>Series B Convertible Preferred,</w:t>
            </w:r>
            <w:r>
              <w:rPr>
                <w:rFonts w:eastAsia="Times New Roman"/>
                <w:sz w:val="20"/>
                <w:szCs w:val="20"/>
              </w:rPr>
              <w:t xml:space="preserve"> </w:t>
            </w:r>
            <w:r>
              <w:rPr>
                <w:rFonts w:eastAsia="Times New Roman"/>
                <w:sz w:val="20"/>
                <w:szCs w:val="20"/>
              </w:rPr>
              <w:t>5,000,00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200,36</w:t>
            </w:r>
            <w:r>
              <w:rPr>
                <w:rFonts w:eastAsia="Times New Roman"/>
                <w:sz w:val="20"/>
                <w:szCs w:val="20"/>
              </w:rPr>
              <w:t>3</w:t>
            </w:r>
            <w:r>
              <w:rPr>
                <w:rFonts w:eastAsia="Times New Roman"/>
                <w:sz w:val="20"/>
                <w:szCs w:val="20"/>
              </w:rPr>
              <w:t xml:space="preserve"> shares issued and outstanding, respectively</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200</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200</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A7678">
            <w:pPr>
              <w:rPr>
                <w:rFonts w:eastAsia="Times New Roman"/>
                <w:sz w:val="20"/>
                <w:szCs w:val="20"/>
              </w:rPr>
            </w:pPr>
            <w:r>
              <w:rPr>
                <w:rFonts w:eastAsia="Times New Roman"/>
                <w:sz w:val="20"/>
                <w:szCs w:val="20"/>
              </w:rPr>
              <w:t>Additional paid in capital - Series B Convertible preferred stock</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290,956</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290,956</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A7678">
            <w:pPr>
              <w:rPr>
                <w:rFonts w:eastAsia="Times New Roman"/>
                <w:sz w:val="20"/>
                <w:szCs w:val="20"/>
              </w:rPr>
            </w:pPr>
            <w:r>
              <w:rPr>
                <w:rFonts w:eastAsia="Times New Roman"/>
                <w:sz w:val="20"/>
                <w:szCs w:val="20"/>
              </w:rPr>
              <w:t>Series C Convertible Preferred,</w:t>
            </w:r>
            <w:r>
              <w:rPr>
                <w:rFonts w:eastAsia="Times New Roman"/>
                <w:sz w:val="20"/>
                <w:szCs w:val="20"/>
              </w:rPr>
              <w:t xml:space="preserve"> </w:t>
            </w:r>
            <w:r>
              <w:rPr>
                <w:rFonts w:eastAsia="Times New Roman"/>
                <w:sz w:val="20"/>
                <w:szCs w:val="20"/>
              </w:rPr>
              <w:t>5,000,00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385,30</w:t>
            </w:r>
            <w:r>
              <w:rPr>
                <w:rFonts w:eastAsia="Times New Roman"/>
                <w:sz w:val="20"/>
                <w:szCs w:val="20"/>
              </w:rPr>
              <w:t>2</w:t>
            </w:r>
            <w:r>
              <w:rPr>
                <w:rFonts w:eastAsia="Times New Roman"/>
                <w:sz w:val="20"/>
                <w:szCs w:val="20"/>
              </w:rPr>
              <w:t xml:space="preserve"> shares issued and outstanding, respectively</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385</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385</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rPr>
          <w:hidden/>
        </w:trPr>
        <w:tc>
          <w:tcPr>
            <w:tcW w:w="0" w:type="auto"/>
            <w:shd w:val="clear" w:color="auto" w:fill="FFFFFF"/>
            <w:tcMar>
              <w:top w:w="0" w:type="dxa"/>
              <w:left w:w="200" w:type="dxa"/>
              <w:bottom w:w="0" w:type="dxa"/>
              <w:right w:w="0" w:type="dxa"/>
            </w:tcMar>
            <w:vAlign w:val="bottom"/>
            <w:hideMark/>
          </w:tcPr>
          <w:p w:rsidR="00000000" w:rsidRDefault="00DA7678">
            <w:pPr>
              <w:rPr>
                <w:rFonts w:eastAsia="Times New Roman"/>
                <w:vanish/>
                <w:sz w:val="20"/>
                <w:szCs w:val="20"/>
              </w:rPr>
            </w:pPr>
            <w:r>
              <w:rPr>
                <w:rFonts w:eastAsia="Times New Roman"/>
                <w:vanish/>
                <w:sz w:val="20"/>
                <w:szCs w:val="20"/>
              </w:rPr>
              <w:t>Preferred stock value</w:t>
            </w:r>
          </w:p>
        </w:tc>
        <w:tc>
          <w:tcPr>
            <w:tcW w:w="0" w:type="auto"/>
            <w:shd w:val="clear" w:color="auto" w:fill="FFFFFF"/>
            <w:vAlign w:val="bottom"/>
            <w:hideMark/>
          </w:tcPr>
          <w:p w:rsidR="00000000" w:rsidRDefault="00DA7678">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DA7678">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DA7678">
            <w:pPr>
              <w:jc w:val="right"/>
              <w:rPr>
                <w:rFonts w:eastAsia="Times New Roman"/>
                <w:vanish/>
                <w:sz w:val="20"/>
                <w:szCs w:val="20"/>
              </w:rPr>
            </w:pPr>
            <w:r>
              <w:rPr>
                <w:rFonts w:eastAsia="Times New Roman"/>
                <w:vanish/>
                <w:sz w:val="20"/>
                <w:szCs w:val="20"/>
              </w:rPr>
              <w:t>385</w:t>
            </w:r>
          </w:p>
        </w:tc>
        <w:tc>
          <w:tcPr>
            <w:tcW w:w="0" w:type="auto"/>
            <w:shd w:val="clear" w:color="auto" w:fill="FFFFFF"/>
            <w:vAlign w:val="bottom"/>
            <w:hideMark/>
          </w:tcPr>
          <w:p w:rsidR="00000000" w:rsidRDefault="00DA7678">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DA7678">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DA7678">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DA7678">
            <w:pPr>
              <w:jc w:val="right"/>
              <w:rPr>
                <w:rFonts w:eastAsia="Times New Roman"/>
                <w:vanish/>
                <w:sz w:val="20"/>
                <w:szCs w:val="20"/>
              </w:rPr>
            </w:pPr>
            <w:r>
              <w:rPr>
                <w:rFonts w:eastAsia="Times New Roman"/>
                <w:vanish/>
                <w:sz w:val="20"/>
                <w:szCs w:val="20"/>
              </w:rPr>
              <w:t>385</w:t>
            </w:r>
          </w:p>
        </w:tc>
        <w:tc>
          <w:tcPr>
            <w:tcW w:w="0" w:type="auto"/>
            <w:shd w:val="clear" w:color="auto" w:fill="FFFFFF"/>
            <w:vAlign w:val="bottom"/>
            <w:hideMark/>
          </w:tcPr>
          <w:p w:rsidR="00000000" w:rsidRDefault="00DA7678">
            <w:pPr>
              <w:rPr>
                <w:rFonts w:eastAsia="Times New Roman"/>
                <w:vanish/>
                <w:sz w:val="20"/>
                <w:szCs w:val="20"/>
              </w:rPr>
            </w:pPr>
            <w:r>
              <w:rPr>
                <w:rFonts w:eastAsia="Times New Roman"/>
                <w:vanish/>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A7678">
            <w:pPr>
              <w:rPr>
                <w:rFonts w:eastAsia="Times New Roman"/>
                <w:sz w:val="20"/>
                <w:szCs w:val="20"/>
              </w:rPr>
            </w:pPr>
            <w:r>
              <w:rPr>
                <w:rFonts w:eastAsia="Times New Roman"/>
                <w:sz w:val="20"/>
                <w:szCs w:val="20"/>
              </w:rPr>
              <w:t>Additional paid in capital - Series C Convertible preferred stock</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500,507</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500,507</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rPr>
          <w:hidden/>
        </w:trPr>
        <w:tc>
          <w:tcPr>
            <w:tcW w:w="0" w:type="auto"/>
            <w:shd w:val="clear" w:color="auto" w:fill="CCEEFF"/>
            <w:tcMar>
              <w:top w:w="0" w:type="dxa"/>
              <w:left w:w="200" w:type="dxa"/>
              <w:bottom w:w="0" w:type="dxa"/>
              <w:right w:w="0" w:type="dxa"/>
            </w:tcMar>
            <w:vAlign w:val="bottom"/>
            <w:hideMark/>
          </w:tcPr>
          <w:p w:rsidR="00000000" w:rsidRDefault="00DA7678">
            <w:pPr>
              <w:rPr>
                <w:rFonts w:eastAsia="Times New Roman"/>
                <w:vanish/>
                <w:sz w:val="20"/>
                <w:szCs w:val="20"/>
              </w:rPr>
            </w:pPr>
            <w:r>
              <w:rPr>
                <w:rFonts w:eastAsia="Times New Roman"/>
                <w:vanish/>
                <w:sz w:val="20"/>
                <w:szCs w:val="20"/>
              </w:rPr>
              <w:t>Additional paid in capital - Convertible preferred stock</w:t>
            </w:r>
          </w:p>
        </w:tc>
        <w:tc>
          <w:tcPr>
            <w:tcW w:w="0" w:type="auto"/>
            <w:shd w:val="clear" w:color="auto" w:fill="CCEEFF"/>
            <w:vAlign w:val="bottom"/>
            <w:hideMark/>
          </w:tcPr>
          <w:p w:rsidR="00000000" w:rsidRDefault="00DA7678">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DA7678">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DA7678">
            <w:pPr>
              <w:jc w:val="right"/>
              <w:rPr>
                <w:rFonts w:eastAsia="Times New Roman"/>
                <w:vanish/>
                <w:sz w:val="20"/>
                <w:szCs w:val="20"/>
              </w:rPr>
            </w:pPr>
            <w:r>
              <w:rPr>
                <w:rFonts w:eastAsia="Times New Roman"/>
                <w:vanish/>
                <w:sz w:val="20"/>
                <w:szCs w:val="20"/>
              </w:rPr>
              <w:t>500,507</w:t>
            </w:r>
          </w:p>
        </w:tc>
        <w:tc>
          <w:tcPr>
            <w:tcW w:w="0" w:type="auto"/>
            <w:shd w:val="clear" w:color="auto" w:fill="CCEEFF"/>
            <w:vAlign w:val="bottom"/>
            <w:hideMark/>
          </w:tcPr>
          <w:p w:rsidR="00000000" w:rsidRDefault="00DA7678">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DA7678">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DA7678">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DA7678">
            <w:pPr>
              <w:jc w:val="right"/>
              <w:rPr>
                <w:rFonts w:eastAsia="Times New Roman"/>
                <w:vanish/>
                <w:sz w:val="20"/>
                <w:szCs w:val="20"/>
              </w:rPr>
            </w:pPr>
            <w:r>
              <w:rPr>
                <w:rFonts w:eastAsia="Times New Roman"/>
                <w:vanish/>
                <w:sz w:val="20"/>
                <w:szCs w:val="20"/>
              </w:rPr>
              <w:t>500,507</w:t>
            </w:r>
          </w:p>
        </w:tc>
        <w:tc>
          <w:tcPr>
            <w:tcW w:w="0" w:type="auto"/>
            <w:shd w:val="clear" w:color="auto" w:fill="CCEEFF"/>
            <w:vAlign w:val="bottom"/>
            <w:hideMark/>
          </w:tcPr>
          <w:p w:rsidR="00000000" w:rsidRDefault="00DA7678">
            <w:pPr>
              <w:rPr>
                <w:rFonts w:eastAsia="Times New Roman"/>
                <w:vanish/>
                <w:sz w:val="20"/>
                <w:szCs w:val="20"/>
              </w:rPr>
            </w:pPr>
            <w:r>
              <w:rPr>
                <w:rFonts w:eastAsia="Times New Roman"/>
                <w:vanish/>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A7678">
            <w:pPr>
              <w:rPr>
                <w:rFonts w:eastAsia="Times New Roman"/>
                <w:sz w:val="20"/>
                <w:szCs w:val="20"/>
              </w:rPr>
            </w:pPr>
            <w:r>
              <w:rPr>
                <w:rFonts w:eastAsia="Times New Roman"/>
                <w:sz w:val="20"/>
                <w:szCs w:val="20"/>
              </w:rPr>
              <w:t xml:space="preserve">Common stock, par value,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w:t>
            </w:r>
            <w:r>
              <w:rPr>
                <w:rFonts w:eastAsia="Times New Roman"/>
                <w:sz w:val="20"/>
                <w:szCs w:val="20"/>
              </w:rPr>
              <w:t xml:space="preserve"> </w:t>
            </w:r>
            <w:r>
              <w:rPr>
                <w:rFonts w:eastAsia="Times New Roman"/>
                <w:sz w:val="20"/>
                <w:szCs w:val="20"/>
              </w:rPr>
              <w:t>950,000,00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362,541,52</w:t>
            </w:r>
            <w:r>
              <w:rPr>
                <w:rFonts w:eastAsia="Times New Roman"/>
                <w:sz w:val="20"/>
                <w:szCs w:val="20"/>
              </w:rPr>
              <w:t>8</w:t>
            </w:r>
            <w:r>
              <w:rPr>
                <w:rFonts w:eastAsia="Times New Roman"/>
                <w:sz w:val="20"/>
                <w:szCs w:val="20"/>
              </w:rPr>
              <w:t xml:space="preserve"> and</w:t>
            </w:r>
            <w:r>
              <w:rPr>
                <w:rFonts w:eastAsia="Times New Roman"/>
                <w:sz w:val="20"/>
                <w:szCs w:val="20"/>
              </w:rPr>
              <w:t xml:space="preserve"> </w:t>
            </w:r>
            <w:r>
              <w:rPr>
                <w:rFonts w:eastAsia="Times New Roman"/>
                <w:sz w:val="20"/>
                <w:szCs w:val="20"/>
              </w:rPr>
              <w:t>343,530,67</w:t>
            </w:r>
            <w:r>
              <w:rPr>
                <w:rFonts w:eastAsia="Times New Roman"/>
                <w:sz w:val="20"/>
                <w:szCs w:val="20"/>
              </w:rPr>
              <w:t>8</w:t>
            </w:r>
            <w:r>
              <w:rPr>
                <w:rFonts w:eastAsia="Times New Roman"/>
                <w:sz w:val="20"/>
                <w:szCs w:val="20"/>
              </w:rPr>
              <w:t xml:space="preserve"> issued and outstanding, respectively</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362,541</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343,531</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A7678">
            <w:pPr>
              <w:rPr>
                <w:rFonts w:eastAsia="Times New Roman"/>
                <w:sz w:val="20"/>
                <w:szCs w:val="20"/>
              </w:rPr>
            </w:pPr>
            <w:r>
              <w:rPr>
                <w:rFonts w:eastAsia="Times New Roman"/>
                <w:sz w:val="20"/>
                <w:szCs w:val="20"/>
              </w:rPr>
              <w:t>Additional paid in capital - common stock</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71,217,954</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68,573,142</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Accumulated deficit</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(79,556,028</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(77,085,867</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DA7678">
            <w:pPr>
              <w:rPr>
                <w:rFonts w:eastAsia="Times New Roman"/>
                <w:b/>
                <w:bCs/>
                <w:sz w:val="20"/>
                <w:szCs w:val="20"/>
              </w:rPr>
            </w:pPr>
            <w:r>
              <w:rPr>
                <w:rFonts w:eastAsia="Times New Roman"/>
                <w:b/>
                <w:bCs/>
                <w:sz w:val="20"/>
                <w:szCs w:val="20"/>
              </w:rPr>
              <w:t>Total Stockholders’ Equity</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1,661,044</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1,467,383</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b/>
                <w:bCs/>
                <w:sz w:val="20"/>
                <w:szCs w:val="20"/>
              </w:rPr>
            </w:pPr>
            <w:r>
              <w:rPr>
                <w:rFonts w:eastAsia="Times New Roman"/>
                <w:b/>
                <w:bCs/>
                <w:sz w:val="20"/>
                <w:szCs w:val="20"/>
              </w:rPr>
              <w:t>TOTAL LIABILITIES AND STOCKHOLDERS’ EQUITY</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1,742,736</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1,634,298</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70900317"/>
        </w:trPr>
        <w:tc>
          <w:tcPr>
            <w:tcW w:w="5000" w:type="pct"/>
            <w:hideMark/>
          </w:tcPr>
          <w:p w:rsidR="00000000" w:rsidRDefault="00DA767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center"/>
        <w:rPr>
          <w:sz w:val="20"/>
          <w:szCs w:val="20"/>
        </w:rPr>
      </w:pPr>
      <w:r>
        <w:rPr>
          <w:b/>
          <w:bCs/>
          <w:sz w:val="20"/>
          <w:szCs w:val="20"/>
        </w:rPr>
        <w:t>VIVOS INC</w:t>
      </w:r>
    </w:p>
    <w:p w:rsidR="00000000" w:rsidRDefault="00DA7678">
      <w:pPr>
        <w:pStyle w:val="a3"/>
        <w:spacing w:before="0" w:beforeAutospacing="0" w:after="0" w:afterAutospacing="0"/>
        <w:jc w:val="center"/>
        <w:rPr>
          <w:sz w:val="20"/>
          <w:szCs w:val="20"/>
        </w:rPr>
      </w:pPr>
      <w:r>
        <w:rPr>
          <w:b/>
          <w:bCs/>
          <w:sz w:val="20"/>
          <w:szCs w:val="20"/>
        </w:rPr>
        <w:t xml:space="preserve">STATEMENTS OF OPERATIONS </w:t>
      </w:r>
    </w:p>
    <w:p w:rsidR="00000000" w:rsidRDefault="00DA7678">
      <w:pPr>
        <w:pStyle w:val="a3"/>
        <w:spacing w:before="0" w:beforeAutospacing="0" w:after="0" w:afterAutospacing="0"/>
        <w:jc w:val="center"/>
        <w:rPr>
          <w:sz w:val="20"/>
          <w:szCs w:val="20"/>
        </w:rPr>
      </w:pPr>
      <w:r>
        <w:rPr>
          <w:b/>
          <w:bCs/>
          <w:sz w:val="20"/>
          <w:szCs w:val="20"/>
        </w:rPr>
        <w:t>FOR THE YEARS ENDED DECEMBER 31, 2022 AND 2021</w:t>
      </w:r>
    </w:p>
    <w:p w:rsidR="00000000" w:rsidRDefault="00DA767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Statements of Operations"/>
      </w:tblPr>
      <w:tblGrid>
        <w:gridCol w:w="5311"/>
        <w:gridCol w:w="161"/>
        <w:gridCol w:w="100"/>
        <w:gridCol w:w="1158"/>
        <w:gridCol w:w="78"/>
        <w:gridCol w:w="161"/>
        <w:gridCol w:w="100"/>
        <w:gridCol w:w="1158"/>
        <w:gridCol w:w="79"/>
      </w:tblGrid>
      <w:tr w:rsidR="00000000">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DA767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DA767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r>
      <w:tr w:rsidR="00000000">
        <w:tc>
          <w:tcPr>
            <w:tcW w:w="3200" w:type="pct"/>
            <w:shd w:val="clear" w:color="auto" w:fill="CCEEFF"/>
            <w:vAlign w:val="bottom"/>
            <w:hideMark/>
          </w:tcPr>
          <w:p w:rsidR="00000000" w:rsidRDefault="00DA7678">
            <w:pPr>
              <w:rPr>
                <w:rFonts w:eastAsia="Times New Roman"/>
                <w:b/>
                <w:bCs/>
                <w:sz w:val="20"/>
                <w:szCs w:val="20"/>
              </w:rPr>
            </w:pPr>
            <w:r>
              <w:rPr>
                <w:rFonts w:eastAsia="Times New Roman"/>
                <w:b/>
                <w:bCs/>
                <w:sz w:val="20"/>
                <w:szCs w:val="20"/>
              </w:rPr>
              <w:t>Revenues, net</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36,499</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14,887</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b/>
                <w:bCs/>
                <w:sz w:val="20"/>
                <w:szCs w:val="20"/>
              </w:rPr>
            </w:pPr>
            <w:r>
              <w:rPr>
                <w:rFonts w:eastAsia="Times New Roman"/>
                <w:b/>
                <w:bCs/>
                <w:sz w:val="20"/>
                <w:szCs w:val="20"/>
              </w:rPr>
              <w:t>Cost of Goods Sold</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(28,779</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(12,000</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b/>
                <w:bCs/>
                <w:sz w:val="20"/>
                <w:szCs w:val="20"/>
              </w:rPr>
            </w:pPr>
            <w:r>
              <w:rPr>
                <w:rFonts w:eastAsia="Times New Roman"/>
                <w:b/>
                <w:bCs/>
                <w:sz w:val="20"/>
                <w:szCs w:val="20"/>
              </w:rPr>
              <w:t>Gross profit</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7,720</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2,887</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b/>
                <w:bCs/>
                <w:sz w:val="20"/>
                <w:szCs w:val="20"/>
              </w:rPr>
            </w:pPr>
            <w:r>
              <w:rPr>
                <w:rFonts w:eastAsia="Times New Roman"/>
                <w:b/>
                <w:bCs/>
                <w:sz w:val="20"/>
                <w:szCs w:val="20"/>
              </w:rPr>
              <w:t>OPERATING EXPENSES</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A7678">
            <w:pPr>
              <w:rPr>
                <w:rFonts w:eastAsia="Times New Roman"/>
                <w:sz w:val="20"/>
                <w:szCs w:val="20"/>
              </w:rPr>
            </w:pPr>
            <w:r>
              <w:rPr>
                <w:rFonts w:eastAsia="Times New Roman"/>
                <w:sz w:val="20"/>
                <w:szCs w:val="20"/>
              </w:rPr>
              <w:t>Professional fees, including stock-based compensation</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1,755,316</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1,838,323</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A7678">
            <w:pPr>
              <w:rPr>
                <w:rFonts w:eastAsia="Times New Roman"/>
                <w:sz w:val="20"/>
                <w:szCs w:val="20"/>
              </w:rPr>
            </w:pPr>
            <w:r>
              <w:rPr>
                <w:rFonts w:eastAsia="Times New Roman"/>
                <w:sz w:val="20"/>
                <w:szCs w:val="20"/>
              </w:rPr>
              <w:t>Payroll expenses</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275,240</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267,477</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A7678">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343,802</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286,848</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General and administrative expenses</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151,111</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112,037</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2,525,469</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2,504,685</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b/>
                <w:bCs/>
                <w:sz w:val="20"/>
                <w:szCs w:val="20"/>
              </w:rPr>
            </w:pPr>
            <w:r>
              <w:rPr>
                <w:rFonts w:eastAsia="Times New Roman"/>
                <w:b/>
                <w:bCs/>
                <w:sz w:val="20"/>
                <w:szCs w:val="20"/>
              </w:rPr>
              <w:t>OPERATING LOSS</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(2,517,749</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w:t>
            </w:r>
            <w:r>
              <w:rPr>
                <w:rFonts w:eastAsia="Times New Roman"/>
                <w:sz w:val="20"/>
                <w:szCs w:val="20"/>
              </w:rPr>
              <w:t>2,501,798</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b/>
                <w:bCs/>
                <w:sz w:val="20"/>
                <w:szCs w:val="20"/>
              </w:rPr>
            </w:pPr>
            <w:r>
              <w:rPr>
                <w:rFonts w:eastAsia="Times New Roman"/>
                <w:b/>
                <w:bCs/>
                <w:sz w:val="20"/>
                <w:szCs w:val="20"/>
              </w:rPr>
              <w:t>NON-OPERATING INCOME (EXPENSE)</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A7678">
            <w:pPr>
              <w:rPr>
                <w:rFonts w:eastAsia="Times New Roman"/>
                <w:sz w:val="20"/>
                <w:szCs w:val="20"/>
              </w:rPr>
            </w:pPr>
            <w:r>
              <w:rPr>
                <w:rFonts w:eastAsia="Times New Roman"/>
                <w:sz w:val="20"/>
                <w:szCs w:val="20"/>
              </w:rPr>
              <w:t>Interest expense</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(25,375</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DA7678">
            <w:pPr>
              <w:rPr>
                <w:rFonts w:eastAsia="Times New Roman"/>
                <w:sz w:val="20"/>
                <w:szCs w:val="20"/>
              </w:rPr>
            </w:pPr>
            <w:r>
              <w:rPr>
                <w:rFonts w:eastAsia="Times New Roman"/>
                <w:sz w:val="20"/>
                <w:szCs w:val="20"/>
              </w:rPr>
              <w:t>Forgiveness of debt</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136,445</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Gain (loss) on debt extinguishment</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47,588</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(137,038</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Total Non-Operating Income (Expenses)</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47,588</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(25,968</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rPr>
                <w:rFonts w:eastAsia="Times New Roman"/>
                <w:b/>
                <w:bCs/>
                <w:sz w:val="20"/>
                <w:szCs w:val="20"/>
              </w:rPr>
            </w:pPr>
            <w:r>
              <w:rPr>
                <w:rFonts w:eastAsia="Times New Roman"/>
                <w:b/>
                <w:bCs/>
                <w:sz w:val="20"/>
                <w:szCs w:val="20"/>
              </w:rPr>
              <w:t>NET LOSS BEFORE PROVISION FOR INCOME TAXES</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(2,470,161</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(2,527,766</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Provision for income taxes</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b/>
                <w:bCs/>
                <w:sz w:val="20"/>
                <w:szCs w:val="20"/>
              </w:rPr>
            </w:pPr>
            <w:r>
              <w:rPr>
                <w:rFonts w:eastAsia="Times New Roman"/>
                <w:b/>
                <w:bCs/>
                <w:sz w:val="20"/>
                <w:szCs w:val="20"/>
              </w:rPr>
              <w:t>NET LOSS</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(2,470,161</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(2,527,766</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b/>
                <w:bCs/>
                <w:sz w:val="20"/>
                <w:szCs w:val="20"/>
              </w:rPr>
            </w:pPr>
            <w:r>
              <w:rPr>
                <w:rFonts w:eastAsia="Times New Roman"/>
                <w:b/>
                <w:bCs/>
                <w:sz w:val="20"/>
                <w:szCs w:val="20"/>
              </w:rPr>
              <w:t>Net loss per share - basic and diluted</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(0.01</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(0.01</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b/>
                <w:bCs/>
                <w:sz w:val="20"/>
                <w:szCs w:val="20"/>
              </w:rPr>
            </w:pPr>
            <w:r>
              <w:rPr>
                <w:rFonts w:eastAsia="Times New Roman"/>
                <w:b/>
                <w:bCs/>
                <w:sz w:val="20"/>
                <w:szCs w:val="20"/>
              </w:rPr>
              <w:t>Weighted average common shares outstanding</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351,425,912</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325,851,906</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84688730"/>
        </w:trPr>
        <w:tc>
          <w:tcPr>
            <w:tcW w:w="5000" w:type="pct"/>
            <w:hideMark/>
          </w:tcPr>
          <w:p w:rsidR="00000000" w:rsidRDefault="00DA767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center"/>
        <w:rPr>
          <w:sz w:val="20"/>
          <w:szCs w:val="20"/>
        </w:rPr>
      </w:pPr>
      <w:r>
        <w:rPr>
          <w:b/>
          <w:bCs/>
          <w:sz w:val="20"/>
          <w:szCs w:val="20"/>
        </w:rPr>
        <w:t>VIVOS INC</w:t>
      </w:r>
    </w:p>
    <w:p w:rsidR="00000000" w:rsidRDefault="00DA7678">
      <w:pPr>
        <w:pStyle w:val="a3"/>
        <w:spacing w:before="0" w:beforeAutospacing="0" w:after="0" w:afterAutospacing="0"/>
        <w:jc w:val="center"/>
        <w:rPr>
          <w:sz w:val="20"/>
          <w:szCs w:val="20"/>
        </w:rPr>
      </w:pPr>
      <w:r>
        <w:rPr>
          <w:b/>
          <w:bCs/>
          <w:sz w:val="20"/>
          <w:szCs w:val="20"/>
        </w:rPr>
        <w:t xml:space="preserve">STATEMENT OF CHANGES IN STOCKHOLDERS’ EQUITY </w:t>
      </w:r>
    </w:p>
    <w:p w:rsidR="00000000" w:rsidRDefault="00DA7678">
      <w:pPr>
        <w:pStyle w:val="a3"/>
        <w:spacing w:before="0" w:beforeAutospacing="0" w:after="0" w:afterAutospacing="0"/>
        <w:jc w:val="center"/>
        <w:rPr>
          <w:sz w:val="20"/>
          <w:szCs w:val="20"/>
        </w:rPr>
      </w:pPr>
      <w:r>
        <w:rPr>
          <w:b/>
          <w:bCs/>
          <w:sz w:val="20"/>
          <w:szCs w:val="20"/>
        </w:rPr>
        <w:t xml:space="preserve">FOR THE YEARS ENDED DECEMBER 31, 2022 AND 2021 </w:t>
      </w:r>
    </w:p>
    <w:p w:rsidR="00000000" w:rsidRDefault="00DA767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Statement of Changes in Stockholders&amp;apos; Equity"/>
      </w:tblPr>
      <w:tblGrid>
        <w:gridCol w:w="1729"/>
        <w:gridCol w:w="40"/>
        <w:gridCol w:w="40"/>
        <w:gridCol w:w="640"/>
        <w:gridCol w:w="54"/>
        <w:gridCol w:w="40"/>
        <w:gridCol w:w="281"/>
        <w:gridCol w:w="360"/>
        <w:gridCol w:w="54"/>
        <w:gridCol w:w="40"/>
        <w:gridCol w:w="365"/>
        <w:gridCol w:w="640"/>
        <w:gridCol w:w="54"/>
        <w:gridCol w:w="40"/>
        <w:gridCol w:w="40"/>
        <w:gridCol w:w="574"/>
        <w:gridCol w:w="54"/>
        <w:gridCol w:w="40"/>
        <w:gridCol w:w="281"/>
        <w:gridCol w:w="294"/>
        <w:gridCol w:w="54"/>
        <w:gridCol w:w="40"/>
        <w:gridCol w:w="365"/>
        <w:gridCol w:w="520"/>
        <w:gridCol w:w="54"/>
        <w:gridCol w:w="40"/>
        <w:gridCol w:w="40"/>
        <w:gridCol w:w="520"/>
        <w:gridCol w:w="40"/>
        <w:gridCol w:w="40"/>
        <w:gridCol w:w="281"/>
        <w:gridCol w:w="280"/>
        <w:gridCol w:w="40"/>
        <w:gridCol w:w="40"/>
        <w:gridCol w:w="365"/>
        <w:gridCol w:w="520"/>
        <w:gridCol w:w="40"/>
        <w:gridCol w:w="40"/>
        <w:gridCol w:w="80"/>
        <w:gridCol w:w="800"/>
        <w:gridCol w:w="54"/>
        <w:gridCol w:w="40"/>
        <w:gridCol w:w="80"/>
        <w:gridCol w:w="520"/>
        <w:gridCol w:w="40"/>
        <w:gridCol w:w="40"/>
        <w:gridCol w:w="80"/>
        <w:gridCol w:w="720"/>
        <w:gridCol w:w="54"/>
        <w:gridCol w:w="40"/>
        <w:gridCol w:w="454"/>
        <w:gridCol w:w="774"/>
        <w:gridCol w:w="54"/>
        <w:gridCol w:w="40"/>
        <w:gridCol w:w="80"/>
        <w:gridCol w:w="694"/>
        <w:gridCol w:w="54"/>
      </w:tblGrid>
      <w:tr w:rsidR="00000000">
        <w:trPr>
          <w:hidden/>
        </w:trPr>
        <w:tc>
          <w:tcPr>
            <w:tcW w:w="0" w:type="auto"/>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gridSpan w:val="2"/>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gridSpan w:val="2"/>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vAlign w:val="bottom"/>
            <w:hideMark/>
          </w:tcPr>
          <w:p w:rsidR="00000000" w:rsidRDefault="00DA7678">
            <w:pPr>
              <w:rPr>
                <w:rFonts w:eastAsia="Times New Roman"/>
                <w:b/>
                <w:bCs/>
                <w:vanish/>
                <w:sz w:val="16"/>
                <w:szCs w:val="16"/>
              </w:rPr>
            </w:pPr>
            <w:r>
              <w:rPr>
                <w:rFonts w:eastAsia="Times New Roman"/>
                <w:b/>
                <w:bCs/>
                <w:vanish/>
                <w:sz w:val="16"/>
                <w:szCs w:val="16"/>
              </w:rPr>
              <w:t> </w:t>
            </w:r>
          </w:p>
        </w:tc>
        <w:tc>
          <w:tcPr>
            <w:tcW w:w="0" w:type="auto"/>
            <w:gridSpan w:val="2"/>
            <w:vAlign w:val="bottom"/>
            <w:hideMark/>
          </w:tcPr>
          <w:p w:rsidR="00000000" w:rsidRDefault="00DA7678">
            <w:pPr>
              <w:jc w:val="center"/>
              <w:rPr>
                <w:rFonts w:eastAsia="Times New Roman"/>
                <w:b/>
                <w:bCs/>
                <w:vanish/>
                <w:sz w:val="16"/>
                <w:szCs w:val="16"/>
              </w:rPr>
            </w:pPr>
            <w:r>
              <w:rPr>
                <w:rFonts w:eastAsia="Times New Roman"/>
                <w:b/>
                <w:bCs/>
                <w:vanish/>
                <w:sz w:val="16"/>
                <w:szCs w:val="16"/>
              </w:rPr>
              <w:t> </w:t>
            </w:r>
          </w:p>
        </w:tc>
        <w:tc>
          <w:tcPr>
            <w:tcW w:w="0" w:type="auto"/>
            <w:vAlign w:val="bottom"/>
            <w:hideMark/>
          </w:tcPr>
          <w:p w:rsidR="00000000" w:rsidRDefault="00DA7678">
            <w:pPr>
              <w:rPr>
                <w:rFonts w:eastAsia="Times New Roman"/>
                <w:b/>
                <w:bCs/>
                <w:vanish/>
                <w:sz w:val="16"/>
                <w:szCs w:val="16"/>
              </w:rPr>
            </w:pPr>
            <w:r>
              <w:rPr>
                <w:rFonts w:eastAsia="Times New Roman"/>
                <w:b/>
                <w:bCs/>
                <w:vanish/>
                <w:sz w:val="16"/>
                <w:szCs w:val="16"/>
              </w:rPr>
              <w:t> </w:t>
            </w:r>
          </w:p>
        </w:tc>
        <w:tc>
          <w:tcPr>
            <w:tcW w:w="0" w:type="auto"/>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gridSpan w:val="2"/>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gridSpan w:val="2"/>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vAlign w:val="bottom"/>
            <w:hideMark/>
          </w:tcPr>
          <w:p w:rsidR="00000000" w:rsidRDefault="00DA7678">
            <w:pPr>
              <w:rPr>
                <w:rFonts w:eastAsia="Times New Roman"/>
                <w:b/>
                <w:bCs/>
                <w:vanish/>
                <w:sz w:val="16"/>
                <w:szCs w:val="16"/>
              </w:rPr>
            </w:pPr>
            <w:r>
              <w:rPr>
                <w:rFonts w:eastAsia="Times New Roman"/>
                <w:b/>
                <w:bCs/>
                <w:vanish/>
                <w:sz w:val="16"/>
                <w:szCs w:val="16"/>
              </w:rPr>
              <w:t> </w:t>
            </w:r>
          </w:p>
        </w:tc>
        <w:tc>
          <w:tcPr>
            <w:tcW w:w="0" w:type="auto"/>
            <w:gridSpan w:val="2"/>
            <w:vAlign w:val="bottom"/>
            <w:hideMark/>
          </w:tcPr>
          <w:p w:rsidR="00000000" w:rsidRDefault="00DA7678">
            <w:pPr>
              <w:jc w:val="center"/>
              <w:rPr>
                <w:rFonts w:eastAsia="Times New Roman"/>
                <w:b/>
                <w:bCs/>
                <w:vanish/>
                <w:sz w:val="16"/>
                <w:szCs w:val="16"/>
              </w:rPr>
            </w:pPr>
            <w:r>
              <w:rPr>
                <w:rFonts w:eastAsia="Times New Roman"/>
                <w:b/>
                <w:bCs/>
                <w:vanish/>
                <w:sz w:val="16"/>
                <w:szCs w:val="16"/>
              </w:rPr>
              <w:t> </w:t>
            </w:r>
          </w:p>
        </w:tc>
        <w:tc>
          <w:tcPr>
            <w:tcW w:w="0" w:type="auto"/>
            <w:vAlign w:val="bottom"/>
            <w:hideMark/>
          </w:tcPr>
          <w:p w:rsidR="00000000" w:rsidRDefault="00DA7678">
            <w:pPr>
              <w:rPr>
                <w:rFonts w:eastAsia="Times New Roman"/>
                <w:b/>
                <w:bCs/>
                <w:vanish/>
                <w:sz w:val="16"/>
                <w:szCs w:val="16"/>
              </w:rPr>
            </w:pPr>
            <w:r>
              <w:rPr>
                <w:rFonts w:eastAsia="Times New Roman"/>
                <w:b/>
                <w:bCs/>
                <w:vanish/>
                <w:sz w:val="16"/>
                <w:szCs w:val="16"/>
              </w:rPr>
              <w:t> </w:t>
            </w:r>
          </w:p>
        </w:tc>
        <w:tc>
          <w:tcPr>
            <w:tcW w:w="0" w:type="auto"/>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gridSpan w:val="2"/>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gridSpan w:val="2"/>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vAlign w:val="bottom"/>
            <w:hideMark/>
          </w:tcPr>
          <w:p w:rsidR="00000000" w:rsidRDefault="00DA7678">
            <w:pPr>
              <w:rPr>
                <w:rFonts w:eastAsia="Times New Roman"/>
                <w:b/>
                <w:bCs/>
                <w:vanish/>
                <w:sz w:val="16"/>
                <w:szCs w:val="16"/>
              </w:rPr>
            </w:pPr>
            <w:r>
              <w:rPr>
                <w:rFonts w:eastAsia="Times New Roman"/>
                <w:b/>
                <w:bCs/>
                <w:vanish/>
                <w:sz w:val="16"/>
                <w:szCs w:val="16"/>
              </w:rPr>
              <w:t> </w:t>
            </w:r>
          </w:p>
        </w:tc>
        <w:tc>
          <w:tcPr>
            <w:tcW w:w="0" w:type="auto"/>
            <w:gridSpan w:val="2"/>
            <w:vAlign w:val="bottom"/>
            <w:hideMark/>
          </w:tcPr>
          <w:p w:rsidR="00000000" w:rsidRDefault="00DA7678">
            <w:pPr>
              <w:jc w:val="center"/>
              <w:rPr>
                <w:rFonts w:eastAsia="Times New Roman"/>
                <w:b/>
                <w:bCs/>
                <w:vanish/>
                <w:sz w:val="16"/>
                <w:szCs w:val="16"/>
              </w:rPr>
            </w:pPr>
            <w:r>
              <w:rPr>
                <w:rFonts w:eastAsia="Times New Roman"/>
                <w:b/>
                <w:bCs/>
                <w:vanish/>
                <w:sz w:val="16"/>
                <w:szCs w:val="16"/>
              </w:rPr>
              <w:t> </w:t>
            </w:r>
          </w:p>
        </w:tc>
        <w:tc>
          <w:tcPr>
            <w:tcW w:w="0" w:type="auto"/>
            <w:vAlign w:val="bottom"/>
            <w:hideMark/>
          </w:tcPr>
          <w:p w:rsidR="00000000" w:rsidRDefault="00DA7678">
            <w:pPr>
              <w:rPr>
                <w:rFonts w:eastAsia="Times New Roman"/>
                <w:b/>
                <w:bCs/>
                <w:vanish/>
                <w:sz w:val="16"/>
                <w:szCs w:val="16"/>
              </w:rPr>
            </w:pPr>
            <w:r>
              <w:rPr>
                <w:rFonts w:eastAsia="Times New Roman"/>
                <w:b/>
                <w:bCs/>
                <w:vanish/>
                <w:sz w:val="16"/>
                <w:szCs w:val="16"/>
              </w:rPr>
              <w:t> </w:t>
            </w:r>
          </w:p>
        </w:tc>
        <w:tc>
          <w:tcPr>
            <w:tcW w:w="0" w:type="auto"/>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gridSpan w:val="2"/>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gridSpan w:val="2"/>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vAlign w:val="bottom"/>
            <w:hideMark/>
          </w:tcPr>
          <w:p w:rsidR="00000000" w:rsidRDefault="00DA7678">
            <w:pPr>
              <w:rPr>
                <w:rFonts w:eastAsia="Times New Roman"/>
                <w:b/>
                <w:bCs/>
                <w:vanish/>
                <w:sz w:val="16"/>
                <w:szCs w:val="16"/>
              </w:rPr>
            </w:pPr>
            <w:r>
              <w:rPr>
                <w:rFonts w:eastAsia="Times New Roman"/>
                <w:b/>
                <w:bCs/>
                <w:vanish/>
                <w:sz w:val="16"/>
                <w:szCs w:val="16"/>
              </w:rPr>
              <w:t> </w:t>
            </w:r>
          </w:p>
        </w:tc>
        <w:tc>
          <w:tcPr>
            <w:tcW w:w="0" w:type="auto"/>
            <w:gridSpan w:val="2"/>
            <w:vAlign w:val="bottom"/>
            <w:hideMark/>
          </w:tcPr>
          <w:p w:rsidR="00000000" w:rsidRDefault="00DA7678">
            <w:pPr>
              <w:jc w:val="center"/>
              <w:rPr>
                <w:rFonts w:eastAsia="Times New Roman"/>
                <w:b/>
                <w:bCs/>
                <w:vanish/>
                <w:sz w:val="16"/>
                <w:szCs w:val="16"/>
              </w:rPr>
            </w:pPr>
            <w:r>
              <w:rPr>
                <w:rFonts w:eastAsia="Times New Roman"/>
                <w:b/>
                <w:bCs/>
                <w:vanish/>
                <w:sz w:val="16"/>
                <w:szCs w:val="16"/>
              </w:rPr>
              <w:t> </w:t>
            </w:r>
          </w:p>
        </w:tc>
        <w:tc>
          <w:tcPr>
            <w:tcW w:w="0" w:type="auto"/>
            <w:vAlign w:val="bottom"/>
            <w:hideMark/>
          </w:tcPr>
          <w:p w:rsidR="00000000" w:rsidRDefault="00DA7678">
            <w:pPr>
              <w:rPr>
                <w:rFonts w:eastAsia="Times New Roman"/>
                <w:b/>
                <w:bCs/>
                <w:vanish/>
                <w:sz w:val="16"/>
                <w:szCs w:val="16"/>
              </w:rPr>
            </w:pPr>
            <w:r>
              <w:rPr>
                <w:rFonts w:eastAsia="Times New Roman"/>
                <w:b/>
                <w:bCs/>
                <w:vanish/>
                <w:sz w:val="16"/>
                <w:szCs w:val="16"/>
              </w:rPr>
              <w:t> </w:t>
            </w:r>
          </w:p>
        </w:tc>
        <w:tc>
          <w:tcPr>
            <w:tcW w:w="0" w:type="auto"/>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gridSpan w:val="2"/>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gridSpan w:val="2"/>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vAlign w:val="bottom"/>
            <w:hideMark/>
          </w:tcPr>
          <w:p w:rsidR="00000000" w:rsidRDefault="00DA7678">
            <w:pPr>
              <w:rPr>
                <w:rFonts w:eastAsia="Times New Roman"/>
                <w:vanish/>
                <w:sz w:val="16"/>
                <w:szCs w:val="16"/>
              </w:rPr>
            </w:pPr>
            <w:r>
              <w:rPr>
                <w:rFonts w:eastAsia="Times New Roman"/>
                <w:vanish/>
                <w:sz w:val="16"/>
                <w:szCs w:val="16"/>
              </w:rPr>
              <w:t> </w:t>
            </w:r>
          </w:p>
        </w:tc>
      </w:tr>
      <w:tr w:rsidR="00000000">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gridSpan w:val="2"/>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gridSpan w:val="2"/>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DA7678">
            <w:pPr>
              <w:jc w:val="center"/>
              <w:rPr>
                <w:rFonts w:eastAsia="Times New Roman"/>
                <w:b/>
                <w:bCs/>
                <w:sz w:val="16"/>
                <w:szCs w:val="16"/>
              </w:rPr>
            </w:pPr>
            <w:r>
              <w:rPr>
                <w:rFonts w:eastAsia="Times New Roman"/>
                <w:b/>
                <w:bCs/>
                <w:sz w:val="16"/>
                <w:szCs w:val="16"/>
              </w:rPr>
              <w:t>Additional</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gridSpan w:val="2"/>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gridSpan w:val="2"/>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DA7678">
            <w:pPr>
              <w:jc w:val="center"/>
              <w:rPr>
                <w:rFonts w:eastAsia="Times New Roman"/>
                <w:b/>
                <w:bCs/>
                <w:sz w:val="16"/>
                <w:szCs w:val="16"/>
              </w:rPr>
            </w:pPr>
            <w:r>
              <w:rPr>
                <w:rFonts w:eastAsia="Times New Roman"/>
                <w:b/>
                <w:bCs/>
                <w:sz w:val="16"/>
                <w:szCs w:val="16"/>
              </w:rPr>
              <w:t>Additional</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gridSpan w:val="2"/>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gridSpan w:val="2"/>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DA7678">
            <w:pPr>
              <w:jc w:val="center"/>
              <w:rPr>
                <w:rFonts w:eastAsia="Times New Roman"/>
                <w:b/>
                <w:bCs/>
                <w:sz w:val="16"/>
                <w:szCs w:val="16"/>
              </w:rPr>
            </w:pPr>
            <w:r>
              <w:rPr>
                <w:rFonts w:eastAsia="Times New Roman"/>
                <w:b/>
                <w:bCs/>
                <w:sz w:val="16"/>
                <w:szCs w:val="16"/>
              </w:rPr>
              <w:t>Additional</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gridSpan w:val="2"/>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gridSpan w:val="2"/>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DA7678">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gridSpan w:val="2"/>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gridSpan w:val="2"/>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r>
      <w:tr w:rsidR="00000000">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gridSpan w:val="2"/>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gridSpan w:val="2"/>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DA7678">
            <w:pPr>
              <w:jc w:val="center"/>
              <w:rPr>
                <w:rFonts w:eastAsia="Times New Roman"/>
                <w:b/>
                <w:bCs/>
                <w:sz w:val="16"/>
                <w:szCs w:val="16"/>
              </w:rPr>
            </w:pPr>
            <w:r>
              <w:rPr>
                <w:rFonts w:eastAsia="Times New Roman"/>
                <w:b/>
                <w:bCs/>
                <w:sz w:val="16"/>
                <w:szCs w:val="16"/>
              </w:rPr>
              <w:t>Paid-In</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gridSpan w:val="2"/>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gridSpan w:val="2"/>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DA7678">
            <w:pPr>
              <w:jc w:val="center"/>
              <w:rPr>
                <w:rFonts w:eastAsia="Times New Roman"/>
                <w:b/>
                <w:bCs/>
                <w:sz w:val="16"/>
                <w:szCs w:val="16"/>
              </w:rPr>
            </w:pPr>
            <w:r>
              <w:rPr>
                <w:rFonts w:eastAsia="Times New Roman"/>
                <w:b/>
                <w:bCs/>
                <w:sz w:val="16"/>
                <w:szCs w:val="16"/>
              </w:rPr>
              <w:t>Paid-In</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gridSpan w:val="2"/>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gridSpan w:val="2"/>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DA7678">
            <w:pPr>
              <w:jc w:val="center"/>
              <w:rPr>
                <w:rFonts w:eastAsia="Times New Roman"/>
                <w:b/>
                <w:bCs/>
                <w:sz w:val="16"/>
                <w:szCs w:val="16"/>
              </w:rPr>
            </w:pPr>
            <w:r>
              <w:rPr>
                <w:rFonts w:eastAsia="Times New Roman"/>
                <w:b/>
                <w:bCs/>
                <w:sz w:val="16"/>
                <w:szCs w:val="16"/>
              </w:rPr>
              <w:t>Paid-In</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gridSpan w:val="6"/>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DA7678">
            <w:pPr>
              <w:jc w:val="center"/>
              <w:rPr>
                <w:rFonts w:eastAsia="Times New Roman"/>
                <w:b/>
                <w:bCs/>
                <w:sz w:val="16"/>
                <w:szCs w:val="16"/>
              </w:rPr>
            </w:pPr>
            <w:r>
              <w:rPr>
                <w:rFonts w:eastAsia="Times New Roman"/>
                <w:b/>
                <w:bCs/>
                <w:sz w:val="16"/>
                <w:szCs w:val="16"/>
              </w:rPr>
              <w:t>Additional</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gridSpan w:val="2"/>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gridSpan w:val="2"/>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r>
      <w:tr w:rsidR="00000000">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DA7678">
            <w:pPr>
              <w:jc w:val="center"/>
              <w:rPr>
                <w:rFonts w:eastAsia="Times New Roman"/>
                <w:b/>
                <w:bCs/>
                <w:sz w:val="16"/>
                <w:szCs w:val="16"/>
              </w:rPr>
            </w:pPr>
            <w:r>
              <w:rPr>
                <w:rFonts w:eastAsia="Times New Roman"/>
                <w:b/>
                <w:bCs/>
                <w:sz w:val="16"/>
                <w:szCs w:val="16"/>
              </w:rPr>
              <w:t>Series A Preferred</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DA7678">
            <w:pPr>
              <w:jc w:val="center"/>
              <w:rPr>
                <w:rFonts w:eastAsia="Times New Roman"/>
                <w:b/>
                <w:bCs/>
                <w:sz w:val="16"/>
                <w:szCs w:val="16"/>
              </w:rPr>
            </w:pPr>
            <w:r>
              <w:rPr>
                <w:rFonts w:eastAsia="Times New Roman"/>
                <w:b/>
                <w:bCs/>
                <w:sz w:val="16"/>
                <w:szCs w:val="16"/>
              </w:rPr>
              <w:t xml:space="preserve">Capital </w:t>
            </w:r>
            <w:r>
              <w:rPr>
                <w:rFonts w:eastAsia="Times New Roman"/>
                <w:b/>
                <w:bCs/>
                <w:sz w:val="16"/>
                <w:szCs w:val="16"/>
              </w:rPr>
              <w:t>- Series A</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DA7678">
            <w:pPr>
              <w:jc w:val="center"/>
              <w:rPr>
                <w:rFonts w:eastAsia="Times New Roman"/>
                <w:b/>
                <w:bCs/>
                <w:sz w:val="16"/>
                <w:szCs w:val="16"/>
              </w:rPr>
            </w:pPr>
            <w:r>
              <w:rPr>
                <w:rFonts w:eastAsia="Times New Roman"/>
                <w:b/>
                <w:bCs/>
                <w:sz w:val="16"/>
                <w:szCs w:val="16"/>
              </w:rPr>
              <w:t>Series B Preferred</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DA7678">
            <w:pPr>
              <w:jc w:val="center"/>
              <w:rPr>
                <w:rFonts w:eastAsia="Times New Roman"/>
                <w:b/>
                <w:bCs/>
                <w:sz w:val="16"/>
                <w:szCs w:val="16"/>
              </w:rPr>
            </w:pPr>
            <w:r>
              <w:rPr>
                <w:rFonts w:eastAsia="Times New Roman"/>
                <w:b/>
                <w:bCs/>
                <w:sz w:val="16"/>
                <w:szCs w:val="16"/>
              </w:rPr>
              <w:t>Capital - Series B</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DA7678">
            <w:pPr>
              <w:jc w:val="center"/>
              <w:rPr>
                <w:rFonts w:eastAsia="Times New Roman"/>
                <w:b/>
                <w:bCs/>
                <w:sz w:val="16"/>
                <w:szCs w:val="16"/>
              </w:rPr>
            </w:pPr>
            <w:r>
              <w:rPr>
                <w:rFonts w:eastAsia="Times New Roman"/>
                <w:b/>
                <w:bCs/>
                <w:sz w:val="16"/>
                <w:szCs w:val="16"/>
              </w:rPr>
              <w:t>Series C Preferred</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DA7678">
            <w:pPr>
              <w:jc w:val="center"/>
              <w:rPr>
                <w:rFonts w:eastAsia="Times New Roman"/>
                <w:b/>
                <w:bCs/>
                <w:sz w:val="16"/>
                <w:szCs w:val="16"/>
              </w:rPr>
            </w:pPr>
            <w:r>
              <w:rPr>
                <w:rFonts w:eastAsia="Times New Roman"/>
                <w:b/>
                <w:bCs/>
                <w:sz w:val="16"/>
                <w:szCs w:val="16"/>
              </w:rPr>
              <w:t>Capital - Series C</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DA7678">
            <w:pPr>
              <w:jc w:val="center"/>
              <w:rPr>
                <w:rFonts w:eastAsia="Times New Roman"/>
                <w:b/>
                <w:bCs/>
                <w:sz w:val="16"/>
                <w:szCs w:val="16"/>
              </w:rPr>
            </w:pPr>
            <w:r>
              <w:rPr>
                <w:rFonts w:eastAsia="Times New Roman"/>
                <w:b/>
                <w:bCs/>
                <w:sz w:val="16"/>
                <w:szCs w:val="16"/>
              </w:rPr>
              <w:t>Common Stock</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DA7678">
            <w:pPr>
              <w:jc w:val="center"/>
              <w:rPr>
                <w:rFonts w:eastAsia="Times New Roman"/>
                <w:b/>
                <w:bCs/>
                <w:sz w:val="16"/>
                <w:szCs w:val="16"/>
              </w:rPr>
            </w:pPr>
            <w:r>
              <w:rPr>
                <w:rFonts w:eastAsia="Times New Roman"/>
                <w:b/>
                <w:bCs/>
                <w:sz w:val="16"/>
                <w:szCs w:val="16"/>
              </w:rPr>
              <w:t>Paid-In Capital -</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DA7678">
            <w:pPr>
              <w:jc w:val="center"/>
              <w:rPr>
                <w:rFonts w:eastAsia="Times New Roman"/>
                <w:b/>
                <w:bCs/>
                <w:sz w:val="16"/>
                <w:szCs w:val="16"/>
              </w:rPr>
            </w:pPr>
            <w:r>
              <w:rPr>
                <w:rFonts w:eastAsia="Times New Roman"/>
                <w:b/>
                <w:bCs/>
                <w:sz w:val="16"/>
                <w:szCs w:val="16"/>
              </w:rPr>
              <w:t>Accumulated</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gridSpan w:val="2"/>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r>
      <w:tr w:rsidR="00000000">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A7678">
            <w:pPr>
              <w:jc w:val="center"/>
              <w:rPr>
                <w:rFonts w:eastAsia="Times New Roman"/>
                <w:b/>
                <w:bCs/>
                <w:sz w:val="16"/>
                <w:szCs w:val="16"/>
              </w:rPr>
            </w:pPr>
            <w:r>
              <w:rPr>
                <w:rFonts w:eastAsia="Times New Roman"/>
                <w:b/>
                <w:bCs/>
                <w:sz w:val="16"/>
                <w:szCs w:val="16"/>
              </w:rPr>
              <w:t>Shares</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A7678">
            <w:pPr>
              <w:jc w:val="center"/>
              <w:rPr>
                <w:rFonts w:eastAsia="Times New Roman"/>
                <w:b/>
                <w:bCs/>
                <w:sz w:val="16"/>
                <w:szCs w:val="16"/>
              </w:rPr>
            </w:pPr>
            <w:r>
              <w:rPr>
                <w:rFonts w:eastAsia="Times New Roman"/>
                <w:b/>
                <w:bCs/>
                <w:sz w:val="16"/>
                <w:szCs w:val="16"/>
              </w:rPr>
              <w:t>Amount</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A7678">
            <w:pPr>
              <w:jc w:val="center"/>
              <w:rPr>
                <w:rFonts w:eastAsia="Times New Roman"/>
                <w:b/>
                <w:bCs/>
                <w:sz w:val="16"/>
                <w:szCs w:val="16"/>
              </w:rPr>
            </w:pPr>
            <w:r>
              <w:rPr>
                <w:rFonts w:eastAsia="Times New Roman"/>
                <w:b/>
                <w:bCs/>
                <w:sz w:val="16"/>
                <w:szCs w:val="16"/>
              </w:rPr>
              <w:t>Preferred</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A7678">
            <w:pPr>
              <w:jc w:val="center"/>
              <w:rPr>
                <w:rFonts w:eastAsia="Times New Roman"/>
                <w:b/>
                <w:bCs/>
                <w:sz w:val="16"/>
                <w:szCs w:val="16"/>
              </w:rPr>
            </w:pPr>
            <w:r>
              <w:rPr>
                <w:rFonts w:eastAsia="Times New Roman"/>
                <w:b/>
                <w:bCs/>
                <w:sz w:val="16"/>
                <w:szCs w:val="16"/>
              </w:rPr>
              <w:t>Shares</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A7678">
            <w:pPr>
              <w:jc w:val="center"/>
              <w:rPr>
                <w:rFonts w:eastAsia="Times New Roman"/>
                <w:b/>
                <w:bCs/>
                <w:sz w:val="16"/>
                <w:szCs w:val="16"/>
              </w:rPr>
            </w:pPr>
            <w:r>
              <w:rPr>
                <w:rFonts w:eastAsia="Times New Roman"/>
                <w:b/>
                <w:bCs/>
                <w:sz w:val="16"/>
                <w:szCs w:val="16"/>
              </w:rPr>
              <w:t>Amount</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A7678">
            <w:pPr>
              <w:jc w:val="center"/>
              <w:rPr>
                <w:rFonts w:eastAsia="Times New Roman"/>
                <w:b/>
                <w:bCs/>
                <w:sz w:val="16"/>
                <w:szCs w:val="16"/>
              </w:rPr>
            </w:pPr>
            <w:r>
              <w:rPr>
                <w:rFonts w:eastAsia="Times New Roman"/>
                <w:b/>
                <w:bCs/>
                <w:sz w:val="16"/>
                <w:szCs w:val="16"/>
              </w:rPr>
              <w:t>Preferred</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A7678">
            <w:pPr>
              <w:jc w:val="center"/>
              <w:rPr>
                <w:rFonts w:eastAsia="Times New Roman"/>
                <w:b/>
                <w:bCs/>
                <w:sz w:val="16"/>
                <w:szCs w:val="16"/>
              </w:rPr>
            </w:pPr>
            <w:r>
              <w:rPr>
                <w:rFonts w:eastAsia="Times New Roman"/>
                <w:b/>
                <w:bCs/>
                <w:sz w:val="16"/>
                <w:szCs w:val="16"/>
              </w:rPr>
              <w:t>Shares</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A7678">
            <w:pPr>
              <w:jc w:val="center"/>
              <w:rPr>
                <w:rFonts w:eastAsia="Times New Roman"/>
                <w:b/>
                <w:bCs/>
                <w:sz w:val="16"/>
                <w:szCs w:val="16"/>
              </w:rPr>
            </w:pPr>
            <w:r>
              <w:rPr>
                <w:rFonts w:eastAsia="Times New Roman"/>
                <w:b/>
                <w:bCs/>
                <w:sz w:val="16"/>
                <w:szCs w:val="16"/>
              </w:rPr>
              <w:t>Amount</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A7678">
            <w:pPr>
              <w:jc w:val="center"/>
              <w:rPr>
                <w:rFonts w:eastAsia="Times New Roman"/>
                <w:b/>
                <w:bCs/>
                <w:sz w:val="16"/>
                <w:szCs w:val="16"/>
              </w:rPr>
            </w:pPr>
            <w:r>
              <w:rPr>
                <w:rFonts w:eastAsia="Times New Roman"/>
                <w:b/>
                <w:bCs/>
                <w:sz w:val="16"/>
                <w:szCs w:val="16"/>
              </w:rPr>
              <w:t>Preferred</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A7678">
            <w:pPr>
              <w:jc w:val="center"/>
              <w:rPr>
                <w:rFonts w:eastAsia="Times New Roman"/>
                <w:b/>
                <w:bCs/>
                <w:sz w:val="16"/>
                <w:szCs w:val="16"/>
              </w:rPr>
            </w:pPr>
            <w:r>
              <w:rPr>
                <w:rFonts w:eastAsia="Times New Roman"/>
                <w:b/>
                <w:bCs/>
                <w:sz w:val="16"/>
                <w:szCs w:val="16"/>
              </w:rPr>
              <w:t>Shares</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A7678">
            <w:pPr>
              <w:jc w:val="center"/>
              <w:rPr>
                <w:rFonts w:eastAsia="Times New Roman"/>
                <w:b/>
                <w:bCs/>
                <w:sz w:val="16"/>
                <w:szCs w:val="16"/>
              </w:rPr>
            </w:pPr>
            <w:r>
              <w:rPr>
                <w:rFonts w:eastAsia="Times New Roman"/>
                <w:b/>
                <w:bCs/>
                <w:sz w:val="16"/>
                <w:szCs w:val="16"/>
              </w:rPr>
              <w:t>Amount</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A7678">
            <w:pPr>
              <w:jc w:val="center"/>
              <w:rPr>
                <w:rFonts w:eastAsia="Times New Roman"/>
                <w:b/>
                <w:bCs/>
                <w:sz w:val="16"/>
                <w:szCs w:val="16"/>
              </w:rPr>
            </w:pPr>
            <w:r>
              <w:rPr>
                <w:rFonts w:eastAsia="Times New Roman"/>
                <w:b/>
                <w:bCs/>
                <w:sz w:val="16"/>
                <w:szCs w:val="16"/>
              </w:rPr>
              <w:t>Common</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A7678">
            <w:pPr>
              <w:jc w:val="center"/>
              <w:rPr>
                <w:rFonts w:eastAsia="Times New Roman"/>
                <w:b/>
                <w:bCs/>
                <w:sz w:val="16"/>
                <w:szCs w:val="16"/>
              </w:rPr>
            </w:pPr>
            <w:r>
              <w:rPr>
                <w:rFonts w:eastAsia="Times New Roman"/>
                <w:b/>
                <w:bCs/>
                <w:sz w:val="16"/>
                <w:szCs w:val="16"/>
              </w:rPr>
              <w:t>Deficit</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A7678">
            <w:pPr>
              <w:jc w:val="center"/>
              <w:rPr>
                <w:rFonts w:eastAsia="Times New Roman"/>
                <w:b/>
                <w:bCs/>
                <w:sz w:val="16"/>
                <w:szCs w:val="16"/>
              </w:rPr>
            </w:pPr>
            <w:r>
              <w:rPr>
                <w:rFonts w:eastAsia="Times New Roman"/>
                <w:b/>
                <w:bCs/>
                <w:sz w:val="16"/>
                <w:szCs w:val="16"/>
              </w:rPr>
              <w:t>Total</w:t>
            </w:r>
          </w:p>
        </w:tc>
        <w:tc>
          <w:tcPr>
            <w:tcW w:w="0" w:type="auto"/>
            <w:vAlign w:val="bottom"/>
            <w:hideMark/>
          </w:tcPr>
          <w:p w:rsidR="00000000" w:rsidRDefault="00DA7678">
            <w:pPr>
              <w:rPr>
                <w:rFonts w:eastAsia="Times New Roman"/>
                <w:b/>
                <w:bCs/>
                <w:sz w:val="16"/>
                <w:szCs w:val="16"/>
              </w:rPr>
            </w:pPr>
            <w:r>
              <w:rPr>
                <w:rFonts w:eastAsia="Times New Roman"/>
                <w:b/>
                <w:bCs/>
                <w:sz w:val="16"/>
                <w:szCs w:val="16"/>
              </w:rPr>
              <w:t> </w:t>
            </w:r>
          </w:p>
        </w:tc>
      </w:tr>
      <w:tr w:rsidR="00000000">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gridSpan w:val="2"/>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gridSpan w:val="2"/>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gridSpan w:val="2"/>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gridSpan w:val="2"/>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gridSpan w:val="2"/>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gridSpan w:val="2"/>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gridSpan w:val="2"/>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gridSpan w:val="2"/>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gridSpan w:val="2"/>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gridSpan w:val="2"/>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gridSpan w:val="2"/>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gridSpan w:val="2"/>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gridSpan w:val="2"/>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c>
          <w:tcPr>
            <w:tcW w:w="0" w:type="auto"/>
            <w:gridSpan w:val="2"/>
            <w:vAlign w:val="bottom"/>
            <w:hideMark/>
          </w:tcPr>
          <w:p w:rsidR="00000000" w:rsidRDefault="00DA7678">
            <w:pPr>
              <w:rPr>
                <w:rFonts w:eastAsia="Times New Roman"/>
                <w:sz w:val="16"/>
                <w:szCs w:val="16"/>
              </w:rPr>
            </w:pPr>
            <w:r>
              <w:rPr>
                <w:rFonts w:eastAsia="Times New Roman"/>
                <w:sz w:val="16"/>
                <w:szCs w:val="16"/>
              </w:rPr>
              <w:t> </w:t>
            </w:r>
          </w:p>
        </w:tc>
        <w:tc>
          <w:tcPr>
            <w:tcW w:w="0" w:type="auto"/>
            <w:vAlign w:val="bottom"/>
            <w:hideMark/>
          </w:tcPr>
          <w:p w:rsidR="00000000" w:rsidRDefault="00DA7678">
            <w:pPr>
              <w:rPr>
                <w:rFonts w:eastAsia="Times New Roman"/>
                <w:sz w:val="16"/>
                <w:szCs w:val="16"/>
              </w:rPr>
            </w:pPr>
            <w:r>
              <w:rPr>
                <w:rFonts w:eastAsia="Times New Roman"/>
                <w:sz w:val="16"/>
                <w:szCs w:val="16"/>
              </w:rPr>
              <w:t> </w:t>
            </w:r>
          </w:p>
        </w:tc>
      </w:tr>
      <w:tr w:rsidR="00DA7678">
        <w:tc>
          <w:tcPr>
            <w:tcW w:w="2200" w:type="pct"/>
            <w:shd w:val="clear" w:color="auto" w:fill="CCEEFF"/>
            <w:vAlign w:val="bottom"/>
            <w:hideMark/>
          </w:tcPr>
          <w:p w:rsidR="00000000" w:rsidRDefault="00DA7678">
            <w:pPr>
              <w:rPr>
                <w:rFonts w:eastAsia="Times New Roman"/>
                <w:sz w:val="16"/>
                <w:szCs w:val="16"/>
              </w:rPr>
            </w:pPr>
            <w:r>
              <w:rPr>
                <w:rFonts w:eastAsia="Times New Roman"/>
                <w:sz w:val="16"/>
                <w:szCs w:val="16"/>
              </w:rPr>
              <w:t xml:space="preserve">Balance </w:t>
            </w:r>
            <w:r>
              <w:rPr>
                <w:rFonts w:eastAsia="Times New Roman"/>
                <w:sz w:val="16"/>
                <w:szCs w:val="16"/>
              </w:rPr>
              <w:t>- December 31, 2020</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DA7678">
            <w:pPr>
              <w:jc w:val="right"/>
              <w:rPr>
                <w:rFonts w:eastAsia="Times New Roman"/>
                <w:sz w:val="16"/>
                <w:szCs w:val="16"/>
              </w:rPr>
            </w:pPr>
            <w:r>
              <w:rPr>
                <w:rFonts w:eastAsia="Times New Roman"/>
                <w:sz w:val="16"/>
                <w:szCs w:val="16"/>
              </w:rPr>
              <w:t>2,171,007</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DA7678">
            <w:pPr>
              <w:jc w:val="right"/>
              <w:rPr>
                <w:rFonts w:eastAsia="Times New Roman"/>
                <w:sz w:val="16"/>
                <w:szCs w:val="16"/>
              </w:rPr>
            </w:pPr>
            <w:r>
              <w:rPr>
                <w:rFonts w:eastAsia="Times New Roman"/>
                <w:sz w:val="16"/>
                <w:szCs w:val="16"/>
              </w:rPr>
              <w:t>2,171</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DA7678">
            <w:pPr>
              <w:jc w:val="right"/>
              <w:rPr>
                <w:rFonts w:eastAsia="Times New Roman"/>
                <w:sz w:val="16"/>
                <w:szCs w:val="16"/>
              </w:rPr>
            </w:pPr>
            <w:r>
              <w:rPr>
                <w:rFonts w:eastAsia="Times New Roman"/>
                <w:sz w:val="16"/>
                <w:szCs w:val="16"/>
              </w:rPr>
              <w:t>8,857,358</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DA7678">
            <w:pPr>
              <w:jc w:val="right"/>
              <w:rPr>
                <w:rFonts w:eastAsia="Times New Roman"/>
                <w:sz w:val="16"/>
                <w:szCs w:val="16"/>
              </w:rPr>
            </w:pPr>
            <w:r>
              <w:rPr>
                <w:rFonts w:eastAsia="Times New Roman"/>
                <w:sz w:val="16"/>
                <w:szCs w:val="16"/>
              </w:rPr>
              <w:t>436,653</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DA7678">
            <w:pPr>
              <w:jc w:val="right"/>
              <w:rPr>
                <w:rFonts w:eastAsia="Times New Roman"/>
                <w:sz w:val="16"/>
                <w:szCs w:val="16"/>
              </w:rPr>
            </w:pPr>
            <w:r>
              <w:rPr>
                <w:rFonts w:eastAsia="Times New Roman"/>
                <w:sz w:val="16"/>
                <w:szCs w:val="16"/>
              </w:rPr>
              <w:t>436</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DA7678">
            <w:pPr>
              <w:jc w:val="right"/>
              <w:rPr>
                <w:rFonts w:eastAsia="Times New Roman"/>
                <w:sz w:val="16"/>
                <w:szCs w:val="16"/>
              </w:rPr>
            </w:pPr>
            <w:r>
              <w:rPr>
                <w:rFonts w:eastAsia="Times New Roman"/>
                <w:sz w:val="16"/>
                <w:szCs w:val="16"/>
              </w:rPr>
              <w:t>385,235</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DA7678">
            <w:pPr>
              <w:jc w:val="right"/>
              <w:rPr>
                <w:rFonts w:eastAsia="Times New Roman"/>
                <w:sz w:val="16"/>
                <w:szCs w:val="16"/>
              </w:rPr>
            </w:pPr>
            <w:r>
              <w:rPr>
                <w:rFonts w:eastAsia="Times New Roman"/>
                <w:sz w:val="16"/>
                <w:szCs w:val="16"/>
              </w:rPr>
              <w:t>385,302</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DA7678">
            <w:pPr>
              <w:jc w:val="right"/>
              <w:rPr>
                <w:rFonts w:eastAsia="Times New Roman"/>
                <w:sz w:val="16"/>
                <w:szCs w:val="16"/>
              </w:rPr>
            </w:pPr>
            <w:r>
              <w:rPr>
                <w:rFonts w:eastAsia="Times New Roman"/>
                <w:sz w:val="16"/>
                <w:szCs w:val="16"/>
              </w:rPr>
              <w:t>385</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DA7678">
            <w:pPr>
              <w:jc w:val="right"/>
              <w:rPr>
                <w:rFonts w:eastAsia="Times New Roman"/>
                <w:sz w:val="16"/>
                <w:szCs w:val="16"/>
              </w:rPr>
            </w:pPr>
            <w:r>
              <w:rPr>
                <w:rFonts w:eastAsia="Times New Roman"/>
                <w:sz w:val="16"/>
                <w:szCs w:val="16"/>
              </w:rPr>
              <w:t>500,507</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DA7678">
            <w:pPr>
              <w:jc w:val="right"/>
              <w:rPr>
                <w:rFonts w:eastAsia="Times New Roman"/>
                <w:sz w:val="16"/>
                <w:szCs w:val="16"/>
              </w:rPr>
            </w:pPr>
            <w:r>
              <w:rPr>
                <w:rFonts w:eastAsia="Times New Roman"/>
                <w:sz w:val="16"/>
                <w:szCs w:val="16"/>
              </w:rPr>
              <w:t>292,278,591</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DA7678">
            <w:pPr>
              <w:jc w:val="right"/>
              <w:rPr>
                <w:rFonts w:eastAsia="Times New Roman"/>
                <w:sz w:val="16"/>
                <w:szCs w:val="16"/>
              </w:rPr>
            </w:pPr>
            <w:r>
              <w:rPr>
                <w:rFonts w:eastAsia="Times New Roman"/>
                <w:sz w:val="16"/>
                <w:szCs w:val="16"/>
              </w:rPr>
              <w:t>292,279</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DA7678">
            <w:pPr>
              <w:jc w:val="right"/>
              <w:rPr>
                <w:rFonts w:eastAsia="Times New Roman"/>
                <w:sz w:val="16"/>
                <w:szCs w:val="16"/>
              </w:rPr>
            </w:pPr>
            <w:r>
              <w:rPr>
                <w:rFonts w:eastAsia="Times New Roman"/>
                <w:sz w:val="16"/>
                <w:szCs w:val="16"/>
              </w:rPr>
              <w:t>64,551,764</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DA7678">
            <w:pPr>
              <w:jc w:val="right"/>
              <w:rPr>
                <w:rFonts w:eastAsia="Times New Roman"/>
                <w:sz w:val="16"/>
                <w:szCs w:val="16"/>
              </w:rPr>
            </w:pPr>
            <w:r>
              <w:rPr>
                <w:rFonts w:eastAsia="Times New Roman"/>
                <w:sz w:val="16"/>
                <w:szCs w:val="16"/>
              </w:rPr>
              <w:t>(74,558,101</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DA7678">
            <w:pPr>
              <w:jc w:val="right"/>
              <w:rPr>
                <w:rFonts w:eastAsia="Times New Roman"/>
                <w:sz w:val="16"/>
                <w:szCs w:val="16"/>
              </w:rPr>
            </w:pPr>
            <w:r>
              <w:rPr>
                <w:rFonts w:eastAsia="Times New Roman"/>
                <w:sz w:val="16"/>
                <w:szCs w:val="16"/>
              </w:rPr>
              <w:t>32,034</w:t>
            </w:r>
          </w:p>
        </w:tc>
        <w:tc>
          <w:tcPr>
            <w:tcW w:w="50" w:type="pct"/>
            <w:shd w:val="clear" w:color="auto" w:fill="CCEEFF"/>
            <w:vAlign w:val="bottom"/>
            <w:hideMark/>
          </w:tcPr>
          <w:p w:rsidR="00000000" w:rsidRDefault="00DA7678">
            <w:pPr>
              <w:rPr>
                <w:rFonts w:eastAsia="Times New Roman"/>
                <w:sz w:val="16"/>
                <w:szCs w:val="16"/>
              </w:rPr>
            </w:pPr>
            <w:r>
              <w:rPr>
                <w:rFonts w:eastAsia="Times New Roman"/>
                <w:sz w:val="16"/>
                <w:szCs w:val="16"/>
              </w:rPr>
              <w:t> </w:t>
            </w:r>
          </w:p>
        </w:tc>
      </w:tr>
      <w:tr w:rsidR="00DA7678">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r>
      <w:tr w:rsidR="00DA7678">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Stock issued for:</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r>
      <w:tr w:rsidR="00DA7678">
        <w:tc>
          <w:tcPr>
            <w:tcW w:w="0" w:type="auto"/>
            <w:shd w:val="clear" w:color="auto" w:fill="FFFFFF"/>
            <w:tcMar>
              <w:top w:w="0" w:type="dxa"/>
              <w:left w:w="200" w:type="dxa"/>
              <w:bottom w:w="0" w:type="dxa"/>
              <w:right w:w="0" w:type="dxa"/>
            </w:tcMar>
            <w:vAlign w:val="bottom"/>
            <w:hideMark/>
          </w:tcPr>
          <w:p w:rsidR="00000000" w:rsidRDefault="00DA7678">
            <w:pPr>
              <w:rPr>
                <w:rFonts w:eastAsia="Times New Roman"/>
                <w:sz w:val="16"/>
                <w:szCs w:val="16"/>
              </w:rPr>
            </w:pPr>
            <w:r>
              <w:rPr>
                <w:rFonts w:eastAsia="Times New Roman"/>
                <w:sz w:val="16"/>
                <w:szCs w:val="16"/>
              </w:rPr>
              <w:t>Cash</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22,500,000</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22,500</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1,777,500</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1,800,000</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r>
      <w:tr w:rsidR="00DA7678">
        <w:tc>
          <w:tcPr>
            <w:tcW w:w="0" w:type="auto"/>
            <w:shd w:val="clear" w:color="auto" w:fill="CCEEFF"/>
            <w:tcMar>
              <w:top w:w="0" w:type="dxa"/>
              <w:left w:w="200" w:type="dxa"/>
              <w:bottom w:w="0" w:type="dxa"/>
              <w:right w:w="0" w:type="dxa"/>
            </w:tcMar>
            <w:vAlign w:val="bottom"/>
            <w:hideMark/>
          </w:tcPr>
          <w:p w:rsidR="00000000" w:rsidRDefault="00DA7678">
            <w:pPr>
              <w:rPr>
                <w:rFonts w:eastAsia="Times New Roman"/>
                <w:sz w:val="16"/>
                <w:szCs w:val="16"/>
              </w:rPr>
            </w:pPr>
            <w:r>
              <w:rPr>
                <w:rFonts w:eastAsia="Times New Roman"/>
                <w:sz w:val="16"/>
                <w:szCs w:val="16"/>
              </w:rPr>
              <w:t>Note conversions/settlements</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3,576,080</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3,576</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408,435</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412,011</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r>
      <w:tr w:rsidR="00DA7678">
        <w:tc>
          <w:tcPr>
            <w:tcW w:w="0" w:type="auto"/>
            <w:shd w:val="clear" w:color="auto" w:fill="FFFFFF"/>
            <w:tcMar>
              <w:top w:w="0" w:type="dxa"/>
              <w:left w:w="200" w:type="dxa"/>
              <w:bottom w:w="0" w:type="dxa"/>
              <w:right w:w="0" w:type="dxa"/>
            </w:tcMar>
            <w:vAlign w:val="bottom"/>
            <w:hideMark/>
          </w:tcPr>
          <w:p w:rsidR="00000000" w:rsidRDefault="00DA7678">
            <w:pPr>
              <w:rPr>
                <w:rFonts w:eastAsia="Times New Roman"/>
                <w:sz w:val="16"/>
                <w:szCs w:val="16"/>
              </w:rPr>
            </w:pPr>
            <w:r>
              <w:rPr>
                <w:rFonts w:eastAsia="Times New Roman"/>
                <w:sz w:val="16"/>
                <w:szCs w:val="16"/>
              </w:rPr>
              <w:t>Accounts payable</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1,305,298</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1,305</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120,805</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122,110</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r>
      <w:tr w:rsidR="00DA7678">
        <w:tc>
          <w:tcPr>
            <w:tcW w:w="0" w:type="auto"/>
            <w:shd w:val="clear" w:color="auto" w:fill="CCEEFF"/>
            <w:tcMar>
              <w:top w:w="0" w:type="dxa"/>
              <w:left w:w="200" w:type="dxa"/>
              <w:bottom w:w="0" w:type="dxa"/>
              <w:right w:w="0" w:type="dxa"/>
            </w:tcMar>
            <w:vAlign w:val="bottom"/>
            <w:hideMark/>
          </w:tcPr>
          <w:p w:rsidR="00000000" w:rsidRDefault="00DA7678">
            <w:pPr>
              <w:rPr>
                <w:rFonts w:eastAsia="Times New Roman"/>
                <w:sz w:val="16"/>
                <w:szCs w:val="16"/>
              </w:rPr>
            </w:pPr>
            <w:r>
              <w:rPr>
                <w:rFonts w:eastAsia="Times New Roman"/>
                <w:sz w:val="16"/>
                <w:szCs w:val="16"/>
              </w:rPr>
              <w:t>Services</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77,768</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78</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3,678</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3,756</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r>
      <w:tr w:rsidR="00DA7678">
        <w:tc>
          <w:tcPr>
            <w:tcW w:w="0" w:type="auto"/>
            <w:shd w:val="clear" w:color="auto" w:fill="FFFFFF"/>
            <w:tcMar>
              <w:top w:w="0" w:type="dxa"/>
              <w:left w:w="200" w:type="dxa"/>
              <w:bottom w:w="0" w:type="dxa"/>
              <w:right w:w="0" w:type="dxa"/>
            </w:tcMar>
            <w:vAlign w:val="bottom"/>
            <w:hideMark/>
          </w:tcPr>
          <w:p w:rsidR="00000000" w:rsidRDefault="00DA7678">
            <w:pPr>
              <w:rPr>
                <w:rFonts w:eastAsia="Times New Roman"/>
                <w:sz w:val="16"/>
                <w:szCs w:val="16"/>
              </w:rPr>
            </w:pPr>
            <w:r>
              <w:rPr>
                <w:rFonts w:eastAsia="Times New Roman"/>
                <w:sz w:val="16"/>
                <w:szCs w:val="16"/>
              </w:rPr>
              <w:t>Stock option exercises</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(100,000</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(100</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(14,900</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2,125,000</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2,125</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12,875</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r>
      <w:tr w:rsidR="00DA7678">
        <w:tc>
          <w:tcPr>
            <w:tcW w:w="0" w:type="auto"/>
            <w:shd w:val="clear" w:color="auto" w:fill="CCEEFF"/>
            <w:tcMar>
              <w:top w:w="0" w:type="dxa"/>
              <w:left w:w="200" w:type="dxa"/>
              <w:bottom w:w="0" w:type="dxa"/>
              <w:right w:w="0" w:type="dxa"/>
            </w:tcMar>
            <w:vAlign w:val="bottom"/>
            <w:hideMark/>
          </w:tcPr>
          <w:p w:rsidR="00000000" w:rsidRDefault="00DA7678">
            <w:pPr>
              <w:rPr>
                <w:rFonts w:eastAsia="Times New Roman"/>
                <w:sz w:val="16"/>
                <w:szCs w:val="16"/>
              </w:rPr>
            </w:pPr>
            <w:r>
              <w:rPr>
                <w:rFonts w:eastAsia="Times New Roman"/>
                <w:sz w:val="16"/>
                <w:szCs w:val="16"/>
              </w:rPr>
              <w:t>RSUs</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12,000,000</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12,000</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(12,000</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r>
      <w:tr w:rsidR="00DA7678">
        <w:tc>
          <w:tcPr>
            <w:tcW w:w="0" w:type="auto"/>
            <w:shd w:val="clear" w:color="auto" w:fill="FFFFFF"/>
            <w:tcMar>
              <w:top w:w="0" w:type="dxa"/>
              <w:left w:w="200" w:type="dxa"/>
              <w:bottom w:w="0" w:type="dxa"/>
              <w:right w:w="0" w:type="dxa"/>
            </w:tcMar>
            <w:vAlign w:val="bottom"/>
            <w:hideMark/>
          </w:tcPr>
          <w:p w:rsidR="00000000" w:rsidRDefault="00DA7678">
            <w:pPr>
              <w:rPr>
                <w:rFonts w:eastAsia="Times New Roman"/>
                <w:sz w:val="16"/>
                <w:szCs w:val="16"/>
              </w:rPr>
            </w:pPr>
            <w:r>
              <w:rPr>
                <w:rFonts w:eastAsia="Times New Roman"/>
                <w:sz w:val="16"/>
                <w:szCs w:val="16"/>
              </w:rPr>
              <w:t>Warrant exercises</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6,714,316</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6,714</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(6,714</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r>
      <w:tr w:rsidR="00DA7678">
        <w:tc>
          <w:tcPr>
            <w:tcW w:w="0" w:type="auto"/>
            <w:shd w:val="clear" w:color="auto" w:fill="CCEEFF"/>
            <w:tcMar>
              <w:top w:w="0" w:type="dxa"/>
              <w:left w:w="200" w:type="dxa"/>
              <w:bottom w:w="0" w:type="dxa"/>
              <w:right w:w="0" w:type="dxa"/>
            </w:tcMar>
            <w:vAlign w:val="bottom"/>
            <w:hideMark/>
          </w:tcPr>
          <w:p w:rsidR="00000000" w:rsidRDefault="00DA7678">
            <w:pPr>
              <w:rPr>
                <w:rFonts w:eastAsia="Times New Roman"/>
                <w:sz w:val="16"/>
                <w:szCs w:val="16"/>
              </w:rPr>
            </w:pPr>
            <w:r>
              <w:rPr>
                <w:rFonts w:eastAsia="Times New Roman"/>
                <w:sz w:val="16"/>
                <w:szCs w:val="16"/>
              </w:rPr>
              <w:t>Conversion of preferred shares to common shares</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(236,290</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(236</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(94,279</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2,953,625</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2,954</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91,561</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r>
      <w:tr w:rsidR="00DA7678">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Warrants purchased for cash</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11,238</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11,238</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r>
      <w:tr w:rsidR="00DA7678">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RSUs granted to consultants that have vested</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1,614,000</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1,614,000</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r>
      <w:tr w:rsidR="00DA7678">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Net loss for the year</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(2,527,766</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(2,527,766</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w:t>
            </w:r>
          </w:p>
        </w:tc>
      </w:tr>
      <w:tr w:rsidR="00DA7678">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r>
      <w:tr w:rsidR="00DA7678">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Balance - December 31, 2021</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2,071,007</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2,071</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8,842,458</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200,363</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200</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290,956</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385,302</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385</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500,507</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343,530,678</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343,531</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68,573,142</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(77,085,867</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1,467,383</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r>
      <w:tr w:rsidR="00DA7678">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r>
      <w:tr w:rsidR="00DA7678">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r>
      <w:tr w:rsidR="00DA7678">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Balance - December 31, 2021</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2,071,007</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2,071</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8,842,458</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200,363</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200</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290,956</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385,302</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385</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500,507</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343,530,678</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343,531</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68,573,142</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(77,085,867</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1,467,383</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r>
      <w:tr w:rsidR="00DA7678">
        <w:trPr>
          <w:hidden/>
        </w:trPr>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Balance</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DA7678">
            <w:pPr>
              <w:jc w:val="right"/>
              <w:rPr>
                <w:rFonts w:eastAsia="Times New Roman"/>
                <w:vanish/>
                <w:sz w:val="16"/>
                <w:szCs w:val="16"/>
              </w:rPr>
            </w:pPr>
            <w:r>
              <w:rPr>
                <w:rFonts w:eastAsia="Times New Roman"/>
                <w:vanish/>
                <w:sz w:val="16"/>
                <w:szCs w:val="16"/>
              </w:rPr>
              <w:t>2,071,007</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w:t>
            </w:r>
          </w:p>
        </w:tc>
        <w:tc>
          <w:tcPr>
            <w:tcW w:w="0" w:type="auto"/>
            <w:shd w:val="clear" w:color="auto" w:fill="FFFFFF"/>
            <w:vAlign w:val="bottom"/>
            <w:hideMark/>
          </w:tcPr>
          <w:p w:rsidR="00000000" w:rsidRDefault="00DA7678">
            <w:pPr>
              <w:jc w:val="right"/>
              <w:rPr>
                <w:rFonts w:eastAsia="Times New Roman"/>
                <w:vanish/>
                <w:sz w:val="16"/>
                <w:szCs w:val="16"/>
              </w:rPr>
            </w:pPr>
            <w:r>
              <w:rPr>
                <w:rFonts w:eastAsia="Times New Roman"/>
                <w:vanish/>
                <w:sz w:val="16"/>
                <w:szCs w:val="16"/>
              </w:rPr>
              <w:t>2,071</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w:t>
            </w:r>
          </w:p>
        </w:tc>
        <w:tc>
          <w:tcPr>
            <w:tcW w:w="0" w:type="auto"/>
            <w:shd w:val="clear" w:color="auto" w:fill="FFFFFF"/>
            <w:vAlign w:val="bottom"/>
            <w:hideMark/>
          </w:tcPr>
          <w:p w:rsidR="00000000" w:rsidRDefault="00DA7678">
            <w:pPr>
              <w:jc w:val="right"/>
              <w:rPr>
                <w:rFonts w:eastAsia="Times New Roman"/>
                <w:vanish/>
                <w:sz w:val="16"/>
                <w:szCs w:val="16"/>
              </w:rPr>
            </w:pPr>
            <w:r>
              <w:rPr>
                <w:rFonts w:eastAsia="Times New Roman"/>
                <w:vanish/>
                <w:sz w:val="16"/>
                <w:szCs w:val="16"/>
              </w:rPr>
              <w:t>8,842,458</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DA7678">
            <w:pPr>
              <w:jc w:val="right"/>
              <w:rPr>
                <w:rFonts w:eastAsia="Times New Roman"/>
                <w:vanish/>
                <w:sz w:val="16"/>
                <w:szCs w:val="16"/>
              </w:rPr>
            </w:pPr>
            <w:r>
              <w:rPr>
                <w:rFonts w:eastAsia="Times New Roman"/>
                <w:vanish/>
                <w:sz w:val="16"/>
                <w:szCs w:val="16"/>
              </w:rPr>
              <w:t>200,363</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w:t>
            </w:r>
          </w:p>
        </w:tc>
        <w:tc>
          <w:tcPr>
            <w:tcW w:w="0" w:type="auto"/>
            <w:shd w:val="clear" w:color="auto" w:fill="FFFFFF"/>
            <w:vAlign w:val="bottom"/>
            <w:hideMark/>
          </w:tcPr>
          <w:p w:rsidR="00000000" w:rsidRDefault="00DA7678">
            <w:pPr>
              <w:jc w:val="right"/>
              <w:rPr>
                <w:rFonts w:eastAsia="Times New Roman"/>
                <w:vanish/>
                <w:sz w:val="16"/>
                <w:szCs w:val="16"/>
              </w:rPr>
            </w:pPr>
            <w:r>
              <w:rPr>
                <w:rFonts w:eastAsia="Times New Roman"/>
                <w:vanish/>
                <w:sz w:val="16"/>
                <w:szCs w:val="16"/>
              </w:rPr>
              <w:t>200</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w:t>
            </w:r>
          </w:p>
        </w:tc>
        <w:tc>
          <w:tcPr>
            <w:tcW w:w="0" w:type="auto"/>
            <w:shd w:val="clear" w:color="auto" w:fill="FFFFFF"/>
            <w:vAlign w:val="bottom"/>
            <w:hideMark/>
          </w:tcPr>
          <w:p w:rsidR="00000000" w:rsidRDefault="00DA7678">
            <w:pPr>
              <w:jc w:val="right"/>
              <w:rPr>
                <w:rFonts w:eastAsia="Times New Roman"/>
                <w:vanish/>
                <w:sz w:val="16"/>
                <w:szCs w:val="16"/>
              </w:rPr>
            </w:pPr>
            <w:r>
              <w:rPr>
                <w:rFonts w:eastAsia="Times New Roman"/>
                <w:vanish/>
                <w:sz w:val="16"/>
                <w:szCs w:val="16"/>
              </w:rPr>
              <w:t>290,956</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DA7678">
            <w:pPr>
              <w:jc w:val="right"/>
              <w:rPr>
                <w:rFonts w:eastAsia="Times New Roman"/>
                <w:vanish/>
                <w:sz w:val="16"/>
                <w:szCs w:val="16"/>
              </w:rPr>
            </w:pPr>
            <w:r>
              <w:rPr>
                <w:rFonts w:eastAsia="Times New Roman"/>
                <w:vanish/>
                <w:sz w:val="16"/>
                <w:szCs w:val="16"/>
              </w:rPr>
              <w:t>385,302</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w:t>
            </w:r>
          </w:p>
        </w:tc>
        <w:tc>
          <w:tcPr>
            <w:tcW w:w="0" w:type="auto"/>
            <w:shd w:val="clear" w:color="auto" w:fill="FFFFFF"/>
            <w:vAlign w:val="bottom"/>
            <w:hideMark/>
          </w:tcPr>
          <w:p w:rsidR="00000000" w:rsidRDefault="00DA7678">
            <w:pPr>
              <w:jc w:val="right"/>
              <w:rPr>
                <w:rFonts w:eastAsia="Times New Roman"/>
                <w:vanish/>
                <w:sz w:val="16"/>
                <w:szCs w:val="16"/>
              </w:rPr>
            </w:pPr>
            <w:r>
              <w:rPr>
                <w:rFonts w:eastAsia="Times New Roman"/>
                <w:vanish/>
                <w:sz w:val="16"/>
                <w:szCs w:val="16"/>
              </w:rPr>
              <w:t>385</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w:t>
            </w:r>
          </w:p>
        </w:tc>
        <w:tc>
          <w:tcPr>
            <w:tcW w:w="0" w:type="auto"/>
            <w:shd w:val="clear" w:color="auto" w:fill="FFFFFF"/>
            <w:vAlign w:val="bottom"/>
            <w:hideMark/>
          </w:tcPr>
          <w:p w:rsidR="00000000" w:rsidRDefault="00DA7678">
            <w:pPr>
              <w:jc w:val="right"/>
              <w:rPr>
                <w:rFonts w:eastAsia="Times New Roman"/>
                <w:vanish/>
                <w:sz w:val="16"/>
                <w:szCs w:val="16"/>
              </w:rPr>
            </w:pPr>
            <w:r>
              <w:rPr>
                <w:rFonts w:eastAsia="Times New Roman"/>
                <w:vanish/>
                <w:sz w:val="16"/>
                <w:szCs w:val="16"/>
              </w:rPr>
              <w:t>500,507</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DA7678">
            <w:pPr>
              <w:jc w:val="right"/>
              <w:rPr>
                <w:rFonts w:eastAsia="Times New Roman"/>
                <w:vanish/>
                <w:sz w:val="16"/>
                <w:szCs w:val="16"/>
              </w:rPr>
            </w:pPr>
            <w:r>
              <w:rPr>
                <w:rFonts w:eastAsia="Times New Roman"/>
                <w:vanish/>
                <w:sz w:val="16"/>
                <w:szCs w:val="16"/>
              </w:rPr>
              <w:t>343,530,678</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w:t>
            </w:r>
          </w:p>
        </w:tc>
        <w:tc>
          <w:tcPr>
            <w:tcW w:w="0" w:type="auto"/>
            <w:shd w:val="clear" w:color="auto" w:fill="FFFFFF"/>
            <w:vAlign w:val="bottom"/>
            <w:hideMark/>
          </w:tcPr>
          <w:p w:rsidR="00000000" w:rsidRDefault="00DA7678">
            <w:pPr>
              <w:jc w:val="right"/>
              <w:rPr>
                <w:rFonts w:eastAsia="Times New Roman"/>
                <w:vanish/>
                <w:sz w:val="16"/>
                <w:szCs w:val="16"/>
              </w:rPr>
            </w:pPr>
            <w:r>
              <w:rPr>
                <w:rFonts w:eastAsia="Times New Roman"/>
                <w:vanish/>
                <w:sz w:val="16"/>
                <w:szCs w:val="16"/>
              </w:rPr>
              <w:t>343,531</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w:t>
            </w:r>
          </w:p>
        </w:tc>
        <w:tc>
          <w:tcPr>
            <w:tcW w:w="0" w:type="auto"/>
            <w:shd w:val="clear" w:color="auto" w:fill="FFFFFF"/>
            <w:vAlign w:val="bottom"/>
            <w:hideMark/>
          </w:tcPr>
          <w:p w:rsidR="00000000" w:rsidRDefault="00DA7678">
            <w:pPr>
              <w:jc w:val="right"/>
              <w:rPr>
                <w:rFonts w:eastAsia="Times New Roman"/>
                <w:vanish/>
                <w:sz w:val="16"/>
                <w:szCs w:val="16"/>
              </w:rPr>
            </w:pPr>
            <w:r>
              <w:rPr>
                <w:rFonts w:eastAsia="Times New Roman"/>
                <w:vanish/>
                <w:sz w:val="16"/>
                <w:szCs w:val="16"/>
              </w:rPr>
              <w:t>68,573,142</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w:t>
            </w:r>
          </w:p>
        </w:tc>
        <w:tc>
          <w:tcPr>
            <w:tcW w:w="0" w:type="auto"/>
            <w:shd w:val="clear" w:color="auto" w:fill="FFFFFF"/>
            <w:vAlign w:val="bottom"/>
            <w:hideMark/>
          </w:tcPr>
          <w:p w:rsidR="00000000" w:rsidRDefault="00DA7678">
            <w:pPr>
              <w:jc w:val="right"/>
              <w:rPr>
                <w:rFonts w:eastAsia="Times New Roman"/>
                <w:vanish/>
                <w:sz w:val="16"/>
                <w:szCs w:val="16"/>
              </w:rPr>
            </w:pPr>
            <w:r>
              <w:rPr>
                <w:rFonts w:eastAsia="Times New Roman"/>
                <w:vanish/>
                <w:sz w:val="16"/>
                <w:szCs w:val="16"/>
              </w:rPr>
              <w:t>(77,085,867</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w:t>
            </w:r>
          </w:p>
        </w:tc>
        <w:tc>
          <w:tcPr>
            <w:tcW w:w="0" w:type="auto"/>
            <w:shd w:val="clear" w:color="auto" w:fill="FFFFFF"/>
            <w:vAlign w:val="bottom"/>
            <w:hideMark/>
          </w:tcPr>
          <w:p w:rsidR="00000000" w:rsidRDefault="00DA7678">
            <w:pPr>
              <w:jc w:val="right"/>
              <w:rPr>
                <w:rFonts w:eastAsia="Times New Roman"/>
                <w:vanish/>
                <w:sz w:val="16"/>
                <w:szCs w:val="16"/>
              </w:rPr>
            </w:pPr>
            <w:r>
              <w:rPr>
                <w:rFonts w:eastAsia="Times New Roman"/>
                <w:vanish/>
                <w:sz w:val="16"/>
                <w:szCs w:val="16"/>
              </w:rPr>
              <w:t>1,467,383</w:t>
            </w:r>
          </w:p>
        </w:tc>
        <w:tc>
          <w:tcPr>
            <w:tcW w:w="0" w:type="auto"/>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r>
      <w:tr w:rsidR="00DA7678">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r>
      <w:tr w:rsidR="00DA7678">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Stock issued for:</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r>
      <w:tr w:rsidR="00DA7678">
        <w:tc>
          <w:tcPr>
            <w:tcW w:w="0" w:type="auto"/>
            <w:shd w:val="clear" w:color="auto" w:fill="CCEEFF"/>
            <w:tcMar>
              <w:top w:w="0" w:type="dxa"/>
              <w:left w:w="200" w:type="dxa"/>
              <w:bottom w:w="0" w:type="dxa"/>
              <w:right w:w="0" w:type="dxa"/>
            </w:tcMar>
            <w:vAlign w:val="bottom"/>
            <w:hideMark/>
          </w:tcPr>
          <w:p w:rsidR="00000000" w:rsidRDefault="00DA7678">
            <w:pPr>
              <w:rPr>
                <w:rFonts w:eastAsia="Times New Roman"/>
                <w:sz w:val="16"/>
                <w:szCs w:val="16"/>
              </w:rPr>
            </w:pPr>
            <w:r>
              <w:rPr>
                <w:rFonts w:eastAsia="Times New Roman"/>
                <w:sz w:val="16"/>
                <w:szCs w:val="16"/>
              </w:rPr>
              <w:t>Cash</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15,000,000</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15,000</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1,185,000</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1,200,000</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r>
      <w:tr w:rsidR="00DA7678">
        <w:tc>
          <w:tcPr>
            <w:tcW w:w="0" w:type="auto"/>
            <w:shd w:val="clear" w:color="auto" w:fill="FFFFFF"/>
            <w:tcMar>
              <w:top w:w="0" w:type="dxa"/>
              <w:left w:w="200" w:type="dxa"/>
              <w:bottom w:w="0" w:type="dxa"/>
              <w:right w:w="0" w:type="dxa"/>
            </w:tcMar>
            <w:vAlign w:val="bottom"/>
            <w:hideMark/>
          </w:tcPr>
          <w:p w:rsidR="00000000" w:rsidRDefault="00DA7678">
            <w:pPr>
              <w:rPr>
                <w:rFonts w:eastAsia="Times New Roman"/>
                <w:sz w:val="16"/>
                <w:szCs w:val="16"/>
              </w:rPr>
            </w:pPr>
            <w:r>
              <w:rPr>
                <w:rFonts w:eastAsia="Times New Roman"/>
                <w:sz w:val="16"/>
                <w:szCs w:val="16"/>
              </w:rPr>
              <w:t>Accounts payable</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984,840</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984</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48,258</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49,242</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r>
      <w:tr w:rsidR="00DA7678">
        <w:tc>
          <w:tcPr>
            <w:tcW w:w="0" w:type="auto"/>
            <w:shd w:val="clear" w:color="auto" w:fill="CCEEFF"/>
            <w:tcMar>
              <w:top w:w="0" w:type="dxa"/>
              <w:left w:w="200" w:type="dxa"/>
              <w:bottom w:w="0" w:type="dxa"/>
              <w:right w:w="0" w:type="dxa"/>
            </w:tcMar>
            <w:vAlign w:val="bottom"/>
            <w:hideMark/>
          </w:tcPr>
          <w:p w:rsidR="00000000" w:rsidRDefault="00DA7678">
            <w:pPr>
              <w:rPr>
                <w:rFonts w:eastAsia="Times New Roman"/>
                <w:sz w:val="16"/>
                <w:szCs w:val="16"/>
              </w:rPr>
            </w:pPr>
            <w:r>
              <w:rPr>
                <w:rFonts w:eastAsia="Times New Roman"/>
                <w:sz w:val="16"/>
                <w:szCs w:val="16"/>
              </w:rPr>
              <w:t xml:space="preserve">Fractional </w:t>
            </w:r>
            <w:r>
              <w:rPr>
                <w:rFonts w:eastAsia="Times New Roman"/>
                <w:sz w:val="16"/>
                <w:szCs w:val="16"/>
              </w:rPr>
              <w:t>adjustment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(90</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r>
      <w:tr w:rsidR="00DA7678">
        <w:tc>
          <w:tcPr>
            <w:tcW w:w="0" w:type="auto"/>
            <w:shd w:val="clear" w:color="auto" w:fill="FFFFFF"/>
            <w:tcMar>
              <w:top w:w="0" w:type="dxa"/>
              <w:left w:w="200" w:type="dxa"/>
              <w:bottom w:w="0" w:type="dxa"/>
              <w:right w:w="0" w:type="dxa"/>
            </w:tcMar>
            <w:vAlign w:val="bottom"/>
            <w:hideMark/>
          </w:tcPr>
          <w:p w:rsidR="00000000" w:rsidRDefault="00DA7678">
            <w:pPr>
              <w:rPr>
                <w:rFonts w:eastAsia="Times New Roman"/>
                <w:sz w:val="16"/>
                <w:szCs w:val="16"/>
              </w:rPr>
            </w:pPr>
            <w:r>
              <w:rPr>
                <w:rFonts w:eastAsia="Times New Roman"/>
                <w:sz w:val="16"/>
                <w:szCs w:val="16"/>
              </w:rPr>
              <w:t>Services</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76,250</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76</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4,804</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4,880</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r>
      <w:tr w:rsidR="00DA7678">
        <w:tc>
          <w:tcPr>
            <w:tcW w:w="0" w:type="auto"/>
            <w:shd w:val="clear" w:color="auto" w:fill="CCEEFF"/>
            <w:tcMar>
              <w:top w:w="0" w:type="dxa"/>
              <w:left w:w="200" w:type="dxa"/>
              <w:bottom w:w="0" w:type="dxa"/>
              <w:right w:w="0" w:type="dxa"/>
            </w:tcMar>
            <w:vAlign w:val="bottom"/>
            <w:hideMark/>
          </w:tcPr>
          <w:p w:rsidR="00000000" w:rsidRDefault="00DA7678">
            <w:pPr>
              <w:rPr>
                <w:rFonts w:eastAsia="Times New Roman"/>
                <w:sz w:val="16"/>
                <w:szCs w:val="16"/>
              </w:rPr>
            </w:pPr>
            <w:r>
              <w:rPr>
                <w:rFonts w:eastAsia="Times New Roman"/>
                <w:sz w:val="16"/>
                <w:szCs w:val="16"/>
              </w:rPr>
              <w:t>Warrant exercises</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2,949,850</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2,950</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(2,950</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r>
      <w:tr w:rsidR="00DA7678">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Warrants purchased for cash</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20,000</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DA7678">
            <w:pPr>
              <w:jc w:val="right"/>
              <w:rPr>
                <w:rFonts w:eastAsia="Times New Roman"/>
                <w:sz w:val="16"/>
                <w:szCs w:val="16"/>
              </w:rPr>
            </w:pPr>
            <w:r>
              <w:rPr>
                <w:rFonts w:eastAsia="Times New Roman"/>
                <w:sz w:val="16"/>
                <w:szCs w:val="16"/>
              </w:rPr>
              <w:t>20,000</w:t>
            </w:r>
          </w:p>
        </w:tc>
        <w:tc>
          <w:tcPr>
            <w:tcW w:w="0" w:type="auto"/>
            <w:shd w:val="clear" w:color="auto" w:fill="FFFFFF"/>
            <w:vAlign w:val="bottom"/>
            <w:hideMark/>
          </w:tcPr>
          <w:p w:rsidR="00000000" w:rsidRDefault="00DA7678">
            <w:pPr>
              <w:rPr>
                <w:rFonts w:eastAsia="Times New Roman"/>
                <w:sz w:val="16"/>
                <w:szCs w:val="16"/>
              </w:rPr>
            </w:pPr>
            <w:r>
              <w:rPr>
                <w:rFonts w:eastAsia="Times New Roman"/>
                <w:sz w:val="16"/>
                <w:szCs w:val="16"/>
              </w:rPr>
              <w:t> </w:t>
            </w:r>
          </w:p>
        </w:tc>
      </w:tr>
      <w:tr w:rsidR="00DA7678">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RSUs granted to consultants that have vested</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1,389,700</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1,389,700</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r>
      <w:tr w:rsidR="00DA7678">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xml:space="preserve">Net </w:t>
            </w:r>
            <w:r>
              <w:rPr>
                <w:rFonts w:eastAsia="Times New Roman"/>
                <w:sz w:val="16"/>
                <w:szCs w:val="16"/>
              </w:rPr>
              <w:t>loss for the year</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(2,470,161</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(2,470,161</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16"/>
                <w:szCs w:val="16"/>
              </w:rPr>
            </w:pPr>
            <w:r>
              <w:rPr>
                <w:rFonts w:eastAsia="Times New Roman"/>
                <w:sz w:val="16"/>
                <w:szCs w:val="16"/>
              </w:rPr>
              <w:t>)</w:t>
            </w:r>
          </w:p>
        </w:tc>
      </w:tr>
      <w:tr w:rsidR="00DA7678">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DA7678">
            <w:pPr>
              <w:rPr>
                <w:rFonts w:eastAsia="Times New Roman"/>
                <w:sz w:val="16"/>
                <w:szCs w:val="16"/>
              </w:rPr>
            </w:pPr>
            <w:r>
              <w:rPr>
                <w:rFonts w:eastAsia="Times New Roman"/>
                <w:sz w:val="16"/>
                <w:szCs w:val="16"/>
              </w:rPr>
              <w:t> </w:t>
            </w:r>
          </w:p>
        </w:tc>
      </w:tr>
      <w:tr w:rsidR="00DA7678">
        <w:trPr>
          <w:hidden/>
        </w:trPr>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vanish/>
                <w:sz w:val="16"/>
                <w:szCs w:val="16"/>
              </w:rPr>
            </w:pPr>
            <w:r>
              <w:rPr>
                <w:rFonts w:eastAsia="Times New Roman"/>
                <w:vanish/>
                <w:sz w:val="16"/>
                <w:szCs w:val="16"/>
              </w:rPr>
              <w:t>Balance</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vanish/>
                <w:sz w:val="16"/>
                <w:szCs w:val="16"/>
              </w:rPr>
            </w:pPr>
            <w:r>
              <w:rPr>
                <w:rFonts w:eastAsia="Times New Roman"/>
                <w:vanish/>
                <w:sz w:val="16"/>
                <w:szCs w:val="16"/>
              </w:rPr>
              <w:t>2,071,007</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vanish/>
                <w:sz w:val="16"/>
                <w:szCs w:val="16"/>
              </w:rPr>
            </w:pPr>
            <w:r>
              <w:rPr>
                <w:rFonts w:eastAsia="Times New Roman"/>
                <w:vanish/>
                <w:sz w:val="16"/>
                <w:szCs w:val="16"/>
              </w:rPr>
              <w:t>2,071</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vanish/>
                <w:sz w:val="16"/>
                <w:szCs w:val="16"/>
              </w:rPr>
            </w:pPr>
            <w:r>
              <w:rPr>
                <w:rFonts w:eastAsia="Times New Roman"/>
                <w:vanish/>
                <w:sz w:val="16"/>
                <w:szCs w:val="16"/>
              </w:rPr>
              <w:t>8,842,458</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vanish/>
                <w:sz w:val="16"/>
                <w:szCs w:val="16"/>
              </w:rPr>
            </w:pPr>
            <w:r>
              <w:rPr>
                <w:rFonts w:eastAsia="Times New Roman"/>
                <w:vanish/>
                <w:sz w:val="16"/>
                <w:szCs w:val="16"/>
              </w:rPr>
              <w:t>200,363</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vanish/>
                <w:sz w:val="16"/>
                <w:szCs w:val="16"/>
              </w:rPr>
            </w:pPr>
            <w:r>
              <w:rPr>
                <w:rFonts w:eastAsia="Times New Roman"/>
                <w:vanish/>
                <w:sz w:val="16"/>
                <w:szCs w:val="16"/>
              </w:rPr>
              <w:t>200</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vanish/>
                <w:sz w:val="16"/>
                <w:szCs w:val="16"/>
              </w:rPr>
            </w:pPr>
            <w:r>
              <w:rPr>
                <w:rFonts w:eastAsia="Times New Roman"/>
                <w:vanish/>
                <w:sz w:val="16"/>
                <w:szCs w:val="16"/>
              </w:rPr>
              <w:t>290,956</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vanish/>
                <w:sz w:val="16"/>
                <w:szCs w:val="16"/>
              </w:rPr>
            </w:pPr>
            <w:r>
              <w:rPr>
                <w:rFonts w:eastAsia="Times New Roman"/>
                <w:vanish/>
                <w:sz w:val="16"/>
                <w:szCs w:val="16"/>
              </w:rPr>
              <w:t>385,302</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vanish/>
                <w:sz w:val="16"/>
                <w:szCs w:val="16"/>
              </w:rPr>
            </w:pPr>
            <w:r>
              <w:rPr>
                <w:rFonts w:eastAsia="Times New Roman"/>
                <w:vanish/>
                <w:sz w:val="16"/>
                <w:szCs w:val="16"/>
              </w:rPr>
              <w:t>385</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vanish/>
                <w:sz w:val="16"/>
                <w:szCs w:val="16"/>
              </w:rPr>
            </w:pPr>
            <w:r>
              <w:rPr>
                <w:rFonts w:eastAsia="Times New Roman"/>
                <w:vanish/>
                <w:sz w:val="16"/>
                <w:szCs w:val="16"/>
              </w:rPr>
              <w:t>500,507</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vanish/>
                <w:sz w:val="16"/>
                <w:szCs w:val="16"/>
              </w:rPr>
            </w:pPr>
            <w:r>
              <w:rPr>
                <w:rFonts w:eastAsia="Times New Roman"/>
                <w:vanish/>
                <w:sz w:val="16"/>
                <w:szCs w:val="16"/>
              </w:rPr>
              <w:t>362,541,528</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vanish/>
                <w:sz w:val="16"/>
                <w:szCs w:val="16"/>
              </w:rPr>
            </w:pPr>
            <w:r>
              <w:rPr>
                <w:rFonts w:eastAsia="Times New Roman"/>
                <w:vanish/>
                <w:sz w:val="16"/>
                <w:szCs w:val="16"/>
              </w:rPr>
              <w:t>362,541</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vanish/>
                <w:sz w:val="16"/>
                <w:szCs w:val="16"/>
              </w:rPr>
            </w:pPr>
            <w:r>
              <w:rPr>
                <w:rFonts w:eastAsia="Times New Roman"/>
                <w:vanish/>
                <w:sz w:val="16"/>
                <w:szCs w:val="16"/>
              </w:rPr>
              <w:t>71,217,954</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vanish/>
                <w:sz w:val="16"/>
                <w:szCs w:val="16"/>
              </w:rPr>
            </w:pPr>
            <w:r>
              <w:rPr>
                <w:rFonts w:eastAsia="Times New Roman"/>
                <w:vanish/>
                <w:sz w:val="16"/>
                <w:szCs w:val="16"/>
              </w:rPr>
              <w:t>(79,556,028</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vanish/>
                <w:sz w:val="16"/>
                <w:szCs w:val="16"/>
              </w:rPr>
            </w:pPr>
            <w:r>
              <w:rPr>
                <w:rFonts w:eastAsia="Times New Roman"/>
                <w:vanish/>
                <w:sz w:val="16"/>
                <w:szCs w:val="16"/>
              </w:rPr>
              <w:t>)</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vanish/>
                <w:sz w:val="16"/>
                <w:szCs w:val="16"/>
              </w:rPr>
            </w:pPr>
            <w:r>
              <w:rPr>
                <w:rFonts w:eastAsia="Times New Roman"/>
                <w:vanish/>
                <w:sz w:val="16"/>
                <w:szCs w:val="16"/>
              </w:rPr>
              <w:t>1,661,044</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vanish/>
                <w:sz w:val="16"/>
                <w:szCs w:val="16"/>
              </w:rPr>
            </w:pPr>
            <w:r>
              <w:rPr>
                <w:rFonts w:eastAsia="Times New Roman"/>
                <w:vanish/>
                <w:sz w:val="16"/>
                <w:szCs w:val="16"/>
              </w:rPr>
              <w:t> </w:t>
            </w:r>
          </w:p>
        </w:tc>
      </w:tr>
      <w:tr w:rsidR="00DA7678">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xml:space="preserve">Balance </w:t>
            </w:r>
            <w:r>
              <w:rPr>
                <w:rFonts w:eastAsia="Times New Roman"/>
                <w:sz w:val="16"/>
                <w:szCs w:val="16"/>
              </w:rPr>
              <w:t>- December 31, 2022</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2,071,007</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2,071</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8,842,458</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200,363</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200</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290,956</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385,302</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385</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500,507</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362,541,528</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362,541</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71,217,954</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(79,556,028</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16"/>
                <w:szCs w:val="16"/>
              </w:rPr>
            </w:pPr>
            <w:r>
              <w:rPr>
                <w:rFonts w:eastAsia="Times New Roman"/>
                <w:sz w:val="16"/>
                <w:szCs w:val="16"/>
              </w:rPr>
              <w:t>1,661,044</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16"/>
                <w:szCs w:val="16"/>
              </w:rPr>
            </w:pPr>
            <w:r>
              <w:rPr>
                <w:rFonts w:eastAsia="Times New Roman"/>
                <w:sz w:val="16"/>
                <w:szCs w:val="16"/>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these financial statements.</w:t>
      </w:r>
    </w:p>
    <w:p w:rsidR="00000000" w:rsidRDefault="00DA767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102942614"/>
        </w:trPr>
        <w:tc>
          <w:tcPr>
            <w:tcW w:w="5000" w:type="pct"/>
            <w:hideMark/>
          </w:tcPr>
          <w:p w:rsidR="00000000" w:rsidRDefault="00DA767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center"/>
        <w:rPr>
          <w:sz w:val="20"/>
          <w:szCs w:val="20"/>
        </w:rPr>
      </w:pPr>
      <w:r>
        <w:rPr>
          <w:b/>
          <w:bCs/>
          <w:sz w:val="20"/>
          <w:szCs w:val="20"/>
        </w:rPr>
        <w:t>VIVOS INC</w:t>
      </w:r>
    </w:p>
    <w:p w:rsidR="00000000" w:rsidRDefault="00DA7678">
      <w:pPr>
        <w:pStyle w:val="a3"/>
        <w:spacing w:before="0" w:beforeAutospacing="0" w:after="0" w:afterAutospacing="0"/>
        <w:jc w:val="center"/>
        <w:rPr>
          <w:sz w:val="20"/>
          <w:szCs w:val="20"/>
        </w:rPr>
      </w:pPr>
      <w:r>
        <w:rPr>
          <w:b/>
          <w:bCs/>
          <w:sz w:val="20"/>
          <w:szCs w:val="20"/>
        </w:rPr>
        <w:t>CONDENSED STATEMENTS OF CASH FLOWS (UNAUDITED)</w:t>
      </w:r>
    </w:p>
    <w:p w:rsidR="00000000" w:rsidRDefault="00DA7678">
      <w:pPr>
        <w:pStyle w:val="a3"/>
        <w:spacing w:before="0" w:beforeAutospacing="0" w:after="0" w:afterAutospacing="0"/>
        <w:jc w:val="center"/>
        <w:rPr>
          <w:sz w:val="20"/>
          <w:szCs w:val="20"/>
        </w:rPr>
      </w:pPr>
      <w:r>
        <w:rPr>
          <w:b/>
          <w:bCs/>
          <w:sz w:val="20"/>
          <w:szCs w:val="20"/>
        </w:rPr>
        <w:t>FOR THE YEARS ENDED DECEMBER 31, 2022 AND 2021</w:t>
      </w:r>
    </w:p>
    <w:p w:rsidR="00000000" w:rsidRDefault="00DA767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Statements of Cash Flows (Unaudited)"/>
      </w:tblPr>
      <w:tblGrid>
        <w:gridCol w:w="5311"/>
        <w:gridCol w:w="161"/>
        <w:gridCol w:w="100"/>
        <w:gridCol w:w="1158"/>
        <w:gridCol w:w="78"/>
        <w:gridCol w:w="161"/>
        <w:gridCol w:w="100"/>
        <w:gridCol w:w="1158"/>
        <w:gridCol w:w="79"/>
      </w:tblGrid>
      <w:tr w:rsidR="00000000">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DA767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DA7678">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DA7678">
            <w:pPr>
              <w:rPr>
                <w:rFonts w:eastAsia="Times New Roman"/>
                <w:b/>
                <w:bCs/>
                <w:sz w:val="20"/>
                <w:szCs w:val="20"/>
              </w:rPr>
            </w:pPr>
            <w:r>
              <w:rPr>
                <w:rFonts w:eastAsia="Times New Roman"/>
                <w:b/>
                <w:bCs/>
                <w:sz w:val="20"/>
                <w:szCs w:val="20"/>
              </w:rPr>
              <w:t>CASH FLOW FROM OPERATING ACTIVITIES</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3200" w:type="pct"/>
            <w:shd w:val="clear" w:color="auto" w:fill="FFFFFF"/>
            <w:tcMar>
              <w:top w:w="0" w:type="dxa"/>
              <w:left w:w="20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Net loss</w:t>
            </w:r>
          </w:p>
        </w:tc>
        <w:tc>
          <w:tcPr>
            <w:tcW w:w="100" w:type="pct"/>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700" w:type="pct"/>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(2,470,161</w:t>
            </w:r>
          </w:p>
        </w:tc>
        <w:tc>
          <w:tcPr>
            <w:tcW w:w="50" w:type="pct"/>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700" w:type="pct"/>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(2,527,766</w:t>
            </w:r>
          </w:p>
        </w:tc>
        <w:tc>
          <w:tcPr>
            <w:tcW w:w="50" w:type="pct"/>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DA7678">
            <w:pPr>
              <w:rPr>
                <w:rFonts w:eastAsia="Times New Roman"/>
                <w:sz w:val="20"/>
                <w:szCs w:val="20"/>
              </w:rPr>
            </w:pPr>
            <w:r>
              <w:rPr>
                <w:rFonts w:eastAsia="Times New Roman"/>
                <w:sz w:val="20"/>
                <w:szCs w:val="20"/>
              </w:rPr>
              <w:t>Adjustments to reconcile net loss to net cash used in operating activities</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DA7678">
            <w:pPr>
              <w:rPr>
                <w:rFonts w:eastAsia="Times New Roman"/>
                <w:sz w:val="20"/>
                <w:szCs w:val="20"/>
              </w:rPr>
            </w:pPr>
            <w:r>
              <w:rPr>
                <w:rFonts w:eastAsia="Times New Roman"/>
                <w:sz w:val="20"/>
                <w:szCs w:val="20"/>
              </w:rPr>
              <w:t>Common stock, stock options and warrants for services</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4,880</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3,756</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DA7678">
            <w:pPr>
              <w:rPr>
                <w:rFonts w:eastAsia="Times New Roman"/>
                <w:sz w:val="20"/>
                <w:szCs w:val="20"/>
              </w:rPr>
            </w:pPr>
            <w:r>
              <w:rPr>
                <w:rFonts w:eastAsia="Times New Roman"/>
                <w:sz w:val="20"/>
                <w:szCs w:val="20"/>
              </w:rPr>
              <w:t>RSUs issued for services</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1,389,700</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1,614,000</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DA7678">
            <w:pPr>
              <w:rPr>
                <w:rFonts w:eastAsia="Times New Roman"/>
                <w:sz w:val="20"/>
                <w:szCs w:val="20"/>
              </w:rPr>
            </w:pPr>
            <w:r>
              <w:rPr>
                <w:rFonts w:eastAsia="Times New Roman"/>
                <w:sz w:val="20"/>
                <w:szCs w:val="20"/>
              </w:rPr>
              <w:t>(Gain) loss on conversion of debt</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(47,588</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137,038</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DA7678">
            <w:pPr>
              <w:rPr>
                <w:rFonts w:eastAsia="Times New Roman"/>
                <w:sz w:val="20"/>
                <w:szCs w:val="20"/>
              </w:rPr>
            </w:pPr>
            <w:r>
              <w:rPr>
                <w:rFonts w:eastAsia="Times New Roman"/>
                <w:sz w:val="20"/>
                <w:szCs w:val="20"/>
              </w:rPr>
              <w:t>Forgiveness of debt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(136,445</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DA7678">
            <w:pPr>
              <w:rPr>
                <w:rFonts w:eastAsia="Times New Roman"/>
                <w:sz w:val="20"/>
                <w:szCs w:val="20"/>
              </w:rPr>
            </w:pPr>
            <w:r>
              <w:rPr>
                <w:rFonts w:eastAsia="Times New Roman"/>
                <w:b/>
                <w:bCs/>
                <w:sz w:val="20"/>
                <w:szCs w:val="20"/>
              </w:rPr>
              <w:t>Changes in assets and liabilities</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DA7678">
            <w:pPr>
              <w:rPr>
                <w:rFonts w:eastAsia="Times New Roman"/>
                <w:sz w:val="20"/>
                <w:szCs w:val="20"/>
              </w:rPr>
            </w:pPr>
            <w:r>
              <w:rPr>
                <w:rFonts w:eastAsia="Times New Roman"/>
                <w:sz w:val="20"/>
                <w:szCs w:val="20"/>
              </w:rPr>
              <w:t>Accounts receivable</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(11,000</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DA7678">
            <w:pPr>
              <w:rPr>
                <w:rFonts w:eastAsia="Times New Roman"/>
                <w:sz w:val="20"/>
                <w:szCs w:val="20"/>
              </w:rPr>
            </w:pPr>
            <w:r>
              <w:rPr>
                <w:rFonts w:eastAsia="Times New Roman"/>
                <w:sz w:val="20"/>
                <w:szCs w:val="20"/>
              </w:rPr>
              <w:t>Prepaid expenses and other assets</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2,504</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5,660</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DA7678">
            <w:pPr>
              <w:rPr>
                <w:rFonts w:eastAsia="Times New Roman"/>
                <w:sz w:val="20"/>
                <w:szCs w:val="20"/>
              </w:rPr>
            </w:pPr>
            <w:r>
              <w:rPr>
                <w:rFonts w:eastAsia="Times New Roman"/>
                <w:sz w:val="20"/>
                <w:szCs w:val="20"/>
              </w:rPr>
              <w:t>Accounts payable and accrued expenses</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11,607</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31,480</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DA7678">
            <w:pPr>
              <w:rPr>
                <w:rFonts w:eastAsia="Times New Roman"/>
                <w:sz w:val="20"/>
                <w:szCs w:val="20"/>
              </w:rPr>
            </w:pPr>
            <w:r>
              <w:rPr>
                <w:rFonts w:eastAsia="Times New Roman"/>
                <w:sz w:val="20"/>
                <w:szCs w:val="20"/>
              </w:rPr>
              <w:t>Payroll liabilities</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w:t>
            </w:r>
            <w:r>
              <w:rPr>
                <w:rFonts w:eastAsia="Times New Roman"/>
                <w:sz w:val="20"/>
                <w:szCs w:val="20"/>
              </w:rPr>
              <w:t>66,143</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Accrued interest</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(25,399</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Total adjustments</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1,350,103</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1,563,947</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DA7678">
            <w:pPr>
              <w:rPr>
                <w:rFonts w:eastAsia="Times New Roman"/>
                <w:sz w:val="20"/>
                <w:szCs w:val="20"/>
              </w:rPr>
            </w:pPr>
            <w:r>
              <w:rPr>
                <w:rFonts w:eastAsia="Times New Roman"/>
                <w:b/>
                <w:bCs/>
                <w:sz w:val="20"/>
                <w:szCs w:val="20"/>
              </w:rPr>
              <w:t>Net cash used in operating activities</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(1,120,058</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(963,819</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b/>
                <w:bCs/>
                <w:sz w:val="20"/>
                <w:szCs w:val="20"/>
              </w:rPr>
            </w:pPr>
            <w:r>
              <w:rPr>
                <w:rFonts w:eastAsia="Times New Roman"/>
                <w:b/>
                <w:bCs/>
                <w:sz w:val="20"/>
                <w:szCs w:val="20"/>
              </w:rPr>
              <w:t>CASH FLOWS FROM FINANCING ACTIVITIES</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A7678">
            <w:pPr>
              <w:rPr>
                <w:rFonts w:eastAsia="Times New Roman"/>
                <w:sz w:val="20"/>
                <w:szCs w:val="20"/>
              </w:rPr>
            </w:pPr>
            <w:r>
              <w:rPr>
                <w:rFonts w:eastAsia="Times New Roman"/>
                <w:sz w:val="20"/>
                <w:szCs w:val="20"/>
              </w:rPr>
              <w:t>Payments of convertible debt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(45,000</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DA7678">
            <w:pPr>
              <w:rPr>
                <w:rFonts w:eastAsia="Times New Roman"/>
                <w:sz w:val="20"/>
                <w:szCs w:val="20"/>
              </w:rPr>
            </w:pPr>
            <w:r>
              <w:rPr>
                <w:rFonts w:eastAsia="Times New Roman"/>
                <w:sz w:val="20"/>
                <w:szCs w:val="20"/>
              </w:rPr>
              <w:t>Payments of related party notes</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(100,000</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Proceeds from common stock and warrants</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1,220,000</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1,811,238</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DA7678">
            <w:pPr>
              <w:rPr>
                <w:rFonts w:eastAsia="Times New Roman"/>
                <w:sz w:val="20"/>
                <w:szCs w:val="20"/>
              </w:rPr>
            </w:pPr>
            <w:r>
              <w:rPr>
                <w:rFonts w:eastAsia="Times New Roman"/>
                <w:b/>
                <w:bCs/>
                <w:sz w:val="20"/>
                <w:szCs w:val="20"/>
              </w:rPr>
              <w:t>Net cash provided by financing activities</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1,220,000</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1,666,238</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b/>
                <w:bCs/>
                <w:sz w:val="20"/>
                <w:szCs w:val="20"/>
              </w:rPr>
            </w:pPr>
            <w:r>
              <w:rPr>
                <w:rFonts w:eastAsia="Times New Roman"/>
                <w:b/>
                <w:bCs/>
                <w:sz w:val="20"/>
                <w:szCs w:val="20"/>
              </w:rPr>
              <w:t>NET INCREASE IN CASH</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99,942</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702,419</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b/>
                <w:bCs/>
                <w:sz w:val="20"/>
                <w:szCs w:val="20"/>
              </w:rPr>
            </w:pPr>
            <w:r>
              <w:rPr>
                <w:rFonts w:eastAsia="Times New Roman"/>
                <w:b/>
                <w:bCs/>
                <w:sz w:val="20"/>
                <w:szCs w:val="20"/>
              </w:rPr>
              <w:t>CASH - BEGINNING OF PERIOD</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1,606,123</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903,704</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b/>
                <w:bCs/>
                <w:sz w:val="20"/>
                <w:szCs w:val="20"/>
              </w:rPr>
            </w:pPr>
            <w:r>
              <w:rPr>
                <w:rFonts w:eastAsia="Times New Roman"/>
                <w:b/>
                <w:bCs/>
                <w:sz w:val="20"/>
                <w:szCs w:val="20"/>
              </w:rPr>
              <w:t>CASH - END OF PERIOD</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1,706,065</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1,606,123</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b/>
                <w:bCs/>
                <w:sz w:val="20"/>
                <w:szCs w:val="20"/>
              </w:rPr>
            </w:pPr>
            <w:r>
              <w:rPr>
                <w:rFonts w:eastAsia="Times New Roman"/>
                <w:b/>
                <w:bCs/>
                <w:sz w:val="20"/>
                <w:szCs w:val="20"/>
              </w:rPr>
              <w:t>CASH PAID DURING THE PERIOD FOR:</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Interest expense</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50,773</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Income taxes</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rPr>
                <w:rFonts w:eastAsia="Times New Roman"/>
                <w:b/>
                <w:bCs/>
                <w:sz w:val="20"/>
                <w:szCs w:val="20"/>
              </w:rPr>
            </w:pPr>
            <w:r>
              <w:rPr>
                <w:rFonts w:eastAsia="Times New Roman"/>
                <w:b/>
                <w:bCs/>
                <w:sz w:val="20"/>
                <w:szCs w:val="20"/>
              </w:rPr>
              <w:t>SUPPLEMENTAL INFORMATION - NON-CASH INVESTING AND FINANCING ACTIVITIES:</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Conversion of preferred stock for common stock</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94,515</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Conversion of notes payable and accrued interest for common and common stock</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185,346</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Conversion of notes payable and accrued interest into common stock</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50,370</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Common stock issued in cashless exercise of warrants</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2,950</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6,714</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RSUs vested into common stock</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12,000</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Accounts payable converted into shares of common stock</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49,242</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90,000</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Stock options exercised for recission of common and preferred stock</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60,000</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Common stock issued in settlement of accounts payable - related parties</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32,110</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RSUs vested into common stock</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12,000</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99956847"/>
        </w:trPr>
        <w:tc>
          <w:tcPr>
            <w:tcW w:w="5000" w:type="pct"/>
            <w:hideMark/>
          </w:tcPr>
          <w:p w:rsidR="00000000" w:rsidRDefault="00DA767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center"/>
        <w:rPr>
          <w:sz w:val="20"/>
          <w:szCs w:val="20"/>
        </w:rPr>
      </w:pPr>
      <w:r>
        <w:rPr>
          <w:b/>
          <w:bCs/>
          <w:sz w:val="20"/>
          <w:szCs w:val="20"/>
        </w:rPr>
        <w:t>Vivos Inc.</w:t>
      </w:r>
    </w:p>
    <w:p w:rsidR="00000000" w:rsidRDefault="00DA7678">
      <w:pPr>
        <w:pStyle w:val="a3"/>
        <w:spacing w:before="0" w:beforeAutospacing="0" w:after="0" w:afterAutospacing="0"/>
        <w:jc w:val="center"/>
        <w:rPr>
          <w:sz w:val="20"/>
          <w:szCs w:val="20"/>
        </w:rPr>
      </w:pPr>
      <w:r>
        <w:rPr>
          <w:b/>
          <w:bCs/>
          <w:sz w:val="20"/>
          <w:szCs w:val="20"/>
        </w:rPr>
        <w:t>Notes to Financial Statements</w:t>
      </w:r>
    </w:p>
    <w:p w:rsidR="00000000" w:rsidRDefault="00DA7678">
      <w:pPr>
        <w:pStyle w:val="a3"/>
        <w:spacing w:before="0" w:beforeAutospacing="0" w:after="0" w:afterAutospacing="0"/>
        <w:jc w:val="center"/>
        <w:rPr>
          <w:sz w:val="20"/>
          <w:szCs w:val="20"/>
        </w:rPr>
      </w:pPr>
      <w:r>
        <w:rPr>
          <w:b/>
          <w:bCs/>
          <w:sz w:val="20"/>
          <w:szCs w:val="20"/>
        </w:rPr>
        <w:t>December 31, 2022 and 2021</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NOTE 1:</w:t>
      </w:r>
      <w:r>
        <w:rPr>
          <w:b/>
          <w:bCs/>
          <w:sz w:val="20"/>
          <w:szCs w:val="20"/>
        </w:rPr>
        <w:t xml:space="preserve"> </w:t>
      </w:r>
      <w:r>
        <w:rPr>
          <w:b/>
          <w:bCs/>
          <w:sz w:val="20"/>
          <w:szCs w:val="20"/>
        </w:rPr>
        <w:t>BASIS OF PRESENTATION AND SIGNIFICANT ACCOUNTING POLICIE</w:t>
      </w:r>
      <w:r>
        <w:rPr>
          <w:b/>
          <w:bCs/>
          <w:sz w:val="20"/>
          <w:szCs w:val="20"/>
        </w:rPr>
        <w:t>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Business Overvie</w:t>
      </w:r>
      <w:r>
        <w:rPr>
          <w:b/>
          <w:bCs/>
          <w:sz w:val="20"/>
          <w:szCs w:val="20"/>
        </w:rPr>
        <w:t>w</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The </w:t>
      </w:r>
      <w:r>
        <w:rPr>
          <w:sz w:val="20"/>
          <w:szCs w:val="20"/>
        </w:rPr>
        <w:t>Company was incorporated under the laws of Delaware on December 23, 1994 as Savage Mountain Sports Corporation (“</w:t>
      </w:r>
      <w:r>
        <w:rPr>
          <w:i/>
          <w:iCs/>
          <w:sz w:val="20"/>
          <w:szCs w:val="20"/>
        </w:rPr>
        <w:t>SMSC</w:t>
      </w:r>
      <w:r>
        <w:rPr>
          <w:sz w:val="20"/>
          <w:szCs w:val="20"/>
        </w:rPr>
        <w:t>”). On September 6, 2006, the Company changed its name to Advanced Medical Isotope Corporation, and on December 28, 2017, the Company began</w:t>
      </w:r>
      <w:r>
        <w:rPr>
          <w:sz w:val="20"/>
          <w:szCs w:val="20"/>
        </w:rPr>
        <w:t xml:space="preserve"> operating as Vivos Inc. The Company has authorized capital of</w:t>
      </w:r>
      <w:r>
        <w:rPr>
          <w:sz w:val="20"/>
          <w:szCs w:val="20"/>
        </w:rPr>
        <w:t xml:space="preserve"> </w:t>
      </w:r>
      <w:r>
        <w:rPr>
          <w:sz w:val="20"/>
          <w:szCs w:val="20"/>
        </w:rPr>
        <w:t>950,000,00</w:t>
      </w:r>
      <w:r>
        <w:rPr>
          <w:sz w:val="20"/>
          <w:szCs w:val="20"/>
        </w:rPr>
        <w:t>0</w:t>
      </w:r>
      <w:r>
        <w:rPr>
          <w:sz w:val="20"/>
          <w:szCs w:val="20"/>
        </w:rPr>
        <w:t xml:space="preserve"> shares of common stock, </w:t>
      </w:r>
      <w:r>
        <w:rPr>
          <w:sz w:val="20"/>
          <w:szCs w:val="20"/>
        </w:rPr>
        <w:t>$</w:t>
      </w:r>
      <w:r>
        <w:rPr>
          <w:sz w:val="20"/>
          <w:szCs w:val="20"/>
        </w:rPr>
        <w:t>0.00</w:t>
      </w:r>
      <w:r>
        <w:rPr>
          <w:sz w:val="20"/>
          <w:szCs w:val="20"/>
        </w:rPr>
        <w:t>1</w:t>
      </w:r>
      <w:r>
        <w:rPr>
          <w:sz w:val="20"/>
          <w:szCs w:val="20"/>
        </w:rPr>
        <w:t xml:space="preserve"> par value per share, and</w:t>
      </w:r>
      <w:r>
        <w:rPr>
          <w:sz w:val="20"/>
          <w:szCs w:val="20"/>
        </w:rPr>
        <w:t xml:space="preserve"> </w:t>
      </w:r>
      <w:r>
        <w:rPr>
          <w:sz w:val="20"/>
          <w:szCs w:val="20"/>
        </w:rPr>
        <w:t>20,000,00</w:t>
      </w:r>
      <w:r>
        <w:rPr>
          <w:sz w:val="20"/>
          <w:szCs w:val="20"/>
        </w:rPr>
        <w:t>0</w:t>
      </w:r>
      <w:r>
        <w:rPr>
          <w:sz w:val="20"/>
          <w:szCs w:val="20"/>
        </w:rPr>
        <w:t xml:space="preserve"> shares of preferred stock, </w:t>
      </w:r>
      <w:r>
        <w:rPr>
          <w:sz w:val="20"/>
          <w:szCs w:val="20"/>
        </w:rPr>
        <w:t>$</w:t>
      </w:r>
      <w:r>
        <w:rPr>
          <w:sz w:val="20"/>
          <w:szCs w:val="20"/>
        </w:rPr>
        <w:t>0.00</w:t>
      </w:r>
      <w:r>
        <w:rPr>
          <w:sz w:val="20"/>
          <w:szCs w:val="20"/>
        </w:rPr>
        <w:t>1</w:t>
      </w:r>
      <w:r>
        <w:rPr>
          <w:sz w:val="20"/>
          <w:szCs w:val="20"/>
        </w:rPr>
        <w:t xml:space="preserve"> par value per share.</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Our principal place of business is located at 719 Jadwin </w:t>
      </w:r>
      <w:r>
        <w:rPr>
          <w:sz w:val="20"/>
          <w:szCs w:val="20"/>
        </w:rPr>
        <w:t>Avenue, Richland, WA 99352. Our telephone number is (509) 736-4000. Our corporate website address is http://www.radiogel.com. Our common stock is currently quoted on the OTC Pink Marketplace under the symbol “RDGL.”</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The Company is a radiation oncology me</w:t>
      </w:r>
      <w:r>
        <w:rPr>
          <w:sz w:val="20"/>
          <w:szCs w:val="20"/>
        </w:rPr>
        <w:t>dical device company engaged in the development of its yttrium-90 based brachytherapy device, RadioGel</w:t>
      </w:r>
      <w:r>
        <w:rPr>
          <w:sz w:val="20"/>
          <w:szCs w:val="20"/>
          <w:vertAlign w:val="superscript"/>
        </w:rPr>
        <w:t>™</w:t>
      </w:r>
      <w:r>
        <w:rPr>
          <w:sz w:val="20"/>
          <w:szCs w:val="20"/>
        </w:rPr>
        <w:t>, for the treatment of non-resectable tumors. A prominent team of radiochemists, scientists and engineers, collaborating with strategic partners, includi</w:t>
      </w:r>
      <w:r>
        <w:rPr>
          <w:sz w:val="20"/>
          <w:szCs w:val="20"/>
        </w:rPr>
        <w:t>ng national laboratories, universities and private corporations, lead the Company’s development efforts. The Company’s overall vision is to globally empower physicians, medical researchers and patients by providing them with new isotope technologies that o</w:t>
      </w:r>
      <w:r>
        <w:rPr>
          <w:sz w:val="20"/>
          <w:szCs w:val="20"/>
        </w:rPr>
        <w:t>ffer safe and effective treatments for cancer.</w:t>
      </w:r>
    </w:p>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In January 2018, the Center for Veterinary Medicine Product Classification Group ruled that RadioGel </w:t>
      </w:r>
      <w:r>
        <w:rPr>
          <w:sz w:val="20"/>
          <w:szCs w:val="20"/>
          <w:vertAlign w:val="superscript"/>
        </w:rPr>
        <w:t>™</w:t>
      </w:r>
      <w:r>
        <w:rPr>
          <w:sz w:val="20"/>
          <w:szCs w:val="20"/>
        </w:rPr>
        <w:t>should be classified as a device for animal therapy of feline sarcomas and canine soft tissue sarcomas. A</w:t>
      </w:r>
      <w:r>
        <w:rPr>
          <w:sz w:val="20"/>
          <w:szCs w:val="20"/>
        </w:rPr>
        <w:t>dditionally, after a legal review, the Company believes that the device classification obtained from the Food and Drug Administration (“</w:t>
      </w:r>
      <w:r>
        <w:rPr>
          <w:i/>
          <w:iCs/>
          <w:sz w:val="20"/>
          <w:szCs w:val="20"/>
        </w:rPr>
        <w:t>FDA</w:t>
      </w:r>
      <w:r>
        <w:rPr>
          <w:sz w:val="20"/>
          <w:szCs w:val="20"/>
        </w:rPr>
        <w:t xml:space="preserve">”) Center for Veterinary Medicine is not limited to canine and feline sarcomas, but rather may be extended to a much </w:t>
      </w:r>
      <w:r>
        <w:rPr>
          <w:sz w:val="20"/>
          <w:szCs w:val="20"/>
        </w:rPr>
        <w:t>broader population of veterinary cancers, including all or most solid tumors in animals. We expect the result of such classification and label review will be that no additional regulatory approvals are necessary for the use of IsoPet</w:t>
      </w:r>
      <w:r>
        <w:rPr>
          <w:sz w:val="20"/>
          <w:szCs w:val="20"/>
          <w:vertAlign w:val="superscript"/>
        </w:rPr>
        <w:t xml:space="preserve">® </w:t>
      </w:r>
      <w:r>
        <w:rPr>
          <w:sz w:val="20"/>
          <w:szCs w:val="20"/>
        </w:rPr>
        <w:t xml:space="preserve">for the treatment of </w:t>
      </w:r>
      <w:r>
        <w:rPr>
          <w:sz w:val="20"/>
          <w:szCs w:val="20"/>
        </w:rPr>
        <w:t>solid tumors in animals. The FDA does not have premarket authority over devices with a veterinary classification, and the manufacturers are responsible for assuring that the product is safe, effective, properly labeled, and otherwise in compliance with all</w:t>
      </w:r>
      <w:r>
        <w:rPr>
          <w:sz w:val="20"/>
          <w:szCs w:val="20"/>
        </w:rPr>
        <w:t xml:space="preserve"> applicable laws and regulations.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Based on the FDA’s recommendation, RadioGel</w:t>
      </w:r>
      <w:r>
        <w:rPr>
          <w:sz w:val="20"/>
          <w:szCs w:val="20"/>
          <w:vertAlign w:val="superscript"/>
        </w:rPr>
        <w:t>™</w:t>
      </w:r>
      <w:r>
        <w:rPr>
          <w:sz w:val="20"/>
          <w:szCs w:val="20"/>
        </w:rPr>
        <w:t xml:space="preserve"> will be marketed as “IsoPet</w:t>
      </w:r>
      <w:r>
        <w:rPr>
          <w:sz w:val="20"/>
          <w:szCs w:val="20"/>
          <w:vertAlign w:val="superscript"/>
        </w:rPr>
        <w:t>®</w:t>
      </w:r>
      <w:r>
        <w:rPr>
          <w:sz w:val="20"/>
          <w:szCs w:val="20"/>
        </w:rPr>
        <w:t>” for use by veterinarians to avoid any confusion between animal and human therapy. The Company already has trademark protection for the “IsoPet</w:t>
      </w:r>
      <w:r>
        <w:rPr>
          <w:sz w:val="20"/>
          <w:szCs w:val="20"/>
          <w:vertAlign w:val="superscript"/>
        </w:rPr>
        <w:t>®</w:t>
      </w:r>
      <w:r>
        <w:rPr>
          <w:sz w:val="20"/>
          <w:szCs w:val="20"/>
        </w:rPr>
        <w:t xml:space="preserve">” </w:t>
      </w:r>
      <w:r>
        <w:rPr>
          <w:sz w:val="20"/>
          <w:szCs w:val="20"/>
        </w:rPr>
        <w:t>name. IsoPet</w:t>
      </w:r>
      <w:r>
        <w:rPr>
          <w:sz w:val="20"/>
          <w:szCs w:val="20"/>
          <w:vertAlign w:val="superscript"/>
        </w:rPr>
        <w:t xml:space="preserve">® </w:t>
      </w:r>
      <w:r>
        <w:rPr>
          <w:sz w:val="20"/>
          <w:szCs w:val="20"/>
        </w:rPr>
        <w:t>and RadioGel</w:t>
      </w:r>
      <w:r>
        <w:rPr>
          <w:sz w:val="20"/>
          <w:szCs w:val="20"/>
          <w:vertAlign w:val="superscript"/>
        </w:rPr>
        <w:t>™</w:t>
      </w:r>
      <w:r>
        <w:rPr>
          <w:sz w:val="20"/>
          <w:szCs w:val="20"/>
        </w:rPr>
        <w:t xml:space="preserve"> are used synonymously throughout this document. The only distinction between IsoPet</w:t>
      </w:r>
      <w:r>
        <w:rPr>
          <w:sz w:val="20"/>
          <w:szCs w:val="20"/>
          <w:vertAlign w:val="superscript"/>
        </w:rPr>
        <w:t xml:space="preserve">® </w:t>
      </w:r>
      <w:r>
        <w:rPr>
          <w:sz w:val="20"/>
          <w:szCs w:val="20"/>
        </w:rPr>
        <w:t>and RadioGel</w:t>
      </w:r>
      <w:r>
        <w:rPr>
          <w:sz w:val="20"/>
          <w:szCs w:val="20"/>
          <w:vertAlign w:val="superscript"/>
        </w:rPr>
        <w:t>™</w:t>
      </w:r>
      <w:r>
        <w:rPr>
          <w:sz w:val="20"/>
          <w:szCs w:val="20"/>
        </w:rPr>
        <w:t xml:space="preserve"> is the FDA’s recommendation that we use “IsoPet</w:t>
      </w:r>
      <w:r>
        <w:rPr>
          <w:sz w:val="20"/>
          <w:szCs w:val="20"/>
          <w:vertAlign w:val="superscript"/>
        </w:rPr>
        <w:t>®</w:t>
      </w:r>
      <w:r>
        <w:rPr>
          <w:sz w:val="20"/>
          <w:szCs w:val="20"/>
        </w:rPr>
        <w:t>” for veterinarian usage, and reserve “RadioGel</w:t>
      </w:r>
      <w:r>
        <w:rPr>
          <w:sz w:val="20"/>
          <w:szCs w:val="20"/>
          <w:vertAlign w:val="superscript"/>
        </w:rPr>
        <w:t xml:space="preserve">™” </w:t>
      </w:r>
      <w:r>
        <w:rPr>
          <w:sz w:val="20"/>
          <w:szCs w:val="20"/>
        </w:rPr>
        <w:t>for human therapy. Based on the</w:t>
      </w:r>
      <w:r>
        <w:rPr>
          <w:sz w:val="20"/>
          <w:szCs w:val="20"/>
        </w:rPr>
        <w:t>se developments, the Company has shifted its primary focus to the development and marketing of Isopet</w:t>
      </w:r>
      <w:r>
        <w:rPr>
          <w:sz w:val="20"/>
          <w:szCs w:val="20"/>
          <w:vertAlign w:val="superscript"/>
        </w:rPr>
        <w:t>®</w:t>
      </w:r>
      <w:r>
        <w:rPr>
          <w:sz w:val="20"/>
          <w:szCs w:val="20"/>
        </w:rPr>
        <w:t xml:space="preserve"> for animal therapy, through the Company’s IsoPet</w:t>
      </w:r>
      <w:r>
        <w:rPr>
          <w:sz w:val="20"/>
          <w:szCs w:val="20"/>
          <w:vertAlign w:val="superscript"/>
        </w:rPr>
        <w:t xml:space="preserve">® </w:t>
      </w:r>
      <w:r>
        <w:rPr>
          <w:sz w:val="20"/>
          <w:szCs w:val="20"/>
        </w:rPr>
        <w:t>Solutions division.</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IsoPet Solution</w:t>
      </w:r>
      <w:r>
        <w:rPr>
          <w:b/>
          <w:bCs/>
          <w:sz w:val="20"/>
          <w:szCs w:val="20"/>
        </w:rPr>
        <w: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The Company’s IsoPet Solutions division was established in May</w:t>
      </w:r>
      <w:r>
        <w:rPr>
          <w:sz w:val="20"/>
          <w:szCs w:val="20"/>
        </w:rPr>
        <w:t xml:space="preserve"> 2016 to focus on the veterinary oncology market, namely engagement of university veterinarian hospital to develop the detailed therapy procedures to treat animal tumors and ultimately use of the technology in private clinics. The Company has worked with t</w:t>
      </w:r>
      <w:r>
        <w:rPr>
          <w:sz w:val="20"/>
          <w:szCs w:val="20"/>
        </w:rPr>
        <w:t>hree different university veterinarian hospitals on IsoPet</w:t>
      </w:r>
      <w:r>
        <w:rPr>
          <w:sz w:val="20"/>
          <w:szCs w:val="20"/>
          <w:vertAlign w:val="superscript"/>
        </w:rPr>
        <w:t>®</w:t>
      </w:r>
      <w:r>
        <w:rPr>
          <w:sz w:val="20"/>
          <w:szCs w:val="20"/>
        </w:rPr>
        <w:t xml:space="preserve"> testing and therapy. Washington State University treated five cats for feline sarcoma and served to develop the procedures which are incorporated in our label. They concluded that the product was </w:t>
      </w:r>
      <w:r>
        <w:rPr>
          <w:sz w:val="20"/>
          <w:szCs w:val="20"/>
        </w:rPr>
        <w:t>safe and effective in killing cancer cells. Colorado State University demonstrated the CT and PET-CT imaging of IsoPet</w:t>
      </w:r>
      <w:r>
        <w:rPr>
          <w:sz w:val="20"/>
          <w:szCs w:val="20"/>
          <w:vertAlign w:val="superscript"/>
        </w:rPr>
        <w:t>®</w:t>
      </w:r>
      <w:r>
        <w:rPr>
          <w:sz w:val="20"/>
          <w:szCs w:val="20"/>
        </w:rPr>
        <w:t>. A contract was signed with University of Missouri to treat canine sarcomas and equine sarcoids starting in November 2017.</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The dogs we</w:t>
      </w:r>
      <w:r>
        <w:rPr>
          <w:sz w:val="20"/>
          <w:szCs w:val="20"/>
        </w:rPr>
        <w:t>re treated for canine soft tissue sarcoma. Response evaluation criteria in solid tumors (“</w:t>
      </w:r>
      <w:r>
        <w:rPr>
          <w:i/>
          <w:iCs/>
          <w:sz w:val="20"/>
          <w:szCs w:val="20"/>
        </w:rPr>
        <w:t>RECIST</w:t>
      </w:r>
      <w:r>
        <w:rPr>
          <w:sz w:val="20"/>
          <w:szCs w:val="20"/>
        </w:rPr>
        <w:t>”) is a set of published rules that define when tumors in cancer patients improve (respond), stay the same (stabilize), or worsen (progress) during treatment. T</w:t>
      </w:r>
      <w:r>
        <w:rPr>
          <w:sz w:val="20"/>
          <w:szCs w:val="20"/>
        </w:rPr>
        <w:t>he criteria were published by an international collaboration including the European Organisation for Research and Treatment of Cancer (“EORTC”), National Cancer Institute of the United States, and the National Cancer Institute of Canada Clinical Trials Gro</w:t>
      </w:r>
      <w:r>
        <w:rPr>
          <w:sz w:val="20"/>
          <w:szCs w:val="20"/>
        </w:rPr>
        <w:t>up.</w:t>
      </w:r>
    </w:p>
    <w:p w:rsidR="00000000" w:rsidRDefault="00DA767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79545325"/>
        </w:trPr>
        <w:tc>
          <w:tcPr>
            <w:tcW w:w="5000" w:type="pct"/>
            <w:hideMark/>
          </w:tcPr>
          <w:p w:rsidR="00000000" w:rsidRDefault="00DA767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The testing at the University of Missouri met its objective to demonstrate the safety of IsoPet</w:t>
      </w:r>
      <w:r>
        <w:rPr>
          <w:sz w:val="20"/>
          <w:szCs w:val="20"/>
          <w:vertAlign w:val="superscript"/>
        </w:rPr>
        <w:t>®</w:t>
      </w:r>
      <w:r>
        <w:rPr>
          <w:sz w:val="20"/>
          <w:szCs w:val="20"/>
        </w:rPr>
        <w:t xml:space="preserve">. Using its advanced CT and </w:t>
      </w:r>
      <w:r>
        <w:rPr>
          <w:sz w:val="20"/>
          <w:szCs w:val="20"/>
        </w:rPr>
        <w:t>PET equipment it was able to demonstrate that the dose calculations were accurate and that the injections perfused into the cell interstices and did not stay concentrated in a bolus. This results in a more homogeneous dose distribution. There was insignifi</w:t>
      </w:r>
      <w:r>
        <w:rPr>
          <w:sz w:val="20"/>
          <w:szCs w:val="20"/>
        </w:rPr>
        <w:t>cant spread of Y-90 outside the points of injection demonstrating the effectiveness of the particles and the gel to localize the radiation with no spreading to the blood or other organs nor to urine or fecal material. This confirms that IsoPet</w:t>
      </w:r>
      <w:r>
        <w:rPr>
          <w:sz w:val="20"/>
          <w:szCs w:val="20"/>
          <w:vertAlign w:val="superscript"/>
        </w:rPr>
        <w:t>®</w:t>
      </w:r>
      <w:r>
        <w:rPr>
          <w:sz w:val="20"/>
          <w:szCs w:val="20"/>
        </w:rPr>
        <w:t xml:space="preserve"> is safe for</w:t>
      </w:r>
      <w:r>
        <w:rPr>
          <w:sz w:val="20"/>
          <w:szCs w:val="20"/>
        </w:rPr>
        <w:t xml:space="preserve"> same day therapy.</w:t>
      </w:r>
    </w:p>
    <w:p w:rsidR="00000000" w:rsidRDefault="00DA7678">
      <w:pPr>
        <w:pStyle w:val="a3"/>
        <w:spacing w:before="0" w:beforeAutospacing="0" w:after="0" w:afterAutospacing="0"/>
        <w:ind w:firstLine="70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The effectiveness of IsoPet</w:t>
      </w:r>
      <w:r>
        <w:rPr>
          <w:sz w:val="20"/>
          <w:szCs w:val="20"/>
          <w:vertAlign w:val="superscript"/>
        </w:rPr>
        <w:t>®</w:t>
      </w:r>
      <w:r>
        <w:rPr>
          <w:sz w:val="20"/>
          <w:szCs w:val="20"/>
        </w:rPr>
        <w:t xml:space="preserve"> for life extension was not the prime objective, but it resulted in valuable insights. Of the cases one is still cancer-free but the others eventually recurred since there was not a strong focus on treating </w:t>
      </w:r>
      <w:r>
        <w:rPr>
          <w:sz w:val="20"/>
          <w:szCs w:val="20"/>
        </w:rPr>
        <w:t>the margins. The University of Missouri has agreed to become a regional center to administer IsoPet</w:t>
      </w:r>
      <w:r>
        <w:rPr>
          <w:sz w:val="20"/>
          <w:szCs w:val="20"/>
          <w:vertAlign w:val="superscript"/>
        </w:rPr>
        <w:t>®</w:t>
      </w:r>
      <w:r>
        <w:rPr>
          <w:sz w:val="20"/>
          <w:szCs w:val="20"/>
        </w:rPr>
        <w:t xml:space="preserve"> therapy and will incorporate the improvements suggested by the testing program.</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The Company anticipates that future profits, if any, will be derived from</w:t>
      </w:r>
      <w:r>
        <w:rPr>
          <w:sz w:val="20"/>
          <w:szCs w:val="20"/>
        </w:rPr>
        <w:t xml:space="preserve"> direct sales of RadioGel</w:t>
      </w:r>
      <w:r>
        <w:rPr>
          <w:sz w:val="20"/>
          <w:szCs w:val="20"/>
          <w:vertAlign w:val="superscript"/>
        </w:rPr>
        <w:t>™</w:t>
      </w:r>
      <w:r>
        <w:rPr>
          <w:sz w:val="20"/>
          <w:szCs w:val="20"/>
        </w:rPr>
        <w:t xml:space="preserve"> (under the name IsoPet</w:t>
      </w:r>
      <w:r>
        <w:rPr>
          <w:sz w:val="20"/>
          <w:szCs w:val="20"/>
          <w:vertAlign w:val="superscript"/>
        </w:rPr>
        <w:t>®</w:t>
      </w:r>
      <w:r>
        <w:rPr>
          <w:sz w:val="20"/>
          <w:szCs w:val="20"/>
        </w:rPr>
        <w:t>) and related services, and from licensing to private medical and veterinary clinics in the U.S. and internationally. The Company intends to report the results from the IsoPet</w:t>
      </w:r>
      <w:r>
        <w:rPr>
          <w:sz w:val="20"/>
          <w:szCs w:val="20"/>
          <w:vertAlign w:val="superscript"/>
        </w:rPr>
        <w:t>®</w:t>
      </w:r>
      <w:r>
        <w:rPr>
          <w:sz w:val="20"/>
          <w:szCs w:val="20"/>
        </w:rPr>
        <w:t xml:space="preserve"> Solutions division as a separ</w:t>
      </w:r>
      <w:r>
        <w:rPr>
          <w:sz w:val="20"/>
          <w:szCs w:val="20"/>
        </w:rPr>
        <w:t>ate operating segment in accordance with GAAP.</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Commencing in July 2019, the Company recognized its first commercial sale of IsoPet</w:t>
      </w:r>
      <w:r>
        <w:rPr>
          <w:sz w:val="20"/>
          <w:szCs w:val="20"/>
          <w:vertAlign w:val="superscript"/>
        </w:rPr>
        <w:t>®</w:t>
      </w:r>
      <w:r>
        <w:rPr>
          <w:sz w:val="20"/>
          <w:szCs w:val="20"/>
        </w:rPr>
        <w:t>. A veterinarian from Alaska brought his cat with a re-occurrent spindle cell sarcoma tumor on his face. The cat had previo</w:t>
      </w:r>
      <w:r>
        <w:rPr>
          <w:sz w:val="20"/>
          <w:szCs w:val="20"/>
        </w:rPr>
        <w:t>usly received external beam therapy, but now the tumor was growing rapidly. He was given a high dose of 400Gy with heavy therapy at the margins. This sale met the revenue recognition requirements under ASC 606 as the performance obligation was satisfied. T</w:t>
      </w:r>
      <w:r>
        <w:rPr>
          <w:sz w:val="20"/>
          <w:szCs w:val="20"/>
        </w:rPr>
        <w:t>he Company completed sales for an additional four animals that received the IsoPet</w:t>
      </w:r>
      <w:r>
        <w:rPr>
          <w:sz w:val="20"/>
          <w:szCs w:val="20"/>
          <w:vertAlign w:val="superscript"/>
        </w:rPr>
        <w:t>®</w:t>
      </w:r>
      <w:r>
        <w:rPr>
          <w:sz w:val="20"/>
          <w:szCs w:val="20"/>
        </w:rPr>
        <w:t xml:space="preserve"> during 2019.</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Our plan is to incorporate the data assembled from our work with Isopet</w:t>
      </w:r>
      <w:r>
        <w:rPr>
          <w:sz w:val="20"/>
          <w:szCs w:val="20"/>
          <w:vertAlign w:val="superscript"/>
        </w:rPr>
        <w:t>®</w:t>
      </w:r>
      <w:r>
        <w:rPr>
          <w:sz w:val="20"/>
          <w:szCs w:val="20"/>
        </w:rPr>
        <w:t xml:space="preserve"> in animal therapy to support the Company’s efforts in the development of our RadioGe</w:t>
      </w:r>
      <w:r>
        <w:rPr>
          <w:sz w:val="20"/>
          <w:szCs w:val="20"/>
        </w:rPr>
        <w:t>l</w:t>
      </w:r>
      <w:r>
        <w:rPr>
          <w:sz w:val="20"/>
          <w:szCs w:val="20"/>
          <w:vertAlign w:val="superscript"/>
        </w:rPr>
        <w:t>™</w:t>
      </w:r>
      <w:r>
        <w:rPr>
          <w:sz w:val="20"/>
          <w:szCs w:val="20"/>
        </w:rPr>
        <w:t xml:space="preserve"> device candidate, including obtaining approval from the </w:t>
      </w:r>
      <w:r>
        <w:rPr>
          <w:i/>
          <w:iCs/>
          <w:sz w:val="20"/>
          <w:szCs w:val="20"/>
        </w:rPr>
        <w:t>FDA</w:t>
      </w:r>
      <w:r>
        <w:rPr>
          <w:sz w:val="20"/>
          <w:szCs w:val="20"/>
        </w:rPr>
        <w:t xml:space="preserve"> to market and sell RadioGel</w:t>
      </w:r>
      <w:r>
        <w:rPr>
          <w:sz w:val="20"/>
          <w:szCs w:val="20"/>
          <w:vertAlign w:val="superscript"/>
        </w:rPr>
        <w:t>™</w:t>
      </w:r>
      <w:r>
        <w:rPr>
          <w:sz w:val="20"/>
          <w:szCs w:val="20"/>
        </w:rPr>
        <w:t xml:space="preserve"> as a Class II medical device. RadioGel</w:t>
      </w:r>
      <w:r>
        <w:rPr>
          <w:sz w:val="20"/>
          <w:szCs w:val="20"/>
          <w:vertAlign w:val="superscript"/>
        </w:rPr>
        <w:t>™</w:t>
      </w:r>
      <w:r>
        <w:rPr>
          <w:sz w:val="20"/>
          <w:szCs w:val="20"/>
        </w:rPr>
        <w:t xml:space="preserve"> is an injectable particle-gel for brachytherapy radiation treatment of cancerous tumors in people and animals. RadioGel</w:t>
      </w:r>
      <w:r>
        <w:rPr>
          <w:sz w:val="20"/>
          <w:szCs w:val="20"/>
          <w:vertAlign w:val="superscript"/>
        </w:rPr>
        <w:t>™</w:t>
      </w:r>
      <w:r>
        <w:rPr>
          <w:sz w:val="20"/>
          <w:szCs w:val="20"/>
        </w:rPr>
        <w:t xml:space="preserve"> </w:t>
      </w:r>
      <w:r>
        <w:rPr>
          <w:sz w:val="20"/>
          <w:szCs w:val="20"/>
        </w:rPr>
        <w:t>is comprised of a hydrogel, or a substance that is liquid at room temperature and then gels when reaching body temperature after injection into a tumor. In the gel are small, less than two microns, yttrium-90 phosphate particles (“</w:t>
      </w:r>
      <w:r>
        <w:rPr>
          <w:i/>
          <w:iCs/>
          <w:sz w:val="20"/>
          <w:szCs w:val="20"/>
        </w:rPr>
        <w:t>Y-90</w:t>
      </w:r>
      <w:r>
        <w:rPr>
          <w:sz w:val="20"/>
          <w:szCs w:val="20"/>
        </w:rPr>
        <w:t>”). Once injected, th</w:t>
      </w:r>
      <w:r>
        <w:rPr>
          <w:sz w:val="20"/>
          <w:szCs w:val="20"/>
        </w:rPr>
        <w:t>ese inert particles are locked in place inside the tumor by the gel, delivering a very high local radiation dose. The radiation is beta, consisting of high-speed electrons. These electrons only travel a short distance so the device can deliver high radiati</w:t>
      </w:r>
      <w:r>
        <w:rPr>
          <w:sz w:val="20"/>
          <w:szCs w:val="20"/>
        </w:rPr>
        <w:t>on to the tumor with minimal dose to the surrounding tissue. Optimally, patients can go home immediately following treatment without the risk of radiation exposure to family members. Since Y-90 has a</w:t>
      </w:r>
      <w:r>
        <w:rPr>
          <w:sz w:val="20"/>
          <w:szCs w:val="20"/>
        </w:rPr>
        <w:t xml:space="preserve"> </w:t>
      </w:r>
      <w:r>
        <w:rPr>
          <w:sz w:val="20"/>
          <w:szCs w:val="20"/>
        </w:rPr>
        <w:t xml:space="preserve">half-life of 2.7 days, the radioactivity drops to 5% of </w:t>
      </w:r>
      <w:r>
        <w:rPr>
          <w:sz w:val="20"/>
          <w:szCs w:val="20"/>
        </w:rPr>
        <w:t>its original value after ten days</w:t>
      </w:r>
      <w:r>
        <w:rPr>
          <w:sz w:val="20"/>
          <w:szCs w:val="20"/>
        </w:rPr>
        <w:t>.</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The Company modified its Indication for Use from skin cancel to cancerous tissue or solid tumors pathologically associated with locoregional papillary thyroid carcinoma and recurrent papillary thyroid carcinoma having d</w:t>
      </w:r>
      <w:r>
        <w:rPr>
          <w:sz w:val="20"/>
          <w:szCs w:val="20"/>
        </w:rPr>
        <w:t>iscernable tumors associated with metastatic lymph nodes or extranodal disease in patients who are not surgical candidates or who have declined surgery, or patients who require post-surgical remnant ablation (for example, after prior incomplete radioiodine</w:t>
      </w:r>
      <w:r>
        <w:rPr>
          <w:sz w:val="20"/>
          <w:szCs w:val="20"/>
        </w:rPr>
        <w:t xml:space="preserve"> therapy). Papillary thyroid carcinoma belongs to the general class of head and neck tumors for which tumors are accessible by intraoperative direct needle injection. The Company’s Medical Advisory Board felt that demonstrating efficacy in clinical trials </w:t>
      </w:r>
      <w:r>
        <w:rPr>
          <w:sz w:val="20"/>
          <w:szCs w:val="20"/>
        </w:rPr>
        <w:t>was much easier with this new indication.</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Intellectual Propert</w:t>
      </w:r>
      <w:r>
        <w:rPr>
          <w:b/>
          <w:bCs/>
          <w:sz w:val="20"/>
          <w:szCs w:val="20"/>
        </w:rPr>
        <w:t>y</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Our </w:t>
      </w:r>
      <w:r>
        <w:rPr>
          <w:sz w:val="20"/>
          <w:szCs w:val="20"/>
        </w:rPr>
        <w:t>original license with Battelle National Laboratory is reached its end of life in 2022. During the past several years, in anticipation of this we have expanded our proprietary knowledge, our trademark and patent protection.</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Our RadioGel trademark protecti</w:t>
      </w:r>
      <w:r>
        <w:rPr>
          <w:sz w:val="20"/>
          <w:szCs w:val="20"/>
        </w:rPr>
        <w:t>on is in 17 countries. We have expanded our trademark protection from RadioGel to now include IsoPet. We obtained the International Certificate of Registration for ISOPET, which is the first step to file in several countries</w:t>
      </w:r>
      <w:r>
        <w:rPr>
          <w:b/>
          <w:bCs/>
          <w:sz w:val="20"/>
          <w:szCs w:val="20"/>
        </w:rPr>
        <w:t>.</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The Company received the Pat</w:t>
      </w:r>
      <w:r>
        <w:rPr>
          <w:sz w:val="20"/>
          <w:szCs w:val="20"/>
        </w:rPr>
        <w:t xml:space="preserve">ent Cooperation Treaty (“PCT”) International Search Report on our patent application (No.1811.191). Seven of our claims were immediately ruled as having novelty, inventive step and industrial applicability. This gives us the basis to extend for many years </w:t>
      </w:r>
      <w:r>
        <w:rPr>
          <w:sz w:val="20"/>
          <w:szCs w:val="20"/>
        </w:rPr>
        <w:t>the patent protection for our proprietary Yttrium-90 phosphate particles utilized in Isopet</w:t>
      </w:r>
      <w:r>
        <w:rPr>
          <w:sz w:val="20"/>
          <w:szCs w:val="20"/>
          <w:vertAlign w:val="superscript"/>
        </w:rPr>
        <w:t>®</w:t>
      </w:r>
      <w:r>
        <w:rPr>
          <w:sz w:val="20"/>
          <w:szCs w:val="20"/>
        </w:rPr>
        <w:t xml:space="preserve"> and Radiogel™.</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Our patent team filed our particle patent in more than ten patent offices that collectively cover 63 countries throughout the world. We filed a co</w:t>
      </w:r>
      <w:r>
        <w:rPr>
          <w:sz w:val="20"/>
          <w:szCs w:val="20"/>
        </w:rPr>
        <w:t>ntinuation-in-part applications number 1774054 in the USA to expand the claims on our particle patent. The US Patent office recently gave us the Notice of Allowance for our patent to produce our yttrium phosphate microparticles, US Patent Application Seria</w:t>
      </w:r>
      <w:r>
        <w:rPr>
          <w:sz w:val="20"/>
          <w:szCs w:val="20"/>
        </w:rPr>
        <w:t>l No: 16-459,466. We also filed an amendment to correct the wording on our claims at make them consistent with the USE claims. Ref: 4207-0005; European Patent Application NO. 20 834 229.5; VIVOS INC; Our Ref: FS/53791.</w:t>
      </w:r>
    </w:p>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03044790"/>
        </w:trPr>
        <w:tc>
          <w:tcPr>
            <w:tcW w:w="5000" w:type="pct"/>
            <w:hideMark/>
          </w:tcPr>
          <w:p w:rsidR="00000000" w:rsidRDefault="00DA767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We filed a hydrogel util</w:t>
      </w:r>
      <w:r>
        <w:rPr>
          <w:sz w:val="20"/>
          <w:szCs w:val="20"/>
        </w:rPr>
        <w:t>ity patent in the USA (16309:17/943,311) and internationally (16389:PCT/US22/4374) based on the last eighteen months of development work to optimize our hydrogel component. These include reducing the polymer production time and increasing the output by a f</w:t>
      </w:r>
      <w:r>
        <w:rPr>
          <w:sz w:val="20"/>
          <w:szCs w:val="20"/>
        </w:rPr>
        <w:t>actor of three. We have also further reduced the level of trace contaminants to be well below the FDA guidelines.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We filed a provisional patent (Serial Number 63436562) to protect our innovative improvements in our shipping container, our vial shield, ou</w:t>
      </w:r>
      <w:r>
        <w:rPr>
          <w:sz w:val="20"/>
          <w:szCs w:val="20"/>
        </w:rPr>
        <w:t>r syringe shield, and our Peltier chiller. Our objectives were to reduce shipping costs, decrease radiation exposure, and enhance sterility. These devices will be preferentially used at Mayo Clinics for human clinical studies at and our IsoPet regional tre</w:t>
      </w:r>
      <w:r>
        <w:rPr>
          <w:sz w:val="20"/>
          <w:szCs w:val="20"/>
        </w:rPr>
        <w:t>atment centers.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We </w:t>
      </w:r>
      <w:r>
        <w:rPr>
          <w:sz w:val="20"/>
          <w:szCs w:val="20"/>
        </w:rPr>
        <w:t>anticipate that Precison Radionuclide Therapy will become increasingly important in the future and expand to other isotope and other indications for use. Therefore, we filed an alternate particle utility patent (Serial number 18/152,137). Vivos Inc will fo</w:t>
      </w:r>
      <w:r>
        <w:rPr>
          <w:sz w:val="20"/>
          <w:szCs w:val="20"/>
        </w:rPr>
        <w:t>cus its near-term effort on the Yttrium-90 therapy, which we believe is the best beta emitter; however, we leveraged our hydrogel utility patent to incorporate other promising isotopes and compounds for a range of future applications. This includes gamma a</w:t>
      </w:r>
      <w:r>
        <w:rPr>
          <w:sz w:val="20"/>
          <w:szCs w:val="20"/>
        </w:rPr>
        <w:t>nd alpha particle emitters.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Going Concer</w:t>
      </w:r>
      <w:r>
        <w:rPr>
          <w:b/>
          <w:bCs/>
          <w:sz w:val="20"/>
          <w:szCs w:val="20"/>
        </w:rPr>
        <w:t>n</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The accompanying financial statements have been prepared on a going concern basis, which contemplates the realization of assets and satisfaction of liabilities in the normal course of business. As shown in the </w:t>
      </w:r>
      <w:r>
        <w:rPr>
          <w:sz w:val="20"/>
          <w:szCs w:val="20"/>
        </w:rPr>
        <w:t>accompanying financial statements, the Company has suffered recurring losses and used significant cash in support of its operating activities and the Company’s cash position is not sufficient to support the Company’s operations. Research and development of</w:t>
      </w:r>
      <w:r>
        <w:rPr>
          <w:sz w:val="20"/>
          <w:szCs w:val="20"/>
        </w:rPr>
        <w:t xml:space="preserve"> the Company’s brachytherapy product line has been funded with proceeds from the sale of equity and debt securities as well as a series of grants. The Company requires funding of approximately </w:t>
      </w:r>
      <w:r>
        <w:rPr>
          <w:sz w:val="20"/>
          <w:szCs w:val="20"/>
        </w:rPr>
        <w:t>$</w:t>
      </w:r>
      <w:r>
        <w:rPr>
          <w:sz w:val="20"/>
          <w:szCs w:val="20"/>
        </w:rPr>
        <w:t>2.</w:t>
      </w:r>
      <w:r>
        <w:rPr>
          <w:sz w:val="20"/>
          <w:szCs w:val="20"/>
        </w:rPr>
        <w:t>5</w:t>
      </w:r>
      <w:r>
        <w:rPr>
          <w:sz w:val="20"/>
          <w:szCs w:val="20"/>
        </w:rPr>
        <w:t xml:space="preserve"> million annually to maintain current operating activities.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The Company completed its reverse stock split which was approved by FINRA and went effective on June 28, 2019.</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The Company’s stock offering under Regulation A+ was qualified by the Securities and Exchange Commission (“SEC”) on June 3, 2020. A second R</w:t>
      </w:r>
      <w:r>
        <w:rPr>
          <w:sz w:val="20"/>
          <w:szCs w:val="20"/>
        </w:rPr>
        <w:t>egulation A+ was qualified by the SEC on September 15, 2021 to raise capital for</w:t>
      </w:r>
      <w:r>
        <w:rPr>
          <w:sz w:val="20"/>
          <w:szCs w:val="20"/>
        </w:rPr>
        <w:t xml:space="preserve"> </w:t>
      </w:r>
      <w:r>
        <w:rPr>
          <w:sz w:val="20"/>
          <w:szCs w:val="20"/>
        </w:rPr>
        <w:t>50,000,00</w:t>
      </w:r>
      <w:r>
        <w:rPr>
          <w:sz w:val="20"/>
          <w:szCs w:val="20"/>
        </w:rPr>
        <w:t>0</w:t>
      </w:r>
      <w:r>
        <w:rPr>
          <w:sz w:val="20"/>
          <w:szCs w:val="20"/>
        </w:rPr>
        <w:t xml:space="preserve"> shares at a price of </w:t>
      </w:r>
      <w:r>
        <w:rPr>
          <w:sz w:val="20"/>
          <w:szCs w:val="20"/>
        </w:rPr>
        <w:t>$</w:t>
      </w:r>
      <w:r>
        <w:rPr>
          <w:sz w:val="20"/>
          <w:szCs w:val="20"/>
        </w:rPr>
        <w:t>0.1</w:t>
      </w:r>
      <w:r>
        <w:rPr>
          <w:sz w:val="20"/>
          <w:szCs w:val="20"/>
        </w:rPr>
        <w:t>0</w:t>
      </w:r>
      <w:r>
        <w:rPr>
          <w:sz w:val="20"/>
          <w:szCs w:val="20"/>
        </w:rPr>
        <w:t xml:space="preserve"> for a maximum of </w:t>
      </w:r>
      <w:r>
        <w:rPr>
          <w:sz w:val="20"/>
          <w:szCs w:val="20"/>
        </w:rPr>
        <w:t>$</w:t>
      </w:r>
      <w:r>
        <w:rPr>
          <w:sz w:val="20"/>
          <w:szCs w:val="20"/>
        </w:rPr>
        <w:t>5,000,00</w:t>
      </w:r>
      <w:r>
        <w:rPr>
          <w:sz w:val="20"/>
          <w:szCs w:val="20"/>
        </w:rPr>
        <w:t>0</w:t>
      </w:r>
      <w:r>
        <w:rPr>
          <w:sz w:val="20"/>
          <w:szCs w:val="20"/>
        </w:rPr>
        <w:t xml:space="preserve">. The Company amended this and was able to raise </w:t>
      </w:r>
      <w:r>
        <w:rPr>
          <w:sz w:val="20"/>
          <w:szCs w:val="20"/>
        </w:rPr>
        <w:t>$</w:t>
      </w:r>
      <w:r>
        <w:rPr>
          <w:sz w:val="20"/>
          <w:szCs w:val="20"/>
        </w:rPr>
        <w:t>1,200,00</w:t>
      </w:r>
      <w:r>
        <w:rPr>
          <w:sz w:val="20"/>
          <w:szCs w:val="20"/>
        </w:rPr>
        <w:t>0</w:t>
      </w:r>
      <w:r>
        <w:rPr>
          <w:sz w:val="20"/>
          <w:szCs w:val="20"/>
        </w:rPr>
        <w:t xml:space="preserve"> in July 2022 at </w:t>
      </w:r>
      <w:r>
        <w:rPr>
          <w:sz w:val="20"/>
          <w:szCs w:val="20"/>
        </w:rPr>
        <w:t>$</w:t>
      </w:r>
      <w:r>
        <w:rPr>
          <w:sz w:val="20"/>
          <w:szCs w:val="20"/>
        </w:rPr>
        <w:t>0.0</w:t>
      </w:r>
      <w:r>
        <w:rPr>
          <w:sz w:val="20"/>
          <w:szCs w:val="20"/>
        </w:rPr>
        <w:t>8</w:t>
      </w:r>
      <w:r>
        <w:rPr>
          <w:sz w:val="20"/>
          <w:szCs w:val="20"/>
        </w:rPr>
        <w:t xml:space="preserve"> per share </w:t>
      </w:r>
      <w:r>
        <w:rPr>
          <w:sz w:val="20"/>
          <w:szCs w:val="20"/>
        </w:rPr>
        <w:t>(</w:t>
      </w:r>
      <w:r>
        <w:rPr>
          <w:sz w:val="20"/>
          <w:szCs w:val="20"/>
        </w:rPr>
        <w:t>15,000,00</w:t>
      </w:r>
      <w:r>
        <w:rPr>
          <w:sz w:val="20"/>
          <w:szCs w:val="20"/>
        </w:rPr>
        <w:t>0</w:t>
      </w:r>
      <w:r>
        <w:rPr>
          <w:sz w:val="20"/>
          <w:szCs w:val="20"/>
        </w:rPr>
        <w:t xml:space="preserve"> shares</w:t>
      </w:r>
      <w:r>
        <w:rPr>
          <w:sz w:val="20"/>
          <w:szCs w:val="20"/>
        </w:rPr>
        <w:t>) and sold</w:t>
      </w:r>
      <w:r>
        <w:rPr>
          <w:sz w:val="20"/>
          <w:szCs w:val="20"/>
        </w:rPr>
        <w:t xml:space="preserve"> </w:t>
      </w:r>
      <w:r>
        <w:rPr>
          <w:sz w:val="20"/>
          <w:szCs w:val="20"/>
        </w:rPr>
        <w:t>20,000,00</w:t>
      </w:r>
      <w:r>
        <w:rPr>
          <w:sz w:val="20"/>
          <w:szCs w:val="20"/>
        </w:rPr>
        <w:t>0</w:t>
      </w:r>
      <w:r>
        <w:rPr>
          <w:sz w:val="20"/>
          <w:szCs w:val="20"/>
        </w:rPr>
        <w:t xml:space="preserve"> warrants for </w:t>
      </w:r>
      <w:r>
        <w:rPr>
          <w:sz w:val="20"/>
          <w:szCs w:val="20"/>
        </w:rPr>
        <w:t>$</w:t>
      </w:r>
      <w:r>
        <w:rPr>
          <w:sz w:val="20"/>
          <w:szCs w:val="20"/>
        </w:rPr>
        <w:t>20,00</w:t>
      </w:r>
      <w:r>
        <w:rPr>
          <w:sz w:val="20"/>
          <w:szCs w:val="20"/>
        </w:rPr>
        <w:t>0</w:t>
      </w:r>
      <w:r>
        <w:rPr>
          <w:sz w:val="20"/>
          <w:szCs w:val="20"/>
        </w:rPr>
        <w:t xml:space="preserve">. An amended Regulation A+ was filed in October 2022 to raise the remaining </w:t>
      </w:r>
      <w:r>
        <w:rPr>
          <w:sz w:val="20"/>
          <w:szCs w:val="20"/>
        </w:rPr>
        <w:t>$</w:t>
      </w:r>
      <w:r>
        <w:rPr>
          <w:sz w:val="20"/>
          <w:szCs w:val="20"/>
        </w:rPr>
        <w:t>3,800,00</w:t>
      </w:r>
      <w:r>
        <w:rPr>
          <w:sz w:val="20"/>
          <w:szCs w:val="20"/>
        </w:rPr>
        <w:t>0</w:t>
      </w:r>
      <w:r>
        <w:rPr>
          <w:sz w:val="20"/>
          <w:szCs w:val="20"/>
        </w:rPr>
        <w:t xml:space="preserve"> of the </w:t>
      </w:r>
      <w:r>
        <w:rPr>
          <w:sz w:val="20"/>
          <w:szCs w:val="20"/>
        </w:rPr>
        <w:t>$</w:t>
      </w:r>
      <w:r>
        <w:rPr>
          <w:sz w:val="20"/>
          <w:szCs w:val="20"/>
        </w:rPr>
        <w:t>5,000,00</w:t>
      </w:r>
      <w:r>
        <w:rPr>
          <w:sz w:val="20"/>
          <w:szCs w:val="20"/>
        </w:rPr>
        <w:t>0</w:t>
      </w:r>
      <w:r>
        <w:rPr>
          <w:sz w:val="20"/>
          <w:szCs w:val="20"/>
        </w:rPr>
        <w:t>.</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The Company’s Regulation A+’s raised approximately </w:t>
      </w:r>
      <w:r>
        <w:rPr>
          <w:sz w:val="20"/>
          <w:szCs w:val="20"/>
        </w:rPr>
        <w:t>$</w:t>
      </w:r>
      <w:r>
        <w:rPr>
          <w:sz w:val="20"/>
          <w:szCs w:val="20"/>
        </w:rPr>
        <w:t>5,200,00</w:t>
      </w:r>
      <w:r>
        <w:rPr>
          <w:sz w:val="20"/>
          <w:szCs w:val="20"/>
        </w:rPr>
        <w:t>0</w:t>
      </w:r>
      <w:r>
        <w:rPr>
          <w:sz w:val="20"/>
          <w:szCs w:val="20"/>
        </w:rPr>
        <w:t xml:space="preserve"> from the sale of shares and is using the pro</w:t>
      </w:r>
      <w:r>
        <w:rPr>
          <w:sz w:val="20"/>
          <w:szCs w:val="20"/>
        </w:rPr>
        <w:t>ceeds generated as follows: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For the animal therapy market:</w:t>
      </w:r>
    </w:p>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DA7678">
            <w:pPr>
              <w:jc w:val="both"/>
              <w:rPr>
                <w:rFonts w:eastAsia="Times New Roman"/>
                <w:sz w:val="20"/>
                <w:szCs w:val="20"/>
              </w:rPr>
            </w:pPr>
            <w:r>
              <w:rPr>
                <w:rFonts w:eastAsia="Times New Roman"/>
                <w:sz w:val="20"/>
                <w:szCs w:val="20"/>
              </w:rPr>
              <w:t> </w:t>
            </w:r>
          </w:p>
        </w:tc>
        <w:tc>
          <w:tcPr>
            <w:tcW w:w="360" w:type="dxa"/>
            <w:hideMark/>
          </w:tcPr>
          <w:p w:rsidR="00000000" w:rsidRDefault="00DA7678">
            <w:pPr>
              <w:jc w:val="both"/>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Fund the effort to communicate the benefits of IsoPet® to the veterinary community and the pet parents.</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 xml:space="preserve">Conduct </w:t>
            </w:r>
            <w:r>
              <w:rPr>
                <w:rFonts w:eastAsia="Times New Roman"/>
                <w:sz w:val="20"/>
                <w:szCs w:val="20"/>
              </w:rPr>
              <w:t>additional clinical studies to generate more data for the veterinary community</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Subsidize some IsoPet</w:t>
            </w:r>
            <w:r>
              <w:rPr>
                <w:rFonts w:eastAsia="Times New Roman"/>
                <w:sz w:val="20"/>
                <w:szCs w:val="20"/>
                <w:vertAlign w:val="superscript"/>
              </w:rPr>
              <w:t xml:space="preserve">® </w:t>
            </w:r>
            <w:r>
              <w:rPr>
                <w:rFonts w:eastAsia="Times New Roman"/>
                <w:sz w:val="20"/>
                <w:szCs w:val="20"/>
              </w:rPr>
              <w:t>therapies, if necessary, to ensure that all viable candidates are treated.</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Assist new regional clinics with their license and certification trai</w:t>
            </w:r>
            <w:r>
              <w:rPr>
                <w:rFonts w:eastAsia="Times New Roman"/>
                <w:sz w:val="20"/>
                <w:szCs w:val="20"/>
              </w:rPr>
              <w:t>ning.</w:t>
            </w:r>
          </w:p>
        </w:tc>
      </w:tr>
    </w:tbl>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For the human market:</w:t>
      </w:r>
    </w:p>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DA7678">
            <w:pPr>
              <w:jc w:val="both"/>
              <w:rPr>
                <w:rFonts w:eastAsia="Times New Roman"/>
                <w:sz w:val="20"/>
                <w:szCs w:val="20"/>
              </w:rPr>
            </w:pPr>
            <w:r>
              <w:rPr>
                <w:rFonts w:eastAsia="Times New Roman"/>
                <w:sz w:val="20"/>
                <w:szCs w:val="20"/>
              </w:rPr>
              <w:t> </w:t>
            </w:r>
          </w:p>
        </w:tc>
        <w:tc>
          <w:tcPr>
            <w:tcW w:w="360" w:type="dxa"/>
            <w:hideMark/>
          </w:tcPr>
          <w:p w:rsidR="00000000" w:rsidRDefault="00DA7678">
            <w:pPr>
              <w:jc w:val="both"/>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Enhance the pedigree of the Quality Management System.</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 xml:space="preserve">Complete </w:t>
            </w:r>
            <w:r>
              <w:rPr>
                <w:rFonts w:eastAsia="Times New Roman"/>
                <w:sz w:val="20"/>
                <w:szCs w:val="20"/>
              </w:rPr>
              <w:t>the previously defined pre-clinical testing and additional testing on an animal model closely aligned with our revised indication for use. Report the results to the FDA in a pre-submission meeting.</w:t>
            </w:r>
          </w:p>
        </w:tc>
      </w:tr>
      <w:tr w:rsidR="00000000">
        <w:tc>
          <w:tcPr>
            <w:tcW w:w="0" w:type="auto"/>
            <w:hideMark/>
          </w:tcPr>
          <w:p w:rsidR="00000000" w:rsidRDefault="00DA7678">
            <w:pPr>
              <w:jc w:val="both"/>
              <w:rPr>
                <w:rFonts w:eastAsia="Times New Roman"/>
                <w:sz w:val="20"/>
                <w:szCs w:val="20"/>
              </w:rPr>
            </w:pPr>
            <w:r>
              <w:rPr>
                <w:rFonts w:eastAsia="Times New Roman"/>
                <w:sz w:val="20"/>
                <w:szCs w:val="20"/>
              </w:rPr>
              <w:t> </w:t>
            </w:r>
          </w:p>
        </w:tc>
        <w:tc>
          <w:tcPr>
            <w:tcW w:w="0" w:type="auto"/>
            <w:hideMark/>
          </w:tcPr>
          <w:p w:rsidR="00000000" w:rsidRDefault="00DA7678">
            <w:pPr>
              <w:jc w:val="both"/>
              <w:rPr>
                <w:rFonts w:eastAsia="Times New Roman"/>
                <w:sz w:val="20"/>
                <w:szCs w:val="20"/>
              </w:rPr>
            </w:pPr>
            <w:r>
              <w:rPr>
                <w:rFonts w:eastAsia="Times New Roman"/>
                <w:sz w:val="20"/>
                <w:szCs w:val="20"/>
              </w:rPr>
              <w:t>●</w:t>
            </w:r>
          </w:p>
        </w:tc>
        <w:tc>
          <w:tcPr>
            <w:tcW w:w="0" w:type="auto"/>
            <w:hideMark/>
          </w:tcPr>
          <w:p w:rsidR="00000000" w:rsidRDefault="00DA7678">
            <w:pPr>
              <w:jc w:val="both"/>
              <w:rPr>
                <w:rFonts w:eastAsia="Times New Roman"/>
                <w:sz w:val="20"/>
                <w:szCs w:val="20"/>
              </w:rPr>
            </w:pPr>
            <w:r>
              <w:rPr>
                <w:rFonts w:eastAsia="Times New Roman"/>
                <w:sz w:val="20"/>
                <w:szCs w:val="20"/>
              </w:rPr>
              <w:t>Use the feedback from that meeting to write the IDE (</w:t>
            </w:r>
            <w:r>
              <w:rPr>
                <w:rFonts w:eastAsia="Times New Roman"/>
                <w:sz w:val="20"/>
                <w:szCs w:val="20"/>
              </w:rPr>
              <w:t>Investigational Device Exemption), which is required to initiate clinical trials.</w:t>
            </w:r>
          </w:p>
        </w:tc>
      </w:tr>
    </w:tbl>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Research and development of the Company’s brachytherapy product line has been funded with proceeds from the sale of equity and debt securities. The Company may require add</w:t>
      </w:r>
      <w:r>
        <w:rPr>
          <w:sz w:val="20"/>
          <w:szCs w:val="20"/>
        </w:rPr>
        <w:t xml:space="preserve">itional funding of approximately </w:t>
      </w:r>
      <w:r>
        <w:rPr>
          <w:sz w:val="20"/>
          <w:szCs w:val="20"/>
        </w:rPr>
        <w:t>$</w:t>
      </w:r>
      <w:r>
        <w:rPr>
          <w:sz w:val="20"/>
          <w:szCs w:val="20"/>
        </w:rPr>
        <w:t>2.5</w:t>
      </w:r>
      <w:r>
        <w:rPr>
          <w:sz w:val="20"/>
          <w:szCs w:val="20"/>
        </w:rPr>
        <w:t xml:space="preserve"> </w:t>
      </w:r>
      <w:r>
        <w:rPr>
          <w:sz w:val="20"/>
          <w:szCs w:val="20"/>
        </w:rPr>
        <w:t>million annually to maintain current operating activities.</w:t>
      </w:r>
      <w:r>
        <w:rPr>
          <w:sz w:val="20"/>
          <w:szCs w:val="20"/>
        </w:rPr>
        <w:t xml:space="preserve"> </w:t>
      </w:r>
      <w:r>
        <w:rPr>
          <w:sz w:val="20"/>
          <w:szCs w:val="20"/>
        </w:rPr>
        <w:t>Over the next 12 to 48 months, the Company believes it will cost approximately $9 million to: (1) fund the FDA approval process to conduct human clinical trial</w:t>
      </w:r>
      <w:r>
        <w:rPr>
          <w:sz w:val="20"/>
          <w:szCs w:val="20"/>
        </w:rPr>
        <w:t>s, (2) conduct Phase I, pilot, clinical trials, (3) activate several regional clinics to administer IsoPet</w:t>
      </w:r>
      <w:r>
        <w:rPr>
          <w:sz w:val="20"/>
          <w:szCs w:val="20"/>
          <w:vertAlign w:val="superscript"/>
        </w:rPr>
        <w:t>®</w:t>
      </w:r>
      <w:r>
        <w:rPr>
          <w:sz w:val="20"/>
          <w:szCs w:val="20"/>
        </w:rPr>
        <w:t xml:space="preserve"> across the county, (4) create an independent production center within the current production site to create a template for future international manu</w:t>
      </w:r>
      <w:r>
        <w:rPr>
          <w:sz w:val="20"/>
          <w:szCs w:val="20"/>
        </w:rPr>
        <w:t>facturing, and (5) initiate regulatory approval processes outside of the United States</w:t>
      </w:r>
      <w:r>
        <w:rPr>
          <w:sz w:val="20"/>
          <w:szCs w:val="20"/>
        </w:rPr>
        <w:t>.</w:t>
      </w:r>
      <w:r>
        <w:rPr>
          <w:sz w:val="20"/>
          <w:szCs w:val="20"/>
        </w:rPr>
        <w:t xml:space="preserve"> The proceeds to be raised from the recent qualified Regulation A+ will be used to continue to fund this development.</w:t>
      </w:r>
    </w:p>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80395967"/>
        </w:trPr>
        <w:tc>
          <w:tcPr>
            <w:tcW w:w="5000" w:type="pct"/>
            <w:hideMark/>
          </w:tcPr>
          <w:p w:rsidR="00000000" w:rsidRDefault="00DA767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The continued deployment of the brachy</w:t>
      </w:r>
      <w:r>
        <w:rPr>
          <w:sz w:val="20"/>
          <w:szCs w:val="20"/>
        </w:rPr>
        <w:t>therapy products and a worldwide regulatory approval effort will require additional resources and personnel. The principal variables in the timing and amount of spending for the brachytherapy products in the next 12 to 24 months will be the FDA’s classific</w:t>
      </w:r>
      <w:r>
        <w:rPr>
          <w:sz w:val="20"/>
          <w:szCs w:val="20"/>
        </w:rPr>
        <w:t>ation of the Company’s brachytherapy products as Class II or Class III devices (or otherwise) and any requirements for additional studies which may possibly include clinical studies. Thereafter, the principal variables in the amount of the Company’s spendi</w:t>
      </w:r>
      <w:r>
        <w:rPr>
          <w:sz w:val="20"/>
          <w:szCs w:val="20"/>
        </w:rPr>
        <w:t>ng and its financing requirements would be the timing of any approvals and the nature of the Company’s arrangements with third parties for manufacturing, sales, distribution and licensing of those products and the products’ success in the U.S. and elsewher</w:t>
      </w:r>
      <w:r>
        <w:rPr>
          <w:sz w:val="20"/>
          <w:szCs w:val="20"/>
        </w:rPr>
        <w:t>e. The Company intends to fund its activities through strategic transactions such as licensing and partnership agreements or from proceeds to be raised from the recent qualified Regulation A+.</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Following </w:t>
      </w:r>
      <w:r>
        <w:rPr>
          <w:sz w:val="20"/>
          <w:szCs w:val="20"/>
        </w:rPr>
        <w:t>receipt of required regulatory approvals and financing, in the U.S., the Company intends to outsource material aspects of manufacturing, distribution, sales and marketing. Outside of the U.S., the Company intends to pursue licensing arrangements and/or par</w:t>
      </w:r>
      <w:r>
        <w:rPr>
          <w:sz w:val="20"/>
          <w:szCs w:val="20"/>
        </w:rPr>
        <w:t>tnerships to facilitate its global commercialization strategy.</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In the longer-term, subject to the Company receiving adequate funding, regulatory approval for RadioGel</w:t>
      </w:r>
      <w:r>
        <w:rPr>
          <w:sz w:val="20"/>
          <w:szCs w:val="20"/>
          <w:vertAlign w:val="superscript"/>
        </w:rPr>
        <w:t>™</w:t>
      </w:r>
      <w:r>
        <w:rPr>
          <w:sz w:val="20"/>
          <w:szCs w:val="20"/>
        </w:rPr>
        <w:t xml:space="preserve"> and other brachytherapy products, and thereafter being able to successfully commercial</w:t>
      </w:r>
      <w:r>
        <w:rPr>
          <w:sz w:val="20"/>
          <w:szCs w:val="20"/>
        </w:rPr>
        <w:t>ize its brachytherapy products, the Company intends to consider resuming research efforts with respect to other products and technologies intended to help improve the diagnosis and treatment of cancer and other illnesses.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Based on the Company’s financial</w:t>
      </w:r>
      <w:r>
        <w:rPr>
          <w:sz w:val="20"/>
          <w:szCs w:val="20"/>
        </w:rPr>
        <w:t xml:space="preserve"> history since inception, the Company’s independent registered public accounting firm has expressed substantial doubt as to the Company’s ability to continue as a going concern. The Company has limited revenue, nominal cash, and has accumulated deficits si</w:t>
      </w:r>
      <w:r>
        <w:rPr>
          <w:sz w:val="20"/>
          <w:szCs w:val="20"/>
        </w:rPr>
        <w:t>nce inception. If the Company cannot obtain sufficient additional capital, the Company will be required to delay the implementation of its business strategy and may not be able to continue operations.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The Company has been impacted from the effects of COV</w:t>
      </w:r>
      <w:r>
        <w:rPr>
          <w:sz w:val="20"/>
          <w:szCs w:val="20"/>
        </w:rPr>
        <w:t>ID-19. The Company’s headquarters are in Northeast Washington however there focus of the animal therapy market has been the Northwestern sector of the United States. The Company continues their marketing to the animal therapy market and attempt to increase</w:t>
      </w:r>
      <w:r>
        <w:rPr>
          <w:sz w:val="20"/>
          <w:szCs w:val="20"/>
        </w:rPr>
        <w:t xml:space="preserve"> the exposure to their product and generate revenue accordingly.</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As of December 31, 2022, the Company has </w:t>
      </w:r>
      <w:r>
        <w:rPr>
          <w:sz w:val="20"/>
          <w:szCs w:val="20"/>
        </w:rPr>
        <w:t>$</w:t>
      </w:r>
      <w:r>
        <w:rPr>
          <w:sz w:val="20"/>
          <w:szCs w:val="20"/>
        </w:rPr>
        <w:t>1,706,06</w:t>
      </w:r>
      <w:r>
        <w:rPr>
          <w:sz w:val="20"/>
          <w:szCs w:val="20"/>
        </w:rPr>
        <w:t>5</w:t>
      </w:r>
      <w:r>
        <w:rPr>
          <w:sz w:val="20"/>
          <w:szCs w:val="20"/>
        </w:rPr>
        <w:t xml:space="preserve"> cash on hand. There are currently commitments to vendors for products and services purchased. To continue the development of the Company’</w:t>
      </w:r>
      <w:r>
        <w:rPr>
          <w:sz w:val="20"/>
          <w:szCs w:val="20"/>
        </w:rPr>
        <w:t>s products, the current level of cash may not be enough to cover the fixed and variable obligations of the Company.</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There is no guarantee that the Company will be able to raise additional funds or to do so at an advantageous price.</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The financial statem</w:t>
      </w:r>
      <w:r>
        <w:rPr>
          <w:sz w:val="20"/>
          <w:szCs w:val="20"/>
        </w:rPr>
        <w:t>ents do not include any adjustments relating to the recoverability and classification of liabilities that might be necessary should the Company be unable to continue as a going concern. The Company’s continuation as a going concern is dependent upon its ab</w:t>
      </w:r>
      <w:r>
        <w:rPr>
          <w:sz w:val="20"/>
          <w:szCs w:val="20"/>
        </w:rPr>
        <w:t>ility to generate sufficient cash flow to meet its obligations on a timely basis and ultimately to attain profitability. The Company plans to seek additional funding to maintain its operations through debt and equity financing and to improve operating perf</w:t>
      </w:r>
      <w:r>
        <w:rPr>
          <w:sz w:val="20"/>
          <w:szCs w:val="20"/>
        </w:rPr>
        <w:t>ormance through a focus on strategic products and increased efficiencies in business processes and improvements to the cost structure. There is no assurance that the Company will be successful in its efforts to raise additional working capital or achieve p</w:t>
      </w:r>
      <w:r>
        <w:rPr>
          <w:sz w:val="20"/>
          <w:szCs w:val="20"/>
        </w:rPr>
        <w:t>rofitable operations. The financial statements do not include any adjustments that might result from the outcome of this uncertainty.</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Use of Estimate</w:t>
      </w:r>
      <w:r>
        <w:rPr>
          <w:b/>
          <w:bCs/>
          <w:sz w:val="20"/>
          <w:szCs w:val="20"/>
        </w:rPr>
        <w: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The preparation of financial statements in accordance with generally accepted accounting principles r</w:t>
      </w:r>
      <w:r>
        <w:rPr>
          <w:sz w:val="20"/>
          <w:szCs w:val="20"/>
        </w:rPr>
        <w:t>equires management to make estimates and assumptions that affect the reported amounts of assets and liabilities and the disclosure of contingent assets and liabilities at the date of financial statements and the reported amounts of revenues and expenses du</w:t>
      </w:r>
      <w:r>
        <w:rPr>
          <w:sz w:val="20"/>
          <w:szCs w:val="20"/>
        </w:rPr>
        <w:t>ring the reporting period. Estimates the Company considers include criteria for stock-based compensation expense, and valuation allowances on deferred tax assets. Actual results could differ from those estimates.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Financial Statement Reclassificatio</w:t>
      </w:r>
      <w:r>
        <w:rPr>
          <w:b/>
          <w:bCs/>
          <w:sz w:val="20"/>
          <w:szCs w:val="20"/>
        </w:rPr>
        <w:t>n</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Ce</w:t>
      </w:r>
      <w:r>
        <w:rPr>
          <w:sz w:val="20"/>
          <w:szCs w:val="20"/>
        </w:rPr>
        <w:t>rtain account balances from prior periods have been reclassified in these financial statements so as to conform to current period classifications.</w:t>
      </w:r>
    </w:p>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21097268"/>
        </w:trPr>
        <w:tc>
          <w:tcPr>
            <w:tcW w:w="5000" w:type="pct"/>
            <w:hideMark/>
          </w:tcPr>
          <w:p w:rsidR="00000000" w:rsidRDefault="00DA767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Cash Equivalent</w:t>
      </w:r>
      <w:r>
        <w:rPr>
          <w:b/>
          <w:bCs/>
          <w:sz w:val="20"/>
          <w:szCs w:val="20"/>
        </w:rPr>
        <w: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For </w:t>
      </w:r>
      <w:r>
        <w:rPr>
          <w:sz w:val="20"/>
          <w:szCs w:val="20"/>
        </w:rPr>
        <w:t>the purposes of the statement of cash flows, the Company considers all highly liquid debt instruments purchased with an original maturity of three months or less to be cash equivalents.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The Company occasionally maintains cash balances in excess of the FD</w:t>
      </w:r>
      <w:r>
        <w:rPr>
          <w:sz w:val="20"/>
          <w:szCs w:val="20"/>
        </w:rPr>
        <w:t>IC insured limit. The Company does not consider this risk to be material.</w:t>
      </w:r>
    </w:p>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Fair Value of Financial Instrument</w:t>
      </w:r>
      <w:r>
        <w:rPr>
          <w:b/>
          <w:bCs/>
          <w:sz w:val="20"/>
          <w:szCs w:val="20"/>
        </w:rPr>
        <w: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Fair value of financial instruments requires disclosure of the fair value information, whether or not recognized in the balance sheet, where i</w:t>
      </w:r>
      <w:r>
        <w:rPr>
          <w:sz w:val="20"/>
          <w:szCs w:val="20"/>
        </w:rPr>
        <w:t>t is practicable to estimate that value. As of December 31, 2022 and 2021, the balances reported for cash, prepaid expenses, accounts receivable, accounts payable, and accrued expenses, approximate the fair value because of their short maturities.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Fair v</w:t>
      </w:r>
      <w:r>
        <w:rPr>
          <w:sz w:val="20"/>
          <w:szCs w:val="20"/>
        </w:rPr>
        <w:t>alue is defined as the price that would be received to sell an asset or paid to transfer a liability in an orderly transaction between market participants at the measurement date. Accounting Standards Codification (“</w:t>
      </w:r>
      <w:r>
        <w:rPr>
          <w:i/>
          <w:iCs/>
          <w:sz w:val="20"/>
          <w:szCs w:val="20"/>
        </w:rPr>
        <w:t>ASC</w:t>
      </w:r>
      <w:r>
        <w:rPr>
          <w:sz w:val="20"/>
          <w:szCs w:val="20"/>
        </w:rPr>
        <w:t>”) Topic 820 established a three-tier</w:t>
      </w:r>
      <w:r>
        <w:rPr>
          <w:sz w:val="20"/>
          <w:szCs w:val="20"/>
        </w:rPr>
        <w:t xml:space="preserve"> fair value hierarchy which prioritizes the inputs used in measuring fair value. The hierarchy gives the highest priority to unadjusted quoted prices in active markets for identical assets or liabilities (level 1 measurements) and the lowest priority to un</w:t>
      </w:r>
      <w:r>
        <w:rPr>
          <w:sz w:val="20"/>
          <w:szCs w:val="20"/>
        </w:rPr>
        <w:t>observable inputs (level 3 measurements). These tiers include:</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Level 1, defined as observable inputs such as quoted prices for identical instruments in active markets;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Level 2, defined as inputs other than quoted prices in active markets that are eithe</w:t>
      </w:r>
      <w:r>
        <w:rPr>
          <w:sz w:val="20"/>
          <w:szCs w:val="20"/>
        </w:rPr>
        <w:t>r directly or indirectly observable such as quoted prices for similar instruments in active markets or quoted prices for identical or similar instruments in markets that are not active; and</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Level 3, defined as unobservable inputs in which little or no ma</w:t>
      </w:r>
      <w:r>
        <w:rPr>
          <w:sz w:val="20"/>
          <w:szCs w:val="20"/>
        </w:rPr>
        <w:t>rket data exists, therefore requiring an entity to develop its own assumptions, such as valuations derived from valuation techniques in which one or more significant inputs or significant value drivers are unobservable.</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The </w:t>
      </w:r>
      <w:r>
        <w:rPr>
          <w:sz w:val="20"/>
          <w:szCs w:val="20"/>
        </w:rPr>
        <w:t>Company measures certain financial instruments including options and warrants issued during the period at fair value on a recurring basis.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Fixed Asset</w:t>
      </w:r>
      <w:r>
        <w:rPr>
          <w:b/>
          <w:bCs/>
          <w:sz w:val="20"/>
          <w:szCs w:val="20"/>
        </w:rPr>
        <w: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Fixed assets are carried at the lower of cost or net realizable value. Production equipment with a c</w:t>
      </w:r>
      <w:r>
        <w:rPr>
          <w:sz w:val="20"/>
          <w:szCs w:val="20"/>
        </w:rPr>
        <w:t xml:space="preserve">ost of </w:t>
      </w:r>
      <w:r>
        <w:rPr>
          <w:sz w:val="20"/>
          <w:szCs w:val="20"/>
        </w:rPr>
        <w:t>$</w:t>
      </w:r>
      <w:r>
        <w:rPr>
          <w:sz w:val="20"/>
          <w:szCs w:val="20"/>
        </w:rPr>
        <w:t>2,50</w:t>
      </w:r>
      <w:r>
        <w:rPr>
          <w:sz w:val="20"/>
          <w:szCs w:val="20"/>
        </w:rPr>
        <w:t>0</w:t>
      </w:r>
      <w:r>
        <w:rPr>
          <w:sz w:val="20"/>
          <w:szCs w:val="20"/>
        </w:rPr>
        <w:t xml:space="preserve"> or greater and other fixed assets with a cost of </w:t>
      </w:r>
      <w:r>
        <w:rPr>
          <w:sz w:val="20"/>
          <w:szCs w:val="20"/>
        </w:rPr>
        <w:t>$</w:t>
      </w:r>
      <w:r>
        <w:rPr>
          <w:sz w:val="20"/>
          <w:szCs w:val="20"/>
        </w:rPr>
        <w:t>1,50</w:t>
      </w:r>
      <w:r>
        <w:rPr>
          <w:sz w:val="20"/>
          <w:szCs w:val="20"/>
        </w:rPr>
        <w:t>0</w:t>
      </w:r>
      <w:r>
        <w:rPr>
          <w:sz w:val="20"/>
          <w:szCs w:val="20"/>
        </w:rPr>
        <w:t xml:space="preserve"> or greater are capitalized. Major betterments that extend the useful lives of assets are also capitalized. Normal maintenance and repairs are charged to expense as incurred. When assets </w:t>
      </w:r>
      <w:r>
        <w:rPr>
          <w:sz w:val="20"/>
          <w:szCs w:val="20"/>
        </w:rPr>
        <w:t>are sold or otherwise disposed of, the cost and accumulated depreciation are removed from the accounts and any resulting gain or loss is recognized in operations.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Depreciation is computed using the straight-line method over the following estimated useful</w:t>
      </w:r>
      <w:r>
        <w:rPr>
          <w:sz w:val="20"/>
          <w:szCs w:val="20"/>
        </w:rPr>
        <w:t xml:space="preserve"> lives:</w:t>
      </w:r>
    </w:p>
    <w:p w:rsidR="00000000" w:rsidRDefault="00DA7678">
      <w:pPr>
        <w:pStyle w:val="a3"/>
        <w:spacing w:before="0" w:beforeAutospacing="0" w:after="0" w:afterAutospacing="0"/>
        <w:jc w:val="both"/>
        <w:rPr>
          <w:sz w:val="20"/>
          <w:szCs w:val="20"/>
        </w:rPr>
      </w:pPr>
      <w:r>
        <w:rPr>
          <w:vanish/>
          <w:sz w:val="20"/>
          <w:szCs w:val="20"/>
        </w:rPr>
        <w:t>SCHEDULE OF DEPRECIATION ESTIMATED USEFUL LIF</w:t>
      </w:r>
      <w:r>
        <w:rPr>
          <w:vanish/>
          <w:sz w:val="20"/>
          <w:szCs w:val="20"/>
        </w:rPr>
        <w:t>E</w:t>
      </w:r>
    </w:p>
    <w:tbl>
      <w:tblPr>
        <w:tblW w:w="3500" w:type="pct"/>
        <w:tblCellMar>
          <w:left w:w="0" w:type="dxa"/>
          <w:right w:w="0" w:type="dxa"/>
        </w:tblCellMar>
        <w:tblLook w:val="04A0" w:firstRow="1" w:lastRow="0" w:firstColumn="1" w:lastColumn="0" w:noHBand="0" w:noVBand="1"/>
      </w:tblPr>
      <w:tblGrid>
        <w:gridCol w:w="4535"/>
        <w:gridCol w:w="116"/>
        <w:gridCol w:w="1163"/>
      </w:tblGrid>
      <w:tr w:rsidR="00000000">
        <w:tc>
          <w:tcPr>
            <w:tcW w:w="3900" w:type="pct"/>
            <w:shd w:val="clear" w:color="auto" w:fill="CCEEFF"/>
            <w:vAlign w:val="bottom"/>
            <w:hideMark/>
          </w:tcPr>
          <w:p w:rsidR="00000000" w:rsidRDefault="00DA7678">
            <w:pPr>
              <w:rPr>
                <w:rFonts w:eastAsia="Times New Roman"/>
                <w:sz w:val="20"/>
                <w:szCs w:val="20"/>
              </w:rPr>
            </w:pPr>
            <w:r>
              <w:rPr>
                <w:rFonts w:eastAsia="Times New Roman"/>
                <w:sz w:val="20"/>
                <w:szCs w:val="20"/>
              </w:rPr>
              <w:t>Production equipment:</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100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3</w:t>
            </w:r>
            <w:r>
              <w:rPr>
                <w:rFonts w:eastAsia="Times New Roman"/>
                <w:sz w:val="20"/>
                <w:szCs w:val="20"/>
              </w:rPr>
              <w:t xml:space="preserve"> to</w:t>
            </w:r>
            <w:r>
              <w:rPr>
                <w:rFonts w:eastAsia="Times New Roman"/>
                <w:sz w:val="20"/>
                <w:szCs w:val="20"/>
              </w:rPr>
              <w:t xml:space="preserve"> </w:t>
            </w:r>
            <w:r>
              <w:rPr>
                <w:rFonts w:eastAsia="Times New Roman"/>
                <w:sz w:val="20"/>
                <w:szCs w:val="20"/>
              </w:rPr>
              <w:t>7</w:t>
            </w:r>
            <w:r>
              <w:rPr>
                <w:rFonts w:eastAsia="Times New Roman"/>
                <w:sz w:val="20"/>
                <w:szCs w:val="20"/>
              </w:rPr>
              <w:t xml:space="preserve"> years</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Office equipment:</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2</w:t>
            </w:r>
            <w:r>
              <w:rPr>
                <w:rFonts w:eastAsia="Times New Roman"/>
                <w:sz w:val="20"/>
                <w:szCs w:val="20"/>
              </w:rPr>
              <w:t xml:space="preserve"> to</w:t>
            </w:r>
            <w:r>
              <w:rPr>
                <w:rFonts w:eastAsia="Times New Roman"/>
                <w:sz w:val="20"/>
                <w:szCs w:val="20"/>
              </w:rPr>
              <w:t xml:space="preserve"> </w:t>
            </w:r>
            <w:r>
              <w:rPr>
                <w:rFonts w:eastAsia="Times New Roman"/>
                <w:sz w:val="20"/>
                <w:szCs w:val="20"/>
              </w:rPr>
              <w:t>5</w:t>
            </w:r>
            <w:r>
              <w:rPr>
                <w:rFonts w:eastAsia="Times New Roman"/>
                <w:sz w:val="20"/>
                <w:szCs w:val="20"/>
              </w:rPr>
              <w:t xml:space="preserve"> years</w:t>
            </w:r>
          </w:p>
        </w:tc>
      </w:tr>
      <w:tr w:rsidR="00000000">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Furniture and fixtures:</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2</w:t>
            </w:r>
            <w:r>
              <w:rPr>
                <w:rFonts w:eastAsia="Times New Roman"/>
                <w:sz w:val="20"/>
                <w:szCs w:val="20"/>
              </w:rPr>
              <w:t xml:space="preserve"> to</w:t>
            </w:r>
            <w:r>
              <w:rPr>
                <w:rFonts w:eastAsia="Times New Roman"/>
                <w:sz w:val="20"/>
                <w:szCs w:val="20"/>
              </w:rPr>
              <w:t xml:space="preserve"> </w:t>
            </w:r>
            <w:r>
              <w:rPr>
                <w:rFonts w:eastAsia="Times New Roman"/>
                <w:sz w:val="20"/>
                <w:szCs w:val="20"/>
              </w:rPr>
              <w:t>5</w:t>
            </w:r>
            <w:r>
              <w:rPr>
                <w:rFonts w:eastAsia="Times New Roman"/>
                <w:sz w:val="20"/>
                <w:szCs w:val="20"/>
              </w:rPr>
              <w:t xml:space="preserve"> years</w:t>
            </w:r>
          </w:p>
        </w:tc>
      </w:tr>
    </w:tbl>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Leasehold </w:t>
      </w:r>
      <w:r>
        <w:rPr>
          <w:sz w:val="20"/>
          <w:szCs w:val="20"/>
        </w:rPr>
        <w:t>improvements and capital lease assets are amortized over the shorter of the life of the lease or the estimated life of the asset.</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Management of the Company reviews the net carrying value of all of its equipment on an asset by asset basis whenever events </w:t>
      </w:r>
      <w:r>
        <w:rPr>
          <w:sz w:val="20"/>
          <w:szCs w:val="20"/>
        </w:rPr>
        <w:t>or changes in circumstances indicate that its carrying amount may not be recoverable. These reviews consider the net realizable value of each asset, as measured in accordance with the preceding paragraph, to determine whether impairment in value has occurr</w:t>
      </w:r>
      <w:r>
        <w:rPr>
          <w:sz w:val="20"/>
          <w:szCs w:val="20"/>
        </w:rPr>
        <w:t>ed, and the need for any asset impairment write-down.</w:t>
      </w:r>
    </w:p>
    <w:p w:rsidR="00000000" w:rsidRDefault="00DA767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08778391"/>
        </w:trPr>
        <w:tc>
          <w:tcPr>
            <w:tcW w:w="5000" w:type="pct"/>
            <w:hideMark/>
          </w:tcPr>
          <w:p w:rsidR="00000000" w:rsidRDefault="00DA767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License Fee</w:t>
      </w:r>
      <w:r>
        <w:rPr>
          <w:b/>
          <w:bCs/>
          <w:sz w:val="20"/>
          <w:szCs w:val="20"/>
        </w:rPr>
        <w: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License fees are stated at cost, less accumulated amortization. Amortization of license fees is computed using the straight-line method over the estimated economic useful li</w:t>
      </w:r>
      <w:r>
        <w:rPr>
          <w:sz w:val="20"/>
          <w:szCs w:val="20"/>
        </w:rPr>
        <w:t>fe of the assets. The Battelle Memorial Institute licensing contract is completed.</w:t>
      </w:r>
    </w:p>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Patents and Intellectual Propert</w:t>
      </w:r>
      <w:r>
        <w:rPr>
          <w:b/>
          <w:bCs/>
          <w:sz w:val="20"/>
          <w:szCs w:val="20"/>
        </w:rPr>
        <w:t>y</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While </w:t>
      </w:r>
      <w:r>
        <w:rPr>
          <w:sz w:val="20"/>
          <w:szCs w:val="20"/>
        </w:rPr>
        <w:t>patents are being developed or pending, they are not being amortized. Management has determined that the economic life of the patents to be ten years and amortization, over such</w:t>
      </w:r>
      <w:r>
        <w:rPr>
          <w:sz w:val="20"/>
          <w:szCs w:val="20"/>
        </w:rPr>
        <w:t xml:space="preserve"> </w:t>
      </w:r>
      <w:r>
        <w:rPr>
          <w:sz w:val="20"/>
          <w:szCs w:val="20"/>
        </w:rPr>
        <w:t>1</w:t>
      </w:r>
      <w:r>
        <w:rPr>
          <w:sz w:val="20"/>
          <w:szCs w:val="20"/>
        </w:rPr>
        <w:t>0</w:t>
      </w:r>
      <w:r>
        <w:rPr>
          <w:sz w:val="20"/>
          <w:szCs w:val="20"/>
        </w:rPr>
        <w:t>-year period and on a straight-line basis will begin once the patents have b</w:t>
      </w:r>
      <w:r>
        <w:rPr>
          <w:sz w:val="20"/>
          <w:szCs w:val="20"/>
        </w:rPr>
        <w:t>een issued and the Company begins utilization of the patents through production and sales, resulting in revenues.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The Company evaluates the recoverability of intangible assets, including patents and intellectual property on a continual basis. Several fac</w:t>
      </w:r>
      <w:r>
        <w:rPr>
          <w:sz w:val="20"/>
          <w:szCs w:val="20"/>
        </w:rPr>
        <w:t>tors are used to evaluate intangibles, including, but not limited to, management’s plans for future operations, recent operating results and projected and expected undiscounted future cash flows.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There have been no such capitalized costs in the years end</w:t>
      </w:r>
      <w:r>
        <w:rPr>
          <w:sz w:val="20"/>
          <w:szCs w:val="20"/>
        </w:rPr>
        <w:t>ed December 31, 2022 and 2021, respectively. However, a patent was filed on July 1, 2019 (No. 1811.191) filed by Michael Korenko and David Swanberg and assigned to the Company based on the Company’s proprietary particle manufacturing process. The timing of</w:t>
      </w:r>
      <w:r>
        <w:rPr>
          <w:sz w:val="20"/>
          <w:szCs w:val="20"/>
        </w:rPr>
        <w:t xml:space="preserve"> this filing was important given the Company’s plans to make IsoPet</w:t>
      </w:r>
      <w:r>
        <w:rPr>
          <w:sz w:val="20"/>
          <w:szCs w:val="20"/>
          <w:vertAlign w:val="superscript"/>
        </w:rPr>
        <w:t>®</w:t>
      </w:r>
      <w:r>
        <w:rPr>
          <w:sz w:val="20"/>
          <w:szCs w:val="20"/>
        </w:rPr>
        <w:t xml:space="preserve"> commercially available, which it did on or about July 9, 2019. This additional patent protection will strengthen the Company’s competitive position. It is the Company’s intention to furth</w:t>
      </w:r>
      <w:r>
        <w:rPr>
          <w:sz w:val="20"/>
          <w:szCs w:val="20"/>
        </w:rPr>
        <w:t>er extend this patent protection to several key countries within one year, as permitted under international patent laws and treaties.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Revenue Recognitio</w:t>
      </w:r>
      <w:r>
        <w:rPr>
          <w:b/>
          <w:bCs/>
          <w:sz w:val="20"/>
          <w:szCs w:val="20"/>
        </w:rPr>
        <w:t>n</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In May 2014, the Financial Accounting Standards Board (“F</w:t>
      </w:r>
      <w:r>
        <w:rPr>
          <w:i/>
          <w:iCs/>
          <w:sz w:val="20"/>
          <w:szCs w:val="20"/>
        </w:rPr>
        <w:t>ASB</w:t>
      </w:r>
      <w:r>
        <w:rPr>
          <w:sz w:val="20"/>
          <w:szCs w:val="20"/>
        </w:rPr>
        <w:t>”) issued Accounting Standard Update (</w:t>
      </w:r>
      <w:r>
        <w:rPr>
          <w:sz w:val="20"/>
          <w:szCs w:val="20"/>
        </w:rPr>
        <w:t>“</w:t>
      </w:r>
      <w:r>
        <w:rPr>
          <w:i/>
          <w:iCs/>
          <w:sz w:val="20"/>
          <w:szCs w:val="20"/>
        </w:rPr>
        <w:t>ASU</w:t>
      </w:r>
      <w:r>
        <w:rPr>
          <w:sz w:val="20"/>
          <w:szCs w:val="20"/>
        </w:rPr>
        <w:t>”) No. 2014-09, Revenue from Contracts with Customers (Topic 606). This standard provides a single set of guidelines for revenue recognition to be used across all industries and requires additional disclosures. The updated guidance introduces a five-st</w:t>
      </w:r>
      <w:r>
        <w:rPr>
          <w:sz w:val="20"/>
          <w:szCs w:val="20"/>
        </w:rPr>
        <w:t>ep model to achieve its core principal of the entity recognizing revenue to depict the transfer of goods or services to customers at an amount that reflects the consideration to which the entity expects to be entitled in exchange for those goods or service</w:t>
      </w:r>
      <w:r>
        <w:rPr>
          <w:sz w:val="20"/>
          <w:szCs w:val="20"/>
        </w:rPr>
        <w:t>s. The Company adopted the updated guidance effective January 1, 2018 using the full retrospective method.</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Under ASC 606, in order to recognize revenue, the Company is required to identify an approved contract with commitments to preform respective oblig</w:t>
      </w:r>
      <w:r>
        <w:rPr>
          <w:sz w:val="20"/>
          <w:szCs w:val="20"/>
        </w:rPr>
        <w:t>ations, identify rights of each party in the transaction regarding goods to be transferred, identify the payment terms for the goods transferred, verify that the contract has commercial substance and verify that collection of substantially all consideratio</w:t>
      </w:r>
      <w:r>
        <w:rPr>
          <w:sz w:val="20"/>
          <w:szCs w:val="20"/>
        </w:rPr>
        <w:t>n is probable. The adoption of ASC 606 did not have an impact on the Company’s operations or cash flows.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The Company recognized revenue as they (i) identified the contracts with each customer; (ii) identified the performance obligation in each contract; </w:t>
      </w:r>
      <w:r>
        <w:rPr>
          <w:sz w:val="20"/>
          <w:szCs w:val="20"/>
        </w:rPr>
        <w:t xml:space="preserve">(iii) determined the transaction price in each contract; (iv) were able to allocate the transaction price to the performance obligations in the contract; and (v) recognized revenue upon the satisfaction of the performance obligation. Upon the sales of the </w:t>
      </w:r>
      <w:r>
        <w:rPr>
          <w:sz w:val="20"/>
          <w:szCs w:val="20"/>
        </w:rPr>
        <w:t>product to complete the procedures on the animals, the Company recognized revenue as that was considered the performance obligation.</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All revenue recognized in the years ended December 31, 2022 and 2021 relate to consulting income with respect to the IsoP</w:t>
      </w:r>
      <w:r>
        <w:rPr>
          <w:sz w:val="20"/>
          <w:szCs w:val="20"/>
        </w:rPr>
        <w:t>et</w:t>
      </w:r>
      <w:r>
        <w:rPr>
          <w:sz w:val="20"/>
          <w:szCs w:val="20"/>
          <w:vertAlign w:val="superscript"/>
        </w:rPr>
        <w:t xml:space="preserve">® </w:t>
      </w:r>
      <w:r>
        <w:rPr>
          <w:sz w:val="20"/>
          <w:szCs w:val="20"/>
        </w:rPr>
        <w:t>therapies.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Loss Per Shar</w:t>
      </w:r>
      <w:r>
        <w:rPr>
          <w:b/>
          <w:bCs/>
          <w:sz w:val="20"/>
          <w:szCs w:val="20"/>
        </w:rPr>
        <w:t>e</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The Company accounts for its loss per common share by replacing primary and fully diluted earnings per share with basic and diluted earnings per share. Basic loss per share is computed by dividing loss available to common </w:t>
      </w:r>
      <w:r>
        <w:rPr>
          <w:sz w:val="20"/>
          <w:szCs w:val="20"/>
        </w:rPr>
        <w:t>stockholders (the numerator) by the weighted-average number of common shares outstanding (the denominator) for the period, and does not include the impact of any potentially dilutive common stock equivalents since the impact would be anti-dilutive. The com</w:t>
      </w:r>
      <w:r>
        <w:rPr>
          <w:sz w:val="20"/>
          <w:szCs w:val="20"/>
        </w:rPr>
        <w:t>putation of diluted earnings per share is similar to basic earnings per share, except that the denominator is increased to include the number of additional common shares that would have been outstanding if potentially dilutive common shares had been issued</w:t>
      </w:r>
      <w:r>
        <w:rPr>
          <w:sz w:val="20"/>
          <w:szCs w:val="20"/>
        </w:rPr>
        <w:t>. For the given periods of loss, of the periods ended in the years ended December 31, 2022 and 2021, the basic earnings per share equals the diluted earnings per share.</w:t>
      </w:r>
    </w:p>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109428623"/>
        </w:trPr>
        <w:tc>
          <w:tcPr>
            <w:tcW w:w="5000" w:type="pct"/>
            <w:hideMark/>
          </w:tcPr>
          <w:p w:rsidR="00000000" w:rsidRDefault="00DA767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The </w:t>
      </w:r>
      <w:r>
        <w:rPr>
          <w:sz w:val="20"/>
          <w:szCs w:val="20"/>
        </w:rPr>
        <w:t>following represent common stock equivalents that could be dilutive in the future as of December 31, 2022 and December 31, 2021, which include the following:</w:t>
      </w:r>
    </w:p>
    <w:p w:rsidR="00000000" w:rsidRDefault="00DA7678">
      <w:pPr>
        <w:pStyle w:val="a3"/>
        <w:spacing w:before="0" w:beforeAutospacing="0" w:after="0" w:afterAutospacing="0"/>
        <w:jc w:val="both"/>
        <w:rPr>
          <w:sz w:val="20"/>
          <w:szCs w:val="20"/>
        </w:rPr>
      </w:pPr>
      <w:r>
        <w:rPr>
          <w:vanish/>
          <w:sz w:val="20"/>
          <w:szCs w:val="20"/>
        </w:rPr>
        <w:t>SCHEDULE OF DILUTIVE EARNINGS PER SHAR</w:t>
      </w:r>
      <w:r>
        <w:rPr>
          <w:vanish/>
          <w:sz w:val="20"/>
          <w:szCs w:val="20"/>
        </w:rPr>
        <w:t>E</w:t>
      </w:r>
    </w:p>
    <w:tbl>
      <w:tblPr>
        <w:tblW w:w="5000" w:type="pct"/>
        <w:tblCellMar>
          <w:left w:w="0" w:type="dxa"/>
          <w:right w:w="0" w:type="dxa"/>
        </w:tblCellMar>
        <w:tblLook w:val="04A0" w:firstRow="1" w:lastRow="0" w:firstColumn="1" w:lastColumn="0" w:noHBand="0" w:noVBand="1"/>
      </w:tblPr>
      <w:tblGrid>
        <w:gridCol w:w="5150"/>
        <w:gridCol w:w="166"/>
        <w:gridCol w:w="83"/>
        <w:gridCol w:w="1246"/>
        <w:gridCol w:w="83"/>
        <w:gridCol w:w="166"/>
        <w:gridCol w:w="83"/>
        <w:gridCol w:w="1246"/>
        <w:gridCol w:w="83"/>
      </w:tblGrid>
      <w:tr w:rsidR="00000000">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December 31, 2022</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December 31, 2021</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3100" w:type="pct"/>
            <w:shd w:val="clear" w:color="auto" w:fill="CCEEFF"/>
            <w:vAlign w:val="bottom"/>
            <w:hideMark/>
          </w:tcPr>
          <w:p w:rsidR="00000000" w:rsidRDefault="00DA7678">
            <w:pPr>
              <w:rPr>
                <w:rFonts w:eastAsia="Times New Roman"/>
                <w:sz w:val="20"/>
                <w:szCs w:val="20"/>
              </w:rPr>
            </w:pPr>
            <w:r>
              <w:rPr>
                <w:rFonts w:eastAsia="Times New Roman"/>
                <w:sz w:val="20"/>
                <w:szCs w:val="20"/>
              </w:rPr>
              <w:t>Preferred</w:t>
            </w:r>
            <w:r>
              <w:rPr>
                <w:rFonts w:eastAsia="Times New Roman"/>
                <w:sz w:val="20"/>
                <w:szCs w:val="20"/>
              </w:rPr>
              <w:t xml:space="preserve"> stock</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9,909,570</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9,909,570</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Restricted stock units</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25,862,500</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25,262,500</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Common stock options</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2,252,809</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2,252,809</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Common stock warrants</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26,737,500</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31,862,500</w:t>
            </w:r>
          </w:p>
        </w:tc>
        <w:tc>
          <w:tcPr>
            <w:tcW w:w="0" w:type="auto"/>
            <w:shd w:val="clear" w:color="auto" w:fill="FFFF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Total potential dilutive securities</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64,762,379</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69,287,379</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Research and Development Cost</w:t>
      </w:r>
      <w:r>
        <w:rPr>
          <w:b/>
          <w:bCs/>
          <w:sz w:val="20"/>
          <w:szCs w:val="20"/>
        </w:rPr>
        <w: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Research </w:t>
      </w:r>
      <w:r>
        <w:rPr>
          <w:sz w:val="20"/>
          <w:szCs w:val="20"/>
        </w:rPr>
        <w:t xml:space="preserve">and developments costs, including salaries, research materials, administrative expenses and contractor fees, are charged to operations as incurred. The cost of equipment used in research and development activities which has alternative uses is capitalized </w:t>
      </w:r>
      <w:r>
        <w:rPr>
          <w:sz w:val="20"/>
          <w:szCs w:val="20"/>
        </w:rPr>
        <w:t>as part of fixed assets and not treated as an expense in the period acquired. Depreciation of capitalized equipment used to perform research and development is classified as research and development expense in the year computed.</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The Company incurred </w:t>
      </w:r>
      <w:r>
        <w:rPr>
          <w:sz w:val="20"/>
          <w:szCs w:val="20"/>
        </w:rPr>
        <w:t>$</w:t>
      </w:r>
      <w:r>
        <w:rPr>
          <w:sz w:val="20"/>
          <w:szCs w:val="20"/>
        </w:rPr>
        <w:t>343</w:t>
      </w:r>
      <w:r>
        <w:rPr>
          <w:sz w:val="20"/>
          <w:szCs w:val="20"/>
        </w:rPr>
        <w:t>,80</w:t>
      </w:r>
      <w:r>
        <w:rPr>
          <w:sz w:val="20"/>
          <w:szCs w:val="20"/>
        </w:rPr>
        <w:t>2</w:t>
      </w:r>
      <w:r>
        <w:rPr>
          <w:sz w:val="20"/>
          <w:szCs w:val="20"/>
        </w:rPr>
        <w:t xml:space="preserve"> and </w:t>
      </w:r>
      <w:r>
        <w:rPr>
          <w:sz w:val="20"/>
          <w:szCs w:val="20"/>
        </w:rPr>
        <w:t>$</w:t>
      </w:r>
      <w:r>
        <w:rPr>
          <w:sz w:val="20"/>
          <w:szCs w:val="20"/>
        </w:rPr>
        <w:t>286,84</w:t>
      </w:r>
      <w:r>
        <w:rPr>
          <w:sz w:val="20"/>
          <w:szCs w:val="20"/>
        </w:rPr>
        <w:t>8</w:t>
      </w:r>
      <w:r>
        <w:rPr>
          <w:sz w:val="20"/>
          <w:szCs w:val="20"/>
        </w:rPr>
        <w:t xml:space="preserve"> in research and development costs for the years ended December 31, 2022 and 2021, respectively, all of which were recorded in the Company’s operating expenses noted on the statements of operations for the periods then ended.</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Advertising</w:t>
      </w:r>
      <w:r>
        <w:rPr>
          <w:b/>
          <w:bCs/>
          <w:sz w:val="20"/>
          <w:szCs w:val="20"/>
        </w:rPr>
        <w:t xml:space="preserve"> and Marketing Cost</w:t>
      </w:r>
      <w:r>
        <w:rPr>
          <w:b/>
          <w:bCs/>
          <w:sz w:val="20"/>
          <w:szCs w:val="20"/>
        </w:rPr>
        <w: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Advertising and marketing costs are expensed as incurred except for the cost of tradeshows which are deferred until the tradeshow occurs. During the years ended December 31, 2022 and 2021, the Company incurred nominal advertising and</w:t>
      </w:r>
      <w:r>
        <w:rPr>
          <w:sz w:val="20"/>
          <w:szCs w:val="20"/>
        </w:rPr>
        <w:t xml:space="preserve"> marketing costs.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Contingencie</w:t>
      </w:r>
      <w:r>
        <w:rPr>
          <w:b/>
          <w:bCs/>
          <w:sz w:val="20"/>
          <w:szCs w:val="20"/>
        </w:rPr>
        <w: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In the ordinary course of business, the Company is involved in legal proceedings involving contractual and employment relationships, product liability claims, patent rights, and a variety of other matters. The Company re</w:t>
      </w:r>
      <w:r>
        <w:rPr>
          <w:sz w:val="20"/>
          <w:szCs w:val="20"/>
        </w:rPr>
        <w:t>cords contingent liabilities resulting from asserted and unasserted claims against it, when it is probable that a liability has been incurred and the amount of the loss is reasonably estimable. The Company discloses contingent liabilities when there is a r</w:t>
      </w:r>
      <w:r>
        <w:rPr>
          <w:sz w:val="20"/>
          <w:szCs w:val="20"/>
        </w:rPr>
        <w:t>easonable possibility that the ultimate loss will exceed the recorded liability. Estimated probable losses require analysis of multiple factors, in some cases including judgments about the potential actions of third-party claimants and courts. Therefore, a</w:t>
      </w:r>
      <w:r>
        <w:rPr>
          <w:sz w:val="20"/>
          <w:szCs w:val="20"/>
        </w:rPr>
        <w:t>ctual losses in any future period are inherently uncertain. The Company has entered into various agreements that require them to pay certain fees to consultants and/or employees that have been fully accrued for as of December 31, 2022 and 2021.</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Income Ta</w:t>
      </w:r>
      <w:r>
        <w:rPr>
          <w:b/>
          <w:bCs/>
          <w:sz w:val="20"/>
          <w:szCs w:val="20"/>
        </w:rPr>
        <w:t>xe</w:t>
      </w:r>
      <w:r>
        <w:rPr>
          <w:b/>
          <w:bCs/>
          <w:sz w:val="20"/>
          <w:szCs w:val="20"/>
        </w:rPr>
        <w: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To </w:t>
      </w:r>
      <w:r>
        <w:rPr>
          <w:sz w:val="20"/>
          <w:szCs w:val="20"/>
        </w:rPr>
        <w:t>address accounting for uncertainty in tax positions, the Company clarifies the accounting for income taxes by prescribing a minimum recognition threshold that a tax position is required to meet before being recognized in the financial statements. The Compa</w:t>
      </w:r>
      <w:r>
        <w:rPr>
          <w:sz w:val="20"/>
          <w:szCs w:val="20"/>
        </w:rPr>
        <w:t>ny also provides guidance on de-recognition, measurement, classification, interest, and penalties, accounting in interim periods, disclosure and transition.</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The Company files income tax returns in the U.S. federal jurisdiction. The Company did</w:t>
      </w:r>
      <w:r>
        <w:rPr>
          <w:sz w:val="20"/>
          <w:szCs w:val="20"/>
        </w:rPr>
        <w:t xml:space="preserve"> </w:t>
      </w:r>
      <w:r>
        <w:rPr>
          <w:sz w:val="20"/>
          <w:szCs w:val="20"/>
        </w:rPr>
        <w:t>n</w:t>
      </w:r>
      <w:r>
        <w:rPr>
          <w:sz w:val="20"/>
          <w:szCs w:val="20"/>
        </w:rPr>
        <w:t>o</w:t>
      </w:r>
      <w:r>
        <w:rPr>
          <w:sz w:val="20"/>
          <w:szCs w:val="20"/>
        </w:rPr>
        <w:t>t have a</w:t>
      </w:r>
      <w:r>
        <w:rPr>
          <w:sz w:val="20"/>
          <w:szCs w:val="20"/>
        </w:rPr>
        <w:t>ny tax expense for the years ended December 31, 2022 and 2021. The Company did</w:t>
      </w:r>
      <w:r>
        <w:rPr>
          <w:sz w:val="20"/>
          <w:szCs w:val="20"/>
        </w:rPr>
        <w:t xml:space="preserve"> </w:t>
      </w:r>
      <w:r>
        <w:rPr>
          <w:sz w:val="20"/>
          <w:szCs w:val="20"/>
        </w:rPr>
        <w:t>n</w:t>
      </w:r>
      <w:r>
        <w:rPr>
          <w:sz w:val="20"/>
          <w:szCs w:val="20"/>
        </w:rPr>
        <w:t>o</w:t>
      </w:r>
      <w:r>
        <w:rPr>
          <w:sz w:val="20"/>
          <w:szCs w:val="20"/>
        </w:rPr>
        <w:t>t have any deferred tax liability or asset on its balance sheets on December 31, 2022 and 2021.</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Interest costs and penalties related to income taxes, if any, will be classif</w:t>
      </w:r>
      <w:r>
        <w:rPr>
          <w:sz w:val="20"/>
          <w:szCs w:val="20"/>
        </w:rPr>
        <w:t>ied as interest expense and general and administrative costs, respectively, in the Company’s financial statements. For the years ended December 31, 2022 and 2021, the Company did not recognize any interest or penalty expense related to income taxes</w:t>
      </w:r>
      <w:r>
        <w:rPr>
          <w:sz w:val="20"/>
          <w:szCs w:val="20"/>
        </w:rPr>
        <w:t>.</w:t>
      </w:r>
      <w:r>
        <w:rPr>
          <w:sz w:val="20"/>
          <w:szCs w:val="20"/>
        </w:rPr>
        <w:t xml:space="preserve"> The Co</w:t>
      </w:r>
      <w:r>
        <w:rPr>
          <w:sz w:val="20"/>
          <w:szCs w:val="20"/>
        </w:rPr>
        <w:t>mpany believes that it is not reasonably possible for the amounts of unrecognized tax benefits to significantly increase or decrease within the next twelve month</w:t>
      </w:r>
      <w:r>
        <w:rPr>
          <w:sz w:val="20"/>
          <w:szCs w:val="20"/>
        </w:rPr>
        <w:t>s</w:t>
      </w:r>
      <w:r>
        <w:rPr>
          <w:sz w:val="20"/>
          <w:szCs w:val="20"/>
        </w:rPr>
        <w:t>.</w:t>
      </w:r>
    </w:p>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20648221"/>
        </w:trPr>
        <w:tc>
          <w:tcPr>
            <w:tcW w:w="5000" w:type="pct"/>
            <w:hideMark/>
          </w:tcPr>
          <w:p w:rsidR="00000000" w:rsidRDefault="00DA767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Stock-Based Compensatio</w:t>
      </w:r>
      <w:r>
        <w:rPr>
          <w:b/>
          <w:bCs/>
          <w:sz w:val="20"/>
          <w:szCs w:val="20"/>
        </w:rPr>
        <w:t>n</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The Company recognizes compensation costs under FAS</w:t>
      </w:r>
      <w:r>
        <w:rPr>
          <w:sz w:val="20"/>
          <w:szCs w:val="20"/>
        </w:rPr>
        <w:t>B ASC Topic 718, Compensation – Stock Compensation and ASU 2018-07. Companies are required to measure the compensation costs of share-based compensation arrangements based on the grant-date fair value and recognize the costs in the financial statements ove</w:t>
      </w:r>
      <w:r>
        <w:rPr>
          <w:sz w:val="20"/>
          <w:szCs w:val="20"/>
        </w:rPr>
        <w:t>r the period during which employees are required to provide services. Share based compensation arrangements include stock options, restricted share plans, performance-based awards, share appreciation rights and employee share purchase plans. As such, compe</w:t>
      </w:r>
      <w:r>
        <w:rPr>
          <w:sz w:val="20"/>
          <w:szCs w:val="20"/>
        </w:rPr>
        <w:t>nsation cost is measured on the date of grant at their fair value. Such compensation amounts, if any, are amortized over the respective vesting periods of the option grant.</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Recent Accounting Pronouncement</w:t>
      </w:r>
      <w:r>
        <w:rPr>
          <w:b/>
          <w:bCs/>
          <w:sz w:val="20"/>
          <w:szCs w:val="20"/>
        </w:rPr>
        <w: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In </w:t>
      </w:r>
      <w:r>
        <w:rPr>
          <w:sz w:val="20"/>
          <w:szCs w:val="20"/>
        </w:rPr>
        <w:t>August, the Financial Accounting Standards Board (“FASB”) issued Accounting Standards Update (“ASU”) No. 2020-06, Debt with Conversion and Other Options (Subtopic 470-20) and Derivatives and Hedging-Contracts in Entity’s Own Equity (Subtopic 815-40), Accou</w:t>
      </w:r>
      <w:r>
        <w:rPr>
          <w:sz w:val="20"/>
          <w:szCs w:val="20"/>
        </w:rPr>
        <w:t>nting for Convertible Instruments and Contract’s in an Entity’s Own Equity. The ASU simplifies accounting for convertible instruments by removing major separation models required under current GAAP. Consequently, more convertible debt instruments will be r</w:t>
      </w:r>
      <w:r>
        <w:rPr>
          <w:sz w:val="20"/>
          <w:szCs w:val="20"/>
        </w:rPr>
        <w:t>eported as a single liability instrument with no separate accounting for embedded conversion features. The ASU removes certain settlement conditions that are required for equity contracts to qualify for the derivative scope exception, which will permit mor</w:t>
      </w:r>
      <w:r>
        <w:rPr>
          <w:sz w:val="20"/>
          <w:szCs w:val="20"/>
        </w:rPr>
        <w:t xml:space="preserve">e equity contracts to qualify for it. The ASU simplifies the diluted net income per share calculation in certain areas. The ASU is effective for annual and interim periods beginning after December 31, 2021, and early adoption is permitted for fiscal years </w:t>
      </w:r>
      <w:r>
        <w:rPr>
          <w:sz w:val="20"/>
          <w:szCs w:val="20"/>
        </w:rPr>
        <w:t>beginning after December 15, 2020, and interim periods within those fiscal years. The Company has determined that this pronouncement does not have a material impact on its financial statements.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The Company does not discuss recent pronouncements that are </w:t>
      </w:r>
      <w:r>
        <w:rPr>
          <w:sz w:val="20"/>
          <w:szCs w:val="20"/>
        </w:rPr>
        <w:t>not anticipated to have an impact on or are unrelated to its financial condition, results of operations, cash flows or disclosures.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NOTE 2:</w:t>
      </w:r>
      <w:r>
        <w:rPr>
          <w:b/>
          <w:bCs/>
          <w:sz w:val="20"/>
          <w:szCs w:val="20"/>
        </w:rPr>
        <w:t xml:space="preserve"> </w:t>
      </w:r>
      <w:r>
        <w:rPr>
          <w:b/>
          <w:bCs/>
          <w:sz w:val="20"/>
          <w:szCs w:val="20"/>
        </w:rPr>
        <w:t>RELATED PARTY TRANSACTION</w:t>
      </w:r>
      <w:r>
        <w:rPr>
          <w:b/>
          <w:bCs/>
          <w:sz w:val="20"/>
          <w:szCs w:val="20"/>
        </w:rPr>
        <w:t>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Related Party Notes Payable</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The </w:t>
      </w:r>
      <w:r>
        <w:rPr>
          <w:sz w:val="20"/>
          <w:szCs w:val="20"/>
        </w:rPr>
        <w:t>$</w:t>
      </w:r>
      <w:r>
        <w:rPr>
          <w:sz w:val="20"/>
          <w:szCs w:val="20"/>
        </w:rPr>
        <w:t>237,00</w:t>
      </w:r>
      <w:r>
        <w:rPr>
          <w:sz w:val="20"/>
          <w:szCs w:val="20"/>
        </w:rPr>
        <w:t>0</w:t>
      </w:r>
      <w:r>
        <w:rPr>
          <w:sz w:val="20"/>
          <w:szCs w:val="20"/>
        </w:rPr>
        <w:t xml:space="preserve"> in related party notes payable that were o</w:t>
      </w:r>
      <w:r>
        <w:rPr>
          <w:sz w:val="20"/>
          <w:szCs w:val="20"/>
        </w:rPr>
        <w:t>utstanding during 2021 were either repaid or converted in December 2021. There are</w:t>
      </w:r>
      <w:r>
        <w:rPr>
          <w:sz w:val="20"/>
          <w:szCs w:val="20"/>
        </w:rPr>
        <w:t xml:space="preserve"> </w:t>
      </w:r>
      <w:r>
        <w:rPr>
          <w:sz w:val="20"/>
          <w:szCs w:val="20"/>
        </w:rPr>
        <w:t>n</w:t>
      </w:r>
      <w:r>
        <w:rPr>
          <w:sz w:val="20"/>
          <w:szCs w:val="20"/>
        </w:rPr>
        <w:t>o</w:t>
      </w:r>
      <w:r>
        <w:rPr>
          <w:sz w:val="20"/>
          <w:szCs w:val="20"/>
        </w:rPr>
        <w:t xml:space="preserve"> outstanding related party notes payable as of December 31, 2022.</w:t>
      </w:r>
    </w:p>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Related Party Payables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In December 2021, the Company converted the </w:t>
      </w:r>
      <w:r>
        <w:rPr>
          <w:sz w:val="20"/>
          <w:szCs w:val="20"/>
        </w:rPr>
        <w:t>$</w:t>
      </w:r>
      <w:r>
        <w:rPr>
          <w:sz w:val="20"/>
          <w:szCs w:val="20"/>
        </w:rPr>
        <w:t>32,11</w:t>
      </w:r>
      <w:r>
        <w:rPr>
          <w:sz w:val="20"/>
          <w:szCs w:val="20"/>
        </w:rPr>
        <w:t>0</w:t>
      </w:r>
      <w:r>
        <w:rPr>
          <w:sz w:val="20"/>
          <w:szCs w:val="20"/>
        </w:rPr>
        <w:t xml:space="preserve"> in related party payables </w:t>
      </w:r>
      <w:r>
        <w:rPr>
          <w:sz w:val="20"/>
          <w:szCs w:val="20"/>
        </w:rPr>
        <w:t>into</w:t>
      </w:r>
      <w:r>
        <w:rPr>
          <w:sz w:val="20"/>
          <w:szCs w:val="20"/>
        </w:rPr>
        <w:t xml:space="preserve"> </w:t>
      </w:r>
      <w:r>
        <w:rPr>
          <w:sz w:val="20"/>
          <w:szCs w:val="20"/>
        </w:rPr>
        <w:t>401,37</w:t>
      </w:r>
      <w:r>
        <w:rPr>
          <w:sz w:val="20"/>
          <w:szCs w:val="20"/>
        </w:rPr>
        <w:t>3</w:t>
      </w:r>
      <w:r>
        <w:rPr>
          <w:sz w:val="20"/>
          <w:szCs w:val="20"/>
        </w:rPr>
        <w:t xml:space="preserve"> shares of common stock. There are</w:t>
      </w:r>
      <w:r>
        <w:rPr>
          <w:sz w:val="20"/>
          <w:szCs w:val="20"/>
        </w:rPr>
        <w:t xml:space="preserve"> </w:t>
      </w:r>
      <w:r>
        <w:rPr>
          <w:sz w:val="20"/>
          <w:szCs w:val="20"/>
        </w:rPr>
        <w:t>n</w:t>
      </w:r>
      <w:r>
        <w:rPr>
          <w:sz w:val="20"/>
          <w:szCs w:val="20"/>
        </w:rPr>
        <w:t>o</w:t>
      </w:r>
      <w:r>
        <w:rPr>
          <w:sz w:val="20"/>
          <w:szCs w:val="20"/>
        </w:rPr>
        <w:t xml:space="preserve"> remaining related party payables as of December 31, 2022.</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Preferred and Common Shares Issued to Officers and Directors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In June 2021, the Company’s Chief Executive Officer exercised</w:t>
      </w:r>
      <w:r>
        <w:rPr>
          <w:sz w:val="20"/>
          <w:szCs w:val="20"/>
        </w:rPr>
        <w:t xml:space="preserve"> </w:t>
      </w:r>
      <w:r>
        <w:rPr>
          <w:sz w:val="20"/>
          <w:szCs w:val="20"/>
        </w:rPr>
        <w:t>2,500,00</w:t>
      </w:r>
      <w:r>
        <w:rPr>
          <w:sz w:val="20"/>
          <w:szCs w:val="20"/>
        </w:rPr>
        <w:t>0</w:t>
      </w:r>
      <w:r>
        <w:rPr>
          <w:sz w:val="20"/>
          <w:szCs w:val="20"/>
        </w:rPr>
        <w:t xml:space="preserve"> stock optio</w:t>
      </w:r>
      <w:r>
        <w:rPr>
          <w:sz w:val="20"/>
          <w:szCs w:val="20"/>
        </w:rPr>
        <w:t xml:space="preserve">ns for a value of </w:t>
      </w:r>
      <w:r>
        <w:rPr>
          <w:sz w:val="20"/>
          <w:szCs w:val="20"/>
        </w:rPr>
        <w:t>$</w:t>
      </w:r>
      <w:r>
        <w:rPr>
          <w:sz w:val="20"/>
          <w:szCs w:val="20"/>
        </w:rPr>
        <w:t>60,00</w:t>
      </w:r>
      <w:r>
        <w:rPr>
          <w:sz w:val="20"/>
          <w:szCs w:val="20"/>
        </w:rPr>
        <w:t>0</w:t>
      </w:r>
      <w:r>
        <w:rPr>
          <w:sz w:val="20"/>
          <w:szCs w:val="20"/>
        </w:rPr>
        <w:t xml:space="preserve"> that was paid through the cancelation of</w:t>
      </w:r>
      <w:r>
        <w:rPr>
          <w:sz w:val="20"/>
          <w:szCs w:val="20"/>
        </w:rPr>
        <w:t xml:space="preserve"> </w:t>
      </w:r>
      <w:r>
        <w:rPr>
          <w:sz w:val="20"/>
          <w:szCs w:val="20"/>
        </w:rPr>
        <w:t>375,00</w:t>
      </w:r>
      <w:r>
        <w:rPr>
          <w:sz w:val="20"/>
          <w:szCs w:val="20"/>
        </w:rPr>
        <w:t>0</w:t>
      </w:r>
      <w:r>
        <w:rPr>
          <w:sz w:val="20"/>
          <w:szCs w:val="20"/>
        </w:rPr>
        <w:t xml:space="preserve"> common shares and</w:t>
      </w:r>
      <w:r>
        <w:rPr>
          <w:sz w:val="20"/>
          <w:szCs w:val="20"/>
        </w:rPr>
        <w:t xml:space="preserve"> </w:t>
      </w:r>
      <w:r>
        <w:rPr>
          <w:sz w:val="20"/>
          <w:szCs w:val="20"/>
        </w:rPr>
        <w:t>100,00</w:t>
      </w:r>
      <w:r>
        <w:rPr>
          <w:sz w:val="20"/>
          <w:szCs w:val="20"/>
        </w:rPr>
        <w:t>0</w:t>
      </w:r>
      <w:r>
        <w:rPr>
          <w:sz w:val="20"/>
          <w:szCs w:val="20"/>
        </w:rPr>
        <w:t xml:space="preserve"> Series A Convertible Preferred shares. The Chief Executive Officer in May 2021 rescinded</w:t>
      </w:r>
      <w:r>
        <w:rPr>
          <w:sz w:val="20"/>
          <w:szCs w:val="20"/>
        </w:rPr>
        <w:t xml:space="preserve"> </w:t>
      </w:r>
      <w:r>
        <w:rPr>
          <w:sz w:val="20"/>
          <w:szCs w:val="20"/>
        </w:rPr>
        <w:t>8,120,15</w:t>
      </w:r>
      <w:r>
        <w:rPr>
          <w:sz w:val="20"/>
          <w:szCs w:val="20"/>
        </w:rPr>
        <w:t>2</w:t>
      </w:r>
      <w:r>
        <w:rPr>
          <w:sz w:val="20"/>
          <w:szCs w:val="20"/>
        </w:rPr>
        <w:t xml:space="preserve"> stock options and in June 2021 rescinded</w:t>
      </w:r>
      <w:r>
        <w:rPr>
          <w:sz w:val="20"/>
          <w:szCs w:val="20"/>
        </w:rPr>
        <w:t xml:space="preserve"> </w:t>
      </w:r>
      <w:r>
        <w:rPr>
          <w:sz w:val="20"/>
          <w:szCs w:val="20"/>
        </w:rPr>
        <w:t>16,000,00</w:t>
      </w:r>
      <w:r>
        <w:rPr>
          <w:sz w:val="20"/>
          <w:szCs w:val="20"/>
        </w:rPr>
        <w:t>0</w:t>
      </w:r>
      <w:r>
        <w:rPr>
          <w:sz w:val="20"/>
          <w:szCs w:val="20"/>
        </w:rPr>
        <w:t xml:space="preserve"> stoc</w:t>
      </w:r>
      <w:r>
        <w:rPr>
          <w:sz w:val="20"/>
          <w:szCs w:val="20"/>
        </w:rPr>
        <w:t>k options. In September 2021, the Chief Executive Officer exercised</w:t>
      </w:r>
      <w:r>
        <w:rPr>
          <w:sz w:val="20"/>
          <w:szCs w:val="20"/>
        </w:rPr>
        <w:t xml:space="preserve"> </w:t>
      </w:r>
      <w:r>
        <w:rPr>
          <w:sz w:val="20"/>
          <w:szCs w:val="20"/>
        </w:rPr>
        <w:t>150,00</w:t>
      </w:r>
      <w:r>
        <w:rPr>
          <w:sz w:val="20"/>
          <w:szCs w:val="20"/>
        </w:rPr>
        <w:t>0</w:t>
      </w:r>
      <w:r>
        <w:rPr>
          <w:sz w:val="20"/>
          <w:szCs w:val="20"/>
        </w:rPr>
        <w:t xml:space="preserve"> warrants in a cashless exercise into</w:t>
      </w:r>
      <w:r>
        <w:rPr>
          <w:sz w:val="20"/>
          <w:szCs w:val="20"/>
        </w:rPr>
        <w:t xml:space="preserve"> </w:t>
      </w:r>
      <w:r>
        <w:rPr>
          <w:sz w:val="20"/>
          <w:szCs w:val="20"/>
        </w:rPr>
        <w:t>91,30</w:t>
      </w:r>
      <w:r>
        <w:rPr>
          <w:sz w:val="20"/>
          <w:szCs w:val="20"/>
        </w:rPr>
        <w:t>4</w:t>
      </w:r>
      <w:r>
        <w:rPr>
          <w:sz w:val="20"/>
          <w:szCs w:val="20"/>
        </w:rPr>
        <w:t xml:space="preserve"> shares of common stock. In March 2022, the Chief Executive Officer exercised</w:t>
      </w:r>
      <w:r>
        <w:rPr>
          <w:sz w:val="20"/>
          <w:szCs w:val="20"/>
        </w:rPr>
        <w:t xml:space="preserve"> </w:t>
      </w:r>
      <w:r>
        <w:rPr>
          <w:sz w:val="20"/>
          <w:szCs w:val="20"/>
        </w:rPr>
        <w:t>75,00</w:t>
      </w:r>
      <w:r>
        <w:rPr>
          <w:sz w:val="20"/>
          <w:szCs w:val="20"/>
        </w:rPr>
        <w:t>0</w:t>
      </w:r>
      <w:r>
        <w:rPr>
          <w:sz w:val="20"/>
          <w:szCs w:val="20"/>
        </w:rPr>
        <w:t xml:space="preserve"> warrants in a cashless exercise into</w:t>
      </w:r>
      <w:r>
        <w:rPr>
          <w:sz w:val="20"/>
          <w:szCs w:val="20"/>
        </w:rPr>
        <w:t xml:space="preserve"> </w:t>
      </w:r>
      <w:r>
        <w:rPr>
          <w:sz w:val="20"/>
          <w:szCs w:val="20"/>
        </w:rPr>
        <w:t>22,26</w:t>
      </w:r>
      <w:r>
        <w:rPr>
          <w:sz w:val="20"/>
          <w:szCs w:val="20"/>
        </w:rPr>
        <w:t>6</w:t>
      </w:r>
      <w:r>
        <w:rPr>
          <w:sz w:val="20"/>
          <w:szCs w:val="20"/>
        </w:rPr>
        <w:t xml:space="preserve"> shares o</w:t>
      </w:r>
      <w:r>
        <w:rPr>
          <w:sz w:val="20"/>
          <w:szCs w:val="20"/>
        </w:rPr>
        <w:t>f common stock, and was issued</w:t>
      </w:r>
      <w:r>
        <w:rPr>
          <w:sz w:val="20"/>
          <w:szCs w:val="20"/>
        </w:rPr>
        <w:t xml:space="preserve"> </w:t>
      </w:r>
      <w:r>
        <w:rPr>
          <w:sz w:val="20"/>
          <w:szCs w:val="20"/>
        </w:rPr>
        <w:t>76,25</w:t>
      </w:r>
      <w:r>
        <w:rPr>
          <w:sz w:val="20"/>
          <w:szCs w:val="20"/>
        </w:rPr>
        <w:t>0</w:t>
      </w:r>
      <w:r>
        <w:rPr>
          <w:sz w:val="20"/>
          <w:szCs w:val="20"/>
        </w:rPr>
        <w:t xml:space="preserve"> shares of common stock valued at </w:t>
      </w:r>
      <w:r>
        <w:rPr>
          <w:sz w:val="20"/>
          <w:szCs w:val="20"/>
        </w:rPr>
        <w:t>$</w:t>
      </w:r>
      <w:r>
        <w:rPr>
          <w:sz w:val="20"/>
          <w:szCs w:val="20"/>
        </w:rPr>
        <w:t>4,88</w:t>
      </w:r>
      <w:r>
        <w:rPr>
          <w:sz w:val="20"/>
          <w:szCs w:val="20"/>
        </w:rPr>
        <w:t>0</w:t>
      </w:r>
      <w:r>
        <w:rPr>
          <w:sz w:val="20"/>
          <w:szCs w:val="20"/>
        </w:rPr>
        <w:t xml:space="preserve"> for services rendered.</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NOTE 3:</w:t>
      </w:r>
      <w:r>
        <w:rPr>
          <w:b/>
          <w:bCs/>
          <w:sz w:val="20"/>
          <w:szCs w:val="20"/>
        </w:rPr>
        <w:t xml:space="preserve"> </w:t>
      </w:r>
      <w:r>
        <w:rPr>
          <w:b/>
          <w:bCs/>
          <w:sz w:val="20"/>
          <w:szCs w:val="20"/>
        </w:rPr>
        <w:t>CONVERTIBLE NOTES PAYABL</w:t>
      </w:r>
      <w:r>
        <w:rPr>
          <w:b/>
          <w:bCs/>
          <w:sz w:val="20"/>
          <w:szCs w:val="20"/>
        </w:rPr>
        <w:t>E</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As of December 31, 2022 and 2021, there remains</w:t>
      </w:r>
      <w:r>
        <w:rPr>
          <w:sz w:val="20"/>
          <w:szCs w:val="20"/>
        </w:rPr>
        <w:t xml:space="preserve"> </w:t>
      </w:r>
      <w:r>
        <w:rPr>
          <w:sz w:val="20"/>
          <w:szCs w:val="20"/>
        </w:rPr>
        <w:t>n</w:t>
      </w:r>
      <w:r>
        <w:rPr>
          <w:sz w:val="20"/>
          <w:szCs w:val="20"/>
        </w:rPr>
        <w:t>o</w:t>
      </w:r>
      <w:r>
        <w:rPr>
          <w:sz w:val="20"/>
          <w:szCs w:val="20"/>
        </w:rPr>
        <w:t xml:space="preserve"> outstanding balances in the convertible notes payable. All prior c</w:t>
      </w:r>
      <w:r>
        <w:rPr>
          <w:sz w:val="20"/>
          <w:szCs w:val="20"/>
        </w:rPr>
        <w:t>onvertible notes had been either repaid or converted in 2021.</w:t>
      </w:r>
    </w:p>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59986820"/>
        </w:trPr>
        <w:tc>
          <w:tcPr>
            <w:tcW w:w="5000" w:type="pct"/>
            <w:hideMark/>
          </w:tcPr>
          <w:p w:rsidR="00000000" w:rsidRDefault="00DA767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NOTE 4:</w:t>
      </w:r>
      <w:r>
        <w:rPr>
          <w:b/>
          <w:bCs/>
          <w:sz w:val="20"/>
          <w:szCs w:val="20"/>
        </w:rPr>
        <w:t xml:space="preserve"> </w:t>
      </w:r>
      <w:r>
        <w:rPr>
          <w:b/>
          <w:bCs/>
          <w:sz w:val="20"/>
          <w:szCs w:val="20"/>
        </w:rPr>
        <w:t>STOCKHOLDERS’ EQUIT</w:t>
      </w:r>
      <w:r>
        <w:rPr>
          <w:b/>
          <w:bCs/>
          <w:sz w:val="20"/>
          <w:szCs w:val="20"/>
        </w:rPr>
        <w:t>Y</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Common Stock</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The Company has</w:t>
      </w:r>
      <w:r>
        <w:rPr>
          <w:sz w:val="20"/>
          <w:szCs w:val="20"/>
        </w:rPr>
        <w:t xml:space="preserve"> </w:t>
      </w:r>
      <w:r>
        <w:rPr>
          <w:sz w:val="20"/>
          <w:szCs w:val="20"/>
        </w:rPr>
        <w:t>950,000,00</w:t>
      </w:r>
      <w:r>
        <w:rPr>
          <w:sz w:val="20"/>
          <w:szCs w:val="20"/>
        </w:rPr>
        <w:t>0</w:t>
      </w:r>
      <w:r>
        <w:rPr>
          <w:sz w:val="20"/>
          <w:szCs w:val="20"/>
        </w:rPr>
        <w:t xml:space="preserve"> </w:t>
      </w:r>
      <w:r>
        <w:rPr>
          <w:sz w:val="20"/>
          <w:szCs w:val="20"/>
        </w:rPr>
        <w:t xml:space="preserve">shares of common stock authorized, with a par value of </w:t>
      </w:r>
      <w:r>
        <w:rPr>
          <w:sz w:val="20"/>
          <w:szCs w:val="20"/>
        </w:rPr>
        <w:t>$</w:t>
      </w:r>
      <w:r>
        <w:rPr>
          <w:sz w:val="20"/>
          <w:szCs w:val="20"/>
        </w:rPr>
        <w:t>0.00</w:t>
      </w:r>
      <w:r>
        <w:rPr>
          <w:sz w:val="20"/>
          <w:szCs w:val="20"/>
        </w:rPr>
        <w:t>1</w:t>
      </w:r>
      <w:r>
        <w:rPr>
          <w:sz w:val="20"/>
          <w:szCs w:val="20"/>
        </w:rPr>
        <w:t>, and as of December 31, 2022 and 2021, the Company has</w:t>
      </w:r>
      <w:r>
        <w:rPr>
          <w:sz w:val="20"/>
          <w:szCs w:val="20"/>
        </w:rPr>
        <w:t xml:space="preserve"> </w:t>
      </w:r>
      <w:r>
        <w:rPr>
          <w:sz w:val="20"/>
          <w:szCs w:val="20"/>
        </w:rPr>
        <w:t>362,541,52</w:t>
      </w:r>
      <w:r>
        <w:rPr>
          <w:sz w:val="20"/>
          <w:szCs w:val="20"/>
        </w:rPr>
        <w:t>8</w:t>
      </w:r>
      <w:r>
        <w:rPr>
          <w:sz w:val="20"/>
          <w:szCs w:val="20"/>
        </w:rPr>
        <w:t xml:space="preserve"> and</w:t>
      </w:r>
      <w:r>
        <w:rPr>
          <w:sz w:val="20"/>
          <w:szCs w:val="20"/>
        </w:rPr>
        <w:t xml:space="preserve"> </w:t>
      </w:r>
      <w:r>
        <w:rPr>
          <w:sz w:val="20"/>
          <w:szCs w:val="20"/>
        </w:rPr>
        <w:t>343,530,67</w:t>
      </w:r>
      <w:r>
        <w:rPr>
          <w:sz w:val="20"/>
          <w:szCs w:val="20"/>
        </w:rPr>
        <w:t>8</w:t>
      </w:r>
      <w:r>
        <w:rPr>
          <w:sz w:val="20"/>
          <w:szCs w:val="20"/>
        </w:rPr>
        <w:t xml:space="preserve"> shares issued and outstanding, respectively.</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Preferred Stock</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As of December 31, 2022 and 2021, the Company </w:t>
      </w:r>
      <w:r>
        <w:rPr>
          <w:sz w:val="20"/>
          <w:szCs w:val="20"/>
        </w:rPr>
        <w:t>has</w:t>
      </w:r>
      <w:r>
        <w:rPr>
          <w:sz w:val="20"/>
          <w:szCs w:val="20"/>
        </w:rPr>
        <w:t xml:space="preserve"> </w:t>
      </w:r>
      <w:r>
        <w:rPr>
          <w:sz w:val="20"/>
          <w:szCs w:val="20"/>
        </w:rPr>
        <w:t>20,000,00</w:t>
      </w:r>
      <w:r>
        <w:rPr>
          <w:sz w:val="20"/>
          <w:szCs w:val="20"/>
        </w:rPr>
        <w:t>0</w:t>
      </w:r>
      <w:r>
        <w:rPr>
          <w:sz w:val="20"/>
          <w:szCs w:val="20"/>
        </w:rPr>
        <w:t xml:space="preserve"> shares of Preferred stock authorized with a par value of </w:t>
      </w:r>
      <w:r>
        <w:rPr>
          <w:sz w:val="20"/>
          <w:szCs w:val="20"/>
        </w:rPr>
        <w:t>$</w:t>
      </w:r>
      <w:r>
        <w:rPr>
          <w:sz w:val="20"/>
          <w:szCs w:val="20"/>
        </w:rPr>
        <w:t>0.00</w:t>
      </w:r>
      <w:r>
        <w:rPr>
          <w:sz w:val="20"/>
          <w:szCs w:val="20"/>
        </w:rPr>
        <w:t>1</w:t>
      </w:r>
      <w:r>
        <w:rPr>
          <w:sz w:val="20"/>
          <w:szCs w:val="20"/>
        </w:rPr>
        <w:t>. The Company’s Board of Directors is authorized to provide for the issuance of shares of preferred stock in one or more series, fix or alter the designations, preferences, right</w:t>
      </w:r>
      <w:r>
        <w:rPr>
          <w:sz w:val="20"/>
          <w:szCs w:val="20"/>
        </w:rPr>
        <w:t>s, qualifications, limitations or restrictions of the shares of each series, including the dividend rights, dividend rates, conversion rights, voting rights, term of redemption including sinking fund provisions, redemption price or prices, liquidation pref</w:t>
      </w:r>
      <w:r>
        <w:rPr>
          <w:sz w:val="20"/>
          <w:szCs w:val="20"/>
        </w:rPr>
        <w:t>erences and the number of shares constituting any series or designations of such series without further vote or action by the shareholders. The issuance of preferred stock may have the effect of delaying, deferring or preventing a change in control of mana</w:t>
      </w:r>
      <w:r>
        <w:rPr>
          <w:sz w:val="20"/>
          <w:szCs w:val="20"/>
        </w:rPr>
        <w:t>gement without further action by the shareholders and may adversely affect the voting and other rights of the holders of common stock. The issuance of preferred stock with voting and conversion rights may adversely affect the voting power of the holders of</w:t>
      </w:r>
      <w:r>
        <w:rPr>
          <w:sz w:val="20"/>
          <w:szCs w:val="20"/>
        </w:rPr>
        <w:t xml:space="preserve"> common stock, including the loss of voting control to others.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On October 8, 2018 the Company created out of the shares of Preferred Stock, par value </w:t>
      </w:r>
      <w:r>
        <w:rPr>
          <w:sz w:val="20"/>
          <w:szCs w:val="20"/>
        </w:rPr>
        <w:t>$</w:t>
      </w:r>
      <w:r>
        <w:rPr>
          <w:sz w:val="20"/>
          <w:szCs w:val="20"/>
        </w:rPr>
        <w:t>0.00</w:t>
      </w:r>
      <w:r>
        <w:rPr>
          <w:sz w:val="20"/>
          <w:szCs w:val="20"/>
        </w:rPr>
        <w:t>1</w:t>
      </w:r>
      <w:r>
        <w:rPr>
          <w:sz w:val="20"/>
          <w:szCs w:val="20"/>
        </w:rPr>
        <w:t xml:space="preserve"> per share, of the Company, as authorized in Article IV of the Company’s Certificate of Incorporat</w:t>
      </w:r>
      <w:r>
        <w:rPr>
          <w:sz w:val="20"/>
          <w:szCs w:val="20"/>
        </w:rPr>
        <w:t xml:space="preserve">ion, a series of Preferred Stock of the Company, to be named “Series B Convertible Preferred Stock,” consisting of Five Million </w:t>
      </w:r>
      <w:r>
        <w:rPr>
          <w:sz w:val="20"/>
          <w:szCs w:val="20"/>
        </w:rPr>
        <w:t>(</w:t>
      </w:r>
      <w:r>
        <w:rPr>
          <w:sz w:val="20"/>
          <w:szCs w:val="20"/>
        </w:rPr>
        <w:t>5,000,00</w:t>
      </w:r>
      <w:r>
        <w:rPr>
          <w:sz w:val="20"/>
          <w:szCs w:val="20"/>
        </w:rPr>
        <w:t>0</w:t>
      </w:r>
      <w:r>
        <w:rPr>
          <w:sz w:val="20"/>
          <w:szCs w:val="20"/>
        </w:rPr>
        <w:t>) shares.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On March 27, 2019 the Company created out of the shares of Preferred Stock, par value </w:t>
      </w:r>
      <w:r>
        <w:rPr>
          <w:sz w:val="20"/>
          <w:szCs w:val="20"/>
        </w:rPr>
        <w:t>$</w:t>
      </w:r>
      <w:r>
        <w:rPr>
          <w:sz w:val="20"/>
          <w:szCs w:val="20"/>
        </w:rPr>
        <w:t>0.00</w:t>
      </w:r>
      <w:r>
        <w:rPr>
          <w:sz w:val="20"/>
          <w:szCs w:val="20"/>
        </w:rPr>
        <w:t>1</w:t>
      </w:r>
      <w:r>
        <w:rPr>
          <w:sz w:val="20"/>
          <w:szCs w:val="20"/>
        </w:rPr>
        <w:t xml:space="preserve"> per share, of</w:t>
      </w:r>
      <w:r>
        <w:rPr>
          <w:sz w:val="20"/>
          <w:szCs w:val="20"/>
        </w:rPr>
        <w:t xml:space="preserve"> the Company, as authorized in Article IV of the Company’s Certificate of Incorporation, a series of Preferred Stock of the Company, to be named “Series C Convertible Preferred Stock,” consisting of Five Million </w:t>
      </w:r>
      <w:r>
        <w:rPr>
          <w:sz w:val="20"/>
          <w:szCs w:val="20"/>
        </w:rPr>
        <w:t>(</w:t>
      </w:r>
      <w:r>
        <w:rPr>
          <w:sz w:val="20"/>
          <w:szCs w:val="20"/>
        </w:rPr>
        <w:t>5,000,00</w:t>
      </w:r>
      <w:r>
        <w:rPr>
          <w:sz w:val="20"/>
          <w:szCs w:val="20"/>
        </w:rPr>
        <w:t>0</w:t>
      </w:r>
      <w:r>
        <w:rPr>
          <w:sz w:val="20"/>
          <w:szCs w:val="20"/>
        </w:rPr>
        <w:t>) shares.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i/>
          <w:iCs/>
          <w:sz w:val="20"/>
          <w:szCs w:val="20"/>
        </w:rPr>
        <w:t>Series A Convertible P</w:t>
      </w:r>
      <w:r>
        <w:rPr>
          <w:i/>
          <w:iCs/>
          <w:sz w:val="20"/>
          <w:szCs w:val="20"/>
        </w:rPr>
        <w:t>referred Stock (“Series A Convertible Preferred”)</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In </w:t>
      </w:r>
      <w:r>
        <w:rPr>
          <w:sz w:val="20"/>
          <w:szCs w:val="20"/>
        </w:rPr>
        <w:t>June 2015, the Series A Certificate of Designation was filed with the Delaware Secretary of State to designate</w:t>
      </w:r>
      <w:r>
        <w:rPr>
          <w:sz w:val="20"/>
          <w:szCs w:val="20"/>
        </w:rPr>
        <w:t xml:space="preserve"> </w:t>
      </w:r>
      <w:r>
        <w:rPr>
          <w:sz w:val="20"/>
          <w:szCs w:val="20"/>
        </w:rPr>
        <w:t>2.</w:t>
      </w:r>
      <w:r>
        <w:rPr>
          <w:sz w:val="20"/>
          <w:szCs w:val="20"/>
        </w:rPr>
        <w:t>5</w:t>
      </w:r>
      <w:r>
        <w:rPr>
          <w:sz w:val="20"/>
          <w:szCs w:val="20"/>
        </w:rPr>
        <w:t xml:space="preserve"> million shares of our preferred stock as Series A Convertible Preferred. Effective March 31, 2016, the Company amended the Certificate of Des</w:t>
      </w:r>
      <w:r>
        <w:rPr>
          <w:sz w:val="20"/>
          <w:szCs w:val="20"/>
        </w:rPr>
        <w:t>ignations, Preferences and Rights of Series A Convertible Preferred of the Registrant, increasing the maximum number of shares of Series A Convertible Preferred from</w:t>
      </w:r>
      <w:r>
        <w:rPr>
          <w:sz w:val="20"/>
          <w:szCs w:val="20"/>
        </w:rPr>
        <w:t xml:space="preserve"> </w:t>
      </w:r>
      <w:r>
        <w:rPr>
          <w:sz w:val="20"/>
          <w:szCs w:val="20"/>
        </w:rPr>
        <w:t>2,500,00</w:t>
      </w:r>
      <w:r>
        <w:rPr>
          <w:sz w:val="20"/>
          <w:szCs w:val="20"/>
        </w:rPr>
        <w:t>0</w:t>
      </w:r>
      <w:r>
        <w:rPr>
          <w:sz w:val="20"/>
          <w:szCs w:val="20"/>
        </w:rPr>
        <w:t xml:space="preserve"> shares to</w:t>
      </w:r>
      <w:r>
        <w:rPr>
          <w:sz w:val="20"/>
          <w:szCs w:val="20"/>
        </w:rPr>
        <w:t xml:space="preserve"> </w:t>
      </w:r>
      <w:r>
        <w:rPr>
          <w:sz w:val="20"/>
          <w:szCs w:val="20"/>
        </w:rPr>
        <w:t>5,000,00</w:t>
      </w:r>
      <w:r>
        <w:rPr>
          <w:sz w:val="20"/>
          <w:szCs w:val="20"/>
        </w:rPr>
        <w:t>0</w:t>
      </w:r>
      <w:r>
        <w:rPr>
          <w:sz w:val="20"/>
          <w:szCs w:val="20"/>
        </w:rPr>
        <w:t xml:space="preserve"> shares. The following summarizes the current rights and pref</w:t>
      </w:r>
      <w:r>
        <w:rPr>
          <w:sz w:val="20"/>
          <w:szCs w:val="20"/>
        </w:rPr>
        <w:t>erences of the Series A Convertible Preferred:</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u w:val="single"/>
        </w:rPr>
        <w:t>Liquidation Preference</w:t>
      </w:r>
      <w:r>
        <w:rPr>
          <w:sz w:val="20"/>
          <w:szCs w:val="20"/>
        </w:rPr>
        <w:t xml:space="preserve">. The Series A Convertible Preferred has a liquidation preference of </w:t>
      </w:r>
      <w:r>
        <w:rPr>
          <w:sz w:val="20"/>
          <w:szCs w:val="20"/>
        </w:rPr>
        <w:t>$</w:t>
      </w:r>
      <w:r>
        <w:rPr>
          <w:sz w:val="20"/>
          <w:szCs w:val="20"/>
        </w:rPr>
        <w:t>5.0</w:t>
      </w:r>
      <w:r>
        <w:rPr>
          <w:sz w:val="20"/>
          <w:szCs w:val="20"/>
        </w:rPr>
        <w:t>0</w:t>
      </w:r>
      <w:r>
        <w:rPr>
          <w:sz w:val="20"/>
          <w:szCs w:val="20"/>
        </w:rPr>
        <w:t xml:space="preserve"> per share.</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u w:val="single"/>
        </w:rPr>
        <w:t>Dividends</w:t>
      </w:r>
      <w:r>
        <w:rPr>
          <w:sz w:val="20"/>
          <w:szCs w:val="20"/>
        </w:rPr>
        <w:t>. Shares of Series A Convertible Preferred do not have any separate dividend rights.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u w:val="single"/>
        </w:rPr>
        <w:t>C</w:t>
      </w:r>
      <w:r>
        <w:rPr>
          <w:sz w:val="20"/>
          <w:szCs w:val="20"/>
          <w:u w:val="single"/>
        </w:rPr>
        <w:t>onversion</w:t>
      </w:r>
      <w:r>
        <w:rPr>
          <w:sz w:val="20"/>
          <w:szCs w:val="20"/>
        </w:rPr>
        <w:t>. Subject to certain limitations set forth in the Series A Certificate of Designation, each share of Series A Convertible Preferred is convertible, at the option of the holder, into that number of shares of common stock (the “</w:t>
      </w:r>
      <w:r>
        <w:rPr>
          <w:i/>
          <w:iCs/>
          <w:sz w:val="20"/>
          <w:szCs w:val="20"/>
        </w:rPr>
        <w:t>Series A Conversion S</w:t>
      </w:r>
      <w:r>
        <w:rPr>
          <w:i/>
          <w:iCs/>
          <w:sz w:val="20"/>
          <w:szCs w:val="20"/>
        </w:rPr>
        <w:t>hares</w:t>
      </w:r>
      <w:r>
        <w:rPr>
          <w:sz w:val="20"/>
          <w:szCs w:val="20"/>
        </w:rPr>
        <w:t xml:space="preserve">”) equal to the liquidation preference thereof, divided by Conversion Price (as such term is defined in the Series A Certificate of Designation), currently </w:t>
      </w:r>
      <w:r>
        <w:rPr>
          <w:sz w:val="20"/>
          <w:szCs w:val="20"/>
        </w:rPr>
        <w:t>$</w:t>
      </w:r>
      <w:r>
        <w:rPr>
          <w:sz w:val="20"/>
          <w:szCs w:val="20"/>
        </w:rPr>
        <w:t>4.0</w:t>
      </w:r>
      <w:r>
        <w:rPr>
          <w:sz w:val="20"/>
          <w:szCs w:val="20"/>
        </w:rPr>
        <w:t>0</w:t>
      </w:r>
      <w:r>
        <w:rPr>
          <w:sz w:val="20"/>
          <w:szCs w:val="20"/>
        </w:rPr>
        <w:t>.</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In the event the Company completes an equity or equity-based public offering, register</w:t>
      </w:r>
      <w:r>
        <w:rPr>
          <w:sz w:val="20"/>
          <w:szCs w:val="20"/>
        </w:rPr>
        <w:t xml:space="preserve">ed with the SEC, resulting in gross proceeds to the Company totaling at least </w:t>
      </w:r>
      <w:r>
        <w:rPr>
          <w:sz w:val="20"/>
          <w:szCs w:val="20"/>
        </w:rPr>
        <w:t>$</w:t>
      </w:r>
      <w:r>
        <w:rPr>
          <w:sz w:val="20"/>
          <w:szCs w:val="20"/>
        </w:rPr>
        <w:t>5.</w:t>
      </w:r>
      <w:r>
        <w:rPr>
          <w:sz w:val="20"/>
          <w:szCs w:val="20"/>
        </w:rPr>
        <w:t>0</w:t>
      </w:r>
      <w:r>
        <w:rPr>
          <w:sz w:val="20"/>
          <w:szCs w:val="20"/>
        </w:rPr>
        <w:t xml:space="preserve"> million, all issued and outstanding shares of Series A Convertible Preferred at that time will automatically convert into Series A Conversion Shares.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u w:val="single"/>
        </w:rPr>
        <w:t>Redemption</w:t>
      </w:r>
      <w:r>
        <w:rPr>
          <w:sz w:val="20"/>
          <w:szCs w:val="20"/>
        </w:rPr>
        <w:t>.</w:t>
      </w:r>
      <w:r>
        <w:rPr>
          <w:sz w:val="20"/>
          <w:szCs w:val="20"/>
        </w:rPr>
        <w:t xml:space="preserve"> </w:t>
      </w:r>
      <w:r>
        <w:rPr>
          <w:sz w:val="20"/>
          <w:szCs w:val="20"/>
        </w:rPr>
        <w:t>Subject t</w:t>
      </w:r>
      <w:r>
        <w:rPr>
          <w:sz w:val="20"/>
          <w:szCs w:val="20"/>
        </w:rPr>
        <w:t>o certain conditions set forth in the Series A Certificate of Designation, in the event of a Change of Control (defined in the Series A Certificate of Designation as the time at which as a third party not affiliated with the Company or any holders of the S</w:t>
      </w:r>
      <w:r>
        <w:rPr>
          <w:sz w:val="20"/>
          <w:szCs w:val="20"/>
        </w:rPr>
        <w:t xml:space="preserve">eries A Convertible Preferred shall have acquired, in one or a series of related transactions, equity securities of the Company representing more than fifty percent 50% of the outstanding voting securities of the Company), the Company, at its option, will </w:t>
      </w:r>
      <w:r>
        <w:rPr>
          <w:sz w:val="20"/>
          <w:szCs w:val="20"/>
        </w:rPr>
        <w:t>have the right to redeem all or a portion of the outstanding Series A Convertible Preferred in cash at a price per share of Series A Convertible Preferred equal to</w:t>
      </w:r>
      <w:r>
        <w:rPr>
          <w:sz w:val="20"/>
          <w:szCs w:val="20"/>
        </w:rPr>
        <w:t xml:space="preserve"> </w:t>
      </w:r>
      <w:r>
        <w:rPr>
          <w:sz w:val="20"/>
          <w:szCs w:val="20"/>
        </w:rPr>
        <w:t>10</w:t>
      </w:r>
      <w:r>
        <w:rPr>
          <w:sz w:val="20"/>
          <w:szCs w:val="20"/>
        </w:rPr>
        <w:t>0</w:t>
      </w:r>
      <w:r>
        <w:rPr>
          <w:sz w:val="20"/>
          <w:szCs w:val="20"/>
        </w:rPr>
        <w:t>% of the Liquidation Preferenc</w:t>
      </w:r>
      <w:r>
        <w:rPr>
          <w:sz w:val="20"/>
          <w:szCs w:val="20"/>
        </w:rPr>
        <w:t>e</w:t>
      </w:r>
      <w:r>
        <w:rPr>
          <w:sz w:val="20"/>
          <w:szCs w:val="20"/>
        </w:rPr>
        <w:t>.</w:t>
      </w:r>
    </w:p>
    <w:p w:rsidR="00000000" w:rsidRDefault="00DA767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65947875"/>
        </w:trPr>
        <w:tc>
          <w:tcPr>
            <w:tcW w:w="5000" w:type="pct"/>
            <w:hideMark/>
          </w:tcPr>
          <w:p w:rsidR="00000000" w:rsidRDefault="00DA767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u w:val="single"/>
        </w:rPr>
        <w:t>Voting Rights</w:t>
      </w:r>
      <w:r>
        <w:rPr>
          <w:sz w:val="20"/>
          <w:szCs w:val="20"/>
        </w:rPr>
        <w:t>. Holders of Series A Conve</w:t>
      </w:r>
      <w:r>
        <w:rPr>
          <w:sz w:val="20"/>
          <w:szCs w:val="20"/>
        </w:rPr>
        <w:t>rtible Preferred are entitled to vote on all matters, together with the holders of common stock, and have the equivalent of five (5) votes for every Series A Conversion Share issuable upon conversion of such holder’s outstanding shares of Series A Converti</w:t>
      </w:r>
      <w:r>
        <w:rPr>
          <w:sz w:val="20"/>
          <w:szCs w:val="20"/>
        </w:rPr>
        <w:t>ble Preferred. However, the Series A Conversion Shares, when issued, will have all the same voting rights as other issued and outstanding common stock of the Company, and none of the rights of the Series A Convertible Preferred.</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u w:val="single"/>
        </w:rPr>
        <w:t>Liquidation</w:t>
      </w:r>
      <w:r>
        <w:rPr>
          <w:sz w:val="20"/>
          <w:szCs w:val="20"/>
        </w:rPr>
        <w:t xml:space="preserve">. </w:t>
      </w:r>
      <w:r>
        <w:rPr>
          <w:sz w:val="20"/>
          <w:szCs w:val="20"/>
        </w:rPr>
        <w:t>Upon any liquidation, dissolution, or winding-up of the Company, whether voluntary or involuntary (a “</w:t>
      </w:r>
      <w:r>
        <w:rPr>
          <w:i/>
          <w:iCs/>
          <w:sz w:val="20"/>
          <w:szCs w:val="20"/>
        </w:rPr>
        <w:t>Liquidation</w:t>
      </w:r>
      <w:r>
        <w:rPr>
          <w:sz w:val="20"/>
          <w:szCs w:val="20"/>
        </w:rPr>
        <w:t>”), the holders of Series A Convertible Preferred shall be entitled to receive out of the assets, whether capital or surplus, of the Company an</w:t>
      </w:r>
      <w:r>
        <w:rPr>
          <w:sz w:val="20"/>
          <w:szCs w:val="20"/>
        </w:rPr>
        <w:t xml:space="preserve"> amount equal to the liquidation preference of the Series A Convertible Preferred before any distribution or payment shall be made to the holders of any junior securities, and if the assets of the Company is insufficient to pay in full such amounts, then t</w:t>
      </w:r>
      <w:r>
        <w:rPr>
          <w:sz w:val="20"/>
          <w:szCs w:val="20"/>
        </w:rPr>
        <w:t>he entire assets to be distributed to the holders of the Series A Convertible Preferred shall be ratably distributed among the holders in accordance with the respective amounts that would be payable on such shares if all amounts payable thereon were paid i</w:t>
      </w:r>
      <w:r>
        <w:rPr>
          <w:sz w:val="20"/>
          <w:szCs w:val="20"/>
        </w:rPr>
        <w:t>n full.</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 pays a stock dividend or otherwise makes a distribution or distributions payable in shares of common stock on shares of common stock or any other commo</w:t>
      </w:r>
      <w:r>
        <w:rPr>
          <w:sz w:val="20"/>
          <w:szCs w:val="20"/>
        </w:rPr>
        <w:t>n stock equivalents; (ii) subdivides outstanding shares of common stock into a larger number of shares; (iii) combines (including by way of a reverse stock split) outstanding shares of common stock into a smaller number of shares; or (iv) issues, in the ev</w:t>
      </w:r>
      <w:r>
        <w:rPr>
          <w:sz w:val="20"/>
          <w:szCs w:val="20"/>
        </w:rPr>
        <w:t>ent of a reclassification of shares of the common stock, any shares of capital stock of the Company, then the conversion price shall be adjusted accordingly.</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recapitalization,</w:t>
      </w:r>
      <w:r>
        <w:rPr>
          <w:sz w:val="20"/>
          <w:szCs w:val="20"/>
        </w:rPr>
        <w:t xml:space="preserve"> reclassification, consolidation or merger in which the Common Stock is converted into or exchanged for securities, cash or other property than each share of Series A Preferred shall be convertible into the kind and amount of securities, cash or other prop</w:t>
      </w:r>
      <w:r>
        <w:rPr>
          <w:sz w:val="20"/>
          <w:szCs w:val="20"/>
        </w:rPr>
        <w:t>erty that a holder of the number of shares of common stock issuable upon conversion of one share of Series A Convertible Preferred prior to any such merger or reorganization would have been entitled to receive pursuant to such transaction.</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In June 2021,</w:t>
      </w:r>
      <w:r>
        <w:rPr>
          <w:sz w:val="20"/>
          <w:szCs w:val="20"/>
        </w:rPr>
        <w:t xml:space="preserve"> </w:t>
      </w:r>
      <w:r>
        <w:rPr>
          <w:sz w:val="20"/>
          <w:szCs w:val="20"/>
        </w:rPr>
        <w:t>100,00</w:t>
      </w:r>
      <w:r>
        <w:rPr>
          <w:sz w:val="20"/>
          <w:szCs w:val="20"/>
        </w:rPr>
        <w:t>0</w:t>
      </w:r>
      <w:r>
        <w:rPr>
          <w:sz w:val="20"/>
          <w:szCs w:val="20"/>
        </w:rPr>
        <w:t xml:space="preserve"> shares of Series A Convertible Preferred were canceled as partial payment for the exercise of stock options by the Chief Executive Officer.</w:t>
      </w:r>
    </w:p>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i/>
          <w:iCs/>
          <w:sz w:val="20"/>
          <w:szCs w:val="20"/>
        </w:rPr>
        <w:t>Series B Convertible Preferred Stock (“Series B Convertible Preferred”)</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In October 2018, the Series B Ce</w:t>
      </w:r>
      <w:r>
        <w:rPr>
          <w:sz w:val="20"/>
          <w:szCs w:val="20"/>
        </w:rPr>
        <w:t>rtificate of Designation was filed with the Delaware Secretary of State to designate</w:t>
      </w:r>
      <w:r>
        <w:rPr>
          <w:sz w:val="20"/>
          <w:szCs w:val="20"/>
        </w:rPr>
        <w:t xml:space="preserve"> </w:t>
      </w:r>
      <w:r>
        <w:rPr>
          <w:sz w:val="20"/>
          <w:szCs w:val="20"/>
        </w:rPr>
        <w:t>5.</w:t>
      </w:r>
      <w:r>
        <w:rPr>
          <w:sz w:val="20"/>
          <w:szCs w:val="20"/>
        </w:rPr>
        <w:t>0</w:t>
      </w:r>
      <w:r>
        <w:rPr>
          <w:sz w:val="20"/>
          <w:szCs w:val="20"/>
        </w:rPr>
        <w:t xml:space="preserve"> million shares of our preferred stock as Series B Convertible Preferred. The following summarizes the current rights and preferences of the Series B Convertible Prefer</w:t>
      </w:r>
      <w:r>
        <w:rPr>
          <w:sz w:val="20"/>
          <w:szCs w:val="20"/>
        </w:rPr>
        <w:t>red:</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u w:val="single"/>
        </w:rPr>
        <w:t>Liquidation Preference</w:t>
      </w:r>
      <w:r>
        <w:rPr>
          <w:sz w:val="20"/>
          <w:szCs w:val="20"/>
        </w:rPr>
        <w:t xml:space="preserve">. The Series B Convertible Preferred has a liquidation preference of </w:t>
      </w:r>
      <w:r>
        <w:rPr>
          <w:sz w:val="20"/>
          <w:szCs w:val="20"/>
        </w:rPr>
        <w:t>$</w:t>
      </w:r>
      <w:r>
        <w:rPr>
          <w:sz w:val="20"/>
          <w:szCs w:val="20"/>
        </w:rPr>
        <w:t>1.0</w:t>
      </w:r>
      <w:r>
        <w:rPr>
          <w:sz w:val="20"/>
          <w:szCs w:val="20"/>
        </w:rPr>
        <w:t>0</w:t>
      </w:r>
      <w:r>
        <w:rPr>
          <w:sz w:val="20"/>
          <w:szCs w:val="20"/>
        </w:rPr>
        <w:t xml:space="preserve"> per share.</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u w:val="single"/>
        </w:rPr>
        <w:t>Dividends</w:t>
      </w:r>
      <w:r>
        <w:rPr>
          <w:sz w:val="20"/>
          <w:szCs w:val="20"/>
        </w:rPr>
        <w:t>. Shares of Series B Convertible Preferred do not have any separate dividend rights.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u w:val="single"/>
        </w:rPr>
        <w:t>Conversion</w:t>
      </w:r>
      <w:r>
        <w:rPr>
          <w:sz w:val="20"/>
          <w:szCs w:val="20"/>
        </w:rPr>
        <w:t xml:space="preserve">. Subject to certain limitations </w:t>
      </w:r>
      <w:r>
        <w:rPr>
          <w:sz w:val="20"/>
          <w:szCs w:val="20"/>
        </w:rPr>
        <w:t>set forth in the Series B Certificate of Designation, each share of Series B Convertible Preferred is convertible, at the option of the holder, into that number of shares of common stock (the “</w:t>
      </w:r>
      <w:r>
        <w:rPr>
          <w:i/>
          <w:iCs/>
          <w:sz w:val="20"/>
          <w:szCs w:val="20"/>
        </w:rPr>
        <w:t>Series B Conversion Shares</w:t>
      </w:r>
      <w:r>
        <w:rPr>
          <w:sz w:val="20"/>
          <w:szCs w:val="20"/>
        </w:rPr>
        <w:t>”) equal to the liquidation preferenc</w:t>
      </w:r>
      <w:r>
        <w:rPr>
          <w:sz w:val="20"/>
          <w:szCs w:val="20"/>
        </w:rPr>
        <w:t xml:space="preserve">e thereof, divided by Conversion Price (as such term is defined in the Series B Certificate of Designation), currently </w:t>
      </w:r>
      <w:r>
        <w:rPr>
          <w:sz w:val="20"/>
          <w:szCs w:val="20"/>
        </w:rPr>
        <w:t>$</w:t>
      </w:r>
      <w:r>
        <w:rPr>
          <w:sz w:val="20"/>
          <w:szCs w:val="20"/>
        </w:rPr>
        <w:t>0.0</w:t>
      </w:r>
      <w:r>
        <w:rPr>
          <w:sz w:val="20"/>
          <w:szCs w:val="20"/>
        </w:rPr>
        <w:t>8</w:t>
      </w:r>
      <w:r>
        <w:rPr>
          <w:sz w:val="20"/>
          <w:szCs w:val="20"/>
        </w:rPr>
        <w:t>.</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u w:val="single"/>
        </w:rPr>
        <w:t>Redemption</w:t>
      </w:r>
      <w:r>
        <w:rPr>
          <w:sz w:val="20"/>
          <w:szCs w:val="20"/>
        </w:rPr>
        <w:t>.</w:t>
      </w:r>
      <w:r>
        <w:rPr>
          <w:sz w:val="20"/>
          <w:szCs w:val="20"/>
        </w:rPr>
        <w:t xml:space="preserve"> </w:t>
      </w:r>
      <w:r>
        <w:rPr>
          <w:sz w:val="20"/>
          <w:szCs w:val="20"/>
        </w:rPr>
        <w:t>Subject to certain conditions set forth in the Series B Certificate of Designation, in the event of a Change of Cont</w:t>
      </w:r>
      <w:r>
        <w:rPr>
          <w:sz w:val="20"/>
          <w:szCs w:val="20"/>
        </w:rPr>
        <w:t>rol (defined in the Series B Certificate of Designation as the time at which as a third party not affiliated with the Company or any holders of the Series B Convertible Preferred shall have acquired, in one or a series of related transactions, equity secur</w:t>
      </w:r>
      <w:r>
        <w:rPr>
          <w:sz w:val="20"/>
          <w:szCs w:val="20"/>
        </w:rPr>
        <w:t>ities of the Company representing more than fifty percent 50% of the outstanding voting securities of the Company), the Company, at its option, will have the right to redeem all or a portion of the outstanding Series B Convertible Preferred in cash at a pr</w:t>
      </w:r>
      <w:r>
        <w:rPr>
          <w:sz w:val="20"/>
          <w:szCs w:val="20"/>
        </w:rPr>
        <w:t>ice per share of Series B Convertible Preferred equal to</w:t>
      </w:r>
      <w:r>
        <w:rPr>
          <w:sz w:val="20"/>
          <w:szCs w:val="20"/>
        </w:rPr>
        <w:t xml:space="preserve"> </w:t>
      </w:r>
      <w:r>
        <w:rPr>
          <w:sz w:val="20"/>
          <w:szCs w:val="20"/>
        </w:rPr>
        <w:t>10</w:t>
      </w:r>
      <w:r>
        <w:rPr>
          <w:sz w:val="20"/>
          <w:szCs w:val="20"/>
        </w:rPr>
        <w:t>0</w:t>
      </w:r>
      <w:r>
        <w:rPr>
          <w:sz w:val="20"/>
          <w:szCs w:val="20"/>
        </w:rPr>
        <w:t>% of the Liquidation Preference</w:t>
      </w:r>
      <w:r>
        <w:rPr>
          <w:sz w:val="20"/>
          <w:szCs w:val="20"/>
        </w:rPr>
        <w:t>.</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u w:val="single"/>
        </w:rPr>
        <w:t>Voting Rights</w:t>
      </w:r>
      <w:r>
        <w:rPr>
          <w:sz w:val="20"/>
          <w:szCs w:val="20"/>
        </w:rPr>
        <w:t xml:space="preserve">. Holders of Series B Convertible Preferred are entitled to vote on all matters, together with the holders of common stock, and have the equivalent </w:t>
      </w:r>
      <w:r>
        <w:rPr>
          <w:sz w:val="20"/>
          <w:szCs w:val="20"/>
        </w:rPr>
        <w:t xml:space="preserve">of two (2) votes for every Series B Conversion Share issuable upon conversion of such holder’s outstanding shares of Series B Convertible Preferred. However, the Series B Conversion Shares, when issued, will have all the same voting rights as other issued </w:t>
      </w:r>
      <w:r>
        <w:rPr>
          <w:sz w:val="20"/>
          <w:szCs w:val="20"/>
        </w:rPr>
        <w:t>and outstanding common stock of the Company, and none of the rights of the Series A Convertible Preferred.</w:t>
      </w:r>
    </w:p>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82443542"/>
        </w:trPr>
        <w:tc>
          <w:tcPr>
            <w:tcW w:w="5000" w:type="pct"/>
            <w:hideMark/>
          </w:tcPr>
          <w:p w:rsidR="00000000" w:rsidRDefault="00DA767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u w:val="single"/>
        </w:rPr>
        <w:t>Liquidation</w:t>
      </w:r>
      <w:r>
        <w:rPr>
          <w:sz w:val="20"/>
          <w:szCs w:val="20"/>
        </w:rPr>
        <w:t xml:space="preserve">. </w:t>
      </w:r>
      <w:r>
        <w:rPr>
          <w:sz w:val="20"/>
          <w:szCs w:val="20"/>
        </w:rPr>
        <w:t>Upon any liquidation, dissolution, or winding-up of the Company, whether voluntary or involuntary (a “</w:t>
      </w:r>
      <w:r>
        <w:rPr>
          <w:i/>
          <w:iCs/>
          <w:sz w:val="20"/>
          <w:szCs w:val="20"/>
        </w:rPr>
        <w:t>Liquidation</w:t>
      </w:r>
      <w:r>
        <w:rPr>
          <w:sz w:val="20"/>
          <w:szCs w:val="20"/>
        </w:rPr>
        <w:t xml:space="preserve">”), </w:t>
      </w:r>
      <w:r>
        <w:rPr>
          <w:sz w:val="20"/>
          <w:szCs w:val="20"/>
        </w:rPr>
        <w:t xml:space="preserve">the holders of Series B Convertible Preferred shall be entitled to receive out of the assets, whether capital or surplus, of the Company an amount equal to the liquidation preference of the Series B Convertible Preferred before any distribution or payment </w:t>
      </w:r>
      <w:r>
        <w:rPr>
          <w:sz w:val="20"/>
          <w:szCs w:val="20"/>
        </w:rPr>
        <w:t xml:space="preserve">shall be made to the holders of any junior securities, and if the assets of the Company is insufficient to pay in full such amounts, then the entire assets to be distributed to the holders of the Series B Convertible Preferred shall be ratably distributed </w:t>
      </w:r>
      <w:r>
        <w:rPr>
          <w:sz w:val="20"/>
          <w:szCs w:val="20"/>
        </w:rPr>
        <w:t>among the holders in accordance with the respective amounts that would be payable on such shares if all amounts payable thereon were paid in full.</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 pays a stock</w:t>
      </w:r>
      <w:r>
        <w:rPr>
          <w:sz w:val="20"/>
          <w:szCs w:val="20"/>
        </w:rPr>
        <w:t xml:space="preserve"> dividend or otherwise makes a distribution or distributions payable in shares of common stock on shares of common stock or any other common stock equivalents; (ii) subdivides outstanding shares of common stock into a larger number of shares; (iii) combine</w:t>
      </w:r>
      <w:r>
        <w:rPr>
          <w:sz w:val="20"/>
          <w:szCs w:val="20"/>
        </w:rPr>
        <w:t>s (including by way of a reverse stock split) outstanding shares of common stock into a smaller number of shares; or (iv) issues, in the event of a reclassification of shares of the common stock, any shares of capital stock of the Company, then the convers</w:t>
      </w:r>
      <w:r>
        <w:rPr>
          <w:sz w:val="20"/>
          <w:szCs w:val="20"/>
        </w:rPr>
        <w:t>ion price shall be adjusted accordingly.</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recapitalization, reclassification, consolidation or merger in which the Common Stock is converted into or exchanged for securities, c</w:t>
      </w:r>
      <w:r>
        <w:rPr>
          <w:sz w:val="20"/>
          <w:szCs w:val="20"/>
        </w:rPr>
        <w:t>ash or other property than each share of Series B Convertible Preferred shall be convertible into the kind and amount of securities, cash or other property that a holder of the number of shares of common stock issuable upon conversion of one share of Serie</w:t>
      </w:r>
      <w:r>
        <w:rPr>
          <w:sz w:val="20"/>
          <w:szCs w:val="20"/>
        </w:rPr>
        <w:t>s B Convertible Preferred prior to any such merger or reorganization would have been entitled to receive pursuant to such transaction.</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In December 2021,</w:t>
      </w:r>
      <w:r>
        <w:rPr>
          <w:sz w:val="20"/>
          <w:szCs w:val="20"/>
        </w:rPr>
        <w:t xml:space="preserve"> </w:t>
      </w:r>
      <w:r>
        <w:rPr>
          <w:sz w:val="20"/>
          <w:szCs w:val="20"/>
        </w:rPr>
        <w:t>236,29</w:t>
      </w:r>
      <w:r>
        <w:rPr>
          <w:sz w:val="20"/>
          <w:szCs w:val="20"/>
        </w:rPr>
        <w:t>0</w:t>
      </w:r>
      <w:r>
        <w:rPr>
          <w:sz w:val="20"/>
          <w:szCs w:val="20"/>
        </w:rPr>
        <w:t xml:space="preserve"> Series B Convertible Preferred shares were converted into</w:t>
      </w:r>
      <w:r>
        <w:rPr>
          <w:sz w:val="20"/>
          <w:szCs w:val="20"/>
        </w:rPr>
        <w:t xml:space="preserve"> </w:t>
      </w:r>
      <w:r>
        <w:rPr>
          <w:sz w:val="20"/>
          <w:szCs w:val="20"/>
        </w:rPr>
        <w:t>2,953,62</w:t>
      </w:r>
      <w:r>
        <w:rPr>
          <w:sz w:val="20"/>
          <w:szCs w:val="20"/>
        </w:rPr>
        <w:t>5</w:t>
      </w:r>
      <w:r>
        <w:rPr>
          <w:sz w:val="20"/>
          <w:szCs w:val="20"/>
        </w:rPr>
        <w:t xml:space="preserve"> shares of common stock.</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i/>
          <w:iCs/>
          <w:sz w:val="20"/>
          <w:szCs w:val="20"/>
        </w:rPr>
        <w:t>Series C Convertible Preferred Stock (“Series C Convertible Preferred”)</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In March 2019, the Series C Certificate of Designation was filed with the Delaware Secretary of State to designate</w:t>
      </w:r>
      <w:r>
        <w:rPr>
          <w:sz w:val="20"/>
          <w:szCs w:val="20"/>
        </w:rPr>
        <w:t xml:space="preserve"> </w:t>
      </w:r>
      <w:r>
        <w:rPr>
          <w:sz w:val="20"/>
          <w:szCs w:val="20"/>
        </w:rPr>
        <w:t>5.</w:t>
      </w:r>
      <w:r>
        <w:rPr>
          <w:sz w:val="20"/>
          <w:szCs w:val="20"/>
        </w:rPr>
        <w:t>0</w:t>
      </w:r>
      <w:r>
        <w:rPr>
          <w:sz w:val="20"/>
          <w:szCs w:val="20"/>
        </w:rPr>
        <w:t xml:space="preserve"> million shares of our preferred stock as Series C Convertible </w:t>
      </w:r>
      <w:r>
        <w:rPr>
          <w:sz w:val="20"/>
          <w:szCs w:val="20"/>
        </w:rPr>
        <w:t>Preferred. The following summarizes the current rights and preferences of the Series C Convertible Preferred:</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u w:val="single"/>
        </w:rPr>
        <w:t>Liquidation Preference</w:t>
      </w:r>
      <w:r>
        <w:rPr>
          <w:sz w:val="20"/>
          <w:szCs w:val="20"/>
        </w:rPr>
        <w:t xml:space="preserve">. The Series C Convertible Preferred has a liquidation preference of </w:t>
      </w:r>
      <w:r>
        <w:rPr>
          <w:sz w:val="20"/>
          <w:szCs w:val="20"/>
        </w:rPr>
        <w:t>$</w:t>
      </w:r>
      <w:r>
        <w:rPr>
          <w:sz w:val="20"/>
          <w:szCs w:val="20"/>
        </w:rPr>
        <w:t>1.0</w:t>
      </w:r>
      <w:r>
        <w:rPr>
          <w:sz w:val="20"/>
          <w:szCs w:val="20"/>
        </w:rPr>
        <w:t>0</w:t>
      </w:r>
      <w:r>
        <w:rPr>
          <w:sz w:val="20"/>
          <w:szCs w:val="20"/>
        </w:rPr>
        <w:t xml:space="preserve"> per share.</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u w:val="single"/>
        </w:rPr>
        <w:t>Dividends</w:t>
      </w:r>
      <w:r>
        <w:rPr>
          <w:sz w:val="20"/>
          <w:szCs w:val="20"/>
        </w:rPr>
        <w:t>. Shares of Series C Convertible Preferred do not have any separate dividend rights.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u w:val="single"/>
        </w:rPr>
        <w:t>Conversion</w:t>
      </w:r>
      <w:r>
        <w:rPr>
          <w:sz w:val="20"/>
          <w:szCs w:val="20"/>
        </w:rPr>
        <w:t>. Subject to certain limitations set forth in the Series C Cer</w:t>
      </w:r>
      <w:r>
        <w:rPr>
          <w:sz w:val="20"/>
          <w:szCs w:val="20"/>
        </w:rPr>
        <w:t>tificate of Designation, each share of Series C Convertible Preferred is convertible, at the option of the holder, into that number of shares of common stock (the “</w:t>
      </w:r>
      <w:r>
        <w:rPr>
          <w:i/>
          <w:iCs/>
          <w:sz w:val="20"/>
          <w:szCs w:val="20"/>
        </w:rPr>
        <w:t>Series C Conversion Shares</w:t>
      </w:r>
      <w:r>
        <w:rPr>
          <w:sz w:val="20"/>
          <w:szCs w:val="20"/>
        </w:rPr>
        <w:t>”) equal to the liquidation preference thereof, divided by Convers</w:t>
      </w:r>
      <w:r>
        <w:rPr>
          <w:sz w:val="20"/>
          <w:szCs w:val="20"/>
        </w:rPr>
        <w:t xml:space="preserve">ion Price (as such term is defined in the Series C Certificate of Designation), currently </w:t>
      </w:r>
      <w:r>
        <w:rPr>
          <w:sz w:val="20"/>
          <w:szCs w:val="20"/>
        </w:rPr>
        <w:t>$</w:t>
      </w:r>
      <w:r>
        <w:rPr>
          <w:sz w:val="20"/>
          <w:szCs w:val="20"/>
        </w:rPr>
        <w:t>0.0</w:t>
      </w:r>
      <w:r>
        <w:rPr>
          <w:sz w:val="20"/>
          <w:szCs w:val="20"/>
        </w:rPr>
        <w:t>8</w:t>
      </w:r>
      <w:r>
        <w:rPr>
          <w:sz w:val="20"/>
          <w:szCs w:val="20"/>
        </w:rPr>
        <w:t>.</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The Series C Convertible Preferred will only be convertible at any time after the date that the Company shall have amended its Certificate of Incorporation t</w:t>
      </w:r>
      <w:r>
        <w:rPr>
          <w:sz w:val="20"/>
          <w:szCs w:val="20"/>
        </w:rPr>
        <w:t>o increase the number of shares of common stock authorized for issuance thereunder or effect a reverse stock split of the outstanding shares of common stock by a sufficient amount to permit the conversion of all Series C Convertible Preferred into shares o</w:t>
      </w:r>
      <w:r>
        <w:rPr>
          <w:sz w:val="20"/>
          <w:szCs w:val="20"/>
        </w:rPr>
        <w:t>f common stock (“</w:t>
      </w:r>
      <w:r>
        <w:rPr>
          <w:i/>
          <w:iCs/>
          <w:sz w:val="20"/>
          <w:szCs w:val="20"/>
        </w:rPr>
        <w:t>Authorized Share Approval</w:t>
      </w:r>
      <w:r>
        <w:rPr>
          <w:sz w:val="20"/>
          <w:szCs w:val="20"/>
        </w:rPr>
        <w:t>”) (such date, the “</w:t>
      </w:r>
      <w:r>
        <w:rPr>
          <w:i/>
          <w:iCs/>
          <w:sz w:val="20"/>
          <w:szCs w:val="20"/>
        </w:rPr>
        <w:t>Initial Convertibility Date</w:t>
      </w:r>
      <w:r>
        <w:rPr>
          <w:sz w:val="20"/>
          <w:szCs w:val="20"/>
        </w:rPr>
        <w:t>”), each share of Series C Convertible Preferred shall be convertible into validly issued, fully paid and non-assessable shares of Common Stock on the terms and condit</w:t>
      </w:r>
      <w:r>
        <w:rPr>
          <w:sz w:val="20"/>
          <w:szCs w:val="20"/>
        </w:rPr>
        <w:t>ions set forth in the Series C Certificate of Designation under the definition “</w:t>
      </w:r>
      <w:r>
        <w:rPr>
          <w:i/>
          <w:iCs/>
          <w:sz w:val="20"/>
          <w:szCs w:val="20"/>
        </w:rPr>
        <w:t>Conversion Rights</w:t>
      </w:r>
      <w:r>
        <w:rPr>
          <w:sz w:val="20"/>
          <w:szCs w:val="20"/>
        </w:rPr>
        <w:t>”.</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u w:val="single"/>
        </w:rPr>
        <w:t>Redemption</w:t>
      </w:r>
      <w:r>
        <w:rPr>
          <w:sz w:val="20"/>
          <w:szCs w:val="20"/>
        </w:rPr>
        <w:t>.</w:t>
      </w:r>
      <w:r>
        <w:rPr>
          <w:sz w:val="20"/>
          <w:szCs w:val="20"/>
        </w:rPr>
        <w:t xml:space="preserve"> </w:t>
      </w:r>
      <w:r>
        <w:rPr>
          <w:sz w:val="20"/>
          <w:szCs w:val="20"/>
        </w:rPr>
        <w:t>Subject to certain conditions set forth in the Series C Certificate of Designation, in the event of a Change of Control (defined in the Series</w:t>
      </w:r>
      <w:r>
        <w:rPr>
          <w:sz w:val="20"/>
          <w:szCs w:val="20"/>
        </w:rPr>
        <w:t xml:space="preserve"> C Certificate of Designation as the time at which as a third party not affiliated with the Company or any holders of the Series C Convertible Preferred shall have acquired, in one or a series of related transactions, equity securities of the Company repre</w:t>
      </w:r>
      <w:r>
        <w:rPr>
          <w:sz w:val="20"/>
          <w:szCs w:val="20"/>
        </w:rPr>
        <w:t xml:space="preserve">senting more than fifty percent 50% of the outstanding voting securities of the Company), the Company, at its option, will have the right to redeem all or a portion of the outstanding Series C Convertible Preferred in cash at a price per share of Series C </w:t>
      </w:r>
      <w:r>
        <w:rPr>
          <w:sz w:val="20"/>
          <w:szCs w:val="20"/>
        </w:rPr>
        <w:t>Convertible Preferred equal to</w:t>
      </w:r>
      <w:r>
        <w:rPr>
          <w:sz w:val="20"/>
          <w:szCs w:val="20"/>
        </w:rPr>
        <w:t xml:space="preserve"> </w:t>
      </w:r>
      <w:r>
        <w:rPr>
          <w:sz w:val="20"/>
          <w:szCs w:val="20"/>
        </w:rPr>
        <w:t>10</w:t>
      </w:r>
      <w:r>
        <w:rPr>
          <w:sz w:val="20"/>
          <w:szCs w:val="20"/>
        </w:rPr>
        <w:t>0</w:t>
      </w:r>
      <w:r>
        <w:rPr>
          <w:sz w:val="20"/>
          <w:szCs w:val="20"/>
        </w:rPr>
        <w:t>% of the Liquidation Preferenc</w:t>
      </w:r>
      <w:r>
        <w:rPr>
          <w:sz w:val="20"/>
          <w:szCs w:val="20"/>
        </w:rPr>
        <w:t>e</w:t>
      </w:r>
      <w:r>
        <w:rPr>
          <w:sz w:val="20"/>
          <w:szCs w:val="20"/>
        </w:rPr>
        <w:t>.</w:t>
      </w:r>
    </w:p>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79521472"/>
        </w:trPr>
        <w:tc>
          <w:tcPr>
            <w:tcW w:w="5000" w:type="pct"/>
            <w:hideMark/>
          </w:tcPr>
          <w:p w:rsidR="00000000" w:rsidRDefault="00DA767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u w:val="single"/>
        </w:rPr>
        <w:t>Voting Rights</w:t>
      </w:r>
      <w:r>
        <w:rPr>
          <w:sz w:val="20"/>
          <w:szCs w:val="20"/>
        </w:rPr>
        <w:t xml:space="preserve">. Holders of Series C Convertible Preferred are entitled to vote on all matters, together with the holders of common stock, and have the equivalent of thirty-two </w:t>
      </w:r>
      <w:r>
        <w:rPr>
          <w:sz w:val="20"/>
          <w:szCs w:val="20"/>
        </w:rPr>
        <w:t>(32) votes for every Series C Conversion Share issuable upon conversion of such holder’s outstanding shares of Series C Convertible Preferred. However, the Series C Conversion Shares, when issued, will have all the same voting rights as other issued and ou</w:t>
      </w:r>
      <w:r>
        <w:rPr>
          <w:sz w:val="20"/>
          <w:szCs w:val="20"/>
        </w:rPr>
        <w:t>tstanding common stock of the Company, and none of the rights of the Series C Convertible Preferred.</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u w:val="single"/>
        </w:rPr>
        <w:t>Liquidation</w:t>
      </w:r>
      <w:r>
        <w:rPr>
          <w:sz w:val="20"/>
          <w:szCs w:val="20"/>
        </w:rPr>
        <w:t>. Upon any liquidation, dissolution, or winding-up of the Company, whether voluntary or involuntary (a “</w:t>
      </w:r>
      <w:r>
        <w:rPr>
          <w:i/>
          <w:iCs/>
          <w:sz w:val="20"/>
          <w:szCs w:val="20"/>
        </w:rPr>
        <w:t>Liquidation</w:t>
      </w:r>
      <w:r>
        <w:rPr>
          <w:sz w:val="20"/>
          <w:szCs w:val="20"/>
        </w:rPr>
        <w:t>”), the holders of Series C</w:t>
      </w:r>
      <w:r>
        <w:rPr>
          <w:sz w:val="20"/>
          <w:szCs w:val="20"/>
        </w:rPr>
        <w:t xml:space="preserve"> Convertible Preferred shall be entitled to receive out of the assets, whether capital or surplus, of the Company an amount equal to the liquidation preference of the Series C Convertible Preferred before any distribution or payment shall be made to the ho</w:t>
      </w:r>
      <w:r>
        <w:rPr>
          <w:sz w:val="20"/>
          <w:szCs w:val="20"/>
        </w:rPr>
        <w:t>lders of any junior securities, and if the assets of the Company is insufficient to pay in full such amounts, then the entire assets to be distributed to the holders of the Series C Convertible Preferred shall be ratably distributed among the holders in ac</w:t>
      </w:r>
      <w:r>
        <w:rPr>
          <w:sz w:val="20"/>
          <w:szCs w:val="20"/>
        </w:rPr>
        <w:t>cordance with the respective amounts that would be payable on such shares if all amounts payable thereon were paid in full.</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 pays a stock dividend or otherwise makes a distribution or distributions payable in shares of common stock on shares of common stock or any other common stock equivalents; (ii) subdivides outstanding shares of common stock into a large</w:t>
      </w:r>
      <w:r>
        <w:rPr>
          <w:sz w:val="20"/>
          <w:szCs w:val="20"/>
        </w:rPr>
        <w:t>r number of shares; (iii) combines (including by way of a reverse stock split) outstanding shares of common stock into a smaller number of shares; or (iv) issues, in the event of a reclassification of shares of the common stock, any shares of capital stock</w:t>
      </w:r>
      <w:r>
        <w:rPr>
          <w:sz w:val="20"/>
          <w:szCs w:val="20"/>
        </w:rPr>
        <w:t xml:space="preserve"> of the Company, then the conversion price shall be adjusted accordingly.</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recapitalization, reclassification, consolidation or merger in which the Common Stock is converted in</w:t>
      </w:r>
      <w:r>
        <w:rPr>
          <w:sz w:val="20"/>
          <w:szCs w:val="20"/>
        </w:rPr>
        <w:t>to or exchanged for securities, cash or other property than each share of Series C Convertible Preferred shall be convertible into the kind and amount of securities, cash or other property that a holder of the number of shares of common stock issuable upon</w:t>
      </w:r>
      <w:r>
        <w:rPr>
          <w:sz w:val="20"/>
          <w:szCs w:val="20"/>
        </w:rPr>
        <w:t xml:space="preserve"> conversion of one share of Series C Convertible Preferred prior to any such merger or reorganization would have been entitled to receive pursuant to such transaction.</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Common and Preferred Stock Issuances - 2022</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In March 2022, the Company issued</w:t>
      </w:r>
      <w:r>
        <w:rPr>
          <w:sz w:val="20"/>
          <w:szCs w:val="20"/>
        </w:rPr>
        <w:t xml:space="preserve"> </w:t>
      </w:r>
      <w:r>
        <w:rPr>
          <w:sz w:val="20"/>
          <w:szCs w:val="20"/>
        </w:rPr>
        <w:t>299,57</w:t>
      </w:r>
      <w:r>
        <w:rPr>
          <w:sz w:val="20"/>
          <w:szCs w:val="20"/>
        </w:rPr>
        <w:t>7</w:t>
      </w:r>
      <w:r>
        <w:rPr>
          <w:sz w:val="20"/>
          <w:szCs w:val="20"/>
        </w:rPr>
        <w:t xml:space="preserve"> shares of common stock in the cashless exercise of</w:t>
      </w:r>
      <w:r>
        <w:rPr>
          <w:sz w:val="20"/>
          <w:szCs w:val="20"/>
        </w:rPr>
        <w:t xml:space="preserve"> </w:t>
      </w:r>
      <w:r>
        <w:rPr>
          <w:sz w:val="20"/>
          <w:szCs w:val="20"/>
        </w:rPr>
        <w:t>825,00</w:t>
      </w:r>
      <w:r>
        <w:rPr>
          <w:sz w:val="20"/>
          <w:szCs w:val="20"/>
        </w:rPr>
        <w:t>0</w:t>
      </w:r>
      <w:r>
        <w:rPr>
          <w:sz w:val="20"/>
          <w:szCs w:val="20"/>
        </w:rPr>
        <w:t xml:space="preserve"> warrants, and issued</w:t>
      </w:r>
      <w:r>
        <w:rPr>
          <w:sz w:val="20"/>
          <w:szCs w:val="20"/>
        </w:rPr>
        <w:t xml:space="preserve"> </w:t>
      </w:r>
      <w:r>
        <w:rPr>
          <w:sz w:val="20"/>
          <w:szCs w:val="20"/>
        </w:rPr>
        <w:t>76,25</w:t>
      </w:r>
      <w:r>
        <w:rPr>
          <w:sz w:val="20"/>
          <w:szCs w:val="20"/>
        </w:rPr>
        <w:t>0</w:t>
      </w:r>
      <w:r>
        <w:rPr>
          <w:sz w:val="20"/>
          <w:szCs w:val="20"/>
        </w:rPr>
        <w:t xml:space="preserve"> shares of common stock to its CEO for services rendered valued at </w:t>
      </w:r>
      <w:r>
        <w:rPr>
          <w:sz w:val="20"/>
          <w:szCs w:val="20"/>
        </w:rPr>
        <w:t>$</w:t>
      </w:r>
      <w:r>
        <w:rPr>
          <w:sz w:val="20"/>
          <w:szCs w:val="20"/>
        </w:rPr>
        <w:t>4,88</w:t>
      </w:r>
      <w:r>
        <w:rPr>
          <w:sz w:val="20"/>
          <w:szCs w:val="20"/>
        </w:rPr>
        <w:t>0</w:t>
      </w:r>
      <w:r>
        <w:rPr>
          <w:sz w:val="20"/>
          <w:szCs w:val="20"/>
        </w:rPr>
        <w:t>. In June 2022, there was a fractional adjustment recorded for</w:t>
      </w:r>
      <w:r>
        <w:rPr>
          <w:sz w:val="20"/>
          <w:szCs w:val="20"/>
        </w:rPr>
        <w:t xml:space="preserve"> </w:t>
      </w:r>
      <w:r>
        <w:rPr>
          <w:sz w:val="20"/>
          <w:szCs w:val="20"/>
        </w:rPr>
        <w:t>9</w:t>
      </w:r>
      <w:r>
        <w:rPr>
          <w:sz w:val="20"/>
          <w:szCs w:val="20"/>
        </w:rPr>
        <w:t>0</w:t>
      </w:r>
      <w:r>
        <w:rPr>
          <w:sz w:val="20"/>
          <w:szCs w:val="20"/>
        </w:rPr>
        <w:t xml:space="preserve"> shares.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On July 7, 2022, th</w:t>
      </w:r>
      <w:r>
        <w:rPr>
          <w:sz w:val="20"/>
          <w:szCs w:val="20"/>
        </w:rPr>
        <w:t>e Company sold</w:t>
      </w:r>
      <w:r>
        <w:rPr>
          <w:sz w:val="20"/>
          <w:szCs w:val="20"/>
        </w:rPr>
        <w:t xml:space="preserve"> </w:t>
      </w:r>
      <w:r>
        <w:rPr>
          <w:sz w:val="20"/>
          <w:szCs w:val="20"/>
        </w:rPr>
        <w:t>15,000,00</w:t>
      </w:r>
      <w:r>
        <w:rPr>
          <w:sz w:val="20"/>
          <w:szCs w:val="20"/>
        </w:rPr>
        <w:t>0</w:t>
      </w:r>
      <w:r>
        <w:rPr>
          <w:sz w:val="20"/>
          <w:szCs w:val="20"/>
        </w:rPr>
        <w:t xml:space="preserve"> shares under the Regulation A+ at </w:t>
      </w:r>
      <w:r>
        <w:rPr>
          <w:sz w:val="20"/>
          <w:szCs w:val="20"/>
        </w:rPr>
        <w:t>$</w:t>
      </w:r>
      <w:r>
        <w:rPr>
          <w:sz w:val="20"/>
          <w:szCs w:val="20"/>
        </w:rPr>
        <w:t>0.0</w:t>
      </w:r>
      <w:r>
        <w:rPr>
          <w:sz w:val="20"/>
          <w:szCs w:val="20"/>
        </w:rPr>
        <w:t>8</w:t>
      </w:r>
      <w:r>
        <w:rPr>
          <w:sz w:val="20"/>
          <w:szCs w:val="20"/>
        </w:rPr>
        <w:t xml:space="preserve"> for </w:t>
      </w:r>
      <w:r>
        <w:rPr>
          <w:sz w:val="20"/>
          <w:szCs w:val="20"/>
        </w:rPr>
        <w:t>$</w:t>
      </w:r>
      <w:r>
        <w:rPr>
          <w:sz w:val="20"/>
          <w:szCs w:val="20"/>
        </w:rPr>
        <w:t>1,200,00</w:t>
      </w:r>
      <w:r>
        <w:rPr>
          <w:sz w:val="20"/>
          <w:szCs w:val="20"/>
        </w:rPr>
        <w:t>0</w:t>
      </w:r>
      <w:r>
        <w:rPr>
          <w:sz w:val="20"/>
          <w:szCs w:val="20"/>
        </w:rPr>
        <w:t>, and</w:t>
      </w:r>
      <w:r>
        <w:rPr>
          <w:sz w:val="20"/>
          <w:szCs w:val="20"/>
        </w:rPr>
        <w:t xml:space="preserve"> </w:t>
      </w:r>
      <w:r>
        <w:rPr>
          <w:sz w:val="20"/>
          <w:szCs w:val="20"/>
        </w:rPr>
        <w:t>20,000,00</w:t>
      </w:r>
      <w:r>
        <w:rPr>
          <w:sz w:val="20"/>
          <w:szCs w:val="20"/>
        </w:rPr>
        <w:t>0</w:t>
      </w:r>
      <w:r>
        <w:rPr>
          <w:sz w:val="20"/>
          <w:szCs w:val="20"/>
        </w:rPr>
        <w:t xml:space="preserve"> warrants </w:t>
      </w:r>
      <w:r>
        <w:rPr>
          <w:sz w:val="20"/>
          <w:szCs w:val="20"/>
        </w:rPr>
        <w:t>(</w:t>
      </w:r>
      <w:r>
        <w:rPr>
          <w:sz w:val="20"/>
          <w:szCs w:val="20"/>
        </w:rPr>
        <w:t>15,000,00</w:t>
      </w:r>
      <w:r>
        <w:rPr>
          <w:sz w:val="20"/>
          <w:szCs w:val="20"/>
        </w:rPr>
        <w:t>0</w:t>
      </w:r>
      <w:r>
        <w:rPr>
          <w:sz w:val="20"/>
          <w:szCs w:val="20"/>
        </w:rPr>
        <w:t xml:space="preserve"> at </w:t>
      </w:r>
      <w:r>
        <w:rPr>
          <w:sz w:val="20"/>
          <w:szCs w:val="20"/>
        </w:rPr>
        <w:t>$</w:t>
      </w:r>
      <w:r>
        <w:rPr>
          <w:sz w:val="20"/>
          <w:szCs w:val="20"/>
        </w:rPr>
        <w:t>0.0</w:t>
      </w:r>
      <w:r>
        <w:rPr>
          <w:sz w:val="20"/>
          <w:szCs w:val="20"/>
        </w:rPr>
        <w:t>8</w:t>
      </w:r>
      <w:r>
        <w:rPr>
          <w:sz w:val="20"/>
          <w:szCs w:val="20"/>
        </w:rPr>
        <w:t xml:space="preserve"> expiring June 2025 and</w:t>
      </w:r>
      <w:r>
        <w:rPr>
          <w:sz w:val="20"/>
          <w:szCs w:val="20"/>
        </w:rPr>
        <w:t xml:space="preserve"> </w:t>
      </w:r>
      <w:r>
        <w:rPr>
          <w:sz w:val="20"/>
          <w:szCs w:val="20"/>
        </w:rPr>
        <w:t>5,000,00</w:t>
      </w:r>
      <w:r>
        <w:rPr>
          <w:sz w:val="20"/>
          <w:szCs w:val="20"/>
        </w:rPr>
        <w:t>0</w:t>
      </w:r>
      <w:r>
        <w:rPr>
          <w:sz w:val="20"/>
          <w:szCs w:val="20"/>
        </w:rPr>
        <w:t xml:space="preserve"> at </w:t>
      </w:r>
      <w:r>
        <w:rPr>
          <w:sz w:val="20"/>
          <w:szCs w:val="20"/>
        </w:rPr>
        <w:t>$</w:t>
      </w:r>
      <w:r>
        <w:rPr>
          <w:sz w:val="20"/>
          <w:szCs w:val="20"/>
        </w:rPr>
        <w:t>0.0</w:t>
      </w:r>
      <w:r>
        <w:rPr>
          <w:sz w:val="20"/>
          <w:szCs w:val="20"/>
        </w:rPr>
        <w:t>1</w:t>
      </w:r>
      <w:r>
        <w:rPr>
          <w:sz w:val="20"/>
          <w:szCs w:val="20"/>
        </w:rPr>
        <w:t xml:space="preserve"> expiring December 2022) for </w:t>
      </w:r>
      <w:r>
        <w:rPr>
          <w:sz w:val="20"/>
          <w:szCs w:val="20"/>
        </w:rPr>
        <w:t>$</w:t>
      </w:r>
      <w:r>
        <w:rPr>
          <w:sz w:val="20"/>
          <w:szCs w:val="20"/>
        </w:rPr>
        <w:t>20,00</w:t>
      </w:r>
      <w:r>
        <w:rPr>
          <w:sz w:val="20"/>
          <w:szCs w:val="20"/>
        </w:rPr>
        <w:t>0</w:t>
      </w:r>
      <w:r>
        <w:rPr>
          <w:sz w:val="20"/>
          <w:szCs w:val="20"/>
        </w:rPr>
        <w:t>.</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In September 2022, the Company issued</w:t>
      </w:r>
      <w:r>
        <w:rPr>
          <w:sz w:val="20"/>
          <w:szCs w:val="20"/>
        </w:rPr>
        <w:t xml:space="preserve"> </w:t>
      </w:r>
      <w:r>
        <w:rPr>
          <w:sz w:val="20"/>
          <w:szCs w:val="20"/>
        </w:rPr>
        <w:t>984,84</w:t>
      </w:r>
      <w:r>
        <w:rPr>
          <w:sz w:val="20"/>
          <w:szCs w:val="20"/>
        </w:rPr>
        <w:t>0</w:t>
      </w:r>
      <w:r>
        <w:rPr>
          <w:sz w:val="20"/>
          <w:szCs w:val="20"/>
        </w:rPr>
        <w:t xml:space="preserve"> sh</w:t>
      </w:r>
      <w:r>
        <w:rPr>
          <w:sz w:val="20"/>
          <w:szCs w:val="20"/>
        </w:rPr>
        <w:t xml:space="preserve">ares valued at </w:t>
      </w:r>
      <w:r>
        <w:rPr>
          <w:sz w:val="20"/>
          <w:szCs w:val="20"/>
        </w:rPr>
        <w:t>$</w:t>
      </w:r>
      <w:r>
        <w:rPr>
          <w:sz w:val="20"/>
          <w:szCs w:val="20"/>
        </w:rPr>
        <w:t>49,24</w:t>
      </w:r>
      <w:r>
        <w:rPr>
          <w:sz w:val="20"/>
          <w:szCs w:val="20"/>
        </w:rPr>
        <w:t>2</w:t>
      </w:r>
      <w:r>
        <w:rPr>
          <w:sz w:val="20"/>
          <w:szCs w:val="20"/>
        </w:rPr>
        <w:t xml:space="preserve"> in settlement of accounts payable.</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In December 2022, the Company issued</w:t>
      </w:r>
      <w:r>
        <w:rPr>
          <w:sz w:val="20"/>
          <w:szCs w:val="20"/>
        </w:rPr>
        <w:t xml:space="preserve"> </w:t>
      </w:r>
      <w:r>
        <w:rPr>
          <w:sz w:val="20"/>
          <w:szCs w:val="20"/>
        </w:rPr>
        <w:t>2,650,27</w:t>
      </w:r>
      <w:r>
        <w:rPr>
          <w:sz w:val="20"/>
          <w:szCs w:val="20"/>
        </w:rPr>
        <w:t>3</w:t>
      </w:r>
      <w:r>
        <w:rPr>
          <w:sz w:val="20"/>
          <w:szCs w:val="20"/>
        </w:rPr>
        <w:t xml:space="preserve"> shares of common stock in the cashless exercise of</w:t>
      </w:r>
      <w:r>
        <w:rPr>
          <w:sz w:val="20"/>
          <w:szCs w:val="20"/>
        </w:rPr>
        <w:t xml:space="preserve"> </w:t>
      </w:r>
      <w:r>
        <w:rPr>
          <w:sz w:val="20"/>
          <w:szCs w:val="20"/>
        </w:rPr>
        <w:t>3,333,33</w:t>
      </w:r>
      <w:r>
        <w:rPr>
          <w:sz w:val="20"/>
          <w:szCs w:val="20"/>
        </w:rPr>
        <w:t>3</w:t>
      </w:r>
      <w:r>
        <w:rPr>
          <w:sz w:val="20"/>
          <w:szCs w:val="20"/>
        </w:rPr>
        <w:t xml:space="preserve"> warrants.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i/>
          <w:iCs/>
          <w:sz w:val="20"/>
          <w:szCs w:val="20"/>
        </w:rPr>
        <w:t>Common and Preferred Stock Issuances - 2021</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In January 2021, the Company i</w:t>
      </w:r>
      <w:r>
        <w:rPr>
          <w:sz w:val="20"/>
          <w:szCs w:val="20"/>
        </w:rPr>
        <w:t>ssued</w:t>
      </w:r>
      <w:r>
        <w:rPr>
          <w:sz w:val="20"/>
          <w:szCs w:val="20"/>
        </w:rPr>
        <w:t xml:space="preserve"> </w:t>
      </w:r>
      <w:r>
        <w:rPr>
          <w:sz w:val="20"/>
          <w:szCs w:val="20"/>
        </w:rPr>
        <w:t>384,44</w:t>
      </w:r>
      <w:r>
        <w:rPr>
          <w:sz w:val="20"/>
          <w:szCs w:val="20"/>
        </w:rPr>
        <w:t>5</w:t>
      </w:r>
      <w:r>
        <w:rPr>
          <w:sz w:val="20"/>
          <w:szCs w:val="20"/>
        </w:rPr>
        <w:t xml:space="preserve"> shares of common stock in a settlement of accounts payable valued at </w:t>
      </w:r>
      <w:r>
        <w:rPr>
          <w:sz w:val="20"/>
          <w:szCs w:val="20"/>
        </w:rPr>
        <w:t>$</w:t>
      </w:r>
      <w:r>
        <w:rPr>
          <w:sz w:val="20"/>
          <w:szCs w:val="20"/>
        </w:rPr>
        <w:t>50,00</w:t>
      </w:r>
      <w:r>
        <w:rPr>
          <w:sz w:val="20"/>
          <w:szCs w:val="20"/>
        </w:rPr>
        <w:t>0</w:t>
      </w:r>
      <w:r>
        <w:rPr>
          <w:sz w:val="20"/>
          <w:szCs w:val="20"/>
        </w:rPr>
        <w:t>. In May 2021, the Company issued</w:t>
      </w:r>
      <w:r>
        <w:rPr>
          <w:sz w:val="20"/>
          <w:szCs w:val="20"/>
        </w:rPr>
        <w:t xml:space="preserve"> </w:t>
      </w:r>
      <w:r>
        <w:rPr>
          <w:sz w:val="20"/>
          <w:szCs w:val="20"/>
        </w:rPr>
        <w:t>519,48</w:t>
      </w:r>
      <w:r>
        <w:rPr>
          <w:sz w:val="20"/>
          <w:szCs w:val="20"/>
        </w:rPr>
        <w:t>0</w:t>
      </w:r>
      <w:r>
        <w:rPr>
          <w:sz w:val="20"/>
          <w:szCs w:val="20"/>
        </w:rPr>
        <w:t xml:space="preserve"> shares of common stock in a settlement of accounts payable valued at </w:t>
      </w:r>
      <w:r>
        <w:rPr>
          <w:sz w:val="20"/>
          <w:szCs w:val="20"/>
        </w:rPr>
        <w:t>$</w:t>
      </w:r>
      <w:r>
        <w:rPr>
          <w:sz w:val="20"/>
          <w:szCs w:val="20"/>
        </w:rPr>
        <w:t>40,00</w:t>
      </w:r>
      <w:r>
        <w:rPr>
          <w:sz w:val="20"/>
          <w:szCs w:val="20"/>
        </w:rPr>
        <w:t>0</w:t>
      </w:r>
      <w:r>
        <w:rPr>
          <w:sz w:val="20"/>
          <w:szCs w:val="20"/>
        </w:rPr>
        <w:t>.</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In January 2021, the Company issued</w:t>
      </w:r>
      <w:r>
        <w:rPr>
          <w:sz w:val="20"/>
          <w:szCs w:val="20"/>
        </w:rPr>
        <w:t xml:space="preserve"> </w:t>
      </w:r>
      <w:r>
        <w:rPr>
          <w:sz w:val="20"/>
          <w:szCs w:val="20"/>
        </w:rPr>
        <w:t>1,259,25</w:t>
      </w:r>
      <w:r>
        <w:rPr>
          <w:sz w:val="20"/>
          <w:szCs w:val="20"/>
        </w:rPr>
        <w:t>0</w:t>
      </w:r>
      <w:r>
        <w:rPr>
          <w:sz w:val="20"/>
          <w:szCs w:val="20"/>
        </w:rPr>
        <w:t xml:space="preserve"> shares of common stock in conversion of a note payable and accrued interest totaling </w:t>
      </w:r>
      <w:r>
        <w:rPr>
          <w:sz w:val="20"/>
          <w:szCs w:val="20"/>
        </w:rPr>
        <w:t>$</w:t>
      </w:r>
      <w:r>
        <w:rPr>
          <w:sz w:val="20"/>
          <w:szCs w:val="20"/>
        </w:rPr>
        <w:t>50,37</w:t>
      </w:r>
      <w:r>
        <w:rPr>
          <w:sz w:val="20"/>
          <w:szCs w:val="20"/>
        </w:rPr>
        <w:t>0</w:t>
      </w:r>
      <w:r>
        <w:rPr>
          <w:sz w:val="20"/>
          <w:szCs w:val="20"/>
        </w:rPr>
        <w:t xml:space="preserve">. The conversion resulted in a loss on conversion of </w:t>
      </w:r>
      <w:r>
        <w:rPr>
          <w:sz w:val="20"/>
          <w:szCs w:val="20"/>
        </w:rPr>
        <w:t>$</w:t>
      </w:r>
      <w:r>
        <w:rPr>
          <w:sz w:val="20"/>
          <w:szCs w:val="20"/>
        </w:rPr>
        <w:t>176,29</w:t>
      </w:r>
      <w:r>
        <w:rPr>
          <w:sz w:val="20"/>
          <w:szCs w:val="20"/>
        </w:rPr>
        <w:t>5</w:t>
      </w:r>
      <w:r>
        <w:rPr>
          <w:sz w:val="20"/>
          <w:szCs w:val="20"/>
        </w:rPr>
        <w:t xml:space="preserve"> that is reflected in the Condensed Statement of Operations for the nine months ended September 30, 2</w:t>
      </w:r>
      <w:r>
        <w:rPr>
          <w:sz w:val="20"/>
          <w:szCs w:val="20"/>
        </w:rPr>
        <w:t>021.</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In March 2021, the Company issued</w:t>
      </w:r>
      <w:r>
        <w:rPr>
          <w:sz w:val="20"/>
          <w:szCs w:val="20"/>
        </w:rPr>
        <w:t xml:space="preserve"> </w:t>
      </w:r>
      <w:r>
        <w:rPr>
          <w:sz w:val="20"/>
          <w:szCs w:val="20"/>
        </w:rPr>
        <w:t>22,500,00</w:t>
      </w:r>
      <w:r>
        <w:rPr>
          <w:sz w:val="20"/>
          <w:szCs w:val="20"/>
        </w:rPr>
        <w:t>0</w:t>
      </w:r>
      <w:r>
        <w:rPr>
          <w:sz w:val="20"/>
          <w:szCs w:val="20"/>
        </w:rPr>
        <w:t xml:space="preserve"> shares of common stock along with</w:t>
      </w:r>
      <w:r>
        <w:rPr>
          <w:sz w:val="20"/>
          <w:szCs w:val="20"/>
        </w:rPr>
        <w:t xml:space="preserve"> </w:t>
      </w:r>
      <w:r>
        <w:rPr>
          <w:sz w:val="20"/>
          <w:szCs w:val="20"/>
        </w:rPr>
        <w:t>11,237,50</w:t>
      </w:r>
      <w:r>
        <w:rPr>
          <w:sz w:val="20"/>
          <w:szCs w:val="20"/>
        </w:rPr>
        <w:t>0</w:t>
      </w:r>
      <w:r>
        <w:rPr>
          <w:sz w:val="20"/>
          <w:szCs w:val="20"/>
        </w:rPr>
        <w:t xml:space="preserve"> warrants under the Regulation A+ for cash proceeds of </w:t>
      </w:r>
      <w:r>
        <w:rPr>
          <w:sz w:val="20"/>
          <w:szCs w:val="20"/>
        </w:rPr>
        <w:t>$</w:t>
      </w:r>
      <w:r>
        <w:rPr>
          <w:sz w:val="20"/>
          <w:szCs w:val="20"/>
        </w:rPr>
        <w:t>1,800,00</w:t>
      </w:r>
      <w:r>
        <w:rPr>
          <w:sz w:val="20"/>
          <w:szCs w:val="20"/>
        </w:rPr>
        <w:t>0</w:t>
      </w:r>
      <w:r>
        <w:rPr>
          <w:sz w:val="20"/>
          <w:szCs w:val="20"/>
        </w:rPr>
        <w:t xml:space="preserve"> for the common stock and the warrants were purchased for </w:t>
      </w:r>
      <w:r>
        <w:rPr>
          <w:sz w:val="20"/>
          <w:szCs w:val="20"/>
        </w:rPr>
        <w:t>$</w:t>
      </w:r>
      <w:r>
        <w:rPr>
          <w:sz w:val="20"/>
          <w:szCs w:val="20"/>
        </w:rPr>
        <w:t>11,23</w:t>
      </w:r>
      <w:r>
        <w:rPr>
          <w:sz w:val="20"/>
          <w:szCs w:val="20"/>
        </w:rPr>
        <w:t>8</w:t>
      </w:r>
      <w:r>
        <w:rPr>
          <w:sz w:val="20"/>
          <w:szCs w:val="20"/>
        </w:rPr>
        <w:t>.</w:t>
      </w:r>
    </w:p>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66510260"/>
        </w:trPr>
        <w:tc>
          <w:tcPr>
            <w:tcW w:w="5000" w:type="pct"/>
            <w:hideMark/>
          </w:tcPr>
          <w:p w:rsidR="00000000" w:rsidRDefault="00DA767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Between </w:t>
      </w:r>
      <w:r>
        <w:rPr>
          <w:sz w:val="20"/>
          <w:szCs w:val="20"/>
        </w:rPr>
        <w:t>January 8, 2021 and January 29, 2021, the Company issued</w:t>
      </w:r>
      <w:r>
        <w:rPr>
          <w:sz w:val="20"/>
          <w:szCs w:val="20"/>
        </w:rPr>
        <w:t xml:space="preserve"> </w:t>
      </w:r>
      <w:r>
        <w:rPr>
          <w:sz w:val="20"/>
          <w:szCs w:val="20"/>
        </w:rPr>
        <w:t>3,870,42</w:t>
      </w:r>
      <w:r>
        <w:rPr>
          <w:sz w:val="20"/>
          <w:szCs w:val="20"/>
        </w:rPr>
        <w:t>8</w:t>
      </w:r>
      <w:r>
        <w:rPr>
          <w:sz w:val="20"/>
          <w:szCs w:val="20"/>
        </w:rPr>
        <w:t xml:space="preserve"> shares of common stock in the cashless exercise of</w:t>
      </w:r>
      <w:r>
        <w:rPr>
          <w:sz w:val="20"/>
          <w:szCs w:val="20"/>
        </w:rPr>
        <w:t xml:space="preserve"> </w:t>
      </w:r>
      <w:r>
        <w:rPr>
          <w:sz w:val="20"/>
          <w:szCs w:val="20"/>
        </w:rPr>
        <w:t>5,430,00</w:t>
      </w:r>
      <w:r>
        <w:rPr>
          <w:sz w:val="20"/>
          <w:szCs w:val="20"/>
        </w:rPr>
        <w:t>0</w:t>
      </w:r>
      <w:r>
        <w:rPr>
          <w:sz w:val="20"/>
          <w:szCs w:val="20"/>
        </w:rPr>
        <w:t xml:space="preserve"> warrants.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On June 28, 2021, the Company issued</w:t>
      </w:r>
      <w:r>
        <w:rPr>
          <w:sz w:val="20"/>
          <w:szCs w:val="20"/>
        </w:rPr>
        <w:t xml:space="preserve"> </w:t>
      </w:r>
      <w:r>
        <w:rPr>
          <w:sz w:val="20"/>
          <w:szCs w:val="20"/>
        </w:rPr>
        <w:t>2,500,00</w:t>
      </w:r>
      <w:r>
        <w:rPr>
          <w:sz w:val="20"/>
          <w:szCs w:val="20"/>
        </w:rPr>
        <w:t>0</w:t>
      </w:r>
      <w:r>
        <w:rPr>
          <w:sz w:val="20"/>
          <w:szCs w:val="20"/>
        </w:rPr>
        <w:t xml:space="preserve"> shares of common stock for the exercise of</w:t>
      </w:r>
      <w:r>
        <w:rPr>
          <w:sz w:val="20"/>
          <w:szCs w:val="20"/>
        </w:rPr>
        <w:t xml:space="preserve"> </w:t>
      </w:r>
      <w:r>
        <w:rPr>
          <w:sz w:val="20"/>
          <w:szCs w:val="20"/>
        </w:rPr>
        <w:t>2,500,00</w:t>
      </w:r>
      <w:r>
        <w:rPr>
          <w:sz w:val="20"/>
          <w:szCs w:val="20"/>
        </w:rPr>
        <w:t>0</w:t>
      </w:r>
      <w:r>
        <w:rPr>
          <w:sz w:val="20"/>
          <w:szCs w:val="20"/>
        </w:rPr>
        <w:t xml:space="preserve"> stock options to</w:t>
      </w:r>
      <w:r>
        <w:rPr>
          <w:sz w:val="20"/>
          <w:szCs w:val="20"/>
        </w:rPr>
        <w:t xml:space="preserve"> the Chief Executive Officer. In this transaction, the Company canceled</w:t>
      </w:r>
      <w:r>
        <w:rPr>
          <w:sz w:val="20"/>
          <w:szCs w:val="20"/>
        </w:rPr>
        <w:t xml:space="preserve"> </w:t>
      </w:r>
      <w:r>
        <w:rPr>
          <w:sz w:val="20"/>
          <w:szCs w:val="20"/>
        </w:rPr>
        <w:t>375,00</w:t>
      </w:r>
      <w:r>
        <w:rPr>
          <w:sz w:val="20"/>
          <w:szCs w:val="20"/>
        </w:rPr>
        <w:t>0</w:t>
      </w:r>
      <w:r>
        <w:rPr>
          <w:sz w:val="20"/>
          <w:szCs w:val="20"/>
        </w:rPr>
        <w:t xml:space="preserve"> shares of common stock as partial payment for the exercise of the stock options.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In June 2021, the Company issued</w:t>
      </w:r>
      <w:r>
        <w:rPr>
          <w:sz w:val="20"/>
          <w:szCs w:val="20"/>
        </w:rPr>
        <w:t xml:space="preserve"> </w:t>
      </w:r>
      <w:r>
        <w:rPr>
          <w:sz w:val="20"/>
          <w:szCs w:val="20"/>
        </w:rPr>
        <w:t>12,000,00</w:t>
      </w:r>
      <w:r>
        <w:rPr>
          <w:sz w:val="20"/>
          <w:szCs w:val="20"/>
        </w:rPr>
        <w:t>0</w:t>
      </w:r>
      <w:r>
        <w:rPr>
          <w:sz w:val="20"/>
          <w:szCs w:val="20"/>
        </w:rPr>
        <w:t xml:space="preserve"> shares of common stock for vested RSUs with a fai</w:t>
      </w:r>
      <w:r>
        <w:rPr>
          <w:sz w:val="20"/>
          <w:szCs w:val="20"/>
        </w:rPr>
        <w:t xml:space="preserve">r value of </w:t>
      </w:r>
      <w:r>
        <w:rPr>
          <w:sz w:val="20"/>
          <w:szCs w:val="20"/>
        </w:rPr>
        <w:t>$</w:t>
      </w:r>
      <w:r>
        <w:rPr>
          <w:sz w:val="20"/>
          <w:szCs w:val="20"/>
        </w:rPr>
        <w:t>1,080,00</w:t>
      </w:r>
      <w:r>
        <w:rPr>
          <w:sz w:val="20"/>
          <w:szCs w:val="20"/>
        </w:rPr>
        <w:t>0</w:t>
      </w:r>
      <w:r>
        <w:rPr>
          <w:sz w:val="20"/>
          <w:szCs w:val="20"/>
        </w:rPr>
        <w:t>.</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From July 9 through September 24, 2021, the Company issued</w:t>
      </w:r>
      <w:r>
        <w:rPr>
          <w:sz w:val="20"/>
          <w:szCs w:val="20"/>
        </w:rPr>
        <w:t xml:space="preserve"> </w:t>
      </w:r>
      <w:r>
        <w:rPr>
          <w:sz w:val="20"/>
          <w:szCs w:val="20"/>
        </w:rPr>
        <w:t>838,19</w:t>
      </w:r>
      <w:r>
        <w:rPr>
          <w:sz w:val="20"/>
          <w:szCs w:val="20"/>
        </w:rPr>
        <w:t>5</w:t>
      </w:r>
      <w:r>
        <w:rPr>
          <w:sz w:val="20"/>
          <w:szCs w:val="20"/>
        </w:rPr>
        <w:t xml:space="preserve"> shares of common stock in the cashless exercise of</w:t>
      </w:r>
      <w:r>
        <w:rPr>
          <w:sz w:val="20"/>
          <w:szCs w:val="20"/>
        </w:rPr>
        <w:t xml:space="preserve"> </w:t>
      </w:r>
      <w:r>
        <w:rPr>
          <w:sz w:val="20"/>
          <w:szCs w:val="20"/>
        </w:rPr>
        <w:t>1,800,00</w:t>
      </w:r>
      <w:r>
        <w:rPr>
          <w:sz w:val="20"/>
          <w:szCs w:val="20"/>
        </w:rPr>
        <w:t>0</w:t>
      </w:r>
      <w:r>
        <w:rPr>
          <w:sz w:val="20"/>
          <w:szCs w:val="20"/>
        </w:rPr>
        <w:t xml:space="preserve"> warrants.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In October 2021, the Company issued</w:t>
      </w:r>
      <w:r>
        <w:rPr>
          <w:sz w:val="20"/>
          <w:szCs w:val="20"/>
        </w:rPr>
        <w:t xml:space="preserve"> </w:t>
      </w:r>
      <w:r>
        <w:rPr>
          <w:sz w:val="20"/>
          <w:szCs w:val="20"/>
        </w:rPr>
        <w:t>2,005,69</w:t>
      </w:r>
      <w:r>
        <w:rPr>
          <w:sz w:val="20"/>
          <w:szCs w:val="20"/>
        </w:rPr>
        <w:t>3</w:t>
      </w:r>
      <w:r>
        <w:rPr>
          <w:sz w:val="20"/>
          <w:szCs w:val="20"/>
        </w:rPr>
        <w:t xml:space="preserve"> shares of common stock in the cashless exerci</w:t>
      </w:r>
      <w:r>
        <w:rPr>
          <w:sz w:val="20"/>
          <w:szCs w:val="20"/>
        </w:rPr>
        <w:t>se of</w:t>
      </w:r>
      <w:r>
        <w:rPr>
          <w:sz w:val="20"/>
          <w:szCs w:val="20"/>
        </w:rPr>
        <w:t xml:space="preserve"> </w:t>
      </w:r>
      <w:r>
        <w:rPr>
          <w:sz w:val="20"/>
          <w:szCs w:val="20"/>
        </w:rPr>
        <w:t>3,500,00</w:t>
      </w:r>
      <w:r>
        <w:rPr>
          <w:sz w:val="20"/>
          <w:szCs w:val="20"/>
        </w:rPr>
        <w:t>0</w:t>
      </w:r>
      <w:r>
        <w:rPr>
          <w:sz w:val="20"/>
          <w:szCs w:val="20"/>
        </w:rPr>
        <w:t xml:space="preserve"> warrants.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In November 2021, the Company issued</w:t>
      </w:r>
      <w:r>
        <w:rPr>
          <w:sz w:val="20"/>
          <w:szCs w:val="20"/>
        </w:rPr>
        <w:t xml:space="preserve"> </w:t>
      </w:r>
      <w:r>
        <w:rPr>
          <w:sz w:val="20"/>
          <w:szCs w:val="20"/>
        </w:rPr>
        <w:t>77,76</w:t>
      </w:r>
      <w:r>
        <w:rPr>
          <w:sz w:val="20"/>
          <w:szCs w:val="20"/>
        </w:rPr>
        <w:t>8</w:t>
      </w:r>
      <w:r>
        <w:rPr>
          <w:sz w:val="20"/>
          <w:szCs w:val="20"/>
        </w:rPr>
        <w:t xml:space="preserve"> shares of common stock for services valued at </w:t>
      </w:r>
      <w:r>
        <w:rPr>
          <w:sz w:val="20"/>
          <w:szCs w:val="20"/>
        </w:rPr>
        <w:t>$</w:t>
      </w:r>
      <w:r>
        <w:rPr>
          <w:sz w:val="20"/>
          <w:szCs w:val="20"/>
        </w:rPr>
        <w:t>3,75</w:t>
      </w:r>
      <w:r>
        <w:rPr>
          <w:sz w:val="20"/>
          <w:szCs w:val="20"/>
        </w:rPr>
        <w:t>6</w:t>
      </w:r>
      <w:r>
        <w:rPr>
          <w:sz w:val="20"/>
          <w:szCs w:val="20"/>
        </w:rPr>
        <w:t>.</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In December 2021, the Company issued</w:t>
      </w:r>
      <w:r>
        <w:rPr>
          <w:sz w:val="20"/>
          <w:szCs w:val="20"/>
        </w:rPr>
        <w:t xml:space="preserve"> </w:t>
      </w:r>
      <w:r>
        <w:rPr>
          <w:sz w:val="20"/>
          <w:szCs w:val="20"/>
        </w:rPr>
        <w:t>401,37</w:t>
      </w:r>
      <w:r>
        <w:rPr>
          <w:sz w:val="20"/>
          <w:szCs w:val="20"/>
        </w:rPr>
        <w:t>3</w:t>
      </w:r>
      <w:r>
        <w:rPr>
          <w:sz w:val="20"/>
          <w:szCs w:val="20"/>
        </w:rPr>
        <w:t xml:space="preserve"> shares of common stock in conversion of accounts payable to a related party in the </w:t>
      </w:r>
      <w:r>
        <w:rPr>
          <w:sz w:val="20"/>
          <w:szCs w:val="20"/>
        </w:rPr>
        <w:t xml:space="preserve">amount of </w:t>
      </w:r>
      <w:r>
        <w:rPr>
          <w:sz w:val="20"/>
          <w:szCs w:val="20"/>
        </w:rPr>
        <w:t>$</w:t>
      </w:r>
      <w:r>
        <w:rPr>
          <w:sz w:val="20"/>
          <w:szCs w:val="20"/>
        </w:rPr>
        <w:t>32,11</w:t>
      </w:r>
      <w:r>
        <w:rPr>
          <w:sz w:val="20"/>
          <w:szCs w:val="20"/>
        </w:rPr>
        <w:t>0</w:t>
      </w:r>
      <w:r>
        <w:rPr>
          <w:sz w:val="20"/>
          <w:szCs w:val="20"/>
        </w:rPr>
        <w:t>; issued</w:t>
      </w:r>
      <w:r>
        <w:rPr>
          <w:sz w:val="20"/>
          <w:szCs w:val="20"/>
        </w:rPr>
        <w:t xml:space="preserve"> </w:t>
      </w:r>
      <w:r>
        <w:rPr>
          <w:sz w:val="20"/>
          <w:szCs w:val="20"/>
        </w:rPr>
        <w:t>2,316,83</w:t>
      </w:r>
      <w:r>
        <w:rPr>
          <w:sz w:val="20"/>
          <w:szCs w:val="20"/>
        </w:rPr>
        <w:t>0</w:t>
      </w:r>
      <w:r>
        <w:rPr>
          <w:sz w:val="20"/>
          <w:szCs w:val="20"/>
        </w:rPr>
        <w:t xml:space="preserve"> shares of common stock in conversion of related party note payables and accrued interest valued at </w:t>
      </w:r>
      <w:r>
        <w:rPr>
          <w:sz w:val="20"/>
          <w:szCs w:val="20"/>
        </w:rPr>
        <w:t>$</w:t>
      </w:r>
      <w:r>
        <w:rPr>
          <w:sz w:val="20"/>
          <w:szCs w:val="20"/>
        </w:rPr>
        <w:t>185,34</w:t>
      </w:r>
      <w:r>
        <w:rPr>
          <w:sz w:val="20"/>
          <w:szCs w:val="20"/>
        </w:rPr>
        <w:t>6</w:t>
      </w:r>
      <w:r>
        <w:rPr>
          <w:sz w:val="20"/>
          <w:szCs w:val="20"/>
        </w:rPr>
        <w:t>; and issued</w:t>
      </w:r>
      <w:r>
        <w:rPr>
          <w:sz w:val="20"/>
          <w:szCs w:val="20"/>
        </w:rPr>
        <w:t xml:space="preserve"> </w:t>
      </w:r>
      <w:r>
        <w:rPr>
          <w:sz w:val="20"/>
          <w:szCs w:val="20"/>
        </w:rPr>
        <w:t>2,953,62</w:t>
      </w:r>
      <w:r>
        <w:rPr>
          <w:sz w:val="20"/>
          <w:szCs w:val="20"/>
        </w:rPr>
        <w:t>5</w:t>
      </w:r>
      <w:r>
        <w:rPr>
          <w:sz w:val="20"/>
          <w:szCs w:val="20"/>
        </w:rPr>
        <w:t xml:space="preserve"> shares of common stock in conversion of</w:t>
      </w:r>
      <w:r>
        <w:rPr>
          <w:sz w:val="20"/>
          <w:szCs w:val="20"/>
        </w:rPr>
        <w:t xml:space="preserve"> </w:t>
      </w:r>
      <w:r>
        <w:rPr>
          <w:sz w:val="20"/>
          <w:szCs w:val="20"/>
        </w:rPr>
        <w:t>236,29</w:t>
      </w:r>
      <w:r>
        <w:rPr>
          <w:sz w:val="20"/>
          <w:szCs w:val="20"/>
        </w:rPr>
        <w:t>0</w:t>
      </w:r>
      <w:r>
        <w:rPr>
          <w:sz w:val="20"/>
          <w:szCs w:val="20"/>
        </w:rPr>
        <w:t xml:space="preserve"> Series B Convertible Preferred stock.</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NO</w:t>
      </w:r>
      <w:r>
        <w:rPr>
          <w:b/>
          <w:bCs/>
          <w:sz w:val="20"/>
          <w:szCs w:val="20"/>
        </w:rPr>
        <w:t>TE 5:</w:t>
      </w:r>
      <w:r>
        <w:rPr>
          <w:b/>
          <w:bCs/>
          <w:sz w:val="20"/>
          <w:szCs w:val="20"/>
        </w:rPr>
        <w:t xml:space="preserve"> </w:t>
      </w:r>
      <w:r>
        <w:rPr>
          <w:b/>
          <w:bCs/>
          <w:sz w:val="20"/>
          <w:szCs w:val="20"/>
        </w:rPr>
        <w:t>COMMON STOCK OPTIONS, WARRANTS AND RESTRICTED STOCK UNIT</w:t>
      </w:r>
      <w:r>
        <w:rPr>
          <w:b/>
          <w:bCs/>
          <w:sz w:val="20"/>
          <w:szCs w:val="20"/>
        </w:rPr>
        <w:t>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Common Stock Options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The </w:t>
      </w:r>
      <w:r>
        <w:rPr>
          <w:sz w:val="20"/>
          <w:szCs w:val="20"/>
        </w:rPr>
        <w:t>Company recognizes in the financial statements compensation related to all stock-based awards, including stock options and warrants, based on their estimated grant-date fair value. The Company has estimated expected forfeitures and is recognizing compensat</w:t>
      </w:r>
      <w:r>
        <w:rPr>
          <w:sz w:val="20"/>
          <w:szCs w:val="20"/>
        </w:rPr>
        <w:t>ion expense only for those awards expected to vest. All compensation is recognized by the time the award vests.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The following schedule summarizes the changes in the Company’s stock options: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vanish/>
          <w:sz w:val="20"/>
          <w:szCs w:val="20"/>
        </w:rPr>
        <w:t>SCHEDULE OF CHANGES IN STOCK OPTIO</w:t>
      </w:r>
      <w:r>
        <w:rPr>
          <w:vanish/>
          <w:sz w:val="20"/>
          <w:szCs w:val="20"/>
        </w:rPr>
        <w:t>N</w:t>
      </w:r>
    </w:p>
    <w:tbl>
      <w:tblPr>
        <w:tblW w:w="5000" w:type="pct"/>
        <w:tblCellMar>
          <w:left w:w="0" w:type="dxa"/>
          <w:right w:w="0" w:type="dxa"/>
        </w:tblCellMar>
        <w:tblLook w:val="04A0" w:firstRow="1" w:lastRow="0" w:firstColumn="1" w:lastColumn="0" w:noHBand="0" w:noVBand="1"/>
      </w:tblPr>
      <w:tblGrid>
        <w:gridCol w:w="2876"/>
        <w:gridCol w:w="135"/>
        <w:gridCol w:w="52"/>
        <w:gridCol w:w="967"/>
        <w:gridCol w:w="67"/>
        <w:gridCol w:w="120"/>
        <w:gridCol w:w="100"/>
        <w:gridCol w:w="717"/>
        <w:gridCol w:w="52"/>
        <w:gridCol w:w="136"/>
        <w:gridCol w:w="94"/>
        <w:gridCol w:w="840"/>
        <w:gridCol w:w="53"/>
        <w:gridCol w:w="136"/>
        <w:gridCol w:w="100"/>
        <w:gridCol w:w="800"/>
        <w:gridCol w:w="53"/>
        <w:gridCol w:w="136"/>
        <w:gridCol w:w="101"/>
        <w:gridCol w:w="718"/>
        <w:gridCol w:w="53"/>
      </w:tblGrid>
      <w:tr w:rsidR="00000000">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6"/>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vAlign w:val="bottom"/>
            <w:hideMark/>
          </w:tcPr>
          <w:p w:rsidR="00000000" w:rsidRDefault="00DA7678">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vAlign w:val="bottom"/>
            <w:hideMark/>
          </w:tcPr>
          <w:p w:rsidR="00000000" w:rsidRDefault="00DA7678">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Options Outstanding</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DA7678">
            <w:pPr>
              <w:jc w:val="center"/>
              <w:rPr>
                <w:rFonts w:eastAsia="Times New Roman"/>
                <w:sz w:val="20"/>
                <w:szCs w:val="20"/>
              </w:rPr>
            </w:pPr>
            <w:r>
              <w:rPr>
                <w:rFonts w:eastAsia="Times New Roman"/>
                <w:sz w:val="20"/>
                <w:szCs w:val="20"/>
              </w:rPr>
              <w:t>Average</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vAlign w:val="bottom"/>
            <w:hideMark/>
          </w:tcPr>
          <w:p w:rsidR="00000000" w:rsidRDefault="00DA767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DA7678">
            <w:pPr>
              <w:jc w:val="center"/>
              <w:rPr>
                <w:rFonts w:eastAsia="Times New Roman"/>
                <w:sz w:val="20"/>
                <w:szCs w:val="20"/>
              </w:rPr>
            </w:pPr>
            <w:r>
              <w:rPr>
                <w:rFonts w:eastAsia="Times New Roman"/>
                <w:sz w:val="20"/>
                <w:szCs w:val="20"/>
              </w:rPr>
              <w:t>Average</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vAlign w:val="bottom"/>
            <w:hideMark/>
          </w:tcPr>
          <w:p w:rsidR="00000000" w:rsidRDefault="00DA7678">
            <w:pPr>
              <w:jc w:val="center"/>
              <w:rPr>
                <w:rFonts w:eastAsia="Times New Roman"/>
                <w:sz w:val="20"/>
                <w:szCs w:val="20"/>
              </w:rPr>
            </w:pPr>
            <w:r>
              <w:rPr>
                <w:rFonts w:eastAsia="Times New Roman"/>
                <w:sz w:val="20"/>
                <w:szCs w:val="20"/>
              </w:rPr>
              <w:t>Number</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vAlign w:val="bottom"/>
            <w:hideMark/>
          </w:tcPr>
          <w:p w:rsidR="00000000" w:rsidRDefault="00DA7678">
            <w:pPr>
              <w:jc w:val="center"/>
              <w:rPr>
                <w:rFonts w:eastAsia="Times New Roman"/>
                <w:sz w:val="20"/>
                <w:szCs w:val="20"/>
              </w:rPr>
            </w:pPr>
            <w:r>
              <w:rPr>
                <w:rFonts w:eastAsia="Times New Roman"/>
                <w:sz w:val="20"/>
                <w:szCs w:val="20"/>
              </w:rPr>
              <w:t>Exercise</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vAlign w:val="bottom"/>
            <w:hideMark/>
          </w:tcPr>
          <w:p w:rsidR="00000000" w:rsidRDefault="00DA7678">
            <w:pPr>
              <w:jc w:val="center"/>
              <w:rPr>
                <w:rFonts w:eastAsia="Times New Roman"/>
                <w:sz w:val="20"/>
                <w:szCs w:val="20"/>
              </w:rPr>
            </w:pPr>
            <w:r>
              <w:rPr>
                <w:rFonts w:eastAsia="Times New Roman"/>
                <w:sz w:val="20"/>
                <w:szCs w:val="20"/>
              </w:rPr>
              <w:t>Remaining</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vAlign w:val="bottom"/>
            <w:hideMark/>
          </w:tcPr>
          <w:p w:rsidR="00000000" w:rsidRDefault="00DA7678">
            <w:pPr>
              <w:jc w:val="center"/>
              <w:rPr>
                <w:rFonts w:eastAsia="Times New Roman"/>
                <w:sz w:val="20"/>
                <w:szCs w:val="20"/>
              </w:rPr>
            </w:pPr>
            <w:r>
              <w:rPr>
                <w:rFonts w:eastAsia="Times New Roman"/>
                <w:sz w:val="20"/>
                <w:szCs w:val="20"/>
              </w:rPr>
              <w:t>Aggregate</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vAlign w:val="bottom"/>
            <w:hideMark/>
          </w:tcPr>
          <w:p w:rsidR="00000000" w:rsidRDefault="00DA7678">
            <w:pPr>
              <w:jc w:val="center"/>
              <w:rPr>
                <w:rFonts w:eastAsia="Times New Roman"/>
                <w:sz w:val="20"/>
                <w:szCs w:val="20"/>
              </w:rPr>
            </w:pPr>
            <w:r>
              <w:rPr>
                <w:rFonts w:eastAsia="Times New Roman"/>
                <w:sz w:val="20"/>
                <w:szCs w:val="20"/>
              </w:rPr>
              <w:t>Exercise</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vAlign w:val="bottom"/>
            <w:hideMark/>
          </w:tcPr>
          <w:p w:rsidR="00000000" w:rsidRDefault="00DA7678">
            <w:pPr>
              <w:jc w:val="center"/>
              <w:rPr>
                <w:rFonts w:eastAsia="Times New Roman"/>
                <w:sz w:val="20"/>
                <w:szCs w:val="20"/>
              </w:rPr>
            </w:pPr>
            <w:r>
              <w:rPr>
                <w:rFonts w:eastAsia="Times New Roman"/>
                <w:sz w:val="20"/>
                <w:szCs w:val="20"/>
              </w:rPr>
              <w:t>Of</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vAlign w:val="bottom"/>
            <w:hideMark/>
          </w:tcPr>
          <w:p w:rsidR="00000000" w:rsidRDefault="00DA7678">
            <w:pPr>
              <w:jc w:val="center"/>
              <w:rPr>
                <w:rFonts w:eastAsia="Times New Roman"/>
                <w:sz w:val="20"/>
                <w:szCs w:val="20"/>
              </w:rPr>
            </w:pPr>
            <w:r>
              <w:rPr>
                <w:rFonts w:eastAsia="Times New Roman"/>
                <w:sz w:val="20"/>
                <w:szCs w:val="20"/>
              </w:rPr>
              <w:t>Price</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vAlign w:val="bottom"/>
            <w:hideMark/>
          </w:tcPr>
          <w:p w:rsidR="00000000" w:rsidRDefault="00DA7678">
            <w:pPr>
              <w:jc w:val="center"/>
              <w:rPr>
                <w:rFonts w:eastAsia="Times New Roman"/>
                <w:sz w:val="20"/>
                <w:szCs w:val="20"/>
              </w:rPr>
            </w:pPr>
            <w:r>
              <w:rPr>
                <w:rFonts w:eastAsia="Times New Roman"/>
                <w:sz w:val="20"/>
                <w:szCs w:val="20"/>
              </w:rPr>
              <w:t>Contractual</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vAlign w:val="bottom"/>
            <w:hideMark/>
          </w:tcPr>
          <w:p w:rsidR="00000000" w:rsidRDefault="00DA7678">
            <w:pPr>
              <w:jc w:val="center"/>
              <w:rPr>
                <w:rFonts w:eastAsia="Times New Roman"/>
                <w:sz w:val="20"/>
                <w:szCs w:val="20"/>
              </w:rPr>
            </w:pPr>
            <w:r>
              <w:rPr>
                <w:rFonts w:eastAsia="Times New Roman"/>
                <w:sz w:val="20"/>
                <w:szCs w:val="20"/>
              </w:rPr>
              <w:t>Intrinsic</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vAlign w:val="bottom"/>
            <w:hideMark/>
          </w:tcPr>
          <w:p w:rsidR="00000000" w:rsidRDefault="00DA7678">
            <w:pPr>
              <w:jc w:val="center"/>
              <w:rPr>
                <w:rFonts w:eastAsia="Times New Roman"/>
                <w:sz w:val="20"/>
                <w:szCs w:val="20"/>
              </w:rPr>
            </w:pPr>
            <w:r>
              <w:rPr>
                <w:rFonts w:eastAsia="Times New Roman"/>
                <w:sz w:val="20"/>
                <w:szCs w:val="20"/>
              </w:rPr>
              <w:t>Price</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Per Share</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Life</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Value</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Per Share</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1750" w:type="pct"/>
            <w:shd w:val="clear" w:color="auto" w:fill="CCEEFF"/>
            <w:vAlign w:val="bottom"/>
            <w:hideMark/>
          </w:tcPr>
          <w:p w:rsidR="00000000" w:rsidRDefault="00DA7678">
            <w:pPr>
              <w:rPr>
                <w:rFonts w:eastAsia="Times New Roman"/>
                <w:sz w:val="20"/>
                <w:szCs w:val="20"/>
              </w:rPr>
            </w:pPr>
            <w:r>
              <w:rPr>
                <w:rFonts w:eastAsia="Times New Roman"/>
                <w:sz w:val="20"/>
                <w:szCs w:val="20"/>
              </w:rPr>
              <w:t>Balance at December 31, 2020</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28,885,461</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r>
              <w:rPr>
                <w:rFonts w:eastAsia="Times New Roman"/>
                <w:sz w:val="20"/>
                <w:szCs w:val="20"/>
              </w:rPr>
              <w:t>0.02</w:t>
            </w:r>
            <w:r>
              <w:rPr>
                <w:rFonts w:eastAsia="Times New Roman"/>
                <w:sz w:val="20"/>
                <w:szCs w:val="20"/>
              </w:rPr>
              <w:t>4</w:t>
            </w:r>
            <w:r>
              <w:rPr>
                <w:rFonts w:eastAsia="Times New Roman"/>
                <w:sz w:val="20"/>
                <w:szCs w:val="20"/>
              </w:rPr>
              <w:t>-</w:t>
            </w:r>
            <w:r>
              <w:rPr>
                <w:rFonts w:eastAsia="Times New Roman"/>
                <w:sz w:val="20"/>
                <w:szCs w:val="20"/>
              </w:rPr>
              <w:t>0.0</w:t>
            </w:r>
            <w:r>
              <w:rPr>
                <w:rFonts w:eastAsia="Times New Roman"/>
                <w:sz w:val="20"/>
                <w:szCs w:val="20"/>
              </w:rPr>
              <w:t>4</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5.5</w:t>
            </w:r>
            <w:r>
              <w:rPr>
                <w:rFonts w:eastAsia="Times New Roman"/>
                <w:sz w:val="20"/>
                <w:szCs w:val="20"/>
              </w:rPr>
              <w:t>7</w:t>
            </w:r>
            <w:r>
              <w:rPr>
                <w:rFonts w:eastAsia="Times New Roman"/>
                <w:sz w:val="20"/>
                <w:szCs w:val="20"/>
              </w:rPr>
              <w:t xml:space="preserve"> years</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1,661,429</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0.05</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Options granted</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Options exercised</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(2,500,000</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Options expired</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(24,132,652</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Balance at December 31, 2021</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2,252,809</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0.02</w:t>
            </w:r>
            <w:r>
              <w:rPr>
                <w:rFonts w:eastAsia="Times New Roman"/>
                <w:sz w:val="20"/>
                <w:szCs w:val="20"/>
              </w:rPr>
              <w:t>4</w:t>
            </w:r>
            <w:r>
              <w:rPr>
                <w:rFonts w:eastAsia="Times New Roman"/>
                <w:sz w:val="20"/>
                <w:szCs w:val="20"/>
              </w:rPr>
              <w:t>-</w:t>
            </w:r>
            <w:r>
              <w:rPr>
                <w:rFonts w:eastAsia="Times New Roman"/>
                <w:sz w:val="20"/>
                <w:szCs w:val="20"/>
              </w:rPr>
              <w:t>0.0</w:t>
            </w:r>
            <w:r>
              <w:rPr>
                <w:rFonts w:eastAsia="Times New Roman"/>
                <w:sz w:val="20"/>
                <w:szCs w:val="20"/>
              </w:rPr>
              <w:t>4</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7.7</w:t>
            </w:r>
            <w:r>
              <w:rPr>
                <w:rFonts w:eastAsia="Times New Roman"/>
                <w:sz w:val="20"/>
                <w:szCs w:val="20"/>
              </w:rPr>
              <w:t>0</w:t>
            </w:r>
            <w:r>
              <w:rPr>
                <w:rFonts w:eastAsia="Times New Roman"/>
                <w:sz w:val="20"/>
                <w:szCs w:val="20"/>
              </w:rPr>
              <w:t xml:space="preserve"> </w:t>
            </w:r>
            <w:r>
              <w:rPr>
                <w:rFonts w:eastAsia="Times New Roman"/>
                <w:sz w:val="20"/>
                <w:szCs w:val="20"/>
              </w:rPr>
              <w:t>years</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83,992</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0.04</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Options granted</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Options exercised</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Options expired/canceled</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Balance at December 31, 2022</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2,252,809</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0.02</w:t>
            </w:r>
            <w:r>
              <w:rPr>
                <w:rFonts w:eastAsia="Times New Roman"/>
                <w:sz w:val="20"/>
                <w:szCs w:val="20"/>
              </w:rPr>
              <w:t>4</w:t>
            </w:r>
            <w:r>
              <w:rPr>
                <w:rFonts w:eastAsia="Times New Roman"/>
                <w:sz w:val="20"/>
                <w:szCs w:val="20"/>
              </w:rPr>
              <w:t>-</w:t>
            </w:r>
            <w:r>
              <w:rPr>
                <w:rFonts w:eastAsia="Times New Roman"/>
                <w:sz w:val="20"/>
                <w:szCs w:val="20"/>
              </w:rPr>
              <w:t>0.0</w:t>
            </w:r>
            <w:r>
              <w:rPr>
                <w:rFonts w:eastAsia="Times New Roman"/>
                <w:sz w:val="20"/>
                <w:szCs w:val="20"/>
              </w:rPr>
              <w:t>4</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6.7</w:t>
            </w:r>
            <w:r>
              <w:rPr>
                <w:rFonts w:eastAsia="Times New Roman"/>
                <w:sz w:val="20"/>
                <w:szCs w:val="20"/>
              </w:rPr>
              <w:t>0</w:t>
            </w:r>
            <w:r>
              <w:rPr>
                <w:rFonts w:eastAsia="Times New Roman"/>
                <w:sz w:val="20"/>
                <w:szCs w:val="20"/>
              </w:rPr>
              <w:t xml:space="preserve"> years</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16,032</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0.04</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Exercisable at December 31, 2022</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2,252,809</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0.02</w:t>
            </w:r>
            <w:r>
              <w:rPr>
                <w:rFonts w:eastAsia="Times New Roman"/>
                <w:sz w:val="20"/>
                <w:szCs w:val="20"/>
              </w:rPr>
              <w:t>4</w:t>
            </w:r>
            <w:r>
              <w:rPr>
                <w:rFonts w:eastAsia="Times New Roman"/>
                <w:sz w:val="20"/>
                <w:szCs w:val="20"/>
              </w:rPr>
              <w:t>-</w:t>
            </w:r>
            <w:r>
              <w:rPr>
                <w:rFonts w:eastAsia="Times New Roman"/>
                <w:sz w:val="20"/>
                <w:szCs w:val="20"/>
              </w:rPr>
              <w:t>0.0</w:t>
            </w:r>
            <w:r>
              <w:rPr>
                <w:rFonts w:eastAsia="Times New Roman"/>
                <w:sz w:val="20"/>
                <w:szCs w:val="20"/>
              </w:rPr>
              <w:t>4</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6.7</w:t>
            </w:r>
            <w:r>
              <w:rPr>
                <w:rFonts w:eastAsia="Times New Roman"/>
                <w:sz w:val="20"/>
                <w:szCs w:val="20"/>
              </w:rPr>
              <w:t>0</w:t>
            </w:r>
            <w:r>
              <w:rPr>
                <w:rFonts w:eastAsia="Times New Roman"/>
                <w:sz w:val="20"/>
                <w:szCs w:val="20"/>
              </w:rPr>
              <w:t xml:space="preserve"> years</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16,032</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0.04</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During the year ended December 31, 2021, the Company’s CEO exercised</w:t>
      </w:r>
      <w:r>
        <w:rPr>
          <w:sz w:val="20"/>
          <w:szCs w:val="20"/>
        </w:rPr>
        <w:t xml:space="preserve"> </w:t>
      </w:r>
      <w:r>
        <w:rPr>
          <w:sz w:val="20"/>
          <w:szCs w:val="20"/>
        </w:rPr>
        <w:t>2,500,00</w:t>
      </w:r>
      <w:r>
        <w:rPr>
          <w:sz w:val="20"/>
          <w:szCs w:val="20"/>
        </w:rPr>
        <w:t>0</w:t>
      </w:r>
      <w:r>
        <w:rPr>
          <w:sz w:val="20"/>
          <w:szCs w:val="20"/>
        </w:rPr>
        <w:t xml:space="preserve"> stock options, and rescinded</w:t>
      </w:r>
      <w:r>
        <w:rPr>
          <w:sz w:val="20"/>
          <w:szCs w:val="20"/>
        </w:rPr>
        <w:t xml:space="preserve"> </w:t>
      </w:r>
      <w:r>
        <w:rPr>
          <w:sz w:val="20"/>
          <w:szCs w:val="20"/>
        </w:rPr>
        <w:t>24,120,15</w:t>
      </w:r>
      <w:r>
        <w:rPr>
          <w:sz w:val="20"/>
          <w:szCs w:val="20"/>
        </w:rPr>
        <w:t>2</w:t>
      </w:r>
      <w:r>
        <w:rPr>
          <w:sz w:val="20"/>
          <w:szCs w:val="20"/>
        </w:rPr>
        <w:t>, stock options. In addition,</w:t>
      </w:r>
      <w:r>
        <w:rPr>
          <w:sz w:val="20"/>
          <w:szCs w:val="20"/>
        </w:rPr>
        <w:t xml:space="preserve"> </w:t>
      </w:r>
      <w:r>
        <w:rPr>
          <w:sz w:val="20"/>
          <w:szCs w:val="20"/>
        </w:rPr>
        <w:t>12,50</w:t>
      </w:r>
      <w:r>
        <w:rPr>
          <w:sz w:val="20"/>
          <w:szCs w:val="20"/>
        </w:rPr>
        <w:t>0</w:t>
      </w:r>
      <w:r>
        <w:rPr>
          <w:sz w:val="20"/>
          <w:szCs w:val="20"/>
        </w:rPr>
        <w:t xml:space="preserve"> options expired.</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During the years ended December 31, 2022 and 2021, the Company recognized</w:t>
      </w:r>
      <w:r>
        <w:rPr>
          <w:sz w:val="20"/>
          <w:szCs w:val="20"/>
        </w:rPr>
        <w:t xml:space="preserve"> </w:t>
      </w:r>
      <w:r>
        <w:rPr>
          <w:sz w:val="20"/>
          <w:szCs w:val="20"/>
        </w:rPr>
        <w:t>n</w:t>
      </w:r>
      <w:r>
        <w:rPr>
          <w:sz w:val="20"/>
          <w:szCs w:val="20"/>
        </w:rPr>
        <w:t>o</w:t>
      </w:r>
      <w:r>
        <w:rPr>
          <w:sz w:val="20"/>
          <w:szCs w:val="20"/>
        </w:rPr>
        <w:t xml:space="preserve"> stock based compensation related to the vesting of its stock options.</w:t>
      </w:r>
    </w:p>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56846985"/>
        </w:trPr>
        <w:tc>
          <w:tcPr>
            <w:tcW w:w="5000" w:type="pct"/>
            <w:hideMark/>
          </w:tcPr>
          <w:p w:rsidR="00000000" w:rsidRDefault="00DA767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Common Stock Warrants</w:t>
      </w:r>
    </w:p>
    <w:p w:rsidR="00000000" w:rsidRDefault="00DA7678">
      <w:pPr>
        <w:pStyle w:val="a3"/>
        <w:spacing w:before="0" w:beforeAutospacing="0" w:after="0" w:afterAutospacing="0"/>
        <w:jc w:val="center"/>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The </w:t>
      </w:r>
      <w:r>
        <w:rPr>
          <w:sz w:val="20"/>
          <w:szCs w:val="20"/>
        </w:rPr>
        <w:t>following schedule summarizes the changes in the Company’s stock warrants: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center"/>
        <w:rPr>
          <w:sz w:val="20"/>
          <w:szCs w:val="20"/>
        </w:rPr>
      </w:pPr>
      <w:r>
        <w:rPr>
          <w:vanish/>
          <w:sz w:val="20"/>
          <w:szCs w:val="20"/>
        </w:rPr>
        <w:t>SCHEDULE OF CHANGES IN STOCK WARRANT</w:t>
      </w:r>
      <w:r>
        <w:rPr>
          <w:vanish/>
          <w:sz w:val="20"/>
          <w:szCs w:val="20"/>
        </w:rPr>
        <w:t>S</w:t>
      </w:r>
      <w:r>
        <w:rPr>
          <w:sz w:val="20"/>
          <w:szCs w:val="20"/>
        </w:rPr>
        <w:t> </w:t>
      </w:r>
    </w:p>
    <w:tbl>
      <w:tblPr>
        <w:tblW w:w="5000" w:type="pct"/>
        <w:tblCellMar>
          <w:left w:w="0" w:type="dxa"/>
          <w:right w:w="0" w:type="dxa"/>
        </w:tblCellMar>
        <w:tblLook w:val="04A0" w:firstRow="1" w:lastRow="0" w:firstColumn="1" w:lastColumn="0" w:noHBand="0" w:noVBand="1"/>
      </w:tblPr>
      <w:tblGrid>
        <w:gridCol w:w="2876"/>
        <w:gridCol w:w="135"/>
        <w:gridCol w:w="52"/>
        <w:gridCol w:w="967"/>
        <w:gridCol w:w="67"/>
        <w:gridCol w:w="120"/>
        <w:gridCol w:w="100"/>
        <w:gridCol w:w="717"/>
        <w:gridCol w:w="52"/>
        <w:gridCol w:w="136"/>
        <w:gridCol w:w="94"/>
        <w:gridCol w:w="840"/>
        <w:gridCol w:w="53"/>
        <w:gridCol w:w="136"/>
        <w:gridCol w:w="100"/>
        <w:gridCol w:w="800"/>
        <w:gridCol w:w="53"/>
        <w:gridCol w:w="136"/>
        <w:gridCol w:w="101"/>
        <w:gridCol w:w="718"/>
        <w:gridCol w:w="53"/>
      </w:tblGrid>
      <w:tr w:rsidR="00000000">
        <w:tc>
          <w:tcPr>
            <w:tcW w:w="0" w:type="auto"/>
            <w:vAlign w:val="bottom"/>
            <w:hideMark/>
          </w:tcPr>
          <w:p w:rsidR="00000000" w:rsidRDefault="00DA7678">
            <w:pPr>
              <w:jc w:val="cente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Warrants Outstanding</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vAlign w:val="bottom"/>
            <w:hideMark/>
          </w:tcPr>
          <w:p w:rsidR="00000000" w:rsidRDefault="00DA7678">
            <w:pPr>
              <w:jc w:val="center"/>
              <w:rPr>
                <w:rFonts w:eastAsia="Times New Roman"/>
                <w:sz w:val="20"/>
                <w:szCs w:val="20"/>
              </w:rPr>
            </w:pPr>
            <w:r>
              <w:rPr>
                <w:rFonts w:eastAsia="Times New Roman"/>
                <w:sz w:val="20"/>
                <w:szCs w:val="20"/>
              </w:rPr>
              <w:t>Weighted</w:t>
            </w:r>
            <w:r>
              <w:rPr>
                <w:rFonts w:eastAsia="Times New Roman"/>
                <w:sz w:val="20"/>
                <w:szCs w:val="20"/>
              </w:rPr>
              <w:br/>
              <w:t>Average</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vAlign w:val="bottom"/>
            <w:hideMark/>
          </w:tcPr>
          <w:p w:rsidR="00000000" w:rsidRDefault="00DA7678">
            <w:pPr>
              <w:jc w:val="cente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vAlign w:val="bottom"/>
            <w:hideMark/>
          </w:tcPr>
          <w:p w:rsidR="00000000" w:rsidRDefault="00DA7678">
            <w:pPr>
              <w:jc w:val="center"/>
              <w:rPr>
                <w:rFonts w:eastAsia="Times New Roman"/>
                <w:sz w:val="20"/>
                <w:szCs w:val="20"/>
              </w:rPr>
            </w:pPr>
            <w:r>
              <w:rPr>
                <w:rFonts w:eastAsia="Times New Roman"/>
                <w:sz w:val="20"/>
                <w:szCs w:val="20"/>
              </w:rPr>
              <w:t>Weighted</w:t>
            </w:r>
            <w:r>
              <w:rPr>
                <w:rFonts w:eastAsia="Times New Roman"/>
                <w:sz w:val="20"/>
                <w:szCs w:val="20"/>
              </w:rPr>
              <w:br/>
              <w:t>Average</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A7678">
            <w:pPr>
              <w:jc w:val="cente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 xml:space="preserve">Number Of </w:t>
            </w:r>
            <w:r>
              <w:rPr>
                <w:rFonts w:eastAsia="Times New Roman"/>
                <w:sz w:val="20"/>
                <w:szCs w:val="20"/>
              </w:rPr>
              <w:br/>
              <w:t>Shares</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 xml:space="preserve">Exercise </w:t>
            </w:r>
            <w:r>
              <w:rPr>
                <w:rFonts w:eastAsia="Times New Roman"/>
                <w:sz w:val="20"/>
                <w:szCs w:val="20"/>
              </w:rPr>
              <w:br/>
              <w:t xml:space="preserve">Price Per </w:t>
            </w:r>
            <w:r>
              <w:rPr>
                <w:rFonts w:eastAsia="Times New Roman"/>
                <w:sz w:val="20"/>
                <w:szCs w:val="20"/>
              </w:rPr>
              <w:br/>
            </w:r>
            <w:r>
              <w:rPr>
                <w:rFonts w:eastAsia="Times New Roman"/>
                <w:sz w:val="20"/>
                <w:szCs w:val="20"/>
              </w:rPr>
              <w:t>Share</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 xml:space="preserve">Remaining Contractual </w:t>
            </w:r>
            <w:r>
              <w:rPr>
                <w:rFonts w:eastAsia="Times New Roman"/>
                <w:sz w:val="20"/>
                <w:szCs w:val="20"/>
              </w:rPr>
              <w:br/>
              <w:t>Life</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 xml:space="preserve">Aggregate </w:t>
            </w:r>
            <w:r>
              <w:rPr>
                <w:rFonts w:eastAsia="Times New Roman"/>
                <w:sz w:val="20"/>
                <w:szCs w:val="20"/>
              </w:rPr>
              <w:br/>
              <w:t xml:space="preserve">Intrinsic </w:t>
            </w:r>
            <w:r>
              <w:rPr>
                <w:rFonts w:eastAsia="Times New Roman"/>
                <w:sz w:val="20"/>
                <w:szCs w:val="20"/>
              </w:rPr>
              <w:br/>
              <w:t>Value</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 xml:space="preserve">Exercise </w:t>
            </w:r>
            <w:r>
              <w:rPr>
                <w:rFonts w:eastAsia="Times New Roman"/>
                <w:sz w:val="20"/>
                <w:szCs w:val="20"/>
              </w:rPr>
              <w:br/>
              <w:t xml:space="preserve">Price Per </w:t>
            </w:r>
            <w:r>
              <w:rPr>
                <w:rFonts w:eastAsia="Times New Roman"/>
                <w:sz w:val="20"/>
                <w:szCs w:val="20"/>
              </w:rPr>
              <w:br/>
              <w:t>Share</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r>
      <w:tr w:rsidR="00000000">
        <w:tc>
          <w:tcPr>
            <w:tcW w:w="1750" w:type="pct"/>
            <w:shd w:val="clear" w:color="auto" w:fill="CCEEFF"/>
            <w:vAlign w:val="bottom"/>
            <w:hideMark/>
          </w:tcPr>
          <w:p w:rsidR="00000000" w:rsidRDefault="00DA7678">
            <w:pPr>
              <w:rPr>
                <w:rFonts w:eastAsia="Times New Roman"/>
                <w:sz w:val="20"/>
                <w:szCs w:val="20"/>
              </w:rPr>
            </w:pPr>
            <w:r>
              <w:rPr>
                <w:rFonts w:eastAsia="Times New Roman"/>
                <w:sz w:val="20"/>
                <w:szCs w:val="20"/>
              </w:rPr>
              <w:t>Balance at December 31, 2020</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32,064,375</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0.0</w:t>
            </w:r>
            <w:r>
              <w:rPr>
                <w:rFonts w:eastAsia="Times New Roman"/>
                <w:sz w:val="20"/>
                <w:szCs w:val="20"/>
              </w:rPr>
              <w:t>4</w:t>
            </w:r>
            <w:r>
              <w:rPr>
                <w:rFonts w:eastAsia="Times New Roman"/>
                <w:sz w:val="20"/>
                <w:szCs w:val="20"/>
              </w:rPr>
              <w:t>-</w:t>
            </w:r>
            <w:r>
              <w:rPr>
                <w:rFonts w:eastAsia="Times New Roman"/>
                <w:sz w:val="20"/>
                <w:szCs w:val="20"/>
              </w:rPr>
              <w:t>80.0</w:t>
            </w:r>
            <w:r>
              <w:rPr>
                <w:rFonts w:eastAsia="Times New Roman"/>
                <w:sz w:val="20"/>
                <w:szCs w:val="20"/>
              </w:rPr>
              <w:t>0</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1.6</w:t>
            </w:r>
            <w:r>
              <w:rPr>
                <w:rFonts w:eastAsia="Times New Roman"/>
                <w:sz w:val="20"/>
                <w:szCs w:val="20"/>
              </w:rPr>
              <w:t>5</w:t>
            </w:r>
            <w:r>
              <w:rPr>
                <w:rFonts w:eastAsia="Times New Roman"/>
                <w:sz w:val="20"/>
                <w:szCs w:val="20"/>
              </w:rPr>
              <w:t xml:space="preserve"> years</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1,614,567</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0.06</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Warrants granted</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11,237,500</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0.1</w:t>
            </w:r>
            <w:r>
              <w:rPr>
                <w:rFonts w:eastAsia="Times New Roman"/>
                <w:sz w:val="20"/>
                <w:szCs w:val="20"/>
              </w:rPr>
              <w:t>0</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Warrants exercised</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(10,730,000</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rPr>
                <w:rFonts w:eastAsia="Times New Roman"/>
                <w:sz w:val="20"/>
                <w:szCs w:val="20"/>
              </w:rPr>
            </w:pP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Warrants expired/cancelled</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(709,375</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Balance at December 31, 2021</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31,862,500</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0.0</w:t>
            </w:r>
            <w:r>
              <w:rPr>
                <w:rFonts w:eastAsia="Times New Roman"/>
                <w:sz w:val="20"/>
                <w:szCs w:val="20"/>
              </w:rPr>
              <w:t>4</w:t>
            </w:r>
            <w:r>
              <w:rPr>
                <w:rFonts w:eastAsia="Times New Roman"/>
                <w:sz w:val="20"/>
                <w:szCs w:val="20"/>
              </w:rPr>
              <w:t>-</w:t>
            </w:r>
            <w:r>
              <w:rPr>
                <w:rFonts w:eastAsia="Times New Roman"/>
                <w:sz w:val="20"/>
                <w:szCs w:val="20"/>
              </w:rPr>
              <w:t>0.1</w:t>
            </w:r>
            <w:r>
              <w:rPr>
                <w:rFonts w:eastAsia="Times New Roman"/>
                <w:sz w:val="20"/>
                <w:szCs w:val="20"/>
              </w:rPr>
              <w:t>0</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1.0</w:t>
            </w:r>
            <w:r>
              <w:rPr>
                <w:rFonts w:eastAsia="Times New Roman"/>
                <w:sz w:val="20"/>
                <w:szCs w:val="20"/>
              </w:rPr>
              <w:t>2</w:t>
            </w:r>
            <w:r>
              <w:rPr>
                <w:rFonts w:eastAsia="Times New Roman"/>
                <w:sz w:val="20"/>
                <w:szCs w:val="20"/>
              </w:rPr>
              <w:t xml:space="preserve"> years</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538,875</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0.07</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Warrants granted</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20,000,000</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0.0</w:t>
            </w:r>
            <w:r>
              <w:rPr>
                <w:rFonts w:eastAsia="Times New Roman"/>
                <w:sz w:val="20"/>
                <w:szCs w:val="20"/>
              </w:rPr>
              <w:t>1</w:t>
            </w:r>
            <w:r>
              <w:rPr>
                <w:rFonts w:eastAsia="Times New Roman"/>
                <w:sz w:val="20"/>
                <w:szCs w:val="20"/>
              </w:rPr>
              <w:t xml:space="preserve"> –</w:t>
            </w:r>
            <w:r>
              <w:rPr>
                <w:rFonts w:eastAsia="Times New Roman"/>
                <w:sz w:val="20"/>
                <w:szCs w:val="20"/>
              </w:rPr>
              <w:t xml:space="preserve"> </w:t>
            </w:r>
            <w:r>
              <w:rPr>
                <w:rFonts w:eastAsia="Times New Roman"/>
                <w:sz w:val="20"/>
                <w:szCs w:val="20"/>
              </w:rPr>
              <w:t>0.0</w:t>
            </w:r>
            <w:r>
              <w:rPr>
                <w:rFonts w:eastAsia="Times New Roman"/>
                <w:sz w:val="20"/>
                <w:szCs w:val="20"/>
              </w:rPr>
              <w:t>8</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2.5</w:t>
            </w:r>
            <w:r>
              <w:rPr>
                <w:rFonts w:eastAsia="Times New Roman"/>
                <w:sz w:val="20"/>
                <w:szCs w:val="20"/>
              </w:rPr>
              <w:t>0</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0.0725</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Warrants exercised</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(4,158,333</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rPr>
                <w:rFonts w:eastAsia="Times New Roman"/>
                <w:sz w:val="20"/>
                <w:szCs w:val="20"/>
              </w:rPr>
            </w:pP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Warrants expired/cancelled</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(20,966,667</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Balance at December 31, 2022</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26,737,500</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0.0</w:t>
            </w:r>
            <w:r>
              <w:rPr>
                <w:rFonts w:eastAsia="Times New Roman"/>
                <w:sz w:val="20"/>
                <w:szCs w:val="20"/>
              </w:rPr>
              <w:t>8</w:t>
            </w:r>
            <w:r>
              <w:rPr>
                <w:rFonts w:eastAsia="Times New Roman"/>
                <w:sz w:val="20"/>
                <w:szCs w:val="20"/>
              </w:rPr>
              <w:t>-</w:t>
            </w:r>
            <w:r>
              <w:rPr>
                <w:rFonts w:eastAsia="Times New Roman"/>
                <w:sz w:val="20"/>
                <w:szCs w:val="20"/>
              </w:rPr>
              <w:t>0.1</w:t>
            </w:r>
            <w:r>
              <w:rPr>
                <w:rFonts w:eastAsia="Times New Roman"/>
                <w:sz w:val="20"/>
                <w:szCs w:val="20"/>
              </w:rPr>
              <w:t>0</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1.5</w:t>
            </w:r>
            <w:r>
              <w:rPr>
                <w:rFonts w:eastAsia="Times New Roman"/>
                <w:sz w:val="20"/>
                <w:szCs w:val="20"/>
              </w:rPr>
              <w:t>2</w:t>
            </w:r>
            <w:r>
              <w:rPr>
                <w:rFonts w:eastAsia="Times New Roman"/>
                <w:sz w:val="20"/>
                <w:szCs w:val="20"/>
              </w:rPr>
              <w:t xml:space="preserve"> years</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0.09</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Exercisable at December 31, 2022</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26,737,500</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0.0</w:t>
            </w:r>
            <w:r>
              <w:rPr>
                <w:rFonts w:eastAsia="Times New Roman"/>
                <w:sz w:val="20"/>
                <w:szCs w:val="20"/>
              </w:rPr>
              <w:t>8</w:t>
            </w:r>
            <w:r>
              <w:rPr>
                <w:rFonts w:eastAsia="Times New Roman"/>
                <w:sz w:val="20"/>
                <w:szCs w:val="20"/>
              </w:rPr>
              <w:t>-</w:t>
            </w:r>
            <w:r>
              <w:rPr>
                <w:rFonts w:eastAsia="Times New Roman"/>
                <w:sz w:val="20"/>
                <w:szCs w:val="20"/>
              </w:rPr>
              <w:t>0.1</w:t>
            </w:r>
            <w:r>
              <w:rPr>
                <w:rFonts w:eastAsia="Times New Roman"/>
                <w:sz w:val="20"/>
                <w:szCs w:val="20"/>
              </w:rPr>
              <w:t>0</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1.5</w:t>
            </w:r>
            <w:r>
              <w:rPr>
                <w:rFonts w:eastAsia="Times New Roman"/>
                <w:sz w:val="20"/>
                <w:szCs w:val="20"/>
              </w:rPr>
              <w:t>2</w:t>
            </w:r>
            <w:r>
              <w:rPr>
                <w:rFonts w:eastAsia="Times New Roman"/>
                <w:sz w:val="20"/>
                <w:szCs w:val="20"/>
              </w:rPr>
              <w:t xml:space="preserve"> years</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0.09</w:t>
            </w:r>
          </w:p>
        </w:tc>
        <w:tc>
          <w:tcPr>
            <w:tcW w:w="0" w:type="auto"/>
            <w:shd w:val="clear" w:color="auto" w:fill="CCEE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Changes </w:t>
      </w:r>
      <w:r>
        <w:rPr>
          <w:sz w:val="20"/>
          <w:szCs w:val="20"/>
        </w:rPr>
        <w:t>to these inputs could produce a significantly higher or lower fair value measurement. The fair value of each option/warrant is estimated using the Black-Scholes valuation model. The following assumptions were used for the periods as follows: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vanish/>
          <w:sz w:val="20"/>
          <w:szCs w:val="20"/>
        </w:rPr>
        <w:t>SCHEDULE OF ASSUMPTIONS USED IN FAIR VALUE MEASUREMEN</w:t>
      </w:r>
      <w:r>
        <w:rPr>
          <w:vanish/>
          <w:sz w:val="20"/>
          <w:szCs w:val="20"/>
        </w:rPr>
        <w:t>T</w:t>
      </w:r>
    </w:p>
    <w:tbl>
      <w:tblPr>
        <w:tblW w:w="4000" w:type="pct"/>
        <w:tblCellMar>
          <w:left w:w="0" w:type="dxa"/>
          <w:right w:w="0" w:type="dxa"/>
        </w:tblCellMar>
        <w:tblLook w:val="04A0" w:firstRow="1" w:lastRow="0" w:firstColumn="1" w:lastColumn="0" w:noHBand="0" w:noVBand="1"/>
      </w:tblPr>
      <w:tblGrid>
        <w:gridCol w:w="4224"/>
        <w:gridCol w:w="104"/>
        <w:gridCol w:w="57"/>
        <w:gridCol w:w="881"/>
        <w:gridCol w:w="167"/>
        <w:gridCol w:w="105"/>
        <w:gridCol w:w="57"/>
        <w:gridCol w:w="883"/>
        <w:gridCol w:w="167"/>
      </w:tblGrid>
      <w:tr w:rsidR="00000000">
        <w:tc>
          <w:tcPr>
            <w:tcW w:w="0" w:type="auto"/>
            <w:vAlign w:val="bottom"/>
            <w:hideMark/>
          </w:tcPr>
          <w:p w:rsidR="00000000" w:rsidRDefault="00DA7678">
            <w:pPr>
              <w:jc w:val="cente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DA7678">
            <w:pPr>
              <w:jc w:val="center"/>
              <w:rPr>
                <w:rFonts w:eastAsia="Times New Roman"/>
                <w:b/>
                <w:bCs/>
                <w:sz w:val="20"/>
                <w:szCs w:val="20"/>
              </w:rPr>
            </w:pPr>
            <w:r>
              <w:rPr>
                <w:rFonts w:eastAsia="Times New Roman"/>
                <w:b/>
                <w:bCs/>
                <w:sz w:val="20"/>
                <w:szCs w:val="20"/>
              </w:rPr>
              <w:t>Year Ended</w:t>
            </w:r>
          </w:p>
        </w:tc>
        <w:tc>
          <w:tcPr>
            <w:tcW w:w="0" w:type="auto"/>
            <w:vAlign w:val="bottom"/>
            <w:hideMark/>
          </w:tcPr>
          <w:p w:rsidR="00000000" w:rsidRDefault="00DA7678">
            <w:pPr>
              <w:rPr>
                <w:rFonts w:eastAsia="Times New Roman"/>
                <w:b/>
                <w:bCs/>
                <w:sz w:val="20"/>
                <w:szCs w:val="20"/>
              </w:rPr>
            </w:pPr>
            <w:r>
              <w:rPr>
                <w:rFonts w:eastAsia="Times New Roman"/>
                <w:b/>
                <w:bCs/>
                <w:sz w:val="20"/>
                <w:szCs w:val="20"/>
              </w:rPr>
              <w:t> </w:t>
            </w:r>
          </w:p>
        </w:tc>
        <w:tc>
          <w:tcPr>
            <w:tcW w:w="0" w:type="auto"/>
            <w:vAlign w:val="bottom"/>
            <w:hideMark/>
          </w:tcPr>
          <w:p w:rsidR="00000000" w:rsidRDefault="00DA7678">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DA7678">
            <w:pPr>
              <w:jc w:val="center"/>
              <w:rPr>
                <w:rFonts w:eastAsia="Times New Roman"/>
                <w:b/>
                <w:bCs/>
                <w:sz w:val="20"/>
                <w:szCs w:val="20"/>
              </w:rPr>
            </w:pPr>
            <w:r>
              <w:rPr>
                <w:rFonts w:eastAsia="Times New Roman"/>
                <w:b/>
                <w:bCs/>
                <w:sz w:val="20"/>
                <w:szCs w:val="20"/>
              </w:rPr>
              <w:t>Year Ended</w:t>
            </w:r>
          </w:p>
        </w:tc>
        <w:tc>
          <w:tcPr>
            <w:tcW w:w="0" w:type="auto"/>
            <w:vAlign w:val="bottom"/>
            <w:hideMark/>
          </w:tcPr>
          <w:p w:rsidR="00000000" w:rsidRDefault="00DA767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DA767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pStyle w:val="a3"/>
              <w:spacing w:before="0" w:beforeAutospacing="0" w:after="0" w:afterAutospacing="0"/>
              <w:jc w:val="center"/>
              <w:rPr>
                <w:sz w:val="20"/>
                <w:szCs w:val="20"/>
              </w:rPr>
            </w:pPr>
            <w:r>
              <w:rPr>
                <w:b/>
                <w:bCs/>
                <w:sz w:val="20"/>
                <w:szCs w:val="20"/>
              </w:rPr>
              <w:t>December 31,</w:t>
            </w:r>
          </w:p>
          <w:p w:rsidR="00000000" w:rsidRDefault="00DA7678">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pStyle w:val="a3"/>
              <w:spacing w:before="0" w:beforeAutospacing="0" w:after="0" w:afterAutospacing="0"/>
              <w:jc w:val="center"/>
              <w:rPr>
                <w:sz w:val="20"/>
                <w:szCs w:val="20"/>
              </w:rPr>
            </w:pPr>
            <w:r>
              <w:rPr>
                <w:b/>
                <w:bCs/>
                <w:sz w:val="20"/>
                <w:szCs w:val="20"/>
              </w:rPr>
              <w:t>December 31,</w:t>
            </w:r>
          </w:p>
          <w:p w:rsidR="00000000" w:rsidRDefault="00DA7678">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jc w:val="both"/>
              <w:rPr>
                <w:rFonts w:eastAsia="Times New Roman"/>
                <w:sz w:val="20"/>
                <w:szCs w:val="20"/>
              </w:rPr>
            </w:pPr>
            <w:r>
              <w:rPr>
                <w:rFonts w:eastAsia="Times New Roman"/>
                <w:sz w:val="20"/>
                <w:szCs w:val="20"/>
              </w:rPr>
              <w:t>Expected term</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r>
              <w:rPr>
                <w:rFonts w:eastAsia="Times New Roman"/>
                <w:sz w:val="20"/>
                <w:szCs w:val="20"/>
              </w:rPr>
              <w:t>5</w:t>
            </w:r>
            <w:r>
              <w:rPr>
                <w:rFonts w:eastAsia="Times New Roman"/>
                <w:sz w:val="20"/>
                <w:szCs w:val="20"/>
              </w:rPr>
              <w:t xml:space="preserve"> –</w:t>
            </w:r>
            <w:r>
              <w:rPr>
                <w:rFonts w:eastAsia="Times New Roman"/>
                <w:sz w:val="20"/>
                <w:szCs w:val="20"/>
              </w:rPr>
              <w:t xml:space="preserve"> </w:t>
            </w:r>
            <w:r>
              <w:rPr>
                <w:rFonts w:eastAsia="Times New Roman"/>
                <w:sz w:val="20"/>
                <w:szCs w:val="20"/>
              </w:rPr>
              <w:t>3</w:t>
            </w:r>
            <w:r>
              <w:rPr>
                <w:rFonts w:eastAsia="Times New Roman"/>
                <w:sz w:val="20"/>
                <w:szCs w:val="20"/>
              </w:rPr>
              <w:t xml:space="preserve"> years</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2</w:t>
            </w:r>
            <w:r>
              <w:rPr>
                <w:rFonts w:eastAsia="Times New Roman"/>
                <w:sz w:val="20"/>
                <w:szCs w:val="20"/>
              </w:rPr>
              <w:t xml:space="preserve"> -</w:t>
            </w:r>
            <w:r>
              <w:rPr>
                <w:rFonts w:eastAsia="Times New Roman"/>
                <w:sz w:val="20"/>
                <w:szCs w:val="20"/>
              </w:rPr>
              <w:t xml:space="preserve"> </w:t>
            </w:r>
            <w:r>
              <w:rPr>
                <w:rFonts w:eastAsia="Times New Roman"/>
                <w:sz w:val="20"/>
                <w:szCs w:val="20"/>
              </w:rPr>
              <w:t>5</w:t>
            </w:r>
            <w:r>
              <w:rPr>
                <w:rFonts w:eastAsia="Times New Roman"/>
                <w:sz w:val="20"/>
                <w:szCs w:val="20"/>
              </w:rPr>
              <w:t xml:space="preserve"> years</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3200" w:type="pct"/>
            <w:shd w:val="clear" w:color="auto" w:fill="FFFFFF"/>
            <w:vAlign w:val="bottom"/>
            <w:hideMark/>
          </w:tcPr>
          <w:p w:rsidR="00000000" w:rsidRDefault="00DA7678">
            <w:pPr>
              <w:jc w:val="both"/>
              <w:rPr>
                <w:rFonts w:eastAsia="Times New Roman"/>
                <w:sz w:val="20"/>
                <w:szCs w:val="20"/>
              </w:rPr>
            </w:pPr>
            <w:r>
              <w:rPr>
                <w:rFonts w:eastAsia="Times New Roman"/>
                <w:sz w:val="20"/>
                <w:szCs w:val="20"/>
              </w:rPr>
              <w:t>Expected volatility</w:t>
            </w:r>
          </w:p>
        </w:tc>
        <w:tc>
          <w:tcPr>
            <w:tcW w:w="100" w:type="pct"/>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DA7678">
            <w:pPr>
              <w:jc w:val="right"/>
              <w:rPr>
                <w:rFonts w:eastAsia="Times New Roman"/>
                <w:sz w:val="20"/>
                <w:szCs w:val="20"/>
              </w:rPr>
            </w:pPr>
            <w:r>
              <w:rPr>
                <w:rFonts w:eastAsia="Times New Roman"/>
                <w:sz w:val="20"/>
                <w:szCs w:val="20"/>
              </w:rPr>
              <w:t>66</w:t>
            </w:r>
          </w:p>
        </w:tc>
        <w:tc>
          <w:tcPr>
            <w:tcW w:w="50" w:type="pct"/>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100" w:type="pct"/>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DA7678">
            <w:pPr>
              <w:jc w:val="right"/>
              <w:rPr>
                <w:rFonts w:eastAsia="Times New Roman"/>
                <w:sz w:val="20"/>
                <w:szCs w:val="20"/>
              </w:rPr>
            </w:pPr>
            <w:r>
              <w:rPr>
                <w:rFonts w:eastAsia="Times New Roman"/>
                <w:sz w:val="20"/>
                <w:szCs w:val="20"/>
              </w:rPr>
              <w:t>10</w:t>
            </w:r>
            <w:r>
              <w:rPr>
                <w:rFonts w:eastAsia="Times New Roman"/>
                <w:sz w:val="20"/>
                <w:szCs w:val="20"/>
              </w:rPr>
              <w:t>9</w:t>
            </w:r>
            <w:r>
              <w:rPr>
                <w:rFonts w:eastAsia="Times New Roman"/>
                <w:sz w:val="20"/>
                <w:szCs w:val="20"/>
              </w:rPr>
              <w:t xml:space="preserve"> -</w:t>
            </w:r>
            <w:r>
              <w:rPr>
                <w:rFonts w:eastAsia="Times New Roman"/>
                <w:sz w:val="20"/>
                <w:szCs w:val="20"/>
              </w:rPr>
              <w:t xml:space="preserve"> </w:t>
            </w:r>
            <w:r>
              <w:rPr>
                <w:rFonts w:eastAsia="Times New Roman"/>
                <w:sz w:val="20"/>
                <w:szCs w:val="20"/>
              </w:rPr>
              <w:t>14</w:t>
            </w:r>
            <w:r>
              <w:rPr>
                <w:rFonts w:eastAsia="Times New Roman"/>
                <w:sz w:val="20"/>
                <w:szCs w:val="20"/>
              </w:rPr>
              <w:t>7</w:t>
            </w:r>
          </w:p>
        </w:tc>
        <w:tc>
          <w:tcPr>
            <w:tcW w:w="50" w:type="pct"/>
            <w:shd w:val="clear" w:color="auto" w:fill="FFFFFF"/>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DA7678">
            <w:pPr>
              <w:jc w:val="both"/>
              <w:rPr>
                <w:rFonts w:eastAsia="Times New Roman"/>
                <w:sz w:val="20"/>
                <w:szCs w:val="20"/>
              </w:rPr>
            </w:pPr>
            <w:r>
              <w:rPr>
                <w:rFonts w:eastAsia="Times New Roman"/>
                <w:sz w:val="20"/>
                <w:szCs w:val="20"/>
              </w:rPr>
              <w:t>Expected dividend yield</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jc w:val="both"/>
              <w:rPr>
                <w:rFonts w:eastAsia="Times New Roman"/>
                <w:sz w:val="20"/>
                <w:szCs w:val="20"/>
              </w:rPr>
            </w:pPr>
            <w:r>
              <w:rPr>
                <w:rFonts w:eastAsia="Times New Roman"/>
                <w:sz w:val="20"/>
                <w:szCs w:val="20"/>
              </w:rPr>
              <w:t>Risk-free interest rate</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3</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0.2</w:t>
            </w:r>
            <w:r>
              <w:rPr>
                <w:rFonts w:eastAsia="Times New Roman"/>
                <w:sz w:val="20"/>
                <w:szCs w:val="20"/>
              </w:rPr>
              <w:t>0</w:t>
            </w:r>
            <w:r>
              <w:rPr>
                <w:rFonts w:eastAsia="Times New Roman"/>
                <w:sz w:val="20"/>
                <w:szCs w:val="20"/>
              </w:rPr>
              <w:t xml:space="preserve"> -</w:t>
            </w:r>
            <w:r>
              <w:rPr>
                <w:rFonts w:eastAsia="Times New Roman"/>
                <w:sz w:val="20"/>
                <w:szCs w:val="20"/>
              </w:rPr>
              <w:t xml:space="preserve"> </w:t>
            </w:r>
            <w:r>
              <w:rPr>
                <w:rFonts w:eastAsia="Times New Roman"/>
                <w:sz w:val="20"/>
                <w:szCs w:val="20"/>
              </w:rPr>
              <w:t>0.5</w:t>
            </w:r>
            <w:r>
              <w:rPr>
                <w:rFonts w:eastAsia="Times New Roman"/>
                <w:sz w:val="20"/>
                <w:szCs w:val="20"/>
              </w:rPr>
              <w:t>8</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r>
    </w:tbl>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Between January 8, 2021 and January 29, 2021, the Company issued</w:t>
      </w:r>
      <w:r>
        <w:rPr>
          <w:sz w:val="20"/>
          <w:szCs w:val="20"/>
        </w:rPr>
        <w:t xml:space="preserve"> </w:t>
      </w:r>
      <w:r>
        <w:rPr>
          <w:sz w:val="20"/>
          <w:szCs w:val="20"/>
        </w:rPr>
        <w:t>3,870,42</w:t>
      </w:r>
      <w:r>
        <w:rPr>
          <w:sz w:val="20"/>
          <w:szCs w:val="20"/>
        </w:rPr>
        <w:t>8</w:t>
      </w:r>
      <w:r>
        <w:rPr>
          <w:sz w:val="20"/>
          <w:szCs w:val="20"/>
        </w:rPr>
        <w:t xml:space="preserve"> </w:t>
      </w:r>
      <w:r>
        <w:rPr>
          <w:sz w:val="20"/>
          <w:szCs w:val="20"/>
        </w:rPr>
        <w:t>shares of common stock in the cashless exercise of</w:t>
      </w:r>
      <w:r>
        <w:rPr>
          <w:sz w:val="20"/>
          <w:szCs w:val="20"/>
        </w:rPr>
        <w:t xml:space="preserve"> </w:t>
      </w:r>
      <w:r>
        <w:rPr>
          <w:sz w:val="20"/>
          <w:szCs w:val="20"/>
        </w:rPr>
        <w:t>5,430,00</w:t>
      </w:r>
      <w:r>
        <w:rPr>
          <w:sz w:val="20"/>
          <w:szCs w:val="20"/>
        </w:rPr>
        <w:t>0</w:t>
      </w:r>
      <w:r>
        <w:rPr>
          <w:sz w:val="20"/>
          <w:szCs w:val="20"/>
        </w:rPr>
        <w:t xml:space="preserve"> warrants.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In March 2021 the Company sold</w:t>
      </w:r>
      <w:r>
        <w:rPr>
          <w:sz w:val="20"/>
          <w:szCs w:val="20"/>
        </w:rPr>
        <w:t xml:space="preserve"> </w:t>
      </w:r>
      <w:r>
        <w:rPr>
          <w:sz w:val="20"/>
          <w:szCs w:val="20"/>
        </w:rPr>
        <w:t>11,237,50</w:t>
      </w:r>
      <w:r>
        <w:rPr>
          <w:sz w:val="20"/>
          <w:szCs w:val="20"/>
        </w:rPr>
        <w:t>0</w:t>
      </w:r>
      <w:r>
        <w:rPr>
          <w:sz w:val="20"/>
          <w:szCs w:val="20"/>
        </w:rPr>
        <w:t xml:space="preserve"> warrants for </w:t>
      </w:r>
      <w:r>
        <w:rPr>
          <w:sz w:val="20"/>
          <w:szCs w:val="20"/>
        </w:rPr>
        <w:t>$</w:t>
      </w:r>
      <w:r>
        <w:rPr>
          <w:sz w:val="20"/>
          <w:szCs w:val="20"/>
        </w:rPr>
        <w:t>11,23</w:t>
      </w:r>
      <w:r>
        <w:rPr>
          <w:sz w:val="20"/>
          <w:szCs w:val="20"/>
        </w:rPr>
        <w:t>8</w:t>
      </w:r>
      <w:r>
        <w:rPr>
          <w:sz w:val="20"/>
          <w:szCs w:val="20"/>
        </w:rPr>
        <w:t>. These warrants have a</w:t>
      </w:r>
      <w:r>
        <w:rPr>
          <w:sz w:val="20"/>
          <w:szCs w:val="20"/>
        </w:rPr>
        <w:t xml:space="preserve"> </w:t>
      </w:r>
      <w:r>
        <w:rPr>
          <w:sz w:val="20"/>
          <w:szCs w:val="20"/>
        </w:rPr>
        <w:t>two-year ter</w:t>
      </w:r>
      <w:r>
        <w:rPr>
          <w:sz w:val="20"/>
          <w:szCs w:val="20"/>
        </w:rPr>
        <w:t>m</w:t>
      </w:r>
      <w:r>
        <w:rPr>
          <w:sz w:val="20"/>
          <w:szCs w:val="20"/>
        </w:rPr>
        <w:t xml:space="preserve"> and have an exercise price of </w:t>
      </w:r>
      <w:r>
        <w:rPr>
          <w:sz w:val="20"/>
          <w:szCs w:val="20"/>
        </w:rPr>
        <w:t>$</w:t>
      </w:r>
      <w:r>
        <w:rPr>
          <w:sz w:val="20"/>
          <w:szCs w:val="20"/>
        </w:rPr>
        <w:t>0.1</w:t>
      </w:r>
      <w:r>
        <w:rPr>
          <w:sz w:val="20"/>
          <w:szCs w:val="20"/>
        </w:rPr>
        <w:t>0</w:t>
      </w:r>
      <w:r>
        <w:rPr>
          <w:sz w:val="20"/>
          <w:szCs w:val="20"/>
        </w:rPr>
        <w:t xml:space="preserve"> per share.</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From July 9 through September 24, </w:t>
      </w:r>
      <w:r>
        <w:rPr>
          <w:sz w:val="20"/>
          <w:szCs w:val="20"/>
        </w:rPr>
        <w:t>2021, the Company issued</w:t>
      </w:r>
      <w:r>
        <w:rPr>
          <w:sz w:val="20"/>
          <w:szCs w:val="20"/>
        </w:rPr>
        <w:t xml:space="preserve"> </w:t>
      </w:r>
      <w:r>
        <w:rPr>
          <w:sz w:val="20"/>
          <w:szCs w:val="20"/>
        </w:rPr>
        <w:t>838,19</w:t>
      </w:r>
      <w:r>
        <w:rPr>
          <w:sz w:val="20"/>
          <w:szCs w:val="20"/>
        </w:rPr>
        <w:t>5</w:t>
      </w:r>
      <w:r>
        <w:rPr>
          <w:sz w:val="20"/>
          <w:szCs w:val="20"/>
        </w:rPr>
        <w:t xml:space="preserve"> shares of common stock in the cashless exercise of</w:t>
      </w:r>
      <w:r>
        <w:rPr>
          <w:sz w:val="20"/>
          <w:szCs w:val="20"/>
        </w:rPr>
        <w:t xml:space="preserve"> </w:t>
      </w:r>
      <w:r>
        <w:rPr>
          <w:sz w:val="20"/>
          <w:szCs w:val="20"/>
        </w:rPr>
        <w:t>1,800,00</w:t>
      </w:r>
      <w:r>
        <w:rPr>
          <w:sz w:val="20"/>
          <w:szCs w:val="20"/>
        </w:rPr>
        <w:t>0</w:t>
      </w:r>
      <w:r>
        <w:rPr>
          <w:sz w:val="20"/>
          <w:szCs w:val="20"/>
        </w:rPr>
        <w:t xml:space="preserve"> warrants.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In October 2021, the Company issued</w:t>
      </w:r>
      <w:r>
        <w:rPr>
          <w:sz w:val="20"/>
          <w:szCs w:val="20"/>
        </w:rPr>
        <w:t xml:space="preserve"> </w:t>
      </w:r>
      <w:r>
        <w:rPr>
          <w:sz w:val="20"/>
          <w:szCs w:val="20"/>
        </w:rPr>
        <w:t>2,005,69</w:t>
      </w:r>
      <w:r>
        <w:rPr>
          <w:sz w:val="20"/>
          <w:szCs w:val="20"/>
        </w:rPr>
        <w:t>3</w:t>
      </w:r>
      <w:r>
        <w:rPr>
          <w:sz w:val="20"/>
          <w:szCs w:val="20"/>
        </w:rPr>
        <w:t xml:space="preserve"> shares of common stock in the cashless exercise of</w:t>
      </w:r>
      <w:r>
        <w:rPr>
          <w:sz w:val="20"/>
          <w:szCs w:val="20"/>
        </w:rPr>
        <w:t xml:space="preserve"> </w:t>
      </w:r>
      <w:r>
        <w:rPr>
          <w:sz w:val="20"/>
          <w:szCs w:val="20"/>
        </w:rPr>
        <w:t>3,500,00</w:t>
      </w:r>
      <w:r>
        <w:rPr>
          <w:sz w:val="20"/>
          <w:szCs w:val="20"/>
        </w:rPr>
        <w:t>0</w:t>
      </w:r>
      <w:r>
        <w:rPr>
          <w:sz w:val="20"/>
          <w:szCs w:val="20"/>
        </w:rPr>
        <w:t xml:space="preserve"> warrants.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In </w:t>
      </w:r>
      <w:r>
        <w:rPr>
          <w:sz w:val="20"/>
          <w:szCs w:val="20"/>
        </w:rPr>
        <w:t>March 2022 the Company issued</w:t>
      </w:r>
      <w:r>
        <w:rPr>
          <w:sz w:val="20"/>
          <w:szCs w:val="20"/>
        </w:rPr>
        <w:t xml:space="preserve"> </w:t>
      </w:r>
      <w:r>
        <w:rPr>
          <w:sz w:val="20"/>
          <w:szCs w:val="20"/>
        </w:rPr>
        <w:t>299,57</w:t>
      </w:r>
      <w:r>
        <w:rPr>
          <w:sz w:val="20"/>
          <w:szCs w:val="20"/>
        </w:rPr>
        <w:t>7</w:t>
      </w:r>
      <w:r>
        <w:rPr>
          <w:sz w:val="20"/>
          <w:szCs w:val="20"/>
        </w:rPr>
        <w:t xml:space="preserve"> shares of common stock in the cashless exercise of</w:t>
      </w:r>
      <w:r>
        <w:rPr>
          <w:sz w:val="20"/>
          <w:szCs w:val="20"/>
        </w:rPr>
        <w:t xml:space="preserve"> </w:t>
      </w:r>
      <w:r>
        <w:rPr>
          <w:sz w:val="20"/>
          <w:szCs w:val="20"/>
        </w:rPr>
        <w:t>825,00</w:t>
      </w:r>
      <w:r>
        <w:rPr>
          <w:sz w:val="20"/>
          <w:szCs w:val="20"/>
        </w:rPr>
        <w:t>0</w:t>
      </w:r>
      <w:r>
        <w:rPr>
          <w:sz w:val="20"/>
          <w:szCs w:val="20"/>
        </w:rPr>
        <w:t xml:space="preserve"> warrants. In June 2022,</w:t>
      </w:r>
      <w:r>
        <w:rPr>
          <w:sz w:val="20"/>
          <w:szCs w:val="20"/>
        </w:rPr>
        <w:t xml:space="preserve"> </w:t>
      </w:r>
      <w:r>
        <w:rPr>
          <w:sz w:val="20"/>
          <w:szCs w:val="20"/>
        </w:rPr>
        <w:t>1,000,00</w:t>
      </w:r>
      <w:r>
        <w:rPr>
          <w:sz w:val="20"/>
          <w:szCs w:val="20"/>
        </w:rPr>
        <w:t>0</w:t>
      </w:r>
      <w:r>
        <w:rPr>
          <w:sz w:val="20"/>
          <w:szCs w:val="20"/>
        </w:rPr>
        <w:t xml:space="preserve"> warrants expired.</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On July 7, 2022, the Company sold</w:t>
      </w:r>
      <w:r>
        <w:rPr>
          <w:sz w:val="20"/>
          <w:szCs w:val="20"/>
        </w:rPr>
        <w:t xml:space="preserve"> </w:t>
      </w:r>
      <w:r>
        <w:rPr>
          <w:sz w:val="20"/>
          <w:szCs w:val="20"/>
        </w:rPr>
        <w:t>15,000,00</w:t>
      </w:r>
      <w:r>
        <w:rPr>
          <w:sz w:val="20"/>
          <w:szCs w:val="20"/>
        </w:rPr>
        <w:t>0</w:t>
      </w:r>
      <w:r>
        <w:rPr>
          <w:sz w:val="20"/>
          <w:szCs w:val="20"/>
        </w:rPr>
        <w:t xml:space="preserve"> shares under the Regulation A+ at </w:t>
      </w:r>
      <w:r>
        <w:rPr>
          <w:sz w:val="20"/>
          <w:szCs w:val="20"/>
        </w:rPr>
        <w:t>$</w:t>
      </w:r>
      <w:r>
        <w:rPr>
          <w:sz w:val="20"/>
          <w:szCs w:val="20"/>
        </w:rPr>
        <w:t>0.0</w:t>
      </w:r>
      <w:r>
        <w:rPr>
          <w:sz w:val="20"/>
          <w:szCs w:val="20"/>
        </w:rPr>
        <w:t>8</w:t>
      </w:r>
      <w:r>
        <w:rPr>
          <w:sz w:val="20"/>
          <w:szCs w:val="20"/>
        </w:rPr>
        <w:t xml:space="preserve"> for </w:t>
      </w:r>
      <w:r>
        <w:rPr>
          <w:sz w:val="20"/>
          <w:szCs w:val="20"/>
        </w:rPr>
        <w:t>$</w:t>
      </w:r>
      <w:r>
        <w:rPr>
          <w:sz w:val="20"/>
          <w:szCs w:val="20"/>
        </w:rPr>
        <w:t>1,200,00</w:t>
      </w:r>
      <w:r>
        <w:rPr>
          <w:sz w:val="20"/>
          <w:szCs w:val="20"/>
        </w:rPr>
        <w:t>0</w:t>
      </w:r>
      <w:r>
        <w:rPr>
          <w:sz w:val="20"/>
          <w:szCs w:val="20"/>
        </w:rPr>
        <w:t>, and</w:t>
      </w:r>
      <w:r>
        <w:rPr>
          <w:sz w:val="20"/>
          <w:szCs w:val="20"/>
        </w:rPr>
        <w:t xml:space="preserve"> </w:t>
      </w:r>
      <w:r>
        <w:rPr>
          <w:sz w:val="20"/>
          <w:szCs w:val="20"/>
        </w:rPr>
        <w:t>20,000,00</w:t>
      </w:r>
      <w:r>
        <w:rPr>
          <w:sz w:val="20"/>
          <w:szCs w:val="20"/>
        </w:rPr>
        <w:t>0</w:t>
      </w:r>
      <w:r>
        <w:rPr>
          <w:sz w:val="20"/>
          <w:szCs w:val="20"/>
        </w:rPr>
        <w:t xml:space="preserve"> warrants </w:t>
      </w:r>
      <w:r>
        <w:rPr>
          <w:sz w:val="20"/>
          <w:szCs w:val="20"/>
        </w:rPr>
        <w:t>(</w:t>
      </w:r>
      <w:r>
        <w:rPr>
          <w:sz w:val="20"/>
          <w:szCs w:val="20"/>
        </w:rPr>
        <w:t>15,000,00</w:t>
      </w:r>
      <w:r>
        <w:rPr>
          <w:sz w:val="20"/>
          <w:szCs w:val="20"/>
        </w:rPr>
        <w:t>0</w:t>
      </w:r>
      <w:r>
        <w:rPr>
          <w:sz w:val="20"/>
          <w:szCs w:val="20"/>
        </w:rPr>
        <w:t xml:space="preserve"> at </w:t>
      </w:r>
      <w:r>
        <w:rPr>
          <w:sz w:val="20"/>
          <w:szCs w:val="20"/>
        </w:rPr>
        <w:t>$</w:t>
      </w:r>
      <w:r>
        <w:rPr>
          <w:sz w:val="20"/>
          <w:szCs w:val="20"/>
        </w:rPr>
        <w:t>0.0</w:t>
      </w:r>
      <w:r>
        <w:rPr>
          <w:sz w:val="20"/>
          <w:szCs w:val="20"/>
        </w:rPr>
        <w:t>8</w:t>
      </w:r>
      <w:r>
        <w:rPr>
          <w:sz w:val="20"/>
          <w:szCs w:val="20"/>
        </w:rPr>
        <w:t xml:space="preserve"> expiring June 2025 and</w:t>
      </w:r>
      <w:r>
        <w:rPr>
          <w:sz w:val="20"/>
          <w:szCs w:val="20"/>
        </w:rPr>
        <w:t xml:space="preserve"> </w:t>
      </w:r>
      <w:r>
        <w:rPr>
          <w:sz w:val="20"/>
          <w:szCs w:val="20"/>
        </w:rPr>
        <w:t>5,000,00</w:t>
      </w:r>
      <w:r>
        <w:rPr>
          <w:sz w:val="20"/>
          <w:szCs w:val="20"/>
        </w:rPr>
        <w:t>0</w:t>
      </w:r>
      <w:r>
        <w:rPr>
          <w:sz w:val="20"/>
          <w:szCs w:val="20"/>
        </w:rPr>
        <w:t xml:space="preserve"> at </w:t>
      </w:r>
      <w:r>
        <w:rPr>
          <w:sz w:val="20"/>
          <w:szCs w:val="20"/>
        </w:rPr>
        <w:t>$</w:t>
      </w:r>
      <w:r>
        <w:rPr>
          <w:sz w:val="20"/>
          <w:szCs w:val="20"/>
        </w:rPr>
        <w:t>0.0</w:t>
      </w:r>
      <w:r>
        <w:rPr>
          <w:sz w:val="20"/>
          <w:szCs w:val="20"/>
        </w:rPr>
        <w:t>1</w:t>
      </w:r>
      <w:r>
        <w:rPr>
          <w:sz w:val="20"/>
          <w:szCs w:val="20"/>
        </w:rPr>
        <w:t xml:space="preserve"> expiring December 2022) for </w:t>
      </w:r>
      <w:r>
        <w:rPr>
          <w:sz w:val="20"/>
          <w:szCs w:val="20"/>
        </w:rPr>
        <w:t>$</w:t>
      </w:r>
      <w:r>
        <w:rPr>
          <w:sz w:val="20"/>
          <w:szCs w:val="20"/>
        </w:rPr>
        <w:t>20,00</w:t>
      </w:r>
      <w:r>
        <w:rPr>
          <w:sz w:val="20"/>
          <w:szCs w:val="20"/>
        </w:rPr>
        <w:t>0</w:t>
      </w:r>
      <w:r>
        <w:rPr>
          <w:sz w:val="20"/>
          <w:szCs w:val="20"/>
        </w:rPr>
        <w:t>.</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rPr>
          <w:sz w:val="20"/>
          <w:szCs w:val="20"/>
        </w:rPr>
      </w:pPr>
      <w:r>
        <w:rPr>
          <w:sz w:val="20"/>
          <w:szCs w:val="20"/>
        </w:rPr>
        <w:t>In December 2022, the Company issued 2,650,273 shares of common stock in the cashless exercise of 3,333,333 warrants.</w:t>
      </w:r>
    </w:p>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12677768"/>
        </w:trPr>
        <w:tc>
          <w:tcPr>
            <w:tcW w:w="5000" w:type="pct"/>
            <w:hideMark/>
          </w:tcPr>
          <w:p w:rsidR="00000000" w:rsidRDefault="00DA767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rPr>
          <w:sz w:val="20"/>
          <w:szCs w:val="20"/>
        </w:rPr>
      </w:pPr>
      <w:r>
        <w:rPr>
          <w:b/>
          <w:bCs/>
          <w:sz w:val="20"/>
          <w:szCs w:val="20"/>
        </w:rPr>
        <w:t>Re</w:t>
      </w:r>
      <w:r>
        <w:rPr>
          <w:b/>
          <w:bCs/>
          <w:sz w:val="20"/>
          <w:szCs w:val="20"/>
        </w:rPr>
        <w:t>stricted Stock Units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rPr>
          <w:sz w:val="20"/>
          <w:szCs w:val="20"/>
        </w:rPr>
      </w:pPr>
      <w:r>
        <w:rPr>
          <w:sz w:val="20"/>
          <w:szCs w:val="20"/>
        </w:rPr>
        <w:t>The following schedule summarizes the changes in the Company’s restricted stock units:</w:t>
      </w:r>
    </w:p>
    <w:p w:rsidR="00000000" w:rsidRDefault="00DA7678">
      <w:pPr>
        <w:pStyle w:val="a3"/>
        <w:spacing w:before="0" w:beforeAutospacing="0" w:after="0" w:afterAutospacing="0"/>
        <w:rPr>
          <w:sz w:val="20"/>
          <w:szCs w:val="20"/>
        </w:rPr>
      </w:pPr>
      <w:r>
        <w:rPr>
          <w:sz w:val="20"/>
          <w:szCs w:val="20"/>
        </w:rPr>
        <w:t> </w:t>
      </w:r>
    </w:p>
    <w:p w:rsidR="00000000" w:rsidRDefault="00DA7678">
      <w:pPr>
        <w:pStyle w:val="a3"/>
        <w:spacing w:before="0" w:beforeAutospacing="0" w:after="0" w:afterAutospacing="0"/>
        <w:rPr>
          <w:sz w:val="20"/>
          <w:szCs w:val="20"/>
        </w:rPr>
      </w:pPr>
      <w:r>
        <w:rPr>
          <w:vanish/>
          <w:sz w:val="20"/>
          <w:szCs w:val="20"/>
        </w:rPr>
        <w:t>SCHEDULE OF CHANGES IN RESTRICTED STOCK UNIT</w:t>
      </w:r>
      <w:r>
        <w:rPr>
          <w:vanish/>
          <w:sz w:val="20"/>
          <w:szCs w:val="20"/>
        </w:rPr>
        <w:t>S</w:t>
      </w:r>
      <w:r>
        <w:rPr>
          <w:sz w:val="20"/>
          <w:szCs w:val="20"/>
        </w:rPr>
        <w:t> </w:t>
      </w:r>
    </w:p>
    <w:tbl>
      <w:tblPr>
        <w:tblW w:w="5000" w:type="pct"/>
        <w:tblCellMar>
          <w:left w:w="0" w:type="dxa"/>
          <w:right w:w="0" w:type="dxa"/>
        </w:tblCellMar>
        <w:tblLook w:val="04A0" w:firstRow="1" w:lastRow="0" w:firstColumn="1" w:lastColumn="0" w:noHBand="0" w:noVBand="1"/>
      </w:tblPr>
      <w:tblGrid>
        <w:gridCol w:w="5313"/>
        <w:gridCol w:w="163"/>
        <w:gridCol w:w="81"/>
        <w:gridCol w:w="1161"/>
        <w:gridCol w:w="81"/>
        <w:gridCol w:w="164"/>
        <w:gridCol w:w="101"/>
        <w:gridCol w:w="1161"/>
        <w:gridCol w:w="81"/>
      </w:tblGrid>
      <w:tr w:rsidR="00000000">
        <w:tc>
          <w:tcPr>
            <w:tcW w:w="0" w:type="auto"/>
            <w:vAlign w:val="bottom"/>
            <w:hideMark/>
          </w:tcPr>
          <w:p w:rsidR="00000000" w:rsidRDefault="00DA7678">
            <w:pPr>
              <w:jc w:val="both"/>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vAlign w:val="bottom"/>
            <w:hideMark/>
          </w:tcPr>
          <w:p w:rsidR="00000000" w:rsidRDefault="00DA7678">
            <w:pPr>
              <w:jc w:val="center"/>
              <w:rPr>
                <w:rFonts w:eastAsia="Times New Roman"/>
                <w:sz w:val="20"/>
                <w:szCs w:val="20"/>
              </w:rPr>
            </w:pPr>
            <w:r>
              <w:rPr>
                <w:rFonts w:eastAsia="Times New Roman"/>
                <w:sz w:val="20"/>
                <w:szCs w:val="20"/>
              </w:rPr>
              <w:t>Number</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vAlign w:val="bottom"/>
            <w:hideMark/>
          </w:tcPr>
          <w:p w:rsidR="00000000" w:rsidRDefault="00DA7678">
            <w:pPr>
              <w:jc w:val="center"/>
              <w:rPr>
                <w:rFonts w:eastAsia="Times New Roman"/>
                <w:sz w:val="20"/>
                <w:szCs w:val="20"/>
              </w:rPr>
            </w:pPr>
            <w:r>
              <w:rPr>
                <w:rFonts w:eastAsia="Times New Roman"/>
                <w:sz w:val="20"/>
                <w:szCs w:val="20"/>
              </w:rPr>
              <w:t xml:space="preserve">Weighted </w:t>
            </w:r>
            <w:r>
              <w:rPr>
                <w:rFonts w:eastAsia="Times New Roman"/>
                <w:sz w:val="20"/>
                <w:szCs w:val="20"/>
              </w:rPr>
              <w:br/>
              <w:t>Average</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A7678">
            <w:pPr>
              <w:jc w:val="both"/>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vAlign w:val="bottom"/>
            <w:hideMark/>
          </w:tcPr>
          <w:p w:rsidR="00000000" w:rsidRDefault="00DA7678">
            <w:pPr>
              <w:jc w:val="center"/>
              <w:rPr>
                <w:rFonts w:eastAsia="Times New Roman"/>
                <w:sz w:val="20"/>
                <w:szCs w:val="20"/>
              </w:rPr>
            </w:pPr>
            <w:r>
              <w:rPr>
                <w:rFonts w:eastAsia="Times New Roman"/>
                <w:sz w:val="20"/>
                <w:szCs w:val="20"/>
              </w:rPr>
              <w:t>Of</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vAlign w:val="bottom"/>
            <w:hideMark/>
          </w:tcPr>
          <w:p w:rsidR="00000000" w:rsidRDefault="00DA7678">
            <w:pPr>
              <w:jc w:val="center"/>
              <w:rPr>
                <w:rFonts w:eastAsia="Times New Roman"/>
                <w:sz w:val="20"/>
                <w:szCs w:val="20"/>
              </w:rPr>
            </w:pPr>
            <w:r>
              <w:rPr>
                <w:rFonts w:eastAsia="Times New Roman"/>
                <w:sz w:val="20"/>
                <w:szCs w:val="20"/>
              </w:rPr>
              <w:t>Grant Date</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A7678">
            <w:pPr>
              <w:jc w:val="both"/>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Shares</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Fair Value</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A7678">
            <w:pPr>
              <w:jc w:val="both"/>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vAlign w:val="bottom"/>
            <w:hideMark/>
          </w:tcPr>
          <w:p w:rsidR="00000000" w:rsidRDefault="00DA7678">
            <w:pPr>
              <w:jc w:val="both"/>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vAlign w:val="bottom"/>
            <w:hideMark/>
          </w:tcPr>
          <w:p w:rsidR="00000000" w:rsidRDefault="00DA7678">
            <w:pPr>
              <w:jc w:val="both"/>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r>
      <w:tr w:rsidR="00000000">
        <w:tc>
          <w:tcPr>
            <w:tcW w:w="3200" w:type="pct"/>
            <w:shd w:val="clear" w:color="auto" w:fill="CCEEFF"/>
            <w:vAlign w:val="bottom"/>
            <w:hideMark/>
          </w:tcPr>
          <w:p w:rsidR="00000000" w:rsidRDefault="00DA7678">
            <w:pPr>
              <w:jc w:val="both"/>
              <w:rPr>
                <w:rFonts w:eastAsia="Times New Roman"/>
                <w:sz w:val="20"/>
                <w:szCs w:val="20"/>
              </w:rPr>
            </w:pPr>
            <w:r>
              <w:rPr>
                <w:rFonts w:eastAsia="Times New Roman"/>
                <w:sz w:val="20"/>
                <w:szCs w:val="20"/>
              </w:rPr>
              <w:t>Balance at December 31, 2020 and 2019</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262,500</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0.59</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jc w:val="both"/>
              <w:rPr>
                <w:rFonts w:eastAsia="Times New Roman"/>
                <w:sz w:val="20"/>
                <w:szCs w:val="20"/>
              </w:rPr>
            </w:pPr>
            <w:r>
              <w:rPr>
                <w:rFonts w:eastAsia="Times New Roman"/>
                <w:sz w:val="20"/>
                <w:szCs w:val="20"/>
              </w:rPr>
              <w:t>RSU’s granted</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42,700,000</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0.08</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jc w:val="both"/>
              <w:rPr>
                <w:rFonts w:eastAsia="Times New Roman"/>
                <w:sz w:val="20"/>
                <w:szCs w:val="20"/>
              </w:rPr>
            </w:pPr>
            <w:r>
              <w:rPr>
                <w:rFonts w:eastAsia="Times New Roman"/>
                <w:sz w:val="20"/>
                <w:szCs w:val="20"/>
              </w:rPr>
              <w:t>RSU’s vested</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(17,700,000</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DA7678">
            <w:pPr>
              <w:jc w:val="both"/>
              <w:rPr>
                <w:rFonts w:eastAsia="Times New Roman"/>
                <w:sz w:val="20"/>
                <w:szCs w:val="20"/>
              </w:rPr>
            </w:pPr>
            <w:r>
              <w:rPr>
                <w:rFonts w:eastAsia="Times New Roman"/>
                <w:sz w:val="20"/>
                <w:szCs w:val="20"/>
              </w:rPr>
              <w:t>RSU’s forfeited</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jc w:val="both"/>
              <w:rPr>
                <w:rFonts w:eastAsia="Times New Roman"/>
                <w:sz w:val="20"/>
                <w:szCs w:val="20"/>
              </w:rPr>
            </w:pPr>
            <w:r>
              <w:rPr>
                <w:rFonts w:eastAsia="Times New Roman"/>
                <w:sz w:val="20"/>
                <w:szCs w:val="20"/>
              </w:rPr>
              <w:t>Balance at December 31, 2021</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25,262,500</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0.08</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jc w:val="both"/>
              <w:rPr>
                <w:rFonts w:eastAsia="Times New Roman"/>
                <w:sz w:val="20"/>
                <w:szCs w:val="20"/>
              </w:rPr>
            </w:pPr>
            <w:r>
              <w:rPr>
                <w:rFonts w:eastAsia="Times New Roman"/>
                <w:sz w:val="20"/>
                <w:szCs w:val="20"/>
              </w:rPr>
              <w:t>RSUs granted</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600,000</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0.066</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DA7678">
            <w:pPr>
              <w:jc w:val="both"/>
              <w:rPr>
                <w:rFonts w:eastAsia="Times New Roman"/>
                <w:sz w:val="20"/>
                <w:szCs w:val="20"/>
              </w:rPr>
            </w:pPr>
            <w:r>
              <w:rPr>
                <w:rFonts w:eastAsia="Times New Roman"/>
                <w:sz w:val="20"/>
                <w:szCs w:val="20"/>
              </w:rPr>
              <w:t>RSUs vested</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(15,600,000</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DA7678">
            <w:pPr>
              <w:jc w:val="both"/>
              <w:rPr>
                <w:rFonts w:eastAsia="Times New Roman"/>
                <w:sz w:val="20"/>
                <w:szCs w:val="20"/>
              </w:rPr>
            </w:pPr>
            <w:r>
              <w:rPr>
                <w:rFonts w:eastAsia="Times New Roman"/>
                <w:sz w:val="20"/>
                <w:szCs w:val="20"/>
              </w:rPr>
              <w:t>Balance at December 31, 2022</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10,262,500</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0.08</w:t>
            </w:r>
          </w:p>
        </w:tc>
        <w:tc>
          <w:tcPr>
            <w:tcW w:w="0" w:type="auto"/>
            <w:shd w:val="clear" w:color="auto" w:fill="FFFFFF"/>
            <w:tcMar>
              <w:top w:w="0" w:type="dxa"/>
              <w:left w:w="0" w:type="dxa"/>
              <w:bottom w:w="50" w:type="dxa"/>
              <w:right w:w="0" w:type="dxa"/>
            </w:tcMar>
            <w:vAlign w:val="bottom"/>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During </w:t>
      </w:r>
      <w:r>
        <w:rPr>
          <w:sz w:val="20"/>
          <w:szCs w:val="20"/>
        </w:rPr>
        <w:t xml:space="preserve">the years ended December 31, 2022 and 2021, the Company recognized </w:t>
      </w:r>
      <w:r>
        <w:rPr>
          <w:sz w:val="20"/>
          <w:szCs w:val="20"/>
        </w:rPr>
        <w:t>$</w:t>
      </w:r>
      <w:r>
        <w:rPr>
          <w:sz w:val="20"/>
          <w:szCs w:val="20"/>
        </w:rPr>
        <w:t>1,389,70</w:t>
      </w:r>
      <w:r>
        <w:rPr>
          <w:sz w:val="20"/>
          <w:szCs w:val="20"/>
        </w:rPr>
        <w:t>0</w:t>
      </w:r>
      <w:r>
        <w:rPr>
          <w:sz w:val="20"/>
          <w:szCs w:val="20"/>
        </w:rPr>
        <w:t xml:space="preserve"> and </w:t>
      </w:r>
      <w:r>
        <w:rPr>
          <w:sz w:val="20"/>
          <w:szCs w:val="20"/>
        </w:rPr>
        <w:t>$</w:t>
      </w:r>
      <w:r>
        <w:rPr>
          <w:sz w:val="20"/>
          <w:szCs w:val="20"/>
        </w:rPr>
        <w:t>1,614,00</w:t>
      </w:r>
      <w:r>
        <w:rPr>
          <w:sz w:val="20"/>
          <w:szCs w:val="20"/>
        </w:rPr>
        <w:t>0</w:t>
      </w:r>
      <w:r>
        <w:rPr>
          <w:sz w:val="20"/>
          <w:szCs w:val="20"/>
        </w:rPr>
        <w:t xml:space="preserve"> worth of expense related to the vesting of its RSU’s. As of December 31, 2022, the Company had </w:t>
      </w:r>
      <w:r>
        <w:rPr>
          <w:sz w:val="20"/>
          <w:szCs w:val="20"/>
        </w:rPr>
        <w:t>$</w:t>
      </w:r>
      <w:r>
        <w:rPr>
          <w:sz w:val="20"/>
          <w:szCs w:val="20"/>
        </w:rPr>
        <w:t>1,055,40</w:t>
      </w:r>
      <w:r>
        <w:rPr>
          <w:sz w:val="20"/>
          <w:szCs w:val="20"/>
        </w:rPr>
        <w:t>0</w:t>
      </w:r>
      <w:r>
        <w:rPr>
          <w:sz w:val="20"/>
          <w:szCs w:val="20"/>
        </w:rPr>
        <w:t xml:space="preserve"> worth of expense yet to be recognized for RSU’s not yet v</w:t>
      </w:r>
      <w:r>
        <w:rPr>
          <w:sz w:val="20"/>
          <w:szCs w:val="20"/>
        </w:rPr>
        <w:t>ested.</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On May 3, 2021, the Company has granted</w:t>
      </w:r>
      <w:r>
        <w:rPr>
          <w:sz w:val="20"/>
          <w:szCs w:val="20"/>
        </w:rPr>
        <w:t xml:space="preserve"> </w:t>
      </w:r>
      <w:r>
        <w:rPr>
          <w:sz w:val="20"/>
          <w:szCs w:val="20"/>
        </w:rPr>
        <w:t>12,000,00</w:t>
      </w:r>
      <w:r>
        <w:rPr>
          <w:sz w:val="20"/>
          <w:szCs w:val="20"/>
        </w:rPr>
        <w:t>0</w:t>
      </w:r>
      <w:r>
        <w:rPr>
          <w:sz w:val="20"/>
          <w:szCs w:val="20"/>
        </w:rPr>
        <w:t xml:space="preserve"> RSUs to a consultant that vest on the grant date, and</w:t>
      </w:r>
      <w:r>
        <w:rPr>
          <w:sz w:val="20"/>
          <w:szCs w:val="20"/>
        </w:rPr>
        <w:t xml:space="preserve"> </w:t>
      </w:r>
      <w:r>
        <w:rPr>
          <w:sz w:val="20"/>
          <w:szCs w:val="20"/>
        </w:rPr>
        <w:t>700,00</w:t>
      </w:r>
      <w:r>
        <w:rPr>
          <w:sz w:val="20"/>
          <w:szCs w:val="20"/>
        </w:rPr>
        <w:t>0</w:t>
      </w:r>
      <w:r>
        <w:rPr>
          <w:sz w:val="20"/>
          <w:szCs w:val="20"/>
        </w:rPr>
        <w:t xml:space="preserve"> RSUs to consultants that vest on the grant date. The Company has issued</w:t>
      </w:r>
      <w:r>
        <w:rPr>
          <w:sz w:val="20"/>
          <w:szCs w:val="20"/>
        </w:rPr>
        <w:t xml:space="preserve"> </w:t>
      </w:r>
      <w:r>
        <w:rPr>
          <w:sz w:val="20"/>
          <w:szCs w:val="20"/>
        </w:rPr>
        <w:t>12,000,00</w:t>
      </w:r>
      <w:r>
        <w:rPr>
          <w:sz w:val="20"/>
          <w:szCs w:val="20"/>
        </w:rPr>
        <w:t>0</w:t>
      </w:r>
      <w:r>
        <w:rPr>
          <w:sz w:val="20"/>
          <w:szCs w:val="20"/>
        </w:rPr>
        <w:t xml:space="preserve"> common shares to the one consultant in June 2021.</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On May 3, 2021, as part of an Employment Agreement with the CEO, the Company granted</w:t>
      </w:r>
      <w:r>
        <w:rPr>
          <w:sz w:val="20"/>
          <w:szCs w:val="20"/>
        </w:rPr>
        <w:t xml:space="preserve"> </w:t>
      </w:r>
      <w:r>
        <w:rPr>
          <w:sz w:val="20"/>
          <w:szCs w:val="20"/>
        </w:rPr>
        <w:t>30,000,00</w:t>
      </w:r>
      <w:r>
        <w:rPr>
          <w:sz w:val="20"/>
          <w:szCs w:val="20"/>
        </w:rPr>
        <w:t>0</w:t>
      </w:r>
      <w:r>
        <w:rPr>
          <w:sz w:val="20"/>
          <w:szCs w:val="20"/>
        </w:rPr>
        <w:t xml:space="preserve"> RSUs to the CEO. Of the</w:t>
      </w:r>
      <w:r>
        <w:rPr>
          <w:sz w:val="20"/>
          <w:szCs w:val="20"/>
        </w:rPr>
        <w:t xml:space="preserve"> </w:t>
      </w:r>
      <w:r>
        <w:rPr>
          <w:sz w:val="20"/>
          <w:szCs w:val="20"/>
        </w:rPr>
        <w:t>30,000,00</w:t>
      </w:r>
      <w:r>
        <w:rPr>
          <w:sz w:val="20"/>
          <w:szCs w:val="20"/>
        </w:rPr>
        <w:t>0</w:t>
      </w:r>
      <w:r>
        <w:rPr>
          <w:sz w:val="20"/>
          <w:szCs w:val="20"/>
        </w:rPr>
        <w:t xml:space="preserve"> RSUs,</w:t>
      </w:r>
      <w:r>
        <w:rPr>
          <w:sz w:val="20"/>
          <w:szCs w:val="20"/>
        </w:rPr>
        <w:t xml:space="preserve"> </w:t>
      </w:r>
      <w:r>
        <w:rPr>
          <w:sz w:val="20"/>
          <w:szCs w:val="20"/>
        </w:rPr>
        <w:t>15,000,00</w:t>
      </w:r>
      <w:r>
        <w:rPr>
          <w:sz w:val="20"/>
          <w:szCs w:val="20"/>
        </w:rPr>
        <w:t>0</w:t>
      </w:r>
      <w:r>
        <w:rPr>
          <w:sz w:val="20"/>
          <w:szCs w:val="20"/>
        </w:rPr>
        <w:t xml:space="preserve"> of them vest as follows:</w:t>
      </w:r>
      <w:r>
        <w:rPr>
          <w:sz w:val="20"/>
          <w:szCs w:val="20"/>
        </w:rPr>
        <w:t xml:space="preserve"> </w:t>
      </w:r>
      <w:r>
        <w:rPr>
          <w:sz w:val="20"/>
          <w:szCs w:val="20"/>
        </w:rPr>
        <w:t>5,000,00</w:t>
      </w:r>
      <w:r>
        <w:rPr>
          <w:sz w:val="20"/>
          <w:szCs w:val="20"/>
        </w:rPr>
        <w:t>0</w:t>
      </w:r>
      <w:r>
        <w:rPr>
          <w:sz w:val="20"/>
          <w:szCs w:val="20"/>
        </w:rPr>
        <w:t xml:space="preserve"> on the grant date,</w:t>
      </w:r>
      <w:r>
        <w:rPr>
          <w:sz w:val="20"/>
          <w:szCs w:val="20"/>
        </w:rPr>
        <w:t xml:space="preserve"> </w:t>
      </w:r>
      <w:r>
        <w:rPr>
          <w:sz w:val="20"/>
          <w:szCs w:val="20"/>
        </w:rPr>
        <w:t>5,000,00</w:t>
      </w:r>
      <w:r>
        <w:rPr>
          <w:sz w:val="20"/>
          <w:szCs w:val="20"/>
        </w:rPr>
        <w:t>0</w:t>
      </w:r>
      <w:r>
        <w:rPr>
          <w:sz w:val="20"/>
          <w:szCs w:val="20"/>
        </w:rPr>
        <w:t xml:space="preserve"> on the first anniversary and</w:t>
      </w:r>
      <w:r>
        <w:rPr>
          <w:sz w:val="20"/>
          <w:szCs w:val="20"/>
        </w:rPr>
        <w:t xml:space="preserve"> </w:t>
      </w:r>
      <w:r>
        <w:rPr>
          <w:sz w:val="20"/>
          <w:szCs w:val="20"/>
        </w:rPr>
        <w:t>5,000,00</w:t>
      </w:r>
      <w:r>
        <w:rPr>
          <w:sz w:val="20"/>
          <w:szCs w:val="20"/>
        </w:rPr>
        <w:t>0</w:t>
      </w:r>
      <w:r>
        <w:rPr>
          <w:sz w:val="20"/>
          <w:szCs w:val="20"/>
        </w:rPr>
        <w:t xml:space="preserve"> on t</w:t>
      </w:r>
      <w:r>
        <w:rPr>
          <w:sz w:val="20"/>
          <w:szCs w:val="20"/>
        </w:rPr>
        <w:t>he second anniversary. The remaining</w:t>
      </w:r>
      <w:r>
        <w:rPr>
          <w:sz w:val="20"/>
          <w:szCs w:val="20"/>
        </w:rPr>
        <w:t xml:space="preserve"> </w:t>
      </w:r>
      <w:r>
        <w:rPr>
          <w:sz w:val="20"/>
          <w:szCs w:val="20"/>
        </w:rPr>
        <w:t>15,000,00</w:t>
      </w:r>
      <w:r>
        <w:rPr>
          <w:sz w:val="20"/>
          <w:szCs w:val="20"/>
        </w:rPr>
        <w:t>0</w:t>
      </w:r>
      <w:r>
        <w:rPr>
          <w:sz w:val="20"/>
          <w:szCs w:val="20"/>
        </w:rPr>
        <w:t xml:space="preserve"> RSUs vest as performance-based grants, with the Board of Directors determining the criteria of each</w:t>
      </w:r>
      <w:r>
        <w:rPr>
          <w:sz w:val="20"/>
          <w:szCs w:val="20"/>
        </w:rPr>
        <w:t xml:space="preserve"> </w:t>
      </w:r>
      <w:r>
        <w:rPr>
          <w:sz w:val="20"/>
          <w:szCs w:val="20"/>
        </w:rPr>
        <w:t>5,000,00</w:t>
      </w:r>
      <w:r>
        <w:rPr>
          <w:sz w:val="20"/>
          <w:szCs w:val="20"/>
        </w:rPr>
        <w:t>0</w:t>
      </w:r>
      <w:r>
        <w:rPr>
          <w:sz w:val="20"/>
          <w:szCs w:val="20"/>
        </w:rPr>
        <w:t xml:space="preserve"> RUSs at the nine-month anniversary, eighteen-month anniversary and twenty-seven month anniversary </w:t>
      </w:r>
      <w:r>
        <w:rPr>
          <w:sz w:val="20"/>
          <w:szCs w:val="20"/>
        </w:rPr>
        <w:t>intervals. The Board of Directors has 90 days from May 3, 2021 to determine the performance criteria.</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On February 3, 2022,</w:t>
      </w:r>
      <w:r>
        <w:rPr>
          <w:sz w:val="20"/>
          <w:szCs w:val="20"/>
        </w:rPr>
        <w:t xml:space="preserve"> </w:t>
      </w:r>
      <w:r>
        <w:rPr>
          <w:sz w:val="20"/>
          <w:szCs w:val="20"/>
        </w:rPr>
        <w:t>5,000,00</w:t>
      </w:r>
      <w:r>
        <w:rPr>
          <w:sz w:val="20"/>
          <w:szCs w:val="20"/>
        </w:rPr>
        <w:t>0</w:t>
      </w:r>
      <w:r>
        <w:rPr>
          <w:sz w:val="20"/>
          <w:szCs w:val="20"/>
        </w:rPr>
        <w:t xml:space="preserve"> of the RSUs valued at </w:t>
      </w:r>
      <w:r>
        <w:rPr>
          <w:sz w:val="20"/>
          <w:szCs w:val="20"/>
        </w:rPr>
        <w:t>$</w:t>
      </w:r>
      <w:r>
        <w:rPr>
          <w:sz w:val="20"/>
          <w:szCs w:val="20"/>
        </w:rPr>
        <w:t>450,00</w:t>
      </w:r>
      <w:r>
        <w:rPr>
          <w:sz w:val="20"/>
          <w:szCs w:val="20"/>
        </w:rPr>
        <w:t>0</w:t>
      </w:r>
      <w:r>
        <w:rPr>
          <w:sz w:val="20"/>
          <w:szCs w:val="20"/>
        </w:rPr>
        <w:t xml:space="preserve"> to the CEO vested.</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On May 3, 2022,</w:t>
      </w:r>
      <w:r>
        <w:rPr>
          <w:sz w:val="20"/>
          <w:szCs w:val="20"/>
        </w:rPr>
        <w:t xml:space="preserve"> </w:t>
      </w:r>
      <w:r>
        <w:rPr>
          <w:sz w:val="20"/>
          <w:szCs w:val="20"/>
        </w:rPr>
        <w:t>5,000,00</w:t>
      </w:r>
      <w:r>
        <w:rPr>
          <w:sz w:val="20"/>
          <w:szCs w:val="20"/>
        </w:rPr>
        <w:t>0</w:t>
      </w:r>
      <w:r>
        <w:rPr>
          <w:sz w:val="20"/>
          <w:szCs w:val="20"/>
        </w:rPr>
        <w:t xml:space="preserve"> </w:t>
      </w:r>
      <w:r>
        <w:rPr>
          <w:sz w:val="20"/>
          <w:szCs w:val="20"/>
        </w:rPr>
        <w:t xml:space="preserve">of the RSUs valued at </w:t>
      </w:r>
      <w:r>
        <w:rPr>
          <w:sz w:val="20"/>
          <w:szCs w:val="20"/>
        </w:rPr>
        <w:t>$</w:t>
      </w:r>
      <w:r>
        <w:rPr>
          <w:sz w:val="20"/>
          <w:szCs w:val="20"/>
        </w:rPr>
        <w:t>450,00</w:t>
      </w:r>
      <w:r>
        <w:rPr>
          <w:sz w:val="20"/>
          <w:szCs w:val="20"/>
        </w:rPr>
        <w:t>0</w:t>
      </w:r>
      <w:r>
        <w:rPr>
          <w:sz w:val="20"/>
          <w:szCs w:val="20"/>
        </w:rPr>
        <w:t xml:space="preserve"> to the CEO vested.</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On June 1, 2022,</w:t>
      </w:r>
      <w:r>
        <w:rPr>
          <w:sz w:val="20"/>
          <w:szCs w:val="20"/>
        </w:rPr>
        <w:t xml:space="preserve"> </w:t>
      </w:r>
      <w:r>
        <w:rPr>
          <w:sz w:val="20"/>
          <w:szCs w:val="20"/>
        </w:rPr>
        <w:t>100,00</w:t>
      </w:r>
      <w:r>
        <w:rPr>
          <w:sz w:val="20"/>
          <w:szCs w:val="20"/>
        </w:rPr>
        <w:t>0</w:t>
      </w:r>
      <w:r>
        <w:rPr>
          <w:sz w:val="20"/>
          <w:szCs w:val="20"/>
        </w:rPr>
        <w:t xml:space="preserve"> RSUs were granted to a consultant valued at </w:t>
      </w:r>
      <w:r>
        <w:rPr>
          <w:sz w:val="20"/>
          <w:szCs w:val="20"/>
        </w:rPr>
        <w:t>$</w:t>
      </w:r>
      <w:r>
        <w:rPr>
          <w:sz w:val="20"/>
          <w:szCs w:val="20"/>
        </w:rPr>
        <w:t>8,20</w:t>
      </w:r>
      <w:r>
        <w:rPr>
          <w:sz w:val="20"/>
          <w:szCs w:val="20"/>
        </w:rPr>
        <w:t>0</w:t>
      </w:r>
      <w:r>
        <w:rPr>
          <w:sz w:val="20"/>
          <w:szCs w:val="20"/>
        </w:rPr>
        <w:t>, and on November 1, 2022,</w:t>
      </w:r>
      <w:r>
        <w:rPr>
          <w:sz w:val="20"/>
          <w:szCs w:val="20"/>
        </w:rPr>
        <w:t xml:space="preserve"> </w:t>
      </w:r>
      <w:r>
        <w:rPr>
          <w:sz w:val="20"/>
          <w:szCs w:val="20"/>
        </w:rPr>
        <w:t>500,00</w:t>
      </w:r>
      <w:r>
        <w:rPr>
          <w:sz w:val="20"/>
          <w:szCs w:val="20"/>
        </w:rPr>
        <w:t>0</w:t>
      </w:r>
      <w:r>
        <w:rPr>
          <w:sz w:val="20"/>
          <w:szCs w:val="20"/>
        </w:rPr>
        <w:t xml:space="preserve"> RSUs were granted to a consultant valued at </w:t>
      </w:r>
      <w:r>
        <w:rPr>
          <w:sz w:val="20"/>
          <w:szCs w:val="20"/>
        </w:rPr>
        <w:t>$</w:t>
      </w:r>
      <w:r>
        <w:rPr>
          <w:sz w:val="20"/>
          <w:szCs w:val="20"/>
        </w:rPr>
        <w:t>31,50</w:t>
      </w:r>
      <w:r>
        <w:rPr>
          <w:sz w:val="20"/>
          <w:szCs w:val="20"/>
        </w:rPr>
        <w:t>0</w:t>
      </w:r>
      <w:r>
        <w:rPr>
          <w:sz w:val="20"/>
          <w:szCs w:val="20"/>
        </w:rPr>
        <w:t>, each that were vested immediately.</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NOTE</w:t>
      </w:r>
      <w:r>
        <w:rPr>
          <w:b/>
          <w:bCs/>
          <w:sz w:val="20"/>
          <w:szCs w:val="20"/>
        </w:rPr>
        <w:t xml:space="preserve"> 6:</w:t>
      </w:r>
      <w:r>
        <w:rPr>
          <w:b/>
          <w:bCs/>
          <w:sz w:val="20"/>
          <w:szCs w:val="20"/>
        </w:rPr>
        <w:t xml:space="preserve"> </w:t>
      </w:r>
      <w:r>
        <w:rPr>
          <w:b/>
          <w:bCs/>
          <w:sz w:val="20"/>
          <w:szCs w:val="20"/>
        </w:rPr>
        <w:t>COMMITMEN</w:t>
      </w:r>
      <w:r>
        <w:rPr>
          <w:b/>
          <w:bCs/>
          <w:sz w:val="20"/>
          <w:szCs w:val="20"/>
        </w:rPr>
        <w:t>T</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On June 4, 2019, the Company entered into an Executive Employment Agreement (“Employment Agreement”) with Dr. Michael K. Korenko, the Company’s Chief Executive Officer.</w:t>
      </w:r>
      <w:r>
        <w:rPr>
          <w:sz w:val="20"/>
          <w:szCs w:val="20"/>
        </w:rPr>
        <w:t xml:space="preserve"> </w:t>
      </w:r>
      <w:r>
        <w:rPr>
          <w:sz w:val="20"/>
          <w:szCs w:val="20"/>
        </w:rPr>
        <w:t>The employment term under the Employment Agreement commenced with an e</w:t>
      </w:r>
      <w:r>
        <w:rPr>
          <w:sz w:val="20"/>
          <w:szCs w:val="20"/>
        </w:rPr>
        <w:t xml:space="preserve">ffective date of June 11, 2019 and expires on December 31, 2020, and December 31 of each successive year if the Employment Agreement is extended, unless terminated earlier as set forth in the Employment Agreement. The Company on December 31, 2020 extended </w:t>
      </w:r>
      <w:r>
        <w:rPr>
          <w:sz w:val="20"/>
          <w:szCs w:val="20"/>
        </w:rPr>
        <w:t xml:space="preserve">this agreement through December 31, 2021 while renegotiating terms of a new Employment Agreement. On May 3, 2021, the Company and the Chief Executive Officer agreed the terms of a new Employment Agreement with an effective date of January 1, 2021 that has </w:t>
      </w:r>
      <w:r>
        <w:rPr>
          <w:sz w:val="20"/>
          <w:szCs w:val="20"/>
        </w:rPr>
        <w:t>a term of three years and expires December 31, 202</w:t>
      </w:r>
      <w:r>
        <w:rPr>
          <w:sz w:val="20"/>
          <w:szCs w:val="20"/>
        </w:rPr>
        <w:t>3</w:t>
      </w:r>
      <w:r>
        <w:rPr>
          <w:sz w:val="20"/>
          <w:szCs w:val="20"/>
        </w:rPr>
        <w:t>.</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Under the terms of the Employment Agreement, the Company shall pay to Dr. Korenko a base compensation of </w:t>
      </w:r>
      <w:r>
        <w:rPr>
          <w:sz w:val="20"/>
          <w:szCs w:val="20"/>
        </w:rPr>
        <w:t>$</w:t>
      </w:r>
      <w:r>
        <w:rPr>
          <w:sz w:val="20"/>
          <w:szCs w:val="20"/>
        </w:rPr>
        <w:t>225,00</w:t>
      </w:r>
      <w:r>
        <w:rPr>
          <w:sz w:val="20"/>
          <w:szCs w:val="20"/>
        </w:rPr>
        <w:t>0</w:t>
      </w:r>
      <w:r>
        <w:rPr>
          <w:sz w:val="20"/>
          <w:szCs w:val="20"/>
        </w:rPr>
        <w:t xml:space="preserve">. In addition, there is a discretionary bonus to be earned in the amount of </w:t>
      </w:r>
      <w:r>
        <w:rPr>
          <w:sz w:val="20"/>
          <w:szCs w:val="20"/>
        </w:rPr>
        <w:t>$</w:t>
      </w:r>
      <w:r>
        <w:rPr>
          <w:sz w:val="20"/>
          <w:szCs w:val="20"/>
        </w:rPr>
        <w:t>7,50</w:t>
      </w:r>
      <w:r>
        <w:rPr>
          <w:sz w:val="20"/>
          <w:szCs w:val="20"/>
        </w:rPr>
        <w:t>0</w:t>
      </w:r>
      <w:r>
        <w:rPr>
          <w:sz w:val="20"/>
          <w:szCs w:val="20"/>
        </w:rPr>
        <w:t xml:space="preserve"> per q</w:t>
      </w:r>
      <w:r>
        <w:rPr>
          <w:sz w:val="20"/>
          <w:szCs w:val="20"/>
        </w:rPr>
        <w:t>uarter upon the satisfaction of conditions to be determined by the Board of Directors of the Company.</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b/>
          <w:bCs/>
          <w:sz w:val="20"/>
          <w:szCs w:val="20"/>
        </w:rPr>
        <w:t>NOTE 7:</w:t>
      </w:r>
      <w:r>
        <w:rPr>
          <w:b/>
          <w:bCs/>
          <w:sz w:val="20"/>
          <w:szCs w:val="20"/>
        </w:rPr>
        <w:t xml:space="preserve"> </w:t>
      </w:r>
      <w:r>
        <w:rPr>
          <w:b/>
          <w:bCs/>
          <w:sz w:val="20"/>
          <w:szCs w:val="20"/>
        </w:rPr>
        <w:t>INCOME TAXE</w:t>
      </w:r>
      <w:r>
        <w:rPr>
          <w:b/>
          <w:bCs/>
          <w:sz w:val="20"/>
          <w:szCs w:val="20"/>
        </w:rPr>
        <w:t>S</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Deferred taxes are provided on a liability method whereby deferred tax assets are recognized for deductible temporary differences</w:t>
      </w:r>
      <w:r>
        <w:rPr>
          <w:sz w:val="20"/>
          <w:szCs w:val="20"/>
        </w:rPr>
        <w:t xml:space="preserve"> and operating loss and tax credit carry-forwards and deferred tax liabilities are recognized for taxable temporary differences. Temporary differences are the differences between the reported amounts of assets and liabilities and their tax bases. Deferred </w:t>
      </w:r>
      <w:r>
        <w:rPr>
          <w:sz w:val="20"/>
          <w:szCs w:val="20"/>
        </w:rPr>
        <w:t>tax assets are reduced by a valuation allowance when, in the opinion of management, it is more likely than not that some portion or all of the deferred tax assets will not be realized. Deferred tax assets and liabilities are adjusted for the effects of cha</w:t>
      </w:r>
      <w:r>
        <w:rPr>
          <w:sz w:val="20"/>
          <w:szCs w:val="20"/>
        </w:rPr>
        <w:t>nges in tax laws and rates on the date of enactment.</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Net deferred tax assets consist of the following components as of December 31, 2022 and 2021:</w:t>
      </w:r>
    </w:p>
    <w:p w:rsidR="00000000" w:rsidRDefault="00DA7678">
      <w:pPr>
        <w:pStyle w:val="a3"/>
        <w:spacing w:before="0" w:beforeAutospacing="0" w:after="0" w:afterAutospacing="0"/>
        <w:jc w:val="both"/>
        <w:rPr>
          <w:sz w:val="20"/>
          <w:szCs w:val="20"/>
        </w:rPr>
      </w:pPr>
      <w:r>
        <w:rPr>
          <w:sz w:val="20"/>
          <w:szCs w:val="20"/>
        </w:rPr>
        <w:t> </w:t>
      </w:r>
      <w:r>
        <w:rPr>
          <w:vanish/>
          <w:sz w:val="20"/>
          <w:szCs w:val="20"/>
        </w:rPr>
        <w:t>SCHEDULE OF NET DEFERRED TAX ASSET</w:t>
      </w:r>
      <w:r>
        <w:rPr>
          <w:vanish/>
          <w:sz w:val="20"/>
          <w:szCs w:val="20"/>
        </w:rPr>
        <w:t>S</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rPr>
          <w:hidden/>
        </w:trPr>
        <w:tc>
          <w:tcPr>
            <w:tcW w:w="0" w:type="auto"/>
            <w:shd w:val="clear" w:color="auto" w:fill="FFFFFF"/>
            <w:vAlign w:val="bottom"/>
            <w:hideMark/>
          </w:tcPr>
          <w:p w:rsidR="00000000" w:rsidRDefault="00DA7678">
            <w:pPr>
              <w:jc w:val="both"/>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DA7678">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DA7678">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DA7678">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DA7678">
            <w:pPr>
              <w:rPr>
                <w:rFonts w:eastAsia="Times New Roman"/>
                <w:vanish/>
                <w:sz w:val="20"/>
                <w:szCs w:val="20"/>
              </w:rPr>
            </w:pPr>
            <w:r>
              <w:rPr>
                <w:rFonts w:eastAsia="Times New Roman"/>
                <w:vanish/>
                <w:sz w:val="20"/>
                <w:szCs w:val="20"/>
              </w:rPr>
              <w:t> </w:t>
            </w:r>
          </w:p>
        </w:tc>
      </w:tr>
      <w:tr w:rsidR="00000000">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December 31, 2022</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rPr>
                <w:rFonts w:eastAsia="Times New Roman"/>
                <w:sz w:val="20"/>
                <w:szCs w:val="20"/>
              </w:rPr>
            </w:pPr>
            <w:r>
              <w:rPr>
                <w:rFonts w:eastAsia="Times New Roman"/>
                <w:sz w:val="20"/>
                <w:szCs w:val="20"/>
              </w:rPr>
              <w:t>December 31, 2021</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jc w:val="both"/>
              <w:rPr>
                <w:rFonts w:eastAsia="Times New Roman"/>
                <w:sz w:val="20"/>
                <w:szCs w:val="20"/>
              </w:rPr>
            </w:pPr>
            <w:r>
              <w:rPr>
                <w:rFonts w:eastAsia="Times New Roman"/>
                <w:sz w:val="20"/>
                <w:szCs w:val="20"/>
              </w:rPr>
              <w:t>Deferred tax assets:</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3000" w:type="pct"/>
            <w:shd w:val="clear" w:color="auto" w:fill="FFFFFF"/>
            <w:vAlign w:val="bottom"/>
            <w:hideMark/>
          </w:tcPr>
          <w:p w:rsidR="00000000" w:rsidRDefault="00DA7678">
            <w:pPr>
              <w:jc w:val="both"/>
              <w:rPr>
                <w:rFonts w:eastAsia="Times New Roman"/>
                <w:sz w:val="20"/>
                <w:szCs w:val="20"/>
              </w:rPr>
            </w:pPr>
            <w:r>
              <w:rPr>
                <w:rFonts w:eastAsia="Times New Roman"/>
                <w:sz w:val="20"/>
                <w:szCs w:val="20"/>
              </w:rPr>
              <w:t>Net operating loss carryover</w:t>
            </w:r>
          </w:p>
        </w:tc>
        <w:tc>
          <w:tcPr>
            <w:tcW w:w="100" w:type="pct"/>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DA7678">
            <w:pPr>
              <w:jc w:val="right"/>
              <w:rPr>
                <w:rFonts w:eastAsia="Times New Roman"/>
                <w:sz w:val="20"/>
                <w:szCs w:val="20"/>
              </w:rPr>
            </w:pPr>
            <w:r>
              <w:rPr>
                <w:rFonts w:eastAsia="Times New Roman"/>
                <w:sz w:val="20"/>
                <w:szCs w:val="20"/>
              </w:rPr>
              <w:t>6,500,000</w:t>
            </w:r>
          </w:p>
        </w:tc>
        <w:tc>
          <w:tcPr>
            <w:tcW w:w="50" w:type="pct"/>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DA7678">
            <w:pPr>
              <w:jc w:val="right"/>
              <w:rPr>
                <w:rFonts w:eastAsia="Times New Roman"/>
                <w:sz w:val="20"/>
                <w:szCs w:val="20"/>
              </w:rPr>
            </w:pPr>
            <w:r>
              <w:rPr>
                <w:rFonts w:eastAsia="Times New Roman"/>
                <w:sz w:val="20"/>
                <w:szCs w:val="20"/>
              </w:rPr>
              <w:t>6,280,000</w:t>
            </w:r>
          </w:p>
        </w:tc>
        <w:tc>
          <w:tcPr>
            <w:tcW w:w="50" w:type="pct"/>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jc w:val="both"/>
              <w:rPr>
                <w:rFonts w:eastAsia="Times New Roman"/>
                <w:sz w:val="20"/>
                <w:szCs w:val="20"/>
              </w:rPr>
            </w:pPr>
            <w:r>
              <w:rPr>
                <w:rFonts w:eastAsia="Times New Roman"/>
                <w:sz w:val="20"/>
                <w:szCs w:val="20"/>
              </w:rPr>
              <w:t>Capital Loss Carryover</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3,400</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3,400</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jc w:val="both"/>
              <w:rPr>
                <w:rFonts w:eastAsia="Times New Roman"/>
                <w:sz w:val="20"/>
                <w:szCs w:val="20"/>
              </w:rPr>
            </w:pPr>
            <w:r>
              <w:rPr>
                <w:rFonts w:eastAsia="Times New Roman"/>
                <w:sz w:val="20"/>
                <w:szCs w:val="20"/>
              </w:rPr>
              <w:t>Valuation allowance</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(6,503,400</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(6,283,400</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DA7678">
            <w:pPr>
              <w:jc w:val="both"/>
              <w:rPr>
                <w:rFonts w:eastAsia="Times New Roman"/>
                <w:sz w:val="20"/>
                <w:szCs w:val="20"/>
              </w:rPr>
            </w:pPr>
            <w:r>
              <w:rPr>
                <w:rFonts w:eastAsia="Times New Roman"/>
                <w:sz w:val="20"/>
                <w:szCs w:val="20"/>
              </w:rPr>
              <w:t>Net deferred tax asset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The income tax provision differs from the amount of income tax determined by applying the U.S. Federal income tax rate to pretax income from </w:t>
      </w:r>
      <w:r>
        <w:rPr>
          <w:sz w:val="20"/>
          <w:szCs w:val="20"/>
        </w:rPr>
        <w:t>continuing operations for the years ended December 31, 2022 and 2021 due to the following:</w:t>
      </w:r>
    </w:p>
    <w:p w:rsidR="00000000" w:rsidRDefault="00DA7678">
      <w:pPr>
        <w:pStyle w:val="a3"/>
        <w:spacing w:before="0" w:beforeAutospacing="0" w:after="0" w:afterAutospacing="0"/>
        <w:ind w:firstLine="720"/>
        <w:jc w:val="both"/>
        <w:rPr>
          <w:sz w:val="20"/>
          <w:szCs w:val="20"/>
        </w:rPr>
      </w:pPr>
      <w:r>
        <w:rPr>
          <w:sz w:val="20"/>
          <w:szCs w:val="20"/>
        </w:rPr>
        <w:t> </w:t>
      </w:r>
      <w:r>
        <w:rPr>
          <w:vanish/>
          <w:sz w:val="20"/>
          <w:szCs w:val="20"/>
        </w:rPr>
        <w:t>SCHEDULE OF FEDERAL INCOME TAX RAT</w:t>
      </w:r>
      <w:r>
        <w:rPr>
          <w:vanish/>
          <w:sz w:val="20"/>
          <w:szCs w:val="20"/>
        </w:rPr>
        <w:t>E</w:t>
      </w:r>
    </w:p>
    <w:tbl>
      <w:tblPr>
        <w:tblW w:w="5000" w:type="pct"/>
        <w:tblCellMar>
          <w:left w:w="0" w:type="dxa"/>
          <w:right w:w="0" w:type="dxa"/>
        </w:tblCellMar>
        <w:tblLook w:val="04A0" w:firstRow="1" w:lastRow="0" w:firstColumn="1" w:lastColumn="0" w:noHBand="0" w:noVBand="1"/>
      </w:tblPr>
      <w:tblGrid>
        <w:gridCol w:w="4978"/>
        <w:gridCol w:w="161"/>
        <w:gridCol w:w="101"/>
        <w:gridCol w:w="1324"/>
        <w:gridCol w:w="78"/>
        <w:gridCol w:w="161"/>
        <w:gridCol w:w="101"/>
        <w:gridCol w:w="1324"/>
        <w:gridCol w:w="78"/>
      </w:tblGrid>
      <w:tr w:rsidR="00000000">
        <w:trPr>
          <w:hidden/>
        </w:trPr>
        <w:tc>
          <w:tcPr>
            <w:tcW w:w="0" w:type="auto"/>
            <w:shd w:val="clear" w:color="auto" w:fill="FFFFFF"/>
            <w:vAlign w:val="bottom"/>
            <w:hideMark/>
          </w:tcPr>
          <w:p w:rsidR="00000000" w:rsidRDefault="00DA7678">
            <w:pPr>
              <w:jc w:val="both"/>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DA7678">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DA7678">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DA7678">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DA7678">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DA7678">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DA7678">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DA7678">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DA7678">
            <w:pPr>
              <w:rPr>
                <w:rFonts w:eastAsia="Times New Roman"/>
                <w:vanish/>
                <w:sz w:val="20"/>
                <w:szCs w:val="20"/>
              </w:rPr>
            </w:pPr>
            <w:r>
              <w:rPr>
                <w:rFonts w:eastAsia="Times New Roman"/>
                <w:vanish/>
                <w:sz w:val="20"/>
                <w:szCs w:val="20"/>
              </w:rPr>
              <w:t> </w:t>
            </w:r>
          </w:p>
        </w:tc>
      </w:tr>
      <w:tr w:rsidR="00000000">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December 31, 2022</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A7678">
            <w:pPr>
              <w:jc w:val="center"/>
              <w:rPr>
                <w:rFonts w:eastAsia="Times New Roman"/>
                <w:sz w:val="20"/>
                <w:szCs w:val="20"/>
              </w:rPr>
            </w:pPr>
            <w:r>
              <w:rPr>
                <w:rFonts w:eastAsia="Times New Roman"/>
                <w:sz w:val="20"/>
                <w:szCs w:val="20"/>
              </w:rPr>
              <w:t>December 31, 2021</w:t>
            </w:r>
          </w:p>
        </w:tc>
        <w:tc>
          <w:tcPr>
            <w:tcW w:w="0" w:type="auto"/>
            <w:vAlign w:val="bottom"/>
            <w:hideMark/>
          </w:tcPr>
          <w:p w:rsidR="00000000" w:rsidRDefault="00DA7678">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DA7678">
            <w:pPr>
              <w:jc w:val="both"/>
              <w:rPr>
                <w:rFonts w:eastAsia="Times New Roman"/>
                <w:sz w:val="20"/>
                <w:szCs w:val="20"/>
              </w:rPr>
            </w:pPr>
            <w:r>
              <w:rPr>
                <w:rFonts w:eastAsia="Times New Roman"/>
                <w:sz w:val="20"/>
                <w:szCs w:val="20"/>
              </w:rPr>
              <w:t>Book income (loss)</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(518,700</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DA7678">
            <w:pPr>
              <w:jc w:val="right"/>
              <w:rPr>
                <w:rFonts w:eastAsia="Times New Roman"/>
                <w:sz w:val="20"/>
                <w:szCs w:val="20"/>
              </w:rPr>
            </w:pPr>
            <w:r>
              <w:rPr>
                <w:rFonts w:eastAsia="Times New Roman"/>
                <w:sz w:val="20"/>
                <w:szCs w:val="20"/>
              </w:rPr>
              <w:t>(530,800</w:t>
            </w:r>
          </w:p>
        </w:tc>
        <w:tc>
          <w:tcPr>
            <w:tcW w:w="50" w:type="pct"/>
            <w:shd w:val="clear" w:color="auto" w:fill="CCEEFF"/>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DA7678">
            <w:pPr>
              <w:jc w:val="both"/>
              <w:rPr>
                <w:rFonts w:eastAsia="Times New Roman"/>
                <w:sz w:val="20"/>
                <w:szCs w:val="20"/>
              </w:rPr>
            </w:pPr>
            <w:r>
              <w:rPr>
                <w:rFonts w:eastAsia="Times New Roman"/>
                <w:sz w:val="20"/>
                <w:szCs w:val="20"/>
              </w:rPr>
              <w:t>Forgiveness of debt</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(28,700</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DA7678">
            <w:pPr>
              <w:jc w:val="both"/>
              <w:rPr>
                <w:rFonts w:eastAsia="Times New Roman"/>
                <w:sz w:val="20"/>
                <w:szCs w:val="20"/>
              </w:rPr>
            </w:pPr>
            <w:r>
              <w:rPr>
                <w:rFonts w:eastAsia="Times New Roman"/>
                <w:sz w:val="20"/>
                <w:szCs w:val="20"/>
              </w:rPr>
              <w:t>Depreciation</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(1,100</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(1,100</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DA7678">
            <w:pPr>
              <w:jc w:val="both"/>
              <w:rPr>
                <w:rFonts w:eastAsia="Times New Roman"/>
                <w:sz w:val="20"/>
                <w:szCs w:val="20"/>
              </w:rPr>
            </w:pPr>
            <w:r>
              <w:rPr>
                <w:rFonts w:eastAsia="Times New Roman"/>
                <w:sz w:val="20"/>
                <w:szCs w:val="20"/>
              </w:rPr>
              <w:t>Related party accrual</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(6,400</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DA7678">
            <w:pPr>
              <w:jc w:val="both"/>
              <w:rPr>
                <w:rFonts w:eastAsia="Times New Roman"/>
                <w:sz w:val="20"/>
                <w:szCs w:val="20"/>
              </w:rPr>
            </w:pPr>
            <w:r>
              <w:rPr>
                <w:rFonts w:eastAsia="Times New Roman"/>
                <w:sz w:val="20"/>
                <w:szCs w:val="20"/>
              </w:rPr>
              <w:t>Stock for services</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291,800</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jc w:val="right"/>
              <w:rPr>
                <w:rFonts w:eastAsia="Times New Roman"/>
                <w:sz w:val="20"/>
                <w:szCs w:val="20"/>
              </w:rPr>
            </w:pPr>
            <w:r>
              <w:rPr>
                <w:rFonts w:eastAsia="Times New Roman"/>
                <w:sz w:val="20"/>
                <w:szCs w:val="20"/>
              </w:rPr>
              <w:t>339,700</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jc w:val="both"/>
              <w:rPr>
                <w:rFonts w:eastAsia="Times New Roman"/>
                <w:sz w:val="20"/>
                <w:szCs w:val="20"/>
              </w:rPr>
            </w:pPr>
            <w:r>
              <w:rPr>
                <w:rFonts w:eastAsia="Times New Roman"/>
                <w:sz w:val="20"/>
                <w:szCs w:val="20"/>
              </w:rPr>
              <w:t>Other non-deductible expenses</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10,500</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jc w:val="right"/>
              <w:rPr>
                <w:rFonts w:eastAsia="Times New Roman"/>
                <w:sz w:val="20"/>
                <w:szCs w:val="20"/>
              </w:rPr>
            </w:pPr>
            <w:r>
              <w:rPr>
                <w:rFonts w:eastAsia="Times New Roman"/>
                <w:sz w:val="20"/>
                <w:szCs w:val="20"/>
              </w:rPr>
              <w:t>25,700</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A7678">
            <w:pPr>
              <w:jc w:val="both"/>
              <w:rPr>
                <w:rFonts w:eastAsia="Times New Roman"/>
                <w:sz w:val="20"/>
                <w:szCs w:val="20"/>
              </w:rPr>
            </w:pPr>
            <w:r>
              <w:rPr>
                <w:rFonts w:eastAsia="Times New Roman"/>
                <w:sz w:val="20"/>
                <w:szCs w:val="20"/>
              </w:rPr>
              <w:t>Valuation allowance</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217,500</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A7678">
            <w:pPr>
              <w:jc w:val="right"/>
              <w:rPr>
                <w:rFonts w:eastAsia="Times New Roman"/>
                <w:sz w:val="20"/>
                <w:szCs w:val="20"/>
              </w:rPr>
            </w:pPr>
            <w:r>
              <w:rPr>
                <w:rFonts w:eastAsia="Times New Roman"/>
                <w:sz w:val="20"/>
                <w:szCs w:val="20"/>
              </w:rPr>
              <w:t>201,600</w:t>
            </w:r>
          </w:p>
        </w:tc>
        <w:tc>
          <w:tcPr>
            <w:tcW w:w="0" w:type="auto"/>
            <w:shd w:val="clear" w:color="auto" w:fill="CCEEFF"/>
            <w:vAlign w:val="bottom"/>
            <w:hideMark/>
          </w:tcPr>
          <w:p w:rsidR="00000000" w:rsidRDefault="00DA767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A7678">
            <w:pPr>
              <w:jc w:val="both"/>
              <w:rPr>
                <w:rFonts w:eastAsia="Times New Roman"/>
                <w:sz w:val="20"/>
                <w:szCs w:val="20"/>
              </w:rPr>
            </w:pPr>
            <w:r>
              <w:rPr>
                <w:rFonts w:eastAsia="Times New Roman"/>
                <w:sz w:val="20"/>
                <w:szCs w:val="20"/>
              </w:rPr>
              <w:t>Income tax expense</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A767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A767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A7678">
            <w:pPr>
              <w:rPr>
                <w:rFonts w:eastAsia="Times New Roman"/>
                <w:sz w:val="20"/>
                <w:szCs w:val="20"/>
              </w:rPr>
            </w:pPr>
            <w:r>
              <w:rPr>
                <w:rFonts w:eastAsia="Times New Roman"/>
                <w:sz w:val="20"/>
                <w:szCs w:val="20"/>
              </w:rPr>
              <w:t> </w:t>
            </w:r>
          </w:p>
        </w:tc>
      </w:tr>
    </w:tbl>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 xml:space="preserve">At </w:t>
      </w:r>
      <w:r>
        <w:rPr>
          <w:sz w:val="20"/>
          <w:szCs w:val="20"/>
        </w:rPr>
        <w:t xml:space="preserve">December 31, 2022, the Company had net operating loss carryforwards of approximately </w:t>
      </w:r>
      <w:r>
        <w:rPr>
          <w:sz w:val="20"/>
          <w:szCs w:val="20"/>
        </w:rPr>
        <w:t>$</w:t>
      </w:r>
      <w:r>
        <w:rPr>
          <w:sz w:val="20"/>
          <w:szCs w:val="20"/>
        </w:rPr>
        <w:t>30,955,70</w:t>
      </w:r>
      <w:r>
        <w:rPr>
          <w:sz w:val="20"/>
          <w:szCs w:val="20"/>
        </w:rPr>
        <w:t>0</w:t>
      </w:r>
      <w:r>
        <w:rPr>
          <w:sz w:val="20"/>
          <w:szCs w:val="20"/>
        </w:rPr>
        <w:t>.</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Topic 740 provides guidance on the accounting for uncertainty in income taxes recognized in a company’s financial statements. Topic 740 requires a company t</w:t>
      </w:r>
      <w:r>
        <w:rPr>
          <w:sz w:val="20"/>
          <w:szCs w:val="20"/>
        </w:rPr>
        <w:t>o determine whether it is more likely than not that a tax position will be sustained upon examination based upon the technical merits of the position. If the more-likely-than-not threshold is met, a company must measure the tax position to determine the am</w:t>
      </w:r>
      <w:r>
        <w:rPr>
          <w:sz w:val="20"/>
          <w:szCs w:val="20"/>
        </w:rPr>
        <w:t>ount to recognize in the financial statements. At the adoption date of January 1, 2007, the Company had no unrecognized tax benefit, which would affect the effective tax rate if recognized.</w:t>
      </w:r>
    </w:p>
    <w:p w:rsidR="00000000" w:rsidRDefault="00DA7678">
      <w:pPr>
        <w:pStyle w:val="a3"/>
        <w:spacing w:before="0" w:beforeAutospacing="0" w:after="0" w:afterAutospacing="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The Company includes interest and penalties arising from the und</w:t>
      </w:r>
      <w:r>
        <w:rPr>
          <w:sz w:val="20"/>
          <w:szCs w:val="20"/>
        </w:rPr>
        <w:t>erpayment of income taxes in the statements of operations in the provision for income taxes. As of December 31, 2022, the Company had</w:t>
      </w:r>
      <w:r>
        <w:rPr>
          <w:sz w:val="20"/>
          <w:szCs w:val="20"/>
        </w:rPr>
        <w:t xml:space="preserve"> </w:t>
      </w:r>
      <w:r>
        <w:rPr>
          <w:sz w:val="20"/>
          <w:szCs w:val="20"/>
        </w:rPr>
        <w:t>n</w:t>
      </w:r>
      <w:r>
        <w:rPr>
          <w:sz w:val="20"/>
          <w:szCs w:val="20"/>
        </w:rPr>
        <w:t>o</w:t>
      </w:r>
      <w:r>
        <w:rPr>
          <w:sz w:val="20"/>
          <w:szCs w:val="20"/>
        </w:rPr>
        <w:t xml:space="preserve"> accrued interest or penalties related to uncertain tax positions.</w:t>
      </w:r>
    </w:p>
    <w:p w:rsidR="00000000" w:rsidRDefault="00DA7678">
      <w:pPr>
        <w:pStyle w:val="a3"/>
        <w:spacing w:before="0" w:beforeAutospacing="0" w:after="0" w:afterAutospacing="0"/>
        <w:ind w:firstLine="720"/>
        <w:jc w:val="both"/>
        <w:rPr>
          <w:sz w:val="20"/>
          <w:szCs w:val="20"/>
        </w:rPr>
      </w:pPr>
      <w:r>
        <w:rPr>
          <w:sz w:val="20"/>
          <w:szCs w:val="20"/>
        </w:rPr>
        <w:t> </w:t>
      </w:r>
    </w:p>
    <w:p w:rsidR="00000000" w:rsidRDefault="00DA7678">
      <w:pPr>
        <w:pStyle w:val="a3"/>
        <w:spacing w:before="0" w:beforeAutospacing="0" w:after="0" w:afterAutospacing="0"/>
        <w:jc w:val="both"/>
        <w:rPr>
          <w:sz w:val="20"/>
          <w:szCs w:val="20"/>
        </w:rPr>
      </w:pPr>
      <w:r>
        <w:rPr>
          <w:sz w:val="20"/>
          <w:szCs w:val="20"/>
        </w:rPr>
        <w:t>The Company files income tax returns in the U.S. fe</w:t>
      </w:r>
      <w:r>
        <w:rPr>
          <w:sz w:val="20"/>
          <w:szCs w:val="20"/>
        </w:rPr>
        <w:t>deral jurisdiction. The Company is located in the state of Washington and Washington state does not require the filing of income taxes. With few exceptions, the Company is no longer subject to U.S. federal, state and local, or non-U.S. income tax examinati</w:t>
      </w:r>
      <w:r>
        <w:rPr>
          <w:sz w:val="20"/>
          <w:szCs w:val="20"/>
        </w:rPr>
        <w:t>ons by tax authorities for years before 2017.</w:t>
      </w:r>
    </w:p>
    <w:p w:rsidR="00000000" w:rsidRDefault="00DA767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22414253"/>
        </w:trPr>
        <w:tc>
          <w:tcPr>
            <w:tcW w:w="5000" w:type="pct"/>
            <w:hideMark/>
          </w:tcPr>
          <w:p w:rsidR="00000000" w:rsidRDefault="00DA7678">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1</w:t>
            </w:r>
          </w:p>
        </w:tc>
      </w:tr>
    </w:tbl>
    <w:p w:rsidR="00DA7678" w:rsidRDefault="00DA7678">
      <w:pPr>
        <w:pStyle w:val="a3"/>
        <w:spacing w:before="0" w:beforeAutospacing="0" w:after="0" w:afterAutospacing="0"/>
        <w:rPr>
          <w:sz w:val="20"/>
          <w:szCs w:val="20"/>
        </w:rPr>
      </w:pPr>
      <w:r>
        <w:rPr>
          <w:sz w:val="20"/>
          <w:szCs w:val="20"/>
        </w:rPr>
        <w:t> </w:t>
      </w:r>
    </w:p>
    <w:sectPr w:rsidR="00DA767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A7678"/>
    <w:rsid w:val="00DA7678"/>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xbrl.org/2003/instance"/>
  <w:attachedSchema w:val="http://xbrl.org/2006/xbrldi"/>
  <w:attachedSchema w:val="http://xbrl.org/2005/xbrldt"/>
  <w:attachedSchema w:val="http://www.xbrl.org/2003/iso4217"/>
  <w:attachedSchema w:val="http://www.xbrl.org/2013/inlineXBRL"/>
  <w:attachedSchema w:val="http://www.xbrl.org/inlineXBRL/transformation/2015-02-26"/>
  <w:attachedSchema w:val="http://www.sec.gov/inlineXBRL/transformation/2015-08-31"/>
  <w:attachedSchema w:val="http://www.xbrl.org/2003/linkbase"/>
  <w:attachedSchema w:val="http://xbrl.sec.gov/dei/2022"/>
  <w:attachedSchema w:val="http://www.xbrl.org/2006/ref"/>
  <w:attachedSchema w:val="http://fasb.org/us-gaap/2022"/>
  <w:attachedSchema w:val="http://fasb.org/us-gaap-sup/2022q3"/>
  <w:attachedSchema w:val="http://fasb.org/srt-sup/2022q3"/>
  <w:attachedSchema w:val="http://fasb.org/us-roles/2022"/>
  <w:attachedSchema w:val="http://www.xbrl.org/dtr/type/2020-01-21"/>
  <w:attachedSchema w:val="http://xbrl.sec.gov/country/2022"/>
  <w:attachedSchema w:val="http://fasb.org/srt/2022"/>
  <w:attachedSchema w:val="http://radiogel.com/202212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61079">
      <w:marLeft w:val="0"/>
      <w:marRight w:val="0"/>
      <w:marTop w:val="0"/>
      <w:marBottom w:val="120"/>
      <w:divBdr>
        <w:top w:val="none" w:sz="0" w:space="0" w:color="auto"/>
        <w:left w:val="none" w:sz="0" w:space="0" w:color="auto"/>
        <w:bottom w:val="single" w:sz="12" w:space="0" w:color="000000"/>
        <w:right w:val="none" w:sz="0" w:space="0" w:color="auto"/>
      </w:divBdr>
    </w:div>
    <w:div w:id="144667123">
      <w:marLeft w:val="0"/>
      <w:marRight w:val="0"/>
      <w:marTop w:val="0"/>
      <w:marBottom w:val="120"/>
      <w:divBdr>
        <w:top w:val="none" w:sz="0" w:space="0" w:color="auto"/>
        <w:left w:val="none" w:sz="0" w:space="0" w:color="auto"/>
        <w:bottom w:val="single" w:sz="12" w:space="0" w:color="000000"/>
        <w:right w:val="none" w:sz="0" w:space="0" w:color="auto"/>
      </w:divBdr>
    </w:div>
    <w:div w:id="165756990">
      <w:marLeft w:val="0"/>
      <w:marRight w:val="0"/>
      <w:marTop w:val="0"/>
      <w:marBottom w:val="120"/>
      <w:divBdr>
        <w:top w:val="none" w:sz="0" w:space="0" w:color="auto"/>
        <w:left w:val="none" w:sz="0" w:space="0" w:color="auto"/>
        <w:bottom w:val="single" w:sz="12" w:space="0" w:color="000000"/>
        <w:right w:val="none" w:sz="0" w:space="0" w:color="auto"/>
      </w:divBdr>
    </w:div>
    <w:div w:id="204566195">
      <w:marLeft w:val="0"/>
      <w:marRight w:val="0"/>
      <w:marTop w:val="0"/>
      <w:marBottom w:val="120"/>
      <w:divBdr>
        <w:top w:val="none" w:sz="0" w:space="0" w:color="auto"/>
        <w:left w:val="none" w:sz="0" w:space="0" w:color="auto"/>
        <w:bottom w:val="single" w:sz="12" w:space="0" w:color="000000"/>
        <w:right w:val="none" w:sz="0" w:space="0" w:color="auto"/>
      </w:divBdr>
    </w:div>
    <w:div w:id="254245359">
      <w:marLeft w:val="0"/>
      <w:marRight w:val="0"/>
      <w:marTop w:val="0"/>
      <w:marBottom w:val="120"/>
      <w:divBdr>
        <w:top w:val="none" w:sz="0" w:space="0" w:color="auto"/>
        <w:left w:val="none" w:sz="0" w:space="0" w:color="auto"/>
        <w:bottom w:val="single" w:sz="12" w:space="0" w:color="000000"/>
        <w:right w:val="none" w:sz="0" w:space="0" w:color="auto"/>
      </w:divBdr>
    </w:div>
    <w:div w:id="256717136">
      <w:marLeft w:val="0"/>
      <w:marRight w:val="0"/>
      <w:marTop w:val="0"/>
      <w:marBottom w:val="120"/>
      <w:divBdr>
        <w:top w:val="none" w:sz="0" w:space="0" w:color="auto"/>
        <w:left w:val="none" w:sz="0" w:space="0" w:color="auto"/>
        <w:bottom w:val="single" w:sz="12" w:space="0" w:color="000000"/>
        <w:right w:val="none" w:sz="0" w:space="0" w:color="auto"/>
      </w:divBdr>
    </w:div>
    <w:div w:id="266545386">
      <w:marLeft w:val="0"/>
      <w:marRight w:val="0"/>
      <w:marTop w:val="0"/>
      <w:marBottom w:val="120"/>
      <w:divBdr>
        <w:top w:val="none" w:sz="0" w:space="0" w:color="auto"/>
        <w:left w:val="none" w:sz="0" w:space="0" w:color="auto"/>
        <w:bottom w:val="single" w:sz="12" w:space="0" w:color="000000"/>
        <w:right w:val="none" w:sz="0" w:space="0" w:color="auto"/>
      </w:divBdr>
    </w:div>
    <w:div w:id="294333182">
      <w:marLeft w:val="0"/>
      <w:marRight w:val="0"/>
      <w:marTop w:val="0"/>
      <w:marBottom w:val="120"/>
      <w:divBdr>
        <w:top w:val="none" w:sz="0" w:space="0" w:color="auto"/>
        <w:left w:val="none" w:sz="0" w:space="0" w:color="auto"/>
        <w:bottom w:val="single" w:sz="12" w:space="0" w:color="000000"/>
        <w:right w:val="none" w:sz="0" w:space="0" w:color="auto"/>
      </w:divBdr>
    </w:div>
    <w:div w:id="359164112">
      <w:marLeft w:val="0"/>
      <w:marRight w:val="0"/>
      <w:marTop w:val="0"/>
      <w:marBottom w:val="120"/>
      <w:divBdr>
        <w:top w:val="none" w:sz="0" w:space="0" w:color="auto"/>
        <w:left w:val="none" w:sz="0" w:space="0" w:color="auto"/>
        <w:bottom w:val="single" w:sz="12" w:space="0" w:color="000000"/>
        <w:right w:val="none" w:sz="0" w:space="0" w:color="auto"/>
      </w:divBdr>
    </w:div>
    <w:div w:id="379521472">
      <w:marLeft w:val="0"/>
      <w:marRight w:val="0"/>
      <w:marTop w:val="0"/>
      <w:marBottom w:val="120"/>
      <w:divBdr>
        <w:top w:val="none" w:sz="0" w:space="0" w:color="auto"/>
        <w:left w:val="none" w:sz="0" w:space="0" w:color="auto"/>
        <w:bottom w:val="single" w:sz="12" w:space="0" w:color="000000"/>
        <w:right w:val="none" w:sz="0" w:space="0" w:color="auto"/>
      </w:divBdr>
    </w:div>
    <w:div w:id="406458458">
      <w:marLeft w:val="0"/>
      <w:marRight w:val="0"/>
      <w:marTop w:val="0"/>
      <w:marBottom w:val="120"/>
      <w:divBdr>
        <w:top w:val="none" w:sz="0" w:space="0" w:color="auto"/>
        <w:left w:val="none" w:sz="0" w:space="0" w:color="auto"/>
        <w:bottom w:val="single" w:sz="12" w:space="0" w:color="000000"/>
        <w:right w:val="none" w:sz="0" w:space="0" w:color="auto"/>
      </w:divBdr>
    </w:div>
    <w:div w:id="466510260">
      <w:marLeft w:val="0"/>
      <w:marRight w:val="0"/>
      <w:marTop w:val="0"/>
      <w:marBottom w:val="120"/>
      <w:divBdr>
        <w:top w:val="none" w:sz="0" w:space="0" w:color="auto"/>
        <w:left w:val="none" w:sz="0" w:space="0" w:color="auto"/>
        <w:bottom w:val="single" w:sz="12" w:space="0" w:color="000000"/>
        <w:right w:val="none" w:sz="0" w:space="0" w:color="auto"/>
      </w:divBdr>
    </w:div>
    <w:div w:id="470900317">
      <w:marLeft w:val="0"/>
      <w:marRight w:val="0"/>
      <w:marTop w:val="0"/>
      <w:marBottom w:val="120"/>
      <w:divBdr>
        <w:top w:val="none" w:sz="0" w:space="0" w:color="auto"/>
        <w:left w:val="none" w:sz="0" w:space="0" w:color="auto"/>
        <w:bottom w:val="single" w:sz="12" w:space="0" w:color="000000"/>
        <w:right w:val="none" w:sz="0" w:space="0" w:color="auto"/>
      </w:divBdr>
    </w:div>
    <w:div w:id="482309630">
      <w:marLeft w:val="0"/>
      <w:marRight w:val="0"/>
      <w:marTop w:val="0"/>
      <w:marBottom w:val="120"/>
      <w:divBdr>
        <w:top w:val="none" w:sz="0" w:space="0" w:color="auto"/>
        <w:left w:val="none" w:sz="0" w:space="0" w:color="auto"/>
        <w:bottom w:val="single" w:sz="12" w:space="0" w:color="000000"/>
        <w:right w:val="none" w:sz="0" w:space="0" w:color="auto"/>
      </w:divBdr>
    </w:div>
    <w:div w:id="486479588">
      <w:marLeft w:val="0"/>
      <w:marRight w:val="0"/>
      <w:marTop w:val="0"/>
      <w:marBottom w:val="120"/>
      <w:divBdr>
        <w:top w:val="none" w:sz="0" w:space="0" w:color="auto"/>
        <w:left w:val="none" w:sz="0" w:space="0" w:color="auto"/>
        <w:bottom w:val="single" w:sz="12" w:space="0" w:color="000000"/>
        <w:right w:val="none" w:sz="0" w:space="0" w:color="auto"/>
      </w:divBdr>
    </w:div>
    <w:div w:id="525288314">
      <w:marLeft w:val="0"/>
      <w:marRight w:val="0"/>
      <w:marTop w:val="0"/>
      <w:marBottom w:val="120"/>
      <w:divBdr>
        <w:top w:val="none" w:sz="0" w:space="0" w:color="auto"/>
        <w:left w:val="none" w:sz="0" w:space="0" w:color="auto"/>
        <w:bottom w:val="single" w:sz="12" w:space="0" w:color="000000"/>
        <w:right w:val="none" w:sz="0" w:space="0" w:color="auto"/>
      </w:divBdr>
    </w:div>
    <w:div w:id="528757479">
      <w:marLeft w:val="0"/>
      <w:marRight w:val="0"/>
      <w:marTop w:val="0"/>
      <w:marBottom w:val="120"/>
      <w:divBdr>
        <w:top w:val="none" w:sz="0" w:space="0" w:color="auto"/>
        <w:left w:val="none" w:sz="0" w:space="0" w:color="auto"/>
        <w:bottom w:val="single" w:sz="12" w:space="0" w:color="000000"/>
        <w:right w:val="none" w:sz="0" w:space="0" w:color="auto"/>
      </w:divBdr>
    </w:div>
    <w:div w:id="562376821">
      <w:marLeft w:val="0"/>
      <w:marRight w:val="0"/>
      <w:marTop w:val="0"/>
      <w:marBottom w:val="120"/>
      <w:divBdr>
        <w:top w:val="none" w:sz="0" w:space="0" w:color="auto"/>
        <w:left w:val="none" w:sz="0" w:space="0" w:color="auto"/>
        <w:bottom w:val="single" w:sz="12" w:space="0" w:color="000000"/>
        <w:right w:val="none" w:sz="0" w:space="0" w:color="auto"/>
      </w:divBdr>
    </w:div>
    <w:div w:id="607322748">
      <w:marLeft w:val="0"/>
      <w:marRight w:val="0"/>
      <w:marTop w:val="0"/>
      <w:marBottom w:val="120"/>
      <w:divBdr>
        <w:top w:val="none" w:sz="0" w:space="0" w:color="auto"/>
        <w:left w:val="none" w:sz="0" w:space="0" w:color="auto"/>
        <w:bottom w:val="single" w:sz="12" w:space="0" w:color="000000"/>
        <w:right w:val="none" w:sz="0" w:space="0" w:color="auto"/>
      </w:divBdr>
    </w:div>
    <w:div w:id="671493750">
      <w:marLeft w:val="0"/>
      <w:marRight w:val="0"/>
      <w:marTop w:val="0"/>
      <w:marBottom w:val="120"/>
      <w:divBdr>
        <w:top w:val="none" w:sz="0" w:space="0" w:color="auto"/>
        <w:left w:val="none" w:sz="0" w:space="0" w:color="auto"/>
        <w:bottom w:val="single" w:sz="12" w:space="0" w:color="000000"/>
        <w:right w:val="none" w:sz="0" w:space="0" w:color="auto"/>
      </w:divBdr>
    </w:div>
    <w:div w:id="679545325">
      <w:marLeft w:val="0"/>
      <w:marRight w:val="0"/>
      <w:marTop w:val="0"/>
      <w:marBottom w:val="120"/>
      <w:divBdr>
        <w:top w:val="none" w:sz="0" w:space="0" w:color="auto"/>
        <w:left w:val="none" w:sz="0" w:space="0" w:color="auto"/>
        <w:bottom w:val="single" w:sz="12" w:space="0" w:color="000000"/>
        <w:right w:val="none" w:sz="0" w:space="0" w:color="auto"/>
      </w:divBdr>
    </w:div>
    <w:div w:id="680395967">
      <w:marLeft w:val="0"/>
      <w:marRight w:val="0"/>
      <w:marTop w:val="0"/>
      <w:marBottom w:val="120"/>
      <w:divBdr>
        <w:top w:val="none" w:sz="0" w:space="0" w:color="auto"/>
        <w:left w:val="none" w:sz="0" w:space="0" w:color="auto"/>
        <w:bottom w:val="single" w:sz="12" w:space="0" w:color="000000"/>
        <w:right w:val="none" w:sz="0" w:space="0" w:color="auto"/>
      </w:divBdr>
    </w:div>
    <w:div w:id="722414253">
      <w:marLeft w:val="0"/>
      <w:marRight w:val="0"/>
      <w:marTop w:val="0"/>
      <w:marBottom w:val="120"/>
      <w:divBdr>
        <w:top w:val="none" w:sz="0" w:space="0" w:color="auto"/>
        <w:left w:val="none" w:sz="0" w:space="0" w:color="auto"/>
        <w:bottom w:val="single" w:sz="12" w:space="0" w:color="000000"/>
        <w:right w:val="none" w:sz="0" w:space="0" w:color="auto"/>
      </w:divBdr>
    </w:div>
    <w:div w:id="784688730">
      <w:marLeft w:val="0"/>
      <w:marRight w:val="0"/>
      <w:marTop w:val="0"/>
      <w:marBottom w:val="120"/>
      <w:divBdr>
        <w:top w:val="none" w:sz="0" w:space="0" w:color="auto"/>
        <w:left w:val="none" w:sz="0" w:space="0" w:color="auto"/>
        <w:bottom w:val="single" w:sz="12" w:space="0" w:color="000000"/>
        <w:right w:val="none" w:sz="0" w:space="0" w:color="auto"/>
      </w:divBdr>
    </w:div>
    <w:div w:id="856846985">
      <w:marLeft w:val="0"/>
      <w:marRight w:val="0"/>
      <w:marTop w:val="0"/>
      <w:marBottom w:val="120"/>
      <w:divBdr>
        <w:top w:val="none" w:sz="0" w:space="0" w:color="auto"/>
        <w:left w:val="none" w:sz="0" w:space="0" w:color="auto"/>
        <w:bottom w:val="single" w:sz="12" w:space="0" w:color="000000"/>
        <w:right w:val="none" w:sz="0" w:space="0" w:color="auto"/>
      </w:divBdr>
    </w:div>
    <w:div w:id="886603711">
      <w:marLeft w:val="0"/>
      <w:marRight w:val="0"/>
      <w:marTop w:val="0"/>
      <w:marBottom w:val="120"/>
      <w:divBdr>
        <w:top w:val="none" w:sz="0" w:space="0" w:color="auto"/>
        <w:left w:val="none" w:sz="0" w:space="0" w:color="auto"/>
        <w:bottom w:val="single" w:sz="12" w:space="0" w:color="000000"/>
        <w:right w:val="none" w:sz="0" w:space="0" w:color="auto"/>
      </w:divBdr>
    </w:div>
    <w:div w:id="898053317">
      <w:marLeft w:val="0"/>
      <w:marRight w:val="0"/>
      <w:marTop w:val="0"/>
      <w:marBottom w:val="120"/>
      <w:divBdr>
        <w:top w:val="none" w:sz="0" w:space="0" w:color="auto"/>
        <w:left w:val="none" w:sz="0" w:space="0" w:color="auto"/>
        <w:bottom w:val="single" w:sz="12" w:space="0" w:color="000000"/>
        <w:right w:val="none" w:sz="0" w:space="0" w:color="auto"/>
      </w:divBdr>
    </w:div>
    <w:div w:id="937295951">
      <w:marLeft w:val="0"/>
      <w:marRight w:val="0"/>
      <w:marTop w:val="0"/>
      <w:marBottom w:val="120"/>
      <w:divBdr>
        <w:top w:val="none" w:sz="0" w:space="0" w:color="auto"/>
        <w:left w:val="none" w:sz="0" w:space="0" w:color="auto"/>
        <w:bottom w:val="single" w:sz="12" w:space="0" w:color="000000"/>
        <w:right w:val="none" w:sz="0" w:space="0" w:color="auto"/>
      </w:divBdr>
    </w:div>
    <w:div w:id="967010665">
      <w:marLeft w:val="0"/>
      <w:marRight w:val="0"/>
      <w:marTop w:val="0"/>
      <w:marBottom w:val="120"/>
      <w:divBdr>
        <w:top w:val="none" w:sz="0" w:space="0" w:color="auto"/>
        <w:left w:val="none" w:sz="0" w:space="0" w:color="auto"/>
        <w:bottom w:val="single" w:sz="12" w:space="0" w:color="000000"/>
        <w:right w:val="none" w:sz="0" w:space="0" w:color="auto"/>
      </w:divBdr>
    </w:div>
    <w:div w:id="969438664">
      <w:marLeft w:val="0"/>
      <w:marRight w:val="0"/>
      <w:marTop w:val="0"/>
      <w:marBottom w:val="120"/>
      <w:divBdr>
        <w:top w:val="none" w:sz="0" w:space="0" w:color="auto"/>
        <w:left w:val="none" w:sz="0" w:space="0" w:color="auto"/>
        <w:bottom w:val="single" w:sz="12" w:space="0" w:color="000000"/>
        <w:right w:val="none" w:sz="0" w:space="0" w:color="auto"/>
      </w:divBdr>
    </w:div>
    <w:div w:id="990059461">
      <w:marLeft w:val="0"/>
      <w:marRight w:val="0"/>
      <w:marTop w:val="0"/>
      <w:marBottom w:val="120"/>
      <w:divBdr>
        <w:top w:val="none" w:sz="0" w:space="0" w:color="auto"/>
        <w:left w:val="none" w:sz="0" w:space="0" w:color="auto"/>
        <w:bottom w:val="single" w:sz="12" w:space="0" w:color="000000"/>
        <w:right w:val="none" w:sz="0" w:space="0" w:color="auto"/>
      </w:divBdr>
    </w:div>
    <w:div w:id="1023751626">
      <w:marLeft w:val="0"/>
      <w:marRight w:val="0"/>
      <w:marTop w:val="0"/>
      <w:marBottom w:val="120"/>
      <w:divBdr>
        <w:top w:val="none" w:sz="0" w:space="0" w:color="auto"/>
        <w:left w:val="none" w:sz="0" w:space="0" w:color="auto"/>
        <w:bottom w:val="single" w:sz="12" w:space="0" w:color="000000"/>
        <w:right w:val="none" w:sz="0" w:space="0" w:color="auto"/>
      </w:divBdr>
    </w:div>
    <w:div w:id="1040205995">
      <w:marLeft w:val="0"/>
      <w:marRight w:val="0"/>
      <w:marTop w:val="0"/>
      <w:marBottom w:val="120"/>
      <w:divBdr>
        <w:top w:val="none" w:sz="0" w:space="0" w:color="auto"/>
        <w:left w:val="none" w:sz="0" w:space="0" w:color="auto"/>
        <w:bottom w:val="single" w:sz="12" w:space="0" w:color="000000"/>
        <w:right w:val="none" w:sz="0" w:space="0" w:color="auto"/>
      </w:divBdr>
    </w:div>
    <w:div w:id="1131169090">
      <w:marLeft w:val="0"/>
      <w:marRight w:val="0"/>
      <w:marTop w:val="0"/>
      <w:marBottom w:val="0"/>
      <w:divBdr>
        <w:top w:val="none" w:sz="0" w:space="0" w:color="auto"/>
        <w:left w:val="none" w:sz="0" w:space="0" w:color="auto"/>
        <w:bottom w:val="none" w:sz="0" w:space="0" w:color="auto"/>
        <w:right w:val="none" w:sz="0" w:space="0" w:color="auto"/>
      </w:divBdr>
      <w:divsChild>
        <w:div w:id="751586528">
          <w:marLeft w:val="0"/>
          <w:marRight w:val="0"/>
          <w:marTop w:val="0"/>
          <w:marBottom w:val="0"/>
          <w:divBdr>
            <w:top w:val="single" w:sz="36" w:space="0" w:color="000000"/>
            <w:left w:val="none" w:sz="0" w:space="0" w:color="auto"/>
            <w:bottom w:val="single" w:sz="12" w:space="0" w:color="000000"/>
            <w:right w:val="none" w:sz="0" w:space="0" w:color="auto"/>
          </w:divBdr>
        </w:div>
      </w:divsChild>
    </w:div>
    <w:div w:id="1145777898">
      <w:marLeft w:val="0"/>
      <w:marRight w:val="0"/>
      <w:marTop w:val="0"/>
      <w:marBottom w:val="120"/>
      <w:divBdr>
        <w:top w:val="none" w:sz="0" w:space="0" w:color="auto"/>
        <w:left w:val="none" w:sz="0" w:space="0" w:color="auto"/>
        <w:bottom w:val="single" w:sz="12" w:space="0" w:color="000000"/>
        <w:right w:val="none" w:sz="0" w:space="0" w:color="auto"/>
      </w:divBdr>
    </w:div>
    <w:div w:id="1170759015">
      <w:marLeft w:val="0"/>
      <w:marRight w:val="0"/>
      <w:marTop w:val="0"/>
      <w:marBottom w:val="120"/>
      <w:divBdr>
        <w:top w:val="none" w:sz="0" w:space="0" w:color="auto"/>
        <w:left w:val="none" w:sz="0" w:space="0" w:color="auto"/>
        <w:bottom w:val="single" w:sz="12" w:space="0" w:color="000000"/>
        <w:right w:val="none" w:sz="0" w:space="0" w:color="auto"/>
      </w:divBdr>
    </w:div>
    <w:div w:id="1306470707">
      <w:marLeft w:val="0"/>
      <w:marRight w:val="0"/>
      <w:marTop w:val="0"/>
      <w:marBottom w:val="120"/>
      <w:divBdr>
        <w:top w:val="none" w:sz="0" w:space="0" w:color="auto"/>
        <w:left w:val="none" w:sz="0" w:space="0" w:color="auto"/>
        <w:bottom w:val="single" w:sz="12" w:space="0" w:color="000000"/>
        <w:right w:val="none" w:sz="0" w:space="0" w:color="auto"/>
      </w:divBdr>
    </w:div>
    <w:div w:id="1308778391">
      <w:marLeft w:val="0"/>
      <w:marRight w:val="0"/>
      <w:marTop w:val="0"/>
      <w:marBottom w:val="120"/>
      <w:divBdr>
        <w:top w:val="none" w:sz="0" w:space="0" w:color="auto"/>
        <w:left w:val="none" w:sz="0" w:space="0" w:color="auto"/>
        <w:bottom w:val="single" w:sz="12" w:space="0" w:color="000000"/>
        <w:right w:val="none" w:sz="0" w:space="0" w:color="auto"/>
      </w:divBdr>
    </w:div>
    <w:div w:id="1332414744">
      <w:marLeft w:val="0"/>
      <w:marRight w:val="0"/>
      <w:marTop w:val="0"/>
      <w:marBottom w:val="120"/>
      <w:divBdr>
        <w:top w:val="none" w:sz="0" w:space="0" w:color="auto"/>
        <w:left w:val="none" w:sz="0" w:space="0" w:color="auto"/>
        <w:bottom w:val="single" w:sz="12" w:space="0" w:color="000000"/>
        <w:right w:val="none" w:sz="0" w:space="0" w:color="auto"/>
      </w:divBdr>
    </w:div>
    <w:div w:id="1338842827">
      <w:marLeft w:val="0"/>
      <w:marRight w:val="0"/>
      <w:marTop w:val="0"/>
      <w:marBottom w:val="120"/>
      <w:divBdr>
        <w:top w:val="none" w:sz="0" w:space="0" w:color="auto"/>
        <w:left w:val="none" w:sz="0" w:space="0" w:color="auto"/>
        <w:bottom w:val="single" w:sz="12" w:space="0" w:color="000000"/>
        <w:right w:val="none" w:sz="0" w:space="0" w:color="auto"/>
      </w:divBdr>
    </w:div>
    <w:div w:id="1419060785">
      <w:marLeft w:val="0"/>
      <w:marRight w:val="0"/>
      <w:marTop w:val="0"/>
      <w:marBottom w:val="0"/>
      <w:divBdr>
        <w:top w:val="none" w:sz="0" w:space="0" w:color="auto"/>
        <w:left w:val="none" w:sz="0" w:space="0" w:color="auto"/>
        <w:bottom w:val="none" w:sz="0" w:space="0" w:color="auto"/>
        <w:right w:val="none" w:sz="0" w:space="0" w:color="auto"/>
      </w:divBdr>
      <w:divsChild>
        <w:div w:id="1145464187">
          <w:marLeft w:val="0"/>
          <w:marRight w:val="0"/>
          <w:marTop w:val="0"/>
          <w:marBottom w:val="0"/>
          <w:divBdr>
            <w:top w:val="single" w:sz="12" w:space="0" w:color="000000"/>
            <w:left w:val="none" w:sz="0" w:space="0" w:color="auto"/>
            <w:bottom w:val="single" w:sz="36" w:space="0" w:color="000000"/>
            <w:right w:val="none" w:sz="0" w:space="0" w:color="auto"/>
          </w:divBdr>
        </w:div>
      </w:divsChild>
    </w:div>
    <w:div w:id="1421097268">
      <w:marLeft w:val="0"/>
      <w:marRight w:val="0"/>
      <w:marTop w:val="0"/>
      <w:marBottom w:val="120"/>
      <w:divBdr>
        <w:top w:val="none" w:sz="0" w:space="0" w:color="auto"/>
        <w:left w:val="none" w:sz="0" w:space="0" w:color="auto"/>
        <w:bottom w:val="single" w:sz="12" w:space="0" w:color="000000"/>
        <w:right w:val="none" w:sz="0" w:space="0" w:color="auto"/>
      </w:divBdr>
    </w:div>
    <w:div w:id="1565947875">
      <w:marLeft w:val="0"/>
      <w:marRight w:val="0"/>
      <w:marTop w:val="0"/>
      <w:marBottom w:val="120"/>
      <w:divBdr>
        <w:top w:val="none" w:sz="0" w:space="0" w:color="auto"/>
        <w:left w:val="none" w:sz="0" w:space="0" w:color="auto"/>
        <w:bottom w:val="single" w:sz="12" w:space="0" w:color="000000"/>
        <w:right w:val="none" w:sz="0" w:space="0" w:color="auto"/>
      </w:divBdr>
    </w:div>
    <w:div w:id="1566646088">
      <w:marLeft w:val="0"/>
      <w:marRight w:val="0"/>
      <w:marTop w:val="0"/>
      <w:marBottom w:val="120"/>
      <w:divBdr>
        <w:top w:val="none" w:sz="0" w:space="0" w:color="auto"/>
        <w:left w:val="none" w:sz="0" w:space="0" w:color="auto"/>
        <w:bottom w:val="single" w:sz="12" w:space="0" w:color="000000"/>
        <w:right w:val="none" w:sz="0" w:space="0" w:color="auto"/>
      </w:divBdr>
    </w:div>
    <w:div w:id="1582443542">
      <w:marLeft w:val="0"/>
      <w:marRight w:val="0"/>
      <w:marTop w:val="0"/>
      <w:marBottom w:val="120"/>
      <w:divBdr>
        <w:top w:val="none" w:sz="0" w:space="0" w:color="auto"/>
        <w:left w:val="none" w:sz="0" w:space="0" w:color="auto"/>
        <w:bottom w:val="single" w:sz="12" w:space="0" w:color="000000"/>
        <w:right w:val="none" w:sz="0" w:space="0" w:color="auto"/>
      </w:divBdr>
    </w:div>
    <w:div w:id="1616714230">
      <w:marLeft w:val="0"/>
      <w:marRight w:val="0"/>
      <w:marTop w:val="0"/>
      <w:marBottom w:val="120"/>
      <w:divBdr>
        <w:top w:val="none" w:sz="0" w:space="0" w:color="auto"/>
        <w:left w:val="none" w:sz="0" w:space="0" w:color="auto"/>
        <w:bottom w:val="single" w:sz="12" w:space="0" w:color="000000"/>
        <w:right w:val="none" w:sz="0" w:space="0" w:color="auto"/>
      </w:divBdr>
    </w:div>
    <w:div w:id="1620648221">
      <w:marLeft w:val="0"/>
      <w:marRight w:val="0"/>
      <w:marTop w:val="0"/>
      <w:marBottom w:val="120"/>
      <w:divBdr>
        <w:top w:val="none" w:sz="0" w:space="0" w:color="auto"/>
        <w:left w:val="none" w:sz="0" w:space="0" w:color="auto"/>
        <w:bottom w:val="single" w:sz="12" w:space="0" w:color="000000"/>
        <w:right w:val="none" w:sz="0" w:space="0" w:color="auto"/>
      </w:divBdr>
    </w:div>
    <w:div w:id="1623805884">
      <w:marLeft w:val="0"/>
      <w:marRight w:val="0"/>
      <w:marTop w:val="0"/>
      <w:marBottom w:val="120"/>
      <w:divBdr>
        <w:top w:val="none" w:sz="0" w:space="0" w:color="auto"/>
        <w:left w:val="none" w:sz="0" w:space="0" w:color="auto"/>
        <w:bottom w:val="single" w:sz="12" w:space="0" w:color="000000"/>
        <w:right w:val="none" w:sz="0" w:space="0" w:color="auto"/>
      </w:divBdr>
    </w:div>
    <w:div w:id="1661689245">
      <w:marLeft w:val="0"/>
      <w:marRight w:val="0"/>
      <w:marTop w:val="0"/>
      <w:marBottom w:val="120"/>
      <w:divBdr>
        <w:top w:val="none" w:sz="0" w:space="0" w:color="auto"/>
        <w:left w:val="none" w:sz="0" w:space="0" w:color="auto"/>
        <w:bottom w:val="single" w:sz="12" w:space="0" w:color="000000"/>
        <w:right w:val="none" w:sz="0" w:space="0" w:color="auto"/>
      </w:divBdr>
    </w:div>
    <w:div w:id="1747922427">
      <w:marLeft w:val="0"/>
      <w:marRight w:val="0"/>
      <w:marTop w:val="0"/>
      <w:marBottom w:val="120"/>
      <w:divBdr>
        <w:top w:val="none" w:sz="0" w:space="0" w:color="auto"/>
        <w:left w:val="none" w:sz="0" w:space="0" w:color="auto"/>
        <w:bottom w:val="single" w:sz="12" w:space="0" w:color="000000"/>
        <w:right w:val="none" w:sz="0" w:space="0" w:color="auto"/>
      </w:divBdr>
    </w:div>
    <w:div w:id="1759986820">
      <w:marLeft w:val="0"/>
      <w:marRight w:val="0"/>
      <w:marTop w:val="0"/>
      <w:marBottom w:val="120"/>
      <w:divBdr>
        <w:top w:val="none" w:sz="0" w:space="0" w:color="auto"/>
        <w:left w:val="none" w:sz="0" w:space="0" w:color="auto"/>
        <w:bottom w:val="single" w:sz="12" w:space="0" w:color="000000"/>
        <w:right w:val="none" w:sz="0" w:space="0" w:color="auto"/>
      </w:divBdr>
    </w:div>
    <w:div w:id="1776516480">
      <w:marLeft w:val="0"/>
      <w:marRight w:val="0"/>
      <w:marTop w:val="0"/>
      <w:marBottom w:val="120"/>
      <w:divBdr>
        <w:top w:val="none" w:sz="0" w:space="0" w:color="auto"/>
        <w:left w:val="none" w:sz="0" w:space="0" w:color="auto"/>
        <w:bottom w:val="single" w:sz="12" w:space="0" w:color="000000"/>
        <w:right w:val="none" w:sz="0" w:space="0" w:color="auto"/>
      </w:divBdr>
    </w:div>
    <w:div w:id="1799956847">
      <w:marLeft w:val="0"/>
      <w:marRight w:val="0"/>
      <w:marTop w:val="0"/>
      <w:marBottom w:val="120"/>
      <w:divBdr>
        <w:top w:val="none" w:sz="0" w:space="0" w:color="auto"/>
        <w:left w:val="none" w:sz="0" w:space="0" w:color="auto"/>
        <w:bottom w:val="single" w:sz="12" w:space="0" w:color="000000"/>
        <w:right w:val="none" w:sz="0" w:space="0" w:color="auto"/>
      </w:divBdr>
    </w:div>
    <w:div w:id="1810702903">
      <w:marLeft w:val="0"/>
      <w:marRight w:val="0"/>
      <w:marTop w:val="0"/>
      <w:marBottom w:val="120"/>
      <w:divBdr>
        <w:top w:val="none" w:sz="0" w:space="0" w:color="auto"/>
        <w:left w:val="none" w:sz="0" w:space="0" w:color="auto"/>
        <w:bottom w:val="single" w:sz="12" w:space="0" w:color="000000"/>
        <w:right w:val="none" w:sz="0" w:space="0" w:color="auto"/>
      </w:divBdr>
    </w:div>
    <w:div w:id="1829636368">
      <w:marLeft w:val="0"/>
      <w:marRight w:val="0"/>
      <w:marTop w:val="0"/>
      <w:marBottom w:val="120"/>
      <w:divBdr>
        <w:top w:val="none" w:sz="0" w:space="0" w:color="auto"/>
        <w:left w:val="none" w:sz="0" w:space="0" w:color="auto"/>
        <w:bottom w:val="single" w:sz="12" w:space="0" w:color="000000"/>
        <w:right w:val="none" w:sz="0" w:space="0" w:color="auto"/>
      </w:divBdr>
    </w:div>
    <w:div w:id="1838421314">
      <w:marLeft w:val="0"/>
      <w:marRight w:val="0"/>
      <w:marTop w:val="0"/>
      <w:marBottom w:val="120"/>
      <w:divBdr>
        <w:top w:val="none" w:sz="0" w:space="0" w:color="auto"/>
        <w:left w:val="none" w:sz="0" w:space="0" w:color="auto"/>
        <w:bottom w:val="single" w:sz="12" w:space="0" w:color="000000"/>
        <w:right w:val="none" w:sz="0" w:space="0" w:color="auto"/>
      </w:divBdr>
    </w:div>
    <w:div w:id="1919167472">
      <w:marLeft w:val="0"/>
      <w:marRight w:val="0"/>
      <w:marTop w:val="0"/>
      <w:marBottom w:val="120"/>
      <w:divBdr>
        <w:top w:val="none" w:sz="0" w:space="0" w:color="auto"/>
        <w:left w:val="none" w:sz="0" w:space="0" w:color="auto"/>
        <w:bottom w:val="single" w:sz="12" w:space="0" w:color="000000"/>
        <w:right w:val="none" w:sz="0" w:space="0" w:color="auto"/>
      </w:divBdr>
    </w:div>
    <w:div w:id="1921520240">
      <w:marLeft w:val="0"/>
      <w:marRight w:val="0"/>
      <w:marTop w:val="0"/>
      <w:marBottom w:val="120"/>
      <w:divBdr>
        <w:top w:val="none" w:sz="0" w:space="0" w:color="auto"/>
        <w:left w:val="none" w:sz="0" w:space="0" w:color="auto"/>
        <w:bottom w:val="single" w:sz="12" w:space="0" w:color="000000"/>
        <w:right w:val="none" w:sz="0" w:space="0" w:color="auto"/>
      </w:divBdr>
    </w:div>
    <w:div w:id="1942251667">
      <w:marLeft w:val="0"/>
      <w:marRight w:val="0"/>
      <w:marTop w:val="0"/>
      <w:marBottom w:val="120"/>
      <w:divBdr>
        <w:top w:val="none" w:sz="0" w:space="0" w:color="auto"/>
        <w:left w:val="none" w:sz="0" w:space="0" w:color="auto"/>
        <w:bottom w:val="single" w:sz="12" w:space="0" w:color="000000"/>
        <w:right w:val="none" w:sz="0" w:space="0" w:color="auto"/>
      </w:divBdr>
    </w:div>
    <w:div w:id="1948341673">
      <w:marLeft w:val="0"/>
      <w:marRight w:val="0"/>
      <w:marTop w:val="0"/>
      <w:marBottom w:val="120"/>
      <w:divBdr>
        <w:top w:val="none" w:sz="0" w:space="0" w:color="auto"/>
        <w:left w:val="none" w:sz="0" w:space="0" w:color="auto"/>
        <w:bottom w:val="single" w:sz="12" w:space="0" w:color="000000"/>
        <w:right w:val="none" w:sz="0" w:space="0" w:color="auto"/>
      </w:divBdr>
    </w:div>
    <w:div w:id="2003044790">
      <w:marLeft w:val="0"/>
      <w:marRight w:val="0"/>
      <w:marTop w:val="0"/>
      <w:marBottom w:val="120"/>
      <w:divBdr>
        <w:top w:val="none" w:sz="0" w:space="0" w:color="auto"/>
        <w:left w:val="none" w:sz="0" w:space="0" w:color="auto"/>
        <w:bottom w:val="single" w:sz="12" w:space="0" w:color="000000"/>
        <w:right w:val="none" w:sz="0" w:space="0" w:color="auto"/>
      </w:divBdr>
    </w:div>
    <w:div w:id="2012677768">
      <w:marLeft w:val="0"/>
      <w:marRight w:val="0"/>
      <w:marTop w:val="0"/>
      <w:marBottom w:val="120"/>
      <w:divBdr>
        <w:top w:val="none" w:sz="0" w:space="0" w:color="auto"/>
        <w:left w:val="none" w:sz="0" w:space="0" w:color="auto"/>
        <w:bottom w:val="single" w:sz="12" w:space="0" w:color="000000"/>
        <w:right w:val="none" w:sz="0" w:space="0" w:color="auto"/>
      </w:divBdr>
    </w:div>
    <w:div w:id="2014456412">
      <w:marLeft w:val="0"/>
      <w:marRight w:val="0"/>
      <w:marTop w:val="0"/>
      <w:marBottom w:val="0"/>
      <w:divBdr>
        <w:top w:val="none" w:sz="0" w:space="0" w:color="auto"/>
        <w:left w:val="none" w:sz="0" w:space="0" w:color="auto"/>
        <w:bottom w:val="none" w:sz="0" w:space="0" w:color="auto"/>
        <w:right w:val="none" w:sz="0" w:space="0" w:color="auto"/>
      </w:divBdr>
    </w:div>
    <w:div w:id="2018002611">
      <w:marLeft w:val="0"/>
      <w:marRight w:val="0"/>
      <w:marTop w:val="0"/>
      <w:marBottom w:val="120"/>
      <w:divBdr>
        <w:top w:val="none" w:sz="0" w:space="0" w:color="auto"/>
        <w:left w:val="none" w:sz="0" w:space="0" w:color="auto"/>
        <w:bottom w:val="single" w:sz="12" w:space="0" w:color="000000"/>
        <w:right w:val="none" w:sz="0" w:space="0" w:color="auto"/>
      </w:divBdr>
    </w:div>
    <w:div w:id="2099521953">
      <w:marLeft w:val="0"/>
      <w:marRight w:val="0"/>
      <w:marTop w:val="0"/>
      <w:marBottom w:val="120"/>
      <w:divBdr>
        <w:top w:val="none" w:sz="0" w:space="0" w:color="auto"/>
        <w:left w:val="none" w:sz="0" w:space="0" w:color="auto"/>
        <w:bottom w:val="single" w:sz="12" w:space="0" w:color="000000"/>
        <w:right w:val="none" w:sz="0" w:space="0" w:color="auto"/>
      </w:divBdr>
    </w:div>
    <w:div w:id="2102942614">
      <w:marLeft w:val="0"/>
      <w:marRight w:val="0"/>
      <w:marTop w:val="0"/>
      <w:marBottom w:val="120"/>
      <w:divBdr>
        <w:top w:val="none" w:sz="0" w:space="0" w:color="auto"/>
        <w:left w:val="none" w:sz="0" w:space="0" w:color="auto"/>
        <w:bottom w:val="single" w:sz="12" w:space="0" w:color="000000"/>
        <w:right w:val="none" w:sz="0" w:space="0" w:color="auto"/>
      </w:divBdr>
    </w:div>
    <w:div w:id="2109428623">
      <w:marLeft w:val="0"/>
      <w:marRight w:val="0"/>
      <w:marTop w:val="0"/>
      <w:marBottom w:val="120"/>
      <w:divBdr>
        <w:top w:val="none" w:sz="0" w:space="0" w:color="auto"/>
        <w:left w:val="none" w:sz="0" w:space="0" w:color="auto"/>
        <w:bottom w:val="single" w:sz="12" w:space="0" w:color="000000"/>
        <w:right w:val="none" w:sz="0" w:space="0" w:color="auto"/>
      </w:divBdr>
    </w:div>
    <w:div w:id="2118677938">
      <w:marLeft w:val="0"/>
      <w:marRight w:val="0"/>
      <w:marTop w:val="0"/>
      <w:marBottom w:val="120"/>
      <w:divBdr>
        <w:top w:val="none" w:sz="0" w:space="0" w:color="auto"/>
        <w:left w:val="none" w:sz="0" w:space="0" w:color="auto"/>
        <w:bottom w:val="single" w:sz="12"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449349/000119983511000374/exhibit_3-1.htm" TargetMode="External"/><Relationship Id="rId13" Type="http://schemas.openxmlformats.org/officeDocument/2006/relationships/hyperlink" Target="https://www.sec.gov/Archives/edgar/data/1449349/000119983508000697/exhibit_10-1.htm" TargetMode="External"/><Relationship Id="rId18" Type="http://schemas.openxmlformats.org/officeDocument/2006/relationships/hyperlink" Target="https://www.sec.gov/Archives/edgar/data/1449349/000119983512000130/exhibit_10-11.htm" TargetMode="External"/><Relationship Id="rId26" Type="http://schemas.openxmlformats.org/officeDocument/2006/relationships/hyperlink" Target="ex31-2.htm" TargetMode="External"/><Relationship Id="rId3" Type="http://schemas.openxmlformats.org/officeDocument/2006/relationships/webSettings" Target="webSettings.xml"/><Relationship Id="rId21" Type="http://schemas.openxmlformats.org/officeDocument/2006/relationships/hyperlink" Target="https://www.sec.gov/Archives/edgar/data/1449349/000149315218004456/ex10-14.htm" TargetMode="External"/><Relationship Id="rId7" Type="http://schemas.openxmlformats.org/officeDocument/2006/relationships/hyperlink" Target="https://www.sec.gov/Archives/edgar/data/1449349/000119983508000697/exhibit_3-6.htm" TargetMode="External"/><Relationship Id="rId12" Type="http://schemas.openxmlformats.org/officeDocument/2006/relationships/hyperlink" Target="https://www.sec.gov/Archives/edgar/data/1449349/000165495418011250/ex4-1.htm" TargetMode="External"/><Relationship Id="rId17" Type="http://schemas.openxmlformats.org/officeDocument/2006/relationships/hyperlink" Target="https://www.sec.gov/Archives/edgar/data/1449349/000119983512000114/exhibit_10-1.htm" TargetMode="External"/><Relationship Id="rId25" Type="http://schemas.openxmlformats.org/officeDocument/2006/relationships/hyperlink" Target="ex31-1.htm" TargetMode="External"/><Relationship Id="rId2" Type="http://schemas.openxmlformats.org/officeDocument/2006/relationships/settings" Target="settings.xml"/><Relationship Id="rId16" Type="http://schemas.openxmlformats.org/officeDocument/2006/relationships/hyperlink" Target="https://www.sec.gov/Archives/edgar/data/1449349/000119983508000697/exhibit_10-6.htm" TargetMode="External"/><Relationship Id="rId20" Type="http://schemas.openxmlformats.org/officeDocument/2006/relationships/hyperlink" Target="https://www.sec.gov/Archives/edgar/data/1449349/000149315218004456/ex10-13.htm" TargetMode="External"/><Relationship Id="rId29" Type="http://schemas.openxmlformats.org/officeDocument/2006/relationships/image" Target="file:///E:\projects\LLMs\new_data_collection\data_new\htm\VIVOS%20INC\ex23_002.jpg" TargetMode="External"/><Relationship Id="rId1" Type="http://schemas.openxmlformats.org/officeDocument/2006/relationships/styles" Target="styles.xml"/><Relationship Id="rId6" Type="http://schemas.openxmlformats.org/officeDocument/2006/relationships/hyperlink" Target="https://www.sec.gov/Archives/edgar/data/1449349/000119983508000697/exhibit_3-5.htm" TargetMode="External"/><Relationship Id="rId11" Type="http://schemas.openxmlformats.org/officeDocument/2006/relationships/hyperlink" Target="https://www.sec.gov/Archives/edgar/data/1449349/000165495418011250/ex3-1.htm" TargetMode="External"/><Relationship Id="rId24" Type="http://schemas.openxmlformats.org/officeDocument/2006/relationships/hyperlink" Target="ex23.htm" TargetMode="External"/><Relationship Id="rId5" Type="http://schemas.openxmlformats.org/officeDocument/2006/relationships/hyperlink" Target="https://www.sec.gov/Archives/edgar/data/1449349/000119983508000697/exhibit_3-2.htm" TargetMode="External"/><Relationship Id="rId15" Type="http://schemas.openxmlformats.org/officeDocument/2006/relationships/hyperlink" Target="https://www.sec.gov/Archives/edgar/data/1449349/000119983508000697/exhibit_10-4.htm" TargetMode="External"/><Relationship Id="rId23" Type="http://schemas.openxmlformats.org/officeDocument/2006/relationships/hyperlink" Target="https://www.sec.gov/Archives/edgar/data/1449349/000149315219011262/ex6-18.htm" TargetMode="External"/><Relationship Id="rId28" Type="http://schemas.openxmlformats.org/officeDocument/2006/relationships/image" Target="file:///E:\projects\LLMs\new_data_collection\data_new\htm\VIVOS%20INC\form10-k_001.jpg" TargetMode="External"/><Relationship Id="rId10" Type="http://schemas.openxmlformats.org/officeDocument/2006/relationships/hyperlink" Target="https://www.sec.gov/Archives/edgar/data/1449349/000149315216008703/ex10-01.htm" TargetMode="External"/><Relationship Id="rId19" Type="http://schemas.openxmlformats.org/officeDocument/2006/relationships/hyperlink" Target="https://www.sec.gov/Archives/edgar/data/1449349/000149315216010291/ex10-12.htm" TargetMode="External"/><Relationship Id="rId31" Type="http://schemas.openxmlformats.org/officeDocument/2006/relationships/theme" Target="theme/theme1.xml"/><Relationship Id="rId4" Type="http://schemas.openxmlformats.org/officeDocument/2006/relationships/hyperlink" Target="https://www.sec.gov/Archives/edgar/data/1449349/000119983508000697/exhibit_3-1.htm" TargetMode="External"/><Relationship Id="rId9" Type="http://schemas.openxmlformats.org/officeDocument/2006/relationships/hyperlink" Target="https://www.sec.gov/Archives/edgar/data/1449349/000119983515000279/exhibit_4-1.htm" TargetMode="External"/><Relationship Id="rId14" Type="http://schemas.openxmlformats.org/officeDocument/2006/relationships/hyperlink" Target="https://www.sec.gov/Archives/edgar/data/1449349/000119983508000697/exhibit_10-2.htm" TargetMode="External"/><Relationship Id="rId22" Type="http://schemas.openxmlformats.org/officeDocument/2006/relationships/hyperlink" Target="https://www.sec.gov/Archives/edgar/data/1449349/000165495418011250/ex10-1.htm" TargetMode="External"/><Relationship Id="rId27" Type="http://schemas.openxmlformats.org/officeDocument/2006/relationships/hyperlink" Target="ex32-1.htm"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40927</Words>
  <Characters>233285</Characters>
  <Application>Microsoft Office Word</Application>
  <DocSecurity>0</DocSecurity>
  <Lines>1944</Lines>
  <Paragraphs>547</Paragraphs>
  <ScaleCrop>false</ScaleCrop>
  <Company/>
  <LinksUpToDate>false</LinksUpToDate>
  <CharactersWithSpaces>273665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2024-01-04T16:04:00Z</dcterms:created>
  <dcterms:modified xsi:type="dcterms:W3CDTF">2024-01-04T16:04:00Z</dcterms:modified>
</cp:coreProperties>
</file>