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D26FD">
      <w:pPr>
        <w:divId w:val="1407190743"/>
        <w:rPr>
          <w:rFonts w:eastAsia="Times New Roman"/>
          <w:vanish/>
        </w:rPr>
      </w:pPr>
      <w:r>
        <w:rPr>
          <w:rFonts w:eastAsia="Times New Roman"/>
          <w:vanish/>
        </w:rPr>
        <w:t>0000789460falseDecember 312020Q2us-gaap:AccountingStandardsUpdate201613Memberus-gaap:AccountingStandardsUpdate201613Memberus-gaap:LongTermDebtAndCapitalLeaseObligationsCurrent</w:t>
      </w:r>
      <w:r>
        <w:rPr>
          <w:rFonts w:eastAsia="Times New Roman"/>
          <w:vanish/>
        </w:rPr>
        <w:t>us-gaap:LongTermDebtAndCapitalLeaseObligationsCurrentus-gaap:LongTermDebtAndCapitalLeaseObligationsus-gaap:LongTermDebtAndCapitalLeaseObligations00007894602020-01-012020-06-30xbrli:shares00007894602020-07-24iso4217:USD00007894602020-06-3000007894602019-12-</w:t>
      </w:r>
      <w:r>
        <w:rPr>
          <w:rFonts w:eastAsia="Times New Roman"/>
          <w:vanish/>
        </w:rPr>
        <w:t>31iso4217:USDxbrli:shares00007894602020-04-012020-06-3000007894602019-04-012019-06-3000007894602019-01-012019-06-300000789460us-gaap:CommonStockMember2019-12-310000789460us-gaap:AdditionalPaidInCapitalMember2019-12-310000789460us-gaap:RetainedEarningsMembe</w:t>
      </w:r>
      <w:r>
        <w:rPr>
          <w:rFonts w:eastAsia="Times New Roman"/>
          <w:vanish/>
        </w:rPr>
        <w:t>r2019-12-310000789460us-gaap:AccumulatedOtherComprehensiveIncomeMember2019-12-310000789460us-gaap:ParentMember2019-12-310000789460us-gaap:NoncontrollingInterestMember2019-12-310000789460us-gaap:RetainedEarningsMembersrt:CumulativeEffectPeriodOfAdoptionAdju</w:t>
      </w:r>
      <w:r>
        <w:rPr>
          <w:rFonts w:eastAsia="Times New Roman"/>
          <w:vanish/>
        </w:rPr>
        <w:t>stmentMember2019-12-310000789460us-gaap:ParentMembersrt:CumulativeEffectPeriodOfAdoptionAdjustmentMember2019-12-310000789460srt:CumulativeEffectPeriodOfAdoptionAdjustmentMember2019-12-310000789460us-gaap:RetainedEarningsMember2020-01-012020-03-310000789460</w:t>
      </w:r>
      <w:r>
        <w:rPr>
          <w:rFonts w:eastAsia="Times New Roman"/>
          <w:vanish/>
        </w:rPr>
        <w:t>us-gaap:ParentMember2020-01-012020-03-310000789460us-gaap:NoncontrollingInterestMember2020-01-012020-03-3100007894602020-01-012020-03-310000789460us-gaap:AdditionalPaidInCapitalMember2020-01-012020-03-310000789460us-gaap:CommonStockMember2020-01-012020-03-</w:t>
      </w:r>
      <w:r>
        <w:rPr>
          <w:rFonts w:eastAsia="Times New Roman"/>
          <w:vanish/>
        </w:rPr>
        <w:t>310000789460us-gaap:AccumulatedOtherComprehensiveIncomeMember2020-01-012020-03-310000789460us-gaap:CommonStockMember2020-03-310000789460us-gaap:AdditionalPaidInCapitalMember2020-03-310000789460us-gaap:RetainedEarningsMember2020-03-310000789460us-gaap:Accum</w:t>
      </w:r>
      <w:r>
        <w:rPr>
          <w:rFonts w:eastAsia="Times New Roman"/>
          <w:vanish/>
        </w:rPr>
        <w:t>ulatedOtherComprehensiveIncomeMember2020-03-310000789460us-gaap:ParentMember2020-03-310000789460us-gaap:NoncontrollingInterestMember2020-03-3100007894602020-03-310000789460us-gaap:RetainedEarningsMember2020-04-012020-06-300000789460us-gaap:ParentMember2020</w:t>
      </w:r>
      <w:r>
        <w:rPr>
          <w:rFonts w:eastAsia="Times New Roman"/>
          <w:vanish/>
        </w:rPr>
        <w:t>-04-012020-06-300000789460us-gaap:NoncontrollingInterestMember2020-04-012020-06-300000789460us-gaap:AdditionalPaidInCapitalMember2020-04-012020-06-300000789460us-gaap:CommonStockMember2020-04-012020-06-300000789460us-gaap:AccumulatedOtherComprehensiveIncom</w:t>
      </w:r>
      <w:r>
        <w:rPr>
          <w:rFonts w:eastAsia="Times New Roman"/>
          <w:vanish/>
        </w:rPr>
        <w:t>eMember2020-04-012020-06-300000789460us-gaap:CommonStockMember2020-06-300000789460us-gaap:AdditionalPaidInCapitalMember2020-06-300000789460us-gaap:RetainedEarningsMember2020-06-300000789460us-gaap:AccumulatedOtherComprehensiveIncomeMember2020-06-3000007894</w:t>
      </w:r>
      <w:r>
        <w:rPr>
          <w:rFonts w:eastAsia="Times New Roman"/>
          <w:vanish/>
        </w:rPr>
        <w:t>60us-gaap:ParentMember2020-06-300000789460us-gaap:NoncontrollingInterestMember2020-06-300000789460us-gaap:CommonStockMember2018-12-310000789460us-gaap:AdditionalPaidInCapitalMember2018-12-310000789460us-gaap:RetainedEarningsMember2018-12-310000789460us-gaa</w:t>
      </w:r>
      <w:r>
        <w:rPr>
          <w:rFonts w:eastAsia="Times New Roman"/>
          <w:vanish/>
        </w:rPr>
        <w:t>p:AccumulatedOtherComprehensiveIncomeMember2018-12-310000789460us-gaap:ParentMember2018-12-310000789460us-gaap:NoncontrollingInterestMember2018-12-3100007894602018-12-310000789460us-gaap:RetainedEarningsMember2019-01-012019-03-310000789460us-gaap:ParentMem</w:t>
      </w:r>
      <w:r>
        <w:rPr>
          <w:rFonts w:eastAsia="Times New Roman"/>
          <w:vanish/>
        </w:rPr>
        <w:t>ber2019-01-012019-03-310000789460us-gaap:NoncontrollingInterestMember2019-01-012019-03-3100007894602019-01-012019-03-310000789460us-gaap:AdditionalPaidInCapitalMember2019-01-012019-03-310000789460us-gaap:CommonStockMember2019-01-012019-03-310000789460us-ga</w:t>
      </w:r>
      <w:r>
        <w:rPr>
          <w:rFonts w:eastAsia="Times New Roman"/>
          <w:vanish/>
        </w:rPr>
        <w:t>ap:AccumulatedOtherComprehensiveIncomeMember2019-01-012019-03-310000789460us-gaap:CommonStockMember2019-03-310000789460us-gaap:AdditionalPaidInCapitalMember2019-03-310000789460us-gaap:RetainedEarningsMember2019-03-310000789460us-gaap:AccumulatedOtherCompre</w:t>
      </w:r>
      <w:r>
        <w:rPr>
          <w:rFonts w:eastAsia="Times New Roman"/>
          <w:vanish/>
        </w:rPr>
        <w:t>hensiveIncomeMember2019-03-310000789460us-gaap:ParentMember2019-03-310000789460us-gaap:NoncontrollingInterestMember2019-03-3100007894602019-03-310000789460us-gaap:RetainedEarningsMember2019-04-012019-06-300000789460us-gaap:ParentMember2019-04-012019-06-300</w:t>
      </w:r>
      <w:r>
        <w:rPr>
          <w:rFonts w:eastAsia="Times New Roman"/>
          <w:vanish/>
        </w:rPr>
        <w:t>000789460us-gaap:NoncontrollingInterestMember2019-04-012019-06-300000789460us-gaap:AdditionalPaidInCapitalMember2019-04-012019-06-300000789460us-gaap:CommonStockMember2019-04-012019-06-300000789460us-gaap:AccumulatedOtherComprehensiveIncomeMember2019-04-01</w:t>
      </w:r>
      <w:r>
        <w:rPr>
          <w:rFonts w:eastAsia="Times New Roman"/>
          <w:vanish/>
        </w:rPr>
        <w:t>2019-06-300000789460us-gaap:CommonStockMember2019-06-300000789460us-gaap:AdditionalPaidInCapitalMember2019-06-300000789460us-gaap:RetainedEarningsMember2019-06-300000789460us-gaap:AccumulatedOtherComprehensiveIncomeMember2019-06-300000789460us-gaap:ParentM</w:t>
      </w:r>
      <w:r>
        <w:rPr>
          <w:rFonts w:eastAsia="Times New Roman"/>
          <w:vanish/>
        </w:rPr>
        <w:t>ember2019-06-300000789460us-gaap:NoncontrollingInterestMember2019-06-3000007894602019-06-3000007894602020-04-092020-04-090000789460us-gaap:SubsequentEventMember2020-07-022020-07-0200007894602019-04-122019-04-1200007894602019-07-052019-07-050000789460int:Un</w:t>
      </w:r>
      <w:r>
        <w:rPr>
          <w:rFonts w:eastAsia="Times New Roman"/>
          <w:vanish/>
        </w:rPr>
        <w:t>iversalWeatherAndAviationInc.Member2020-01-012020-06-30xbrli:pure0000789460srt:CumulativeEffectPeriodOfAdoptionAdjustedBalanceMember2019-12-310000789460srt:MaximumMember2020-06-300000789460srt:MinimumMemberus-gaap:LondonInterbankOfferedRateLIBORMember2019-</w:t>
      </w:r>
      <w:r>
        <w:rPr>
          <w:rFonts w:eastAsia="Times New Roman"/>
          <w:vanish/>
        </w:rPr>
        <w:t>12-310000789460us-gaap:LondonInterbankOfferedRateLIBORMembersrt:MaximumMember2019-12-3100007894602019-01-012019-12-310000789460int:UniversalWeatherAndAviationInc.Member2020-01-012020-03-310000789460int:UniversalWeatherAndAviationInc.Member2020-03-310000789</w:t>
      </w:r>
      <w:r>
        <w:rPr>
          <w:rFonts w:eastAsia="Times New Roman"/>
          <w:vanish/>
        </w:rPr>
        <w:t>460us-gaap:InterestRateSwapMember2020-03-310000789460us-gaap:CommodityContractMemberint:ShortTermDerivativeAssetsNetMemberus-gaap:DesignatedAsHedgingInstrumentMember2020-06-300000789460us-gaap:CommodityContractMemberint:ShortTermDerivativeAssetsNetMemberus</w:t>
      </w:r>
      <w:r>
        <w:rPr>
          <w:rFonts w:eastAsia="Times New Roman"/>
          <w:vanish/>
        </w:rPr>
        <w:t>-gaap:DesignatedAsHedgingInstrumentMember2019-12-310000789460us-gaap:CommodityContractMemberint:IdentifiableIntangibleAndOtherNonCurrentAssetsMemberus-gaap:DesignatedAsHedgingInstrumentMember2020-06-300000789460us-gaap:CommodityContractMemberint:Identifiab</w:t>
      </w:r>
      <w:r>
        <w:rPr>
          <w:rFonts w:eastAsia="Times New Roman"/>
          <w:vanish/>
        </w:rPr>
        <w:t>leIntangibleAndOtherNonCurrentAssetsMemberus-gaap:DesignatedAsHedgingInstrumentMember2019-12-310000789460int:AccruedExpensesAndOtherCurrentLiabilitiesMemberus-gaap:CommodityContractMemberus-gaap:DesignatedAsHedgingInstrumentMember2020-06-300000789460int:Ac</w:t>
      </w:r>
      <w:r>
        <w:rPr>
          <w:rFonts w:eastAsia="Times New Roman"/>
          <w:vanish/>
        </w:rPr>
        <w:t>cruedExpensesAndOtherCurrentLiabilitiesMemberus-gaap:CommodityContractMemberus-gaap:DesignatedAsHedgingInstrumentMember2019-12-310000789460us-gaap:OtherNoncurrentLiabilitiesMemberus-gaap:CommodityContractMemberus-gaap:DesignatedAsHedgingInstrumentMember202</w:t>
      </w:r>
      <w:r>
        <w:rPr>
          <w:rFonts w:eastAsia="Times New Roman"/>
          <w:vanish/>
        </w:rPr>
        <w:t>0-06-300000789460us-gaap:OtherNoncurrentLiabilitiesMemberus-gaap:CommodityContractMemberus-gaap:DesignatedAsHedgingInstrumentMember2019-12-310000789460us-gaap:CommodityContractMemberus-gaap:DesignatedAsHedgingInstrumentMember2020-06-300000789460us-gaap:Com</w:t>
      </w:r>
      <w:r>
        <w:rPr>
          <w:rFonts w:eastAsia="Times New Roman"/>
          <w:vanish/>
        </w:rPr>
        <w:t>modityContractMemberus-gaap:DesignatedAsHedgingInstrumentMember2019-12-310000789460int:ShortTermDerivativeAssetsNetMemberus-gaap:InterestRateContractMemberus-gaap:DesignatedAsHedgingInstrumentMember2020-06-300000789460int:ShortTermDerivativeAssetsNetMember</w:t>
      </w:r>
      <w:r>
        <w:rPr>
          <w:rFonts w:eastAsia="Times New Roman"/>
          <w:vanish/>
        </w:rPr>
        <w:t>us-gaap:InterestRateContractMemberus-gaap:DesignatedAsHedgingInstrumentMember2019-12-310000789460int:IdentifiableIntangibleAndOtherNonCurrentAssetsMemberus-gaap:InterestRateContractMemberus-gaap:DesignatedAsHedgingInstrumentMember2020-06-300000789460int:Id</w:t>
      </w:r>
      <w:r>
        <w:rPr>
          <w:rFonts w:eastAsia="Times New Roman"/>
          <w:vanish/>
        </w:rPr>
        <w:t>entifiableIntangibleAndOtherNonCurrentAssetsMemberus-gaap:InterestRateContractMemberus-gaap:DesignatedAsHedgingInstrumentMember2019-12-310000789460int:AccruedExpensesAndOtherCurrentLiabilitiesMemberus-gaap:InterestRateContractMemberus-gaap:DesignatedAsHedg</w:t>
      </w:r>
      <w:r>
        <w:rPr>
          <w:rFonts w:eastAsia="Times New Roman"/>
          <w:vanish/>
        </w:rPr>
        <w:t>ingInstrumentMember2020-06-300000789460int:AccruedExpensesAndOtherCurrentLiabilitiesMemberus-gaap:InterestRateContractMemberus-gaap:DesignatedAsHedgingInstrumentMember2019-12-310000789460us-gaap:OtherNoncurrentLiabilitiesMemberus-gaap:InterestRateContractM</w:t>
      </w:r>
      <w:r>
        <w:rPr>
          <w:rFonts w:eastAsia="Times New Roman"/>
          <w:vanish/>
        </w:rPr>
        <w:t>emberus-gaap:DesignatedAsHedgingInstrumentMember2020-06-300000789460us-gaap:OtherNoncurrentLiabilitiesMemberus-gaap:InterestRateContractMemberus-gaap:DesignatedAsHedgingInstrumentMember2019-12-310000789460us-gaap:DesignatedAsHedgingInstrumentMember2020-06-</w:t>
      </w:r>
      <w:r>
        <w:rPr>
          <w:rFonts w:eastAsia="Times New Roman"/>
          <w:vanish/>
        </w:rPr>
        <w:t>300000789460us-gaap:DesignatedAsHedgingInstrumentMember2019-12-310000789460us-gaap:NondesignatedMemberus-gaap:CommodityContractMemberint:ShortTermDerivativeAssetsNetMember2020-06-300000789460us-gaap:NondesignatedMemberus-gaap:CommodityContractMemberint:Sho</w:t>
      </w:r>
      <w:r>
        <w:rPr>
          <w:rFonts w:eastAsia="Times New Roman"/>
          <w:vanish/>
        </w:rPr>
        <w:t>rtTermDerivativeAssetsNetMember2019-12-310000789460us-gaap:NondesignatedMemberus-gaap:CommodityContractMemberint:IdentifiableIntangibleAndOtherNonCurrentAssetsMember2020-06-300000789460us-gaap:NondesignatedMemberus-gaap:CommodityContractMemberint:Identifia</w:t>
      </w:r>
      <w:r>
        <w:rPr>
          <w:rFonts w:eastAsia="Times New Roman"/>
          <w:vanish/>
        </w:rPr>
        <w:t>bleIntangibleAndOtherNonCurrentAssetsMember2019-12-310000789460int:AccruedExpensesAndOtherCurrentLiabilitiesMemberus-gaap:NondesignatedMemberus-gaap:CommodityContractMember2020-06-300000789460int:AccruedExpensesAndOtherCurrentLiabilitiesMemberus-gaap:Nonde</w:t>
      </w:r>
      <w:r>
        <w:rPr>
          <w:rFonts w:eastAsia="Times New Roman"/>
          <w:vanish/>
        </w:rPr>
        <w:t>signatedMemberus-gaap:CommodityContractMember2019-12-310000789460us-gaap:OtherNoncurrentLiabilitiesMemberus-gaap:NondesignatedMemberus-gaap:CommodityContractMember2020-06-300000789460us-gaap:OtherNoncurrentLiabilitiesMemberus-gaap:NondesignatedMemberus-gaa</w:t>
      </w:r>
      <w:r>
        <w:rPr>
          <w:rFonts w:eastAsia="Times New Roman"/>
          <w:vanish/>
        </w:rPr>
        <w:t>p:CommodityContractMember2019-12-310000789460us-gaap:NondesignatedMemberus-gaap:CommodityContractMember2020-06-300000789460us-gaap:NondesignatedMemberus-gaap:CommodityContractMember2019-12-310000789460us-gaap:NondesignatedMemberint:ShortTermDerivativeAsset</w:t>
      </w:r>
      <w:r>
        <w:rPr>
          <w:rFonts w:eastAsia="Times New Roman"/>
          <w:vanish/>
        </w:rPr>
        <w:t>sNetMemberus-gaap:ForeignExchangeContractMember2020-06-300000789460us-gaap:NondesignatedMemberint:ShortTermDerivativeAssetsNetMemberus-gaap:ForeignExchangeContractMember2019-12-310000789460us-gaap:NondesignatedMemberint:IdentifiableIntangibleAndOtherNonCur</w:t>
      </w:r>
      <w:r>
        <w:rPr>
          <w:rFonts w:eastAsia="Times New Roman"/>
          <w:vanish/>
        </w:rPr>
        <w:t>rentAssetsMemberus-gaap:ForeignExchangeContractMember2020-06-300000789460us-gaap:NondesignatedMemberint:IdentifiableIntangibleAndOtherNonCurrentAssetsMemberus-gaap:ForeignExchangeContractMember2019-12-310000789460int:AccruedExpensesAndOtherCurrentLiabiliti</w:t>
      </w:r>
      <w:r>
        <w:rPr>
          <w:rFonts w:eastAsia="Times New Roman"/>
          <w:vanish/>
        </w:rPr>
        <w:t>esMemberus-gaap:NondesignatedMemberus-gaap:ForeignExchangeContractMember2020-06-300000789460int:AccruedExpensesAndOtherCurrentLiabilitiesMemberus-gaap:NondesignatedMemberus-gaap:ForeignExchangeContractMember2019-12-310000789460us-gaap:NondesignatedMemberus</w:t>
      </w:r>
      <w:r>
        <w:rPr>
          <w:rFonts w:eastAsia="Times New Roman"/>
          <w:vanish/>
        </w:rPr>
        <w:t>-gaap:ForeignExchangeContractMember2020-06-300000789460us-gaap:NondesignatedMemberus-gaap:ForeignExchangeContractMember2019-12-310000789460us-gaap:NondesignatedMember2020-06-300000789460us-gaap:NondesignatedMember2019-12-31utr:bbl0000789460us-gaap:Commodit</w:t>
      </w:r>
      <w:r>
        <w:rPr>
          <w:rFonts w:eastAsia="Times New Roman"/>
          <w:vanish/>
        </w:rPr>
        <w:t>yContractMemberus-gaap:LongMember2020-01-012020-06-300000789460us-gaap:ShortMemberus-gaap:CommodityContractMember2020-01-012020-06-300000789460us-gaap:ShortMemberus-gaap:ForeignExchangeContractMembercurrency:USD2020-06-300000789460us-gaap:ForeignExchangeCo</w:t>
      </w:r>
      <w:r>
        <w:rPr>
          <w:rFonts w:eastAsia="Times New Roman"/>
          <w:vanish/>
        </w:rPr>
        <w:t>ntractMembercurrency:USDus-gaap:LongMember2020-06-300000789460us-gaap:SalesMember2020-04-012020-06-300000789460us-gaap:CostOfSalesMember2020-04-012020-06-300000789460int:InterestExpenseAndOtherFinancingCostsMember2020-04-012020-06-300000789460us-gaap:Sales</w:t>
      </w:r>
      <w:r>
        <w:rPr>
          <w:rFonts w:eastAsia="Times New Roman"/>
          <w:vanish/>
        </w:rPr>
        <w:t>Member2019-04-012019-06-300000789460us-gaap:CostOfSalesMember2019-04-012019-06-300000789460int:InterestExpenseAndOtherFinancingCostsMember2019-04-012019-06-300000789460us-gaap:CommodityContractMemberus-gaap:SalesMember2020-04-012020-06-300000789460us-gaap:</w:t>
      </w:r>
      <w:r>
        <w:rPr>
          <w:rFonts w:eastAsia="Times New Roman"/>
          <w:vanish/>
        </w:rPr>
        <w:t>CostOfSalesMemberus-gaap:CommodityContractMember2020-04-012020-06-300000789460us-gaap:CommodityContractMemberint:InterestExpenseAndOtherFinancingCostsMember2020-04-012020-06-300000789460us-gaap:CommodityContractMemberus-gaap:SalesMember2019-04-012019-06-30</w:t>
      </w:r>
      <w:r>
        <w:rPr>
          <w:rFonts w:eastAsia="Times New Roman"/>
          <w:vanish/>
        </w:rPr>
        <w:t>0000789460us-gaap:CostOfSalesMemberus-gaap:CommodityContractMember2019-04-012019-06-300000789460us-gaap:CommodityContractMemberint:InterestExpenseAndOtherFinancingCostsMember2019-04-012019-06-300000789460us-gaap:InterestRateContractMemberus-gaap:SalesMembe</w:t>
      </w:r>
      <w:r>
        <w:rPr>
          <w:rFonts w:eastAsia="Times New Roman"/>
          <w:vanish/>
        </w:rPr>
        <w:t>r2020-04-012020-06-300000789460us-gaap:CostOfSalesMemberus-gaap:InterestRateContractMember2020-04-012020-06-300000789460us-gaap:InterestRateContractMemberint:InterestExpenseAndOtherFinancingCostsMember2020-04-012020-06-300000789460us-gaap:InterestRateContr</w:t>
      </w:r>
      <w:r>
        <w:rPr>
          <w:rFonts w:eastAsia="Times New Roman"/>
          <w:vanish/>
        </w:rPr>
        <w:t>actMemberus-gaap:SalesMember2019-04-012019-06-300000789460us-gaap:CostOfSalesMemberus-gaap:InterestRateContractMember2019-04-012019-06-300000789460us-gaap:InterestRateContractMemberint:InterestExpenseAndOtherFinancingCostsMember2019-04-012019-06-3000007894</w:t>
      </w:r>
      <w:r>
        <w:rPr>
          <w:rFonts w:eastAsia="Times New Roman"/>
          <w:vanish/>
        </w:rPr>
        <w:t>60us-gaap:SalesMember2020-01-012020-06-300000789460us-gaap:CostOfSalesMember2020-01-012020-06-300000789460int:InterestExpenseAndOtherFinancingCostsMember2020-01-012020-06-300000789460us-gaap:SalesMember2019-01-012019-06-300000789460us-gaap:CostOfSalesMembe</w:t>
      </w:r>
      <w:r>
        <w:rPr>
          <w:rFonts w:eastAsia="Times New Roman"/>
          <w:vanish/>
        </w:rPr>
        <w:t>r2019-01-012019-06-300000789460int:InterestExpenseAndOtherFinancingCostsMember2019-01-012019-06-300000789460us-gaap:CommodityContractMemberus-gaap:SalesMember2020-01-012020-06-300000789460us-gaap:CostOfSalesMemberus-gaap:CommodityContractMember2020-01-0120</w:t>
      </w:r>
      <w:r>
        <w:rPr>
          <w:rFonts w:eastAsia="Times New Roman"/>
          <w:vanish/>
        </w:rPr>
        <w:t>20-06-300000789460us-gaap:CommodityContractMemberint:InterestExpenseAndOtherFinancingCostsMember2020-01-012020-06-300000789460us-gaap:CommodityContractMemberus-gaap:SalesMember2019-01-012019-06-300000789460us-gaap:CostOfSalesMemberus-gaap:CommodityContract</w:t>
      </w:r>
      <w:r>
        <w:rPr>
          <w:rFonts w:eastAsia="Times New Roman"/>
          <w:vanish/>
        </w:rPr>
        <w:t>Member2019-01-012019-06-300000789460us-gaap:CommodityContractMemberint:InterestExpenseAndOtherFinancingCostsMember2019-01-012019-06-300000789460us-gaap:InterestRateContractMemberus-gaap:SalesMember2020-01-012020-06-300000789460us-gaap:CostOfSalesMemberus-g</w:t>
      </w:r>
      <w:r>
        <w:rPr>
          <w:rFonts w:eastAsia="Times New Roman"/>
          <w:vanish/>
        </w:rPr>
        <w:t>aap:InterestRateContractMember2020-01-012020-06-300000789460us-gaap:InterestRateContractMemberint:InterestExpenseAndOtherFinancingCostsMember2020-01-012020-06-300000789460us-gaap:InterestRateContractMemberus-gaap:SalesMember2019-01-012019-06-300000789460us</w:t>
      </w:r>
      <w:r>
        <w:rPr>
          <w:rFonts w:eastAsia="Times New Roman"/>
          <w:vanish/>
        </w:rPr>
        <w:t>-gaap:CostOfSalesMemberus-gaap:InterestRateContractMember2019-01-012019-06-300000789460us-gaap:InterestRateContractMemberint:InterestExpenseAndOtherFinancingCostsMember2019-01-012019-06-300000789460us-gaap:CommodityContractMemberus-gaap:SalesMemberus-gaap:</w:t>
      </w:r>
      <w:r>
        <w:rPr>
          <w:rFonts w:eastAsia="Times New Roman"/>
          <w:vanish/>
        </w:rPr>
        <w:t>DesignatedAsHedgingInstrumentMember2020-04-012020-06-300000789460us-gaap:CommodityContractMemberus-gaap:SalesMemberus-gaap:DesignatedAsHedgingInstrumentMember2019-04-012019-06-300000789460us-gaap:CostOfSalesMemberus-gaap:CommodityContractMemberus-gaap:Desi</w:t>
      </w:r>
      <w:r>
        <w:rPr>
          <w:rFonts w:eastAsia="Times New Roman"/>
          <w:vanish/>
        </w:rPr>
        <w:t>gnatedAsHedgingInstrumentMember2020-04-012020-06-300000789460us-gaap:CostOfSalesMemberus-gaap:CommodityContractMemberus-gaap:DesignatedAsHedgingInstrumentMember2019-04-012019-06-300000789460us-gaap:InterestRateContractMemberint:InterestExpenseAndOtherFinan</w:t>
      </w:r>
      <w:r>
        <w:rPr>
          <w:rFonts w:eastAsia="Times New Roman"/>
          <w:vanish/>
        </w:rPr>
        <w:t>cingCostsMemberus-gaap:DesignatedAsHedgingInstrumentMember2020-04-012020-06-300000789460us-gaap:InterestRateContractMemberint:InterestExpenseAndOtherFinancingCostsMemberus-gaap:DesignatedAsHedgingInstrumentMember2019-04-012019-06-300000789460us-gaap:Design</w:t>
      </w:r>
      <w:r>
        <w:rPr>
          <w:rFonts w:eastAsia="Times New Roman"/>
          <w:vanish/>
        </w:rPr>
        <w:t>atedAsHedgingInstrumentMember2020-04-012020-06-300000789460us-gaap:DesignatedAsHedgingInstrumentMember2019-04-012019-06-300000789460us-gaap:CommodityContractMemberus-gaap:SalesMemberus-gaap:DesignatedAsHedgingInstrumentMember2020-01-012020-06-300000789460u</w:t>
      </w:r>
      <w:r>
        <w:rPr>
          <w:rFonts w:eastAsia="Times New Roman"/>
          <w:vanish/>
        </w:rPr>
        <w:t>s-gaap:CommodityContractMemberus-gaap:SalesMemberus-gaap:DesignatedAsHedgingInstrumentMember2019-01-012019-06-300000789460us-gaap:CostOfSalesMemberus-gaap:CommodityContractMemberus-gaap:DesignatedAsHedgingInstrumentMember2020-01-012020-06-300000789460us-ga</w:t>
      </w:r>
      <w:r>
        <w:rPr>
          <w:rFonts w:eastAsia="Times New Roman"/>
          <w:vanish/>
        </w:rPr>
        <w:t>ap:CostOfSalesMemberus-gaap:CommodityContractMemberus-gaap:DesignatedAsHedgingInstrumentMember2019-01-012019-06-300000789460us-gaap:InterestRateContractMemberint:InterestExpenseAndOtherFinancingCostsMemberus-gaap:DesignatedAsHedgingInstrumentMember2020-01-</w:t>
      </w:r>
      <w:r>
        <w:rPr>
          <w:rFonts w:eastAsia="Times New Roman"/>
          <w:vanish/>
        </w:rPr>
        <w:t>012020-06-300000789460us-gaap:InterestRateContractMemberint:InterestExpenseAndOtherFinancingCostsMemberus-gaap:DesignatedAsHedgingInstrumentMember2019-01-012019-06-300000789460us-gaap:DesignatedAsHedgingInstrumentMember2020-01-012020-06-300000789460us-gaap</w:t>
      </w:r>
      <w:r>
        <w:rPr>
          <w:rFonts w:eastAsia="Times New Roman"/>
          <w:vanish/>
        </w:rPr>
        <w:t>:DesignatedAsHedgingInstrumentMember2019-01-012019-06-300000789460us-gaap:NondesignatedMemberus-gaap:CommodityContractMemberus-gaap:SalesMember2020-04-012020-06-300000789460us-gaap:NondesignatedMemberus-gaap:CommodityContractMemberus-gaap:SalesMember2019-0</w:t>
      </w:r>
      <w:r>
        <w:rPr>
          <w:rFonts w:eastAsia="Times New Roman"/>
          <w:vanish/>
        </w:rPr>
        <w:t>4-012019-06-300000789460us-gaap:CostOfSalesMemberus-gaap:NondesignatedMemberus-gaap:CommodityContractMember2020-04-012020-06-300000789460us-gaap:CostOfSalesMemberus-gaap:NondesignatedMemberus-gaap:CommodityContractMember2019-04-012019-06-300000789460us-gaa</w:t>
      </w:r>
      <w:r>
        <w:rPr>
          <w:rFonts w:eastAsia="Times New Roman"/>
          <w:vanish/>
        </w:rPr>
        <w:t>p:NondesignatedMemberus-gaap:CommodityContractMember2020-04-012020-06-300000789460us-gaap:NondesignatedMemberus-gaap:CommodityContractMember2019-04-012019-06-300000789460us-gaap:NondesignatedMemberus-gaap:ForeignExchangeContractMemberus-gaap:SalesMember202</w:t>
      </w:r>
      <w:r>
        <w:rPr>
          <w:rFonts w:eastAsia="Times New Roman"/>
          <w:vanish/>
        </w:rPr>
        <w:t>0-04-012020-06-300000789460us-gaap:NondesignatedMemberus-gaap:ForeignExchangeContractMemberus-gaap:SalesMember2019-04-012019-06-300000789460us-gaap:NondesignatedMemberus-gaap:ForeignExchangeContractMemberint:InterestExpenseAndOtherFinancingCostsMember2020-</w:t>
      </w:r>
      <w:r>
        <w:rPr>
          <w:rFonts w:eastAsia="Times New Roman"/>
          <w:vanish/>
        </w:rPr>
        <w:t>04-012020-06-300000789460us-gaap:NondesignatedMemberus-gaap:ForeignExchangeContractMemberint:InterestExpenseAndOtherFinancingCostsMember2019-04-012019-06-300000789460us-gaap:NondesignatedMemberus-gaap:ForeignExchangeContractMember2020-04-012020-06-30000078</w:t>
      </w:r>
      <w:r>
        <w:rPr>
          <w:rFonts w:eastAsia="Times New Roman"/>
          <w:vanish/>
        </w:rPr>
        <w:t>9460us-gaap:NondesignatedMemberus-gaap:ForeignExchangeContractMember2019-04-012019-06-300000789460us-gaap:NondesignatedMember2020-04-012020-06-300000789460us-gaap:NondesignatedMember2019-04-012019-06-300000789460us-gaap:NondesignatedMemberus-gaap:Commodity</w:t>
      </w:r>
      <w:r>
        <w:rPr>
          <w:rFonts w:eastAsia="Times New Roman"/>
          <w:vanish/>
        </w:rPr>
        <w:t>ContractMemberus-gaap:SalesMember2020-01-012020-06-300000789460us-gaap:NondesignatedMemberus-gaap:CommodityContractMemberus-gaap:SalesMember2019-01-012019-06-300000789460us-gaap:CostOfSalesMemberus-gaap:NondesignatedMemberus-gaap:CommodityContractMember202</w:t>
      </w:r>
      <w:r>
        <w:rPr>
          <w:rFonts w:eastAsia="Times New Roman"/>
          <w:vanish/>
        </w:rPr>
        <w:t>0-01-012020-06-300000789460us-gaap:CostOfSalesMemberus-gaap:NondesignatedMemberus-gaap:CommodityContractMember2019-01-012019-06-300000789460us-gaap:NondesignatedMemberus-gaap:CommodityContractMember2020-01-012020-06-300000789460us-gaap:NondesignatedMemberu</w:t>
      </w:r>
      <w:r>
        <w:rPr>
          <w:rFonts w:eastAsia="Times New Roman"/>
          <w:vanish/>
        </w:rPr>
        <w:t>s-gaap:CommodityContractMember2019-01-012019-06-300000789460us-gaap:NondesignatedMemberus-gaap:ForeignExchangeContractMemberus-gaap:SalesMember2020-01-012020-06-300000789460us-gaap:NondesignatedMemberus-gaap:ForeignExchangeContractMemberus-gaap:SalesMember</w:t>
      </w:r>
      <w:r>
        <w:rPr>
          <w:rFonts w:eastAsia="Times New Roman"/>
          <w:vanish/>
        </w:rPr>
        <w:t>2019-01-012019-06-300000789460us-gaap:NondesignatedMemberus-gaap:ForeignExchangeContractMemberint:InterestExpenseAndOtherFinancingCostsMember2020-01-012020-06-300000789460us-gaap:NondesignatedMemberus-gaap:ForeignExchangeContractMemberint:InterestExpenseAn</w:t>
      </w:r>
      <w:r>
        <w:rPr>
          <w:rFonts w:eastAsia="Times New Roman"/>
          <w:vanish/>
        </w:rPr>
        <w:t>dOtherFinancingCostsMember2019-01-012019-06-300000789460us-gaap:NondesignatedMemberus-gaap:ForeignExchangeContractMember2020-01-012020-06-300000789460us-gaap:NondesignatedMemberus-gaap:ForeignExchangeContractMember2019-01-012019-06-300000789460us-gaap:Nond</w:t>
      </w:r>
      <w:r>
        <w:rPr>
          <w:rFonts w:eastAsia="Times New Roman"/>
          <w:vanish/>
        </w:rPr>
        <w:t>esignatedMember2020-01-012020-06-300000789460us-gaap:NondesignatedMember2019-01-012019-06-300000789460int:AviationSegmentMember2019-12-310000789460int:LandSegmentMember2019-12-310000789460int:AviationSegmentMember2020-01-012020-06-300000789460int:LandSegme</w:t>
      </w:r>
      <w:r>
        <w:rPr>
          <w:rFonts w:eastAsia="Times New Roman"/>
          <w:vanish/>
        </w:rPr>
        <w:t>ntMember2020-01-012020-06-300000789460int:AviationSegmentMember2020-06-300000789460int:LandSegmentMember2020-06-300000789460int:LandSegmentMemberint:LandReportingUnitMember2020-06-300000789460us-gaap:LineOfCreditMemberus-gaap:RevolvingCreditFacilityMember2</w:t>
      </w:r>
      <w:r>
        <w:rPr>
          <w:rFonts w:eastAsia="Times New Roman"/>
          <w:vanish/>
        </w:rPr>
        <w:t>020-06-300000789460us-gaap:LineOfCreditMemberus-gaap:RevolvingCreditFacilityMember2019-12-310000789460int:TermLoansMemberus-gaap:SeniorNotesMember2020-06-300000789460int:TermLoansMemberus-gaap:SeniorNotesMember2019-12-310000789460int:OtherDebtMember2020-06</w:t>
      </w:r>
      <w:r>
        <w:rPr>
          <w:rFonts w:eastAsia="Times New Roman"/>
          <w:vanish/>
        </w:rPr>
        <w:t>-300000789460int:OtherDebtMember2019-12-310000789460us-gaap:SecuredDebtMember2020-06-30iso4217:EUR0000789460us-gaap:FairValueInputsLevel2Memberus-gaap:FairValueMeasurementsRecurringMember2020-06-300000789460us-gaap:FairValueInputsLevel2Memberus-gaap:FairVa</w:t>
      </w:r>
      <w:r>
        <w:rPr>
          <w:rFonts w:eastAsia="Times New Roman"/>
          <w:vanish/>
        </w:rPr>
        <w:t>lueMeasurementsRecurringMember2019-12-310000789460us-gaap:CommodityContractMemberus-gaap:FairValueInputsLevel1Memberus-gaap:FairValueMeasurementsRecurringMember2020-06-300000789460us-gaap:CommodityContractMemberus-gaap:FairValueInputsLevel2Memberus-gaap:Fa</w:t>
      </w:r>
      <w:r>
        <w:rPr>
          <w:rFonts w:eastAsia="Times New Roman"/>
          <w:vanish/>
        </w:rPr>
        <w:t>irValueMeasurementsRecurringMember2020-06-300000789460us-gaap:CommodityContractMemberus-gaap:FairValueInputsLevel3Memberus-gaap:FairValueMeasurementsRecurringMember2020-06-300000789460us-gaap:CommodityContractMemberus-gaap:FairValueMeasurementsRecurringMem</w:t>
      </w:r>
      <w:r>
        <w:rPr>
          <w:rFonts w:eastAsia="Times New Roman"/>
          <w:vanish/>
        </w:rPr>
        <w:t>ber2020-06-300000789460us-gaap:ForeignExchangeContractMemberus-gaap:FairValueInputsLevel1Memberus-gaap:FairValueMeasurementsRecurringMember2020-06-300000789460us-gaap:ForeignExchangeContractMemberus-gaap:FairValueInputsLevel2Memberus-gaap:FairValueMeasurem</w:t>
      </w:r>
      <w:r>
        <w:rPr>
          <w:rFonts w:eastAsia="Times New Roman"/>
          <w:vanish/>
        </w:rPr>
        <w:t>entsRecurringMember2020-06-300000789460us-gaap:ForeignExchangeContractMemberus-gaap:FairValueInputsLevel3Memberus-gaap:FairValueMeasurementsRecurringMember2020-06-300000789460us-gaap:ForeignExchangeContractMemberus-gaap:FairValueMeasurementsRecurringMember</w:t>
      </w:r>
      <w:r>
        <w:rPr>
          <w:rFonts w:eastAsia="Times New Roman"/>
          <w:vanish/>
        </w:rPr>
        <w:t>2020-06-300000789460us-gaap:InterestRateContractMemberus-gaap:FairValueInputsLevel1Memberus-gaap:FairValueMeasurementsRecurringMember2020-06-300000789460us-gaap:InterestRateContractMemberus-gaap:FairValueInputsLevel2Memberus-gaap:FairValueMeasurementsRecur</w:t>
      </w:r>
      <w:r>
        <w:rPr>
          <w:rFonts w:eastAsia="Times New Roman"/>
          <w:vanish/>
        </w:rPr>
        <w:t>ringMember2020-06-300000789460us-gaap:InterestRateContractMemberus-gaap:FairValueInputsLevel3Memberus-gaap:FairValueMeasurementsRecurringMember2020-06-300000789460us-gaap:InterestRateContractMemberus-gaap:FairValueMeasurementsRecurringMember2020-06-3000007</w:t>
      </w:r>
      <w:r>
        <w:rPr>
          <w:rFonts w:eastAsia="Times New Roman"/>
          <w:vanish/>
        </w:rPr>
        <w:t>89460us-gaap:CashSurrenderValueMemberus-gaap:FairValueInputsLevel1Memberus-gaap:FairValueMeasurementsRecurringMember2020-06-300000789460us-gaap:FairValueInputsLevel2Memberus-gaap:CashSurrenderValueMemberus-gaap:FairValueMeasurementsRecurringMember2020-06-3</w:t>
      </w:r>
      <w:r>
        <w:rPr>
          <w:rFonts w:eastAsia="Times New Roman"/>
          <w:vanish/>
        </w:rPr>
        <w:t>00000789460us-gaap:FairValueInputsLevel3Memberus-gaap:CashSurrenderValueMemberus-gaap:FairValueMeasurementsRecurringMember2020-06-300000789460us-gaap:CashSurrenderValueMemberus-gaap:FairValueMeasurementsRecurringMember2020-06-300000789460us-gaap:FairValueI</w:t>
      </w:r>
      <w:r>
        <w:rPr>
          <w:rFonts w:eastAsia="Times New Roman"/>
          <w:vanish/>
        </w:rPr>
        <w:t>nputsLevel1Memberus-gaap:FairValueMeasurementsRecurringMember2020-06-300000789460us-gaap:FairValueInputsLevel3Memberus-gaap:FairValueMeasurementsRecurringMember2020-06-300000789460us-gaap:FairValueMeasurementsRecurringMember2020-06-300000789460us-gaap:Comm</w:t>
      </w:r>
      <w:r>
        <w:rPr>
          <w:rFonts w:eastAsia="Times New Roman"/>
          <w:vanish/>
        </w:rPr>
        <w:t>odityContractMemberus-gaap:FairValueInputsLevel1Memberus-gaap:FairValueMeasurementsRecurringMember2019-12-310000789460us-gaap:CommodityContractMemberus-gaap:FairValueInputsLevel2Memberus-gaap:FairValueMeasurementsRecurringMember2019-12-310000789460us-gaap:</w:t>
      </w:r>
      <w:r>
        <w:rPr>
          <w:rFonts w:eastAsia="Times New Roman"/>
          <w:vanish/>
        </w:rPr>
        <w:t>CommodityContractMemberus-gaap:FairValueInputsLevel3Memberus-gaap:FairValueMeasurementsRecurringMember2019-12-310000789460us-gaap:CommodityContractMemberus-gaap:FairValueMeasurementsRecurringMember2019-12-310000789460us-gaap:ForeignExchangeContractMemberus</w:t>
      </w:r>
      <w:r>
        <w:rPr>
          <w:rFonts w:eastAsia="Times New Roman"/>
          <w:vanish/>
        </w:rPr>
        <w:t>-gaap:FairValueInputsLevel1Memberus-gaap:FairValueMeasurementsRecurringMember2019-12-310000789460us-gaap:ForeignExchangeContractMemberus-gaap:FairValueInputsLevel2Memberus-gaap:FairValueMeasurementsRecurringMember2019-12-310000789460us-gaap:ForeignExchange</w:t>
      </w:r>
      <w:r>
        <w:rPr>
          <w:rFonts w:eastAsia="Times New Roman"/>
          <w:vanish/>
        </w:rPr>
        <w:t>ContractMemberus-gaap:FairValueInputsLevel3Memberus-gaap:FairValueMeasurementsRecurringMember2019-12-310000789460us-gaap:ForeignExchangeContractMemberus-gaap:FairValueMeasurementsRecurringMember2019-12-310000789460us-gaap:CashSurrenderValueMemberus-gaap:Fa</w:t>
      </w:r>
      <w:r>
        <w:rPr>
          <w:rFonts w:eastAsia="Times New Roman"/>
          <w:vanish/>
        </w:rPr>
        <w:t>irValueInputsLevel1Memberus-gaap:FairValueMeasurementsRecurringMember2019-12-310000789460us-gaap:FairValueInputsLevel2Memberus-gaap:CashSurrenderValueMemberus-gaap:FairValueMeasurementsRecurringMember2019-12-310000789460us-gaap:FairValueInputsLevel3Memberu</w:t>
      </w:r>
      <w:r>
        <w:rPr>
          <w:rFonts w:eastAsia="Times New Roman"/>
          <w:vanish/>
        </w:rPr>
        <w:t>s-gaap:CashSurrenderValueMemberus-gaap:FairValueMeasurementsRecurringMember2019-12-310000789460us-gaap:CashSurrenderValueMemberus-gaap:FairValueMeasurementsRecurringMember2019-12-310000789460us-gaap:FairValueInputsLevel1Memberus-gaap:FairValueMeasurementsR</w:t>
      </w:r>
      <w:r>
        <w:rPr>
          <w:rFonts w:eastAsia="Times New Roman"/>
          <w:vanish/>
        </w:rPr>
        <w:t>ecurringMember2019-12-310000789460us-gaap:FairValueInputsLevel3Memberus-gaap:FairValueMeasurementsRecurringMember2019-12-310000789460us-gaap:FairValueMeasurementsRecurringMember2019-12-310000789460us-gaap:CommodityContractMember2020-06-300000789460us-gaap:</w:t>
      </w:r>
      <w:r>
        <w:rPr>
          <w:rFonts w:eastAsia="Times New Roman"/>
          <w:vanish/>
        </w:rPr>
        <w:t>InterestRateContractMember2020-06-300000789460us-gaap:ForeignExchangeContractMember2020-06-300000789460us-gaap:CommodityContractMember2019-12-310000789460us-gaap:ForeignExchangeContractMember2019-12-310000789460int:LargestCounterpartyMemberint:CreditExposu</w:t>
      </w:r>
      <w:r>
        <w:rPr>
          <w:rFonts w:eastAsia="Times New Roman"/>
          <w:vanish/>
        </w:rPr>
        <w:t>reMemberus-gaap:CreditConcentrationRiskMember2020-06-300000789460srt:ProFormaMember2020-04-012020-06-300000789460srt:ProFormaMember2019-04-012019-06-300000789460srt:ProFormaMember2020-01-012020-06-300000789460srt:ProFormaMember2019-01-012019-06-30000078946</w:t>
      </w:r>
      <w:r>
        <w:rPr>
          <w:rFonts w:eastAsia="Times New Roman"/>
          <w:vanish/>
        </w:rPr>
        <w:t>0us-gaap:TaxYear2013Memberus-gaap:ForeignCountryMemberint:DanishTaxAuthorityMember2019-04-012019-06-30iso4217:DKK0000789460us-gaap:TaxYear2014Memberus-gaap:ForeignCountryMemberint:DanishTaxAuthorityMember2020-04-302020-04-300000789460int:TaxAuthoritySouthK</w:t>
      </w:r>
      <w:r>
        <w:rPr>
          <w:rFonts w:eastAsia="Times New Roman"/>
          <w:vanish/>
        </w:rPr>
        <w:t>oreaSRTOMember2017-01-012017-12-31iso4217:KRW0000789460srt:AsiaPacificMemberint:AviationSegmentMember2020-04-012020-06-300000789460srt:AsiaPacificMemberint:AviationSegmentMember2019-04-012019-06-300000789460srt:AsiaPacificMemberint:AviationSegmentMember202</w:t>
      </w:r>
      <w:r>
        <w:rPr>
          <w:rFonts w:eastAsia="Times New Roman"/>
          <w:vanish/>
        </w:rPr>
        <w:t>0-01-012020-06-300000789460srt:AsiaPacificMemberint:AviationSegmentMember2019-01-012019-06-300000789460int:LandSegmentMembersrt:AsiaPacificMember2020-04-012020-06-300000789460int:LandSegmentMembersrt:AsiaPacificMember2019-04-012019-06-300000789460int:LandS</w:t>
      </w:r>
      <w:r>
        <w:rPr>
          <w:rFonts w:eastAsia="Times New Roman"/>
          <w:vanish/>
        </w:rPr>
        <w:t>egmentMembersrt:AsiaPacificMember2020-01-012020-06-300000789460int:LandSegmentMembersrt:AsiaPacificMember2019-01-012019-06-300000789460srt:AsiaPacificMemberint:MarineSegmentMember2020-04-012020-06-300000789460srt:AsiaPacificMemberint:MarineSegmentMember201</w:t>
      </w:r>
      <w:r>
        <w:rPr>
          <w:rFonts w:eastAsia="Times New Roman"/>
          <w:vanish/>
        </w:rPr>
        <w:t>9-04-012019-06-300000789460srt:AsiaPacificMemberint:MarineSegmentMember2020-01-012020-06-300000789460srt:AsiaPacificMemberint:MarineSegmentMember2019-01-012019-06-300000789460srt:AsiaPacificMember2020-04-012020-06-300000789460srt:AsiaPacificMember2019-04-0</w:t>
      </w:r>
      <w:r>
        <w:rPr>
          <w:rFonts w:eastAsia="Times New Roman"/>
          <w:vanish/>
        </w:rPr>
        <w:t>12019-06-300000789460srt:AsiaPacificMember2020-01-012020-06-300000789460srt:AsiaPacificMember2019-01-012019-06-300000789460int:AviationSegmentMemberus-gaap:EMEAMember2020-04-012020-06-300000789460int:AviationSegmentMemberus-gaap:EMEAMember2019-04-012019-06</w:t>
      </w:r>
      <w:r>
        <w:rPr>
          <w:rFonts w:eastAsia="Times New Roman"/>
          <w:vanish/>
        </w:rPr>
        <w:t>-300000789460int:AviationSegmentMemberus-gaap:EMEAMember2020-01-012020-06-300000789460int:AviationSegmentMemberus-gaap:EMEAMember2019-01-012019-06-300000789460int:LandSegmentMemberus-gaap:EMEAMember2020-04-012020-06-300000789460int:LandSegmentMemberus-gaap</w:t>
      </w:r>
      <w:r>
        <w:rPr>
          <w:rFonts w:eastAsia="Times New Roman"/>
          <w:vanish/>
        </w:rPr>
        <w:t>:EMEAMember2019-04-012019-06-300000789460int:LandSegmentMemberus-gaap:EMEAMember2020-01-012020-06-300000789460int:LandSegmentMemberus-gaap:EMEAMember2019-01-012019-06-300000789460int:MarineSegmentMemberus-gaap:EMEAMember2020-04-012020-06-300000789460int:Ma</w:t>
      </w:r>
      <w:r>
        <w:rPr>
          <w:rFonts w:eastAsia="Times New Roman"/>
          <w:vanish/>
        </w:rPr>
        <w:t>rineSegmentMemberus-gaap:EMEAMember2019-04-012019-06-300000789460int:MarineSegmentMemberus-gaap:EMEAMember2020-01-012020-06-300000789460int:MarineSegmentMemberus-gaap:EMEAMember2019-01-012019-06-300000789460us-gaap:EMEAMember2020-04-012020-06-300000789460u</w:t>
      </w:r>
      <w:r>
        <w:rPr>
          <w:rFonts w:eastAsia="Times New Roman"/>
          <w:vanish/>
        </w:rPr>
        <w:t>s-gaap:EMEAMember2019-04-012019-06-300000789460us-gaap:EMEAMember2020-01-012020-06-300000789460us-gaap:EMEAMember2019-01-012019-06-300000789460int:AviationSegmentMembersrt:LatinAmericaMember2020-04-012020-06-300000789460int:AviationSegmentMembersrt:LatinAm</w:t>
      </w:r>
      <w:r>
        <w:rPr>
          <w:rFonts w:eastAsia="Times New Roman"/>
          <w:vanish/>
        </w:rPr>
        <w:t>ericaMember2019-04-012019-06-300000789460int:AviationSegmentMembersrt:LatinAmericaMember2020-01-012020-06-300000789460int:AviationSegmentMembersrt:LatinAmericaMember2019-01-012019-06-300000789460int:LandSegmentMembersrt:LatinAmericaMember2020-04-012020-06-</w:t>
      </w:r>
      <w:r>
        <w:rPr>
          <w:rFonts w:eastAsia="Times New Roman"/>
          <w:vanish/>
        </w:rPr>
        <w:t>300000789460int:LandSegmentMembersrt:LatinAmericaMember2019-04-012019-06-300000789460int:LandSegmentMembersrt:LatinAmericaMember2020-01-012020-06-300000789460int:LandSegmentMembersrt:LatinAmericaMember2019-01-012019-06-300000789460int:MarineSegmentMembersr</w:t>
      </w:r>
      <w:r>
        <w:rPr>
          <w:rFonts w:eastAsia="Times New Roman"/>
          <w:vanish/>
        </w:rPr>
        <w:t>t:LatinAmericaMember2020-04-012020-06-300000789460int:MarineSegmentMembersrt:LatinAmericaMember2019-04-012019-06-300000789460int:MarineSegmentMembersrt:LatinAmericaMember2020-01-012020-06-300000789460int:MarineSegmentMembersrt:LatinAmericaMember2019-01-012</w:t>
      </w:r>
      <w:r>
        <w:rPr>
          <w:rFonts w:eastAsia="Times New Roman"/>
          <w:vanish/>
        </w:rPr>
        <w:t>019-06-300000789460srt:LatinAmericaMember2020-04-012020-06-300000789460srt:LatinAmericaMember2019-04-012019-06-300000789460srt:LatinAmericaMember2020-01-012020-06-300000789460srt:LatinAmericaMember2019-01-012019-06-300000789460int:AviationSegmentMembersrt:</w:t>
      </w:r>
      <w:r>
        <w:rPr>
          <w:rFonts w:eastAsia="Times New Roman"/>
          <w:vanish/>
        </w:rPr>
        <w:t>NorthAmericaMember2020-04-012020-06-300000789460int:AviationSegmentMembersrt:NorthAmericaMember2019-04-012019-06-300000789460int:AviationSegmentMembersrt:NorthAmericaMember2020-01-012020-06-300000789460int:AviationSegmentMembersrt:NorthAmericaMember2019-01</w:t>
      </w:r>
      <w:r>
        <w:rPr>
          <w:rFonts w:eastAsia="Times New Roman"/>
          <w:vanish/>
        </w:rPr>
        <w:t>-012019-06-300000789460int:LandSegmentMembersrt:NorthAmericaMember2020-04-012020-06-300000789460int:LandSegmentMembersrt:NorthAmericaMember2019-04-012019-06-300000789460int:LandSegmentMembersrt:NorthAmericaMember2020-01-012020-06-300000789460int:LandSegmen</w:t>
      </w:r>
      <w:r>
        <w:rPr>
          <w:rFonts w:eastAsia="Times New Roman"/>
          <w:vanish/>
        </w:rPr>
        <w:t>tMembersrt:NorthAmericaMember2019-01-012019-06-300000789460int:MarineSegmentMembersrt:NorthAmericaMember2020-04-012020-06-300000789460int:MarineSegmentMembersrt:NorthAmericaMember2019-04-012019-06-300000789460int:MarineSegmentMembersrt:NorthAmericaMember20</w:t>
      </w:r>
      <w:r>
        <w:rPr>
          <w:rFonts w:eastAsia="Times New Roman"/>
          <w:vanish/>
        </w:rPr>
        <w:t>20-01-012020-06-300000789460int:MarineSegmentMembersrt:NorthAmericaMember2019-01-012019-06-300000789460srt:NorthAmericaMember2020-04-012020-06-300000789460srt:NorthAmericaMember2019-04-012019-06-300000789460srt:NorthAmericaMember2020-01-012020-06-300000789</w:t>
      </w:r>
      <w:r>
        <w:rPr>
          <w:rFonts w:eastAsia="Times New Roman"/>
          <w:vanish/>
        </w:rPr>
        <w:t>460srt:NorthAmericaMember2019-01-012019-06-30int:segment0000789460int:AviationSegmentMember2020-04-012020-06-300000789460int:AviationSegmentMember2019-04-012019-06-300000789460int:AviationSegmentMember2019-01-012019-06-300000789460int:LandSegmentMember2020</w:t>
      </w:r>
      <w:r>
        <w:rPr>
          <w:rFonts w:eastAsia="Times New Roman"/>
          <w:vanish/>
        </w:rPr>
        <w:t>-04-012020-06-300000789460int:LandSegmentMember2019-04-012019-06-300000789460int:LandSegmentMember2019-01-012019-06-300000789460int:MarineSegmentMember2020-04-012020-06-300000789460int:MarineSegmentMember2019-04-012019-06-300000789460int:MarineSegmentMembe</w:t>
      </w:r>
      <w:r>
        <w:rPr>
          <w:rFonts w:eastAsia="Times New Roman"/>
          <w:vanish/>
        </w:rPr>
        <w:t>r2020-01-012020-06-300000789460int:MarineSegmentMember2019-01-012019-06-300000789460us-gaap:OperatingSegmentsMemberint:AviationSegmentMember2020-04-012020-06-300000789460us-gaap:OperatingSegmentsMemberint:AviationSegmentMember2019-04-012019-06-300000789460</w:t>
      </w:r>
      <w:r>
        <w:rPr>
          <w:rFonts w:eastAsia="Times New Roman"/>
          <w:vanish/>
        </w:rPr>
        <w:t>us-gaap:OperatingSegmentsMemberint:AviationSegmentMember2020-01-012020-06-300000789460us-gaap:OperatingSegmentsMemberint:AviationSegmentMember2019-01-012019-06-300000789460int:LandSegmentMemberus-gaap:OperatingSegmentsMember2020-04-012020-06-300000789460in</w:t>
      </w:r>
      <w:r>
        <w:rPr>
          <w:rFonts w:eastAsia="Times New Roman"/>
          <w:vanish/>
        </w:rPr>
        <w:t>t:LandSegmentMemberus-gaap:OperatingSegmentsMember2019-04-012019-06-300000789460int:LandSegmentMemberus-gaap:OperatingSegmentsMember2020-01-012020-06-300000789460int:LandSegmentMemberus-gaap:OperatingSegmentsMember2019-01-012019-06-300000789460us-gaap:Oper</w:t>
      </w:r>
      <w:r>
        <w:rPr>
          <w:rFonts w:eastAsia="Times New Roman"/>
          <w:vanish/>
        </w:rPr>
        <w:t>atingSegmentsMemberint:MarineSegmentMember2020-04-012020-06-300000789460us-gaap:OperatingSegmentsMemberint:MarineSegmentMember2019-04-012019-06-300000789460us-gaap:OperatingSegmentsMemberint:MarineSegmentMember2020-01-012020-06-300000789460us-gaap:Operatin</w:t>
      </w:r>
      <w:r>
        <w:rPr>
          <w:rFonts w:eastAsia="Times New Roman"/>
          <w:vanish/>
        </w:rPr>
        <w:t>gSegmentsMemberint:MarineSegmentMember2019-01-012019-06-300000789460us-gaap:OperatingSegmentsMember2020-04-012020-06-300000789460us-gaap:OperatingSegmentsMember2019-04-012019-06-300000789460us-gaap:OperatingSegmentsMember2020-01-012020-06-300000789460us-ga</w:t>
      </w:r>
      <w:r>
        <w:rPr>
          <w:rFonts w:eastAsia="Times New Roman"/>
          <w:vanish/>
        </w:rPr>
        <w:t>ap:OperatingSegmentsMember2019-01-012019-06-300000789460us-gaap:CorporateNonSegmentMember2020-04-012020-06-300000789460us-gaap:CorporateNonSegmentMember2019-04-012019-06-300000789460us-gaap:CorporateNonSegmentMember2020-01-012020-06-300000789460us-gaap:Cor</w:t>
      </w:r>
      <w:r>
        <w:rPr>
          <w:rFonts w:eastAsia="Times New Roman"/>
          <w:vanish/>
        </w:rPr>
        <w:t>porateNonSegmentMember2019-01-012019-06-300000789460int:MarineSegmentMember2020-06-300000789460int:MarineSegmentMember2019-12-310000789460us-gaap:OperatingSegmentsMemberint:AviationSegmentMember2020-06-300000789460us-gaap:OperatingSegmentsMemberint:Aviatio</w:t>
      </w:r>
      <w:r>
        <w:rPr>
          <w:rFonts w:eastAsia="Times New Roman"/>
          <w:vanish/>
        </w:rPr>
        <w:t>nSegmentMember2019-12-310000789460int:LandSegmentMemberus-gaap:OperatingSegmentsMember2020-06-300000789460int:LandSegmentMemberus-gaap:OperatingSegmentsMember2019-12-310000789460us-gaap:OperatingSegmentsMemberint:MarineSegmentMember2020-06-300000789460us-g</w:t>
      </w:r>
      <w:r>
        <w:rPr>
          <w:rFonts w:eastAsia="Times New Roman"/>
          <w:vanish/>
        </w:rPr>
        <w:t>aap:OperatingSegmentsMemberint:MarineSegmentMember2019-12-310000789460us-gaap:CorporateNonSegmentMember2020-06-300000789460us-gaap:CorporateNonSegmentMember2019-12-310000789460int:TaxAuthorityAssessmentMemberint:TaxAuthoritySouthKoreaSRTOMember2016-10-0120</w:t>
      </w:r>
      <w:r>
        <w:rPr>
          <w:rFonts w:eastAsia="Times New Roman"/>
          <w:vanish/>
        </w:rPr>
        <w:t>16-12-310000789460int:TaxAuthorityAssessmentMemberint:TaxAuthoritySouthKoreaSRTOMember2016-12-310000789460int:TaxAuthoritySouthKoreaSRTOMemberint:TaxAuthorityAdditionalAssessmentMember2017-04-012017-06-300000789460int:TaxAuthoritySouthKoreaSRTOMemberint:Ta</w:t>
      </w:r>
      <w:r>
        <w:rPr>
          <w:rFonts w:eastAsia="Times New Roman"/>
          <w:vanish/>
        </w:rPr>
        <w:t>xAuthorityAdditionalAssessmentMember2017-06-300000789460int:TaxAuthorityAssessmentMemberint:StateAndMunicipalTaxAuthoritiesAndSecretariatOfTheFederalRevenueBureauOfBrazilMember2020-06-30iso4217:BRL0000789460int:MultiServicePaymentSolutionsMemberus-gaap:Dis</w:t>
      </w:r>
      <w:r>
        <w:rPr>
          <w:rFonts w:eastAsia="Times New Roman"/>
          <w:vanish/>
        </w:rPr>
        <w:t>posalGroupNotDiscontinuedOperationsMemberus-gaap:SubsequentEventMember2020-07-300000789460int:MultiServicePaymentSolutionsMemberus-gaap:DisposalGroupNotDiscontinuedOperationsMemberus-gaap:SubsequentEventMember2020-07-302020-07-300000789460int:MultiServiceP</w:t>
      </w:r>
      <w:r>
        <w:rPr>
          <w:rFonts w:eastAsia="Times New Roman"/>
          <w:vanish/>
        </w:rPr>
        <w:t>aymentSolutionsMemberus-gaap:DisposalGroupNotDiscontinuedOperationsMember2020-06-30</w:t>
      </w:r>
    </w:p>
    <w:p w:rsidR="00000000" w:rsidRDefault="004D26FD">
      <w:pPr>
        <w:divId w:val="1941837359"/>
        <w:rPr>
          <w:rFonts w:eastAsia="Times New Roman"/>
        </w:rPr>
      </w:pPr>
    </w:p>
    <w:p w:rsidR="00000000" w:rsidRDefault="004D26FD">
      <w:pPr>
        <w:jc w:val="center"/>
        <w:rPr>
          <w:rFonts w:eastAsia="Times New Roman"/>
        </w:rPr>
      </w:pPr>
      <w:r>
        <w:rPr>
          <w:rFonts w:eastAsia="Times New Roman"/>
          <w:b/>
          <w:bCs/>
          <w:color w:val="000000"/>
          <w:sz w:val="36"/>
          <w:szCs w:val="36"/>
        </w:rPr>
        <w:t>UNITED STATE</w:t>
      </w:r>
      <w:r>
        <w:rPr>
          <w:rFonts w:eastAsia="Times New Roman"/>
          <w:b/>
          <w:bCs/>
          <w:color w:val="000000"/>
          <w:sz w:val="36"/>
          <w:szCs w:val="36"/>
        </w:rPr>
        <w:t>S</w:t>
      </w:r>
    </w:p>
    <w:p w:rsidR="00000000" w:rsidRDefault="004D26FD">
      <w:pPr>
        <w:jc w:val="center"/>
        <w:rPr>
          <w:rFonts w:eastAsia="Times New Roman"/>
        </w:rPr>
      </w:pPr>
      <w:r>
        <w:rPr>
          <w:rFonts w:eastAsia="Times New Roman"/>
          <w:b/>
          <w:bCs/>
          <w:color w:val="000000"/>
          <w:sz w:val="36"/>
          <w:szCs w:val="36"/>
        </w:rPr>
        <w:t>SECURITIES AND EXCHANGE COMMISSIO</w:t>
      </w:r>
      <w:r>
        <w:rPr>
          <w:rFonts w:eastAsia="Times New Roman"/>
          <w:b/>
          <w:bCs/>
          <w:color w:val="000000"/>
          <w:sz w:val="36"/>
          <w:szCs w:val="36"/>
        </w:rPr>
        <w:t>N</w:t>
      </w:r>
    </w:p>
    <w:p w:rsidR="00000000" w:rsidRDefault="004D26FD">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4D26FD">
      <w:pPr>
        <w:jc w:val="center"/>
        <w:rPr>
          <w:rFonts w:eastAsia="Times New Roman"/>
        </w:rPr>
      </w:pPr>
      <w:r>
        <w:rPr>
          <w:rFonts w:eastAsia="Times New Roman"/>
          <w:color w:val="000000"/>
          <w:sz w:val="16"/>
          <w:szCs w:val="16"/>
        </w:rPr>
        <w:t> </w:t>
      </w:r>
    </w:p>
    <w:p w:rsidR="00000000" w:rsidRDefault="004D26FD">
      <w:pPr>
        <w:jc w:val="center"/>
        <w:rPr>
          <w:rFonts w:eastAsia="Times New Roman"/>
        </w:rPr>
      </w:pPr>
      <w:r>
        <w:rPr>
          <w:rFonts w:eastAsia="Times New Roman"/>
          <w:b/>
          <w:bCs/>
          <w:color w:val="000000"/>
          <w:sz w:val="36"/>
          <w:szCs w:val="36"/>
        </w:rPr>
        <w:t>FORM 10-Q</w:t>
      </w:r>
      <w:r>
        <w:rPr>
          <w:rFonts w:eastAsia="Times New Roman"/>
          <w:b/>
          <w:bCs/>
          <w:color w:val="000000"/>
          <w:sz w:val="36"/>
          <w:szCs w:val="36"/>
        </w:rPr>
        <w:t xml:space="preserve"> </w:t>
      </w:r>
    </w:p>
    <w:p w:rsidR="00000000" w:rsidRDefault="004D26FD">
      <w:pPr>
        <w:ind w:firstLine="720"/>
        <w:jc w:val="center"/>
        <w:rPr>
          <w:rFonts w:eastAsia="Times New Roman"/>
        </w:rPr>
      </w:pPr>
      <w:r>
        <w:rPr>
          <w:rFonts w:eastAsia="Times New Roman"/>
          <w:color w:val="000000"/>
          <w:sz w:val="16"/>
          <w:szCs w:val="16"/>
        </w:rPr>
        <w:t> </w:t>
      </w:r>
    </w:p>
    <w:p w:rsidR="00000000" w:rsidRDefault="004D26FD">
      <w:pPr>
        <w:divId w:val="635765576"/>
        <w:rPr>
          <w:rFonts w:eastAsia="Times New Roman"/>
        </w:rPr>
      </w:pPr>
      <w:r>
        <w:rPr>
          <w:rFonts w:eastAsia="Times New Roman"/>
          <w:b/>
          <w:bCs/>
          <w:color w:val="000000"/>
          <w:sz w:val="20"/>
          <w:szCs w:val="20"/>
        </w:rPr>
        <w:t>(Mark One</w:t>
      </w:r>
      <w:r>
        <w:rPr>
          <w:rFonts w:eastAsia="Times New Roman"/>
          <w:b/>
          <w:bCs/>
          <w:color w:val="000000"/>
          <w:sz w:val="20"/>
          <w:szCs w:val="20"/>
        </w:rPr>
        <w:t>)</w:t>
      </w:r>
    </w:p>
    <w:p w:rsidR="00000000" w:rsidRDefault="004D26FD">
      <w:pPr>
        <w:ind w:firstLine="720"/>
        <w:divId w:val="1498573896"/>
        <w:rPr>
          <w:rFonts w:eastAsia="Times New Roman"/>
        </w:rPr>
      </w:pPr>
      <w:r>
        <w:rPr>
          <w:rFonts w:eastAsia="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196"/>
        <w:gridCol w:w="36"/>
        <w:gridCol w:w="60"/>
        <w:gridCol w:w="7908"/>
        <w:gridCol w:w="69"/>
      </w:tblGrid>
      <w:tr w:rsidR="00000000">
        <w:trPr>
          <w:divId w:val="178811925"/>
        </w:trPr>
        <w:tc>
          <w:tcPr>
            <w:tcW w:w="5" w:type="pct"/>
            <w:vAlign w:val="center"/>
            <w:hideMark/>
          </w:tcPr>
          <w:p w:rsidR="00000000" w:rsidRDefault="004D26FD">
            <w:pPr>
              <w:ind w:firstLine="720"/>
              <w:rPr>
                <w:rFonts w:eastAsia="Times New Roman"/>
              </w:rPr>
            </w:pPr>
          </w:p>
        </w:tc>
        <w:tc>
          <w:tcPr>
            <w:tcW w:w="121"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6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78811925"/>
        </w:trPr>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20"/>
                <w:szCs w:val="20"/>
              </w:rPr>
              <w:t>QUARTERLY REPORT PURSUANT TO SECTION 13 OR 15(d) OF THE SECUR</w:t>
            </w:r>
            <w:r>
              <w:rPr>
                <w:rFonts w:eastAsia="Times New Roman"/>
                <w:b/>
                <w:bCs/>
                <w:color w:val="000000"/>
                <w:sz w:val="20"/>
                <w:szCs w:val="20"/>
              </w:rPr>
              <w:t>ITIES EXCHANGE ACT OF 193</w:t>
            </w:r>
            <w:r>
              <w:rPr>
                <w:rFonts w:eastAsia="Times New Roman"/>
                <w:b/>
                <w:bCs/>
                <w:color w:val="000000"/>
                <w:sz w:val="20"/>
                <w:szCs w:val="20"/>
              </w:rPr>
              <w:t>4</w:t>
            </w:r>
          </w:p>
        </w:tc>
      </w:tr>
    </w:tbl>
    <w:p w:rsidR="00000000" w:rsidRDefault="004D26FD">
      <w:pPr>
        <w:ind w:firstLine="720"/>
        <w:divId w:val="1644384460"/>
        <w:rPr>
          <w:rFonts w:eastAsia="Times New Roman"/>
        </w:rPr>
      </w:pPr>
      <w:r>
        <w:rPr>
          <w:rFonts w:eastAsia="Times New Roman"/>
          <w:color w:val="000000"/>
          <w:sz w:val="16"/>
          <w:szCs w:val="16"/>
        </w:rPr>
        <w:t> </w:t>
      </w:r>
    </w:p>
    <w:p w:rsidR="00000000" w:rsidRDefault="004D26FD">
      <w:pPr>
        <w:jc w:val="center"/>
        <w:rPr>
          <w:rFonts w:eastAsia="Times New Roman"/>
        </w:rPr>
      </w:pPr>
      <w:r>
        <w:rPr>
          <w:rFonts w:eastAsia="Times New Roman"/>
          <w:color w:val="000000"/>
          <w:sz w:val="20"/>
          <w:szCs w:val="20"/>
        </w:rPr>
        <w:t>For the quarterly period ended June 30, 2020</w:t>
      </w:r>
      <w:r>
        <w:rPr>
          <w:rFonts w:eastAsia="Times New Roman"/>
          <w:color w:val="000000"/>
          <w:sz w:val="20"/>
          <w:szCs w:val="20"/>
        </w:rPr>
        <w:t xml:space="preserve"> </w:t>
      </w:r>
    </w:p>
    <w:p w:rsidR="00000000" w:rsidRDefault="004D26FD">
      <w:pPr>
        <w:ind w:firstLine="720"/>
        <w:jc w:val="center"/>
        <w:rPr>
          <w:rFonts w:eastAsia="Times New Roman"/>
        </w:rPr>
      </w:pPr>
    </w:p>
    <w:p w:rsidR="00000000" w:rsidRDefault="004D26FD">
      <w:pPr>
        <w:ind w:firstLine="720"/>
        <w:jc w:val="center"/>
        <w:rPr>
          <w:rFonts w:eastAsia="Times New Roman"/>
        </w:rPr>
      </w:pPr>
      <w:r>
        <w:rPr>
          <w:rFonts w:eastAsia="Times New Roman"/>
          <w:b/>
          <w:bCs/>
          <w:color w:val="000000"/>
          <w:sz w:val="20"/>
          <w:szCs w:val="20"/>
        </w:rPr>
        <w:t>O</w:t>
      </w:r>
      <w:r>
        <w:rPr>
          <w:rFonts w:eastAsia="Times New Roman"/>
          <w:b/>
          <w:bCs/>
          <w:color w:val="000000"/>
          <w:sz w:val="20"/>
          <w:szCs w:val="20"/>
        </w:rPr>
        <w:t>R</w:t>
      </w:r>
      <w:r>
        <w:rPr>
          <w:rFonts w:eastAsia="Times New Roman"/>
          <w:b/>
          <w:bCs/>
          <w:color w:val="000000"/>
        </w:rPr>
        <w:t> </w:t>
      </w:r>
    </w:p>
    <w:tbl>
      <w:tblPr>
        <w:tblW w:w="4875" w:type="pct"/>
        <w:tblCellMar>
          <w:top w:w="15" w:type="dxa"/>
          <w:left w:w="15" w:type="dxa"/>
          <w:bottom w:w="15" w:type="dxa"/>
          <w:right w:w="15" w:type="dxa"/>
        </w:tblCellMar>
        <w:tblLook w:val="04A0" w:firstRow="1" w:lastRow="0" w:firstColumn="1" w:lastColumn="0" w:noHBand="0" w:noVBand="1"/>
      </w:tblPr>
      <w:tblGrid>
        <w:gridCol w:w="37"/>
        <w:gridCol w:w="198"/>
        <w:gridCol w:w="36"/>
        <w:gridCol w:w="57"/>
        <w:gridCol w:w="7703"/>
        <w:gridCol w:w="67"/>
      </w:tblGrid>
      <w:tr w:rsidR="00000000">
        <w:trPr>
          <w:divId w:val="644627448"/>
        </w:trPr>
        <w:tc>
          <w:tcPr>
            <w:tcW w:w="5" w:type="pct"/>
            <w:vAlign w:val="center"/>
            <w:hideMark/>
          </w:tcPr>
          <w:p w:rsidR="00000000" w:rsidRDefault="004D26FD">
            <w:pPr>
              <w:ind w:firstLine="720"/>
              <w:jc w:val="center"/>
              <w:rPr>
                <w:rFonts w:eastAsia="Times New Roman"/>
              </w:rPr>
            </w:pPr>
          </w:p>
        </w:tc>
        <w:tc>
          <w:tcPr>
            <w:tcW w:w="125"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6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644627448"/>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20"/>
                <w:szCs w:val="20"/>
              </w:rPr>
              <w:t>TRANSITION REPORT PURSUANT TO SECTION 13 OR 15(d) OF THE SECURITIES EXCHANGE ACT OF 193</w:t>
            </w:r>
            <w:r>
              <w:rPr>
                <w:rFonts w:eastAsia="Times New Roman"/>
                <w:b/>
                <w:bCs/>
                <w:color w:val="000000"/>
                <w:sz w:val="20"/>
                <w:szCs w:val="20"/>
              </w:rPr>
              <w:t>4</w:t>
            </w:r>
          </w:p>
        </w:tc>
      </w:tr>
    </w:tbl>
    <w:p w:rsidR="00000000" w:rsidRDefault="004D26FD">
      <w:pPr>
        <w:divId w:val="753011729"/>
        <w:rPr>
          <w:rFonts w:eastAsia="Times New Roman"/>
        </w:rPr>
      </w:pPr>
      <w:r>
        <w:rPr>
          <w:rFonts w:eastAsia="Times New Roman"/>
          <w:color w:val="000000"/>
          <w:sz w:val="16"/>
          <w:szCs w:val="16"/>
        </w:rPr>
        <w:t> </w:t>
      </w:r>
    </w:p>
    <w:p w:rsidR="00000000" w:rsidRDefault="004D26FD">
      <w:pPr>
        <w:jc w:val="center"/>
        <w:rPr>
          <w:rFonts w:eastAsia="Times New Roman"/>
        </w:rPr>
      </w:pPr>
      <w:r>
        <w:rPr>
          <w:rFonts w:eastAsia="Times New Roman"/>
          <w:color w:val="000000"/>
          <w:sz w:val="20"/>
          <w:szCs w:val="20"/>
        </w:rPr>
        <w:t>For the transition period from __________ to </w:t>
      </w:r>
      <w:r>
        <w:rPr>
          <w:rFonts w:eastAsia="Times New Roman"/>
          <w:color w:val="000000"/>
          <w:sz w:val="20"/>
          <w:szCs w:val="20"/>
        </w:rPr>
        <w:t>___________  </w:t>
      </w:r>
      <w:r>
        <w:rPr>
          <w:rFonts w:eastAsia="Times New Roman"/>
          <w:color w:val="000000"/>
          <w:sz w:val="20"/>
          <w:szCs w:val="20"/>
        </w:rPr>
        <w:t> </w:t>
      </w:r>
      <w:r>
        <w:rPr>
          <w:rFonts w:eastAsia="Times New Roman"/>
          <w:b/>
          <w:bCs/>
          <w:color w:val="000000"/>
          <w:sz w:val="20"/>
          <w:szCs w:val="20"/>
        </w:rPr>
        <w:t>                 </w:t>
      </w:r>
      <w:r>
        <w:rPr>
          <w:rFonts w:eastAsia="Times New Roman"/>
          <w:b/>
          <w:bCs/>
          <w:color w:val="000000"/>
          <w:sz w:val="20"/>
          <w:szCs w:val="20"/>
        </w:rPr>
        <w:t> </w:t>
      </w:r>
    </w:p>
    <w:p w:rsidR="00000000" w:rsidRDefault="004D26FD">
      <w:pPr>
        <w:jc w:val="center"/>
        <w:rPr>
          <w:rFonts w:eastAsia="Times New Roman"/>
        </w:rPr>
      </w:pPr>
      <w:r>
        <w:rPr>
          <w:rFonts w:eastAsia="Times New Roman"/>
          <w:color w:val="000000"/>
          <w:sz w:val="16"/>
          <w:szCs w:val="16"/>
        </w:rPr>
        <w:t> </w:t>
      </w:r>
    </w:p>
    <w:p w:rsidR="00000000" w:rsidRDefault="004D26FD">
      <w:pPr>
        <w:jc w:val="center"/>
        <w:divId w:val="26607836"/>
        <w:rPr>
          <w:rFonts w:eastAsia="Times New Roman"/>
        </w:rPr>
      </w:pPr>
      <w:r>
        <w:rPr>
          <w:rFonts w:eastAsia="Times New Roman"/>
          <w:b/>
          <w:bCs/>
          <w:color w:val="000000"/>
          <w:sz w:val="20"/>
          <w:szCs w:val="20"/>
        </w:rPr>
        <w:t>COMMISSION FILE NUMBER 1-9533</w:t>
      </w:r>
      <w:r>
        <w:rPr>
          <w:rFonts w:eastAsia="Times New Roman"/>
          <w:b/>
          <w:bCs/>
          <w:color w:val="000000"/>
          <w:sz w:val="20"/>
          <w:szCs w:val="20"/>
        </w:rPr>
        <w:t xml:space="preserve"> </w:t>
      </w:r>
    </w:p>
    <w:p w:rsidR="00000000" w:rsidRDefault="004D26FD">
      <w:pPr>
        <w:jc w:val="center"/>
        <w:divId w:val="2071145749"/>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D26FD">
      <w:pPr>
        <w:jc w:val="center"/>
        <w:rPr>
          <w:rFonts w:eastAsia="Times New Roman"/>
        </w:rPr>
      </w:pPr>
      <w:r>
        <w:rPr>
          <w:rFonts w:eastAsia="Times New Roman"/>
          <w:b/>
          <w:bCs/>
          <w:color w:val="000000"/>
          <w:sz w:val="36"/>
          <w:szCs w:val="36"/>
        </w:rPr>
        <w:t>WORLD FUEL SERVICES CORPORATIO</w:t>
      </w:r>
      <w:r>
        <w:rPr>
          <w:rFonts w:eastAsia="Times New Roman"/>
          <w:b/>
          <w:bCs/>
          <w:color w:val="000000"/>
          <w:sz w:val="36"/>
          <w:szCs w:val="36"/>
        </w:rPr>
        <w:t>N</w:t>
      </w:r>
    </w:p>
    <w:p w:rsidR="00000000" w:rsidRDefault="004D26FD">
      <w:pPr>
        <w:jc w:val="center"/>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4777" w:type="pct"/>
        <w:jc w:val="center"/>
        <w:tblCellMar>
          <w:top w:w="15" w:type="dxa"/>
          <w:left w:w="15" w:type="dxa"/>
          <w:bottom w:w="15" w:type="dxa"/>
          <w:right w:w="15" w:type="dxa"/>
        </w:tblCellMar>
        <w:tblLook w:val="04A0" w:firstRow="1" w:lastRow="0" w:firstColumn="1" w:lastColumn="0" w:noHBand="0" w:noVBand="1"/>
      </w:tblPr>
      <w:tblGrid>
        <w:gridCol w:w="40"/>
        <w:gridCol w:w="1188"/>
        <w:gridCol w:w="39"/>
        <w:gridCol w:w="37"/>
        <w:gridCol w:w="643"/>
        <w:gridCol w:w="37"/>
        <w:gridCol w:w="37"/>
        <w:gridCol w:w="51"/>
        <w:gridCol w:w="37"/>
        <w:gridCol w:w="84"/>
        <w:gridCol w:w="173"/>
        <w:gridCol w:w="84"/>
        <w:gridCol w:w="36"/>
        <w:gridCol w:w="64"/>
        <w:gridCol w:w="36"/>
        <w:gridCol w:w="37"/>
        <w:gridCol w:w="219"/>
        <w:gridCol w:w="37"/>
        <w:gridCol w:w="37"/>
        <w:gridCol w:w="227"/>
        <w:gridCol w:w="37"/>
        <w:gridCol w:w="37"/>
        <w:gridCol w:w="162"/>
        <w:gridCol w:w="37"/>
        <w:gridCol w:w="37"/>
        <w:gridCol w:w="1157"/>
        <w:gridCol w:w="36"/>
        <w:gridCol w:w="674"/>
        <w:gridCol w:w="540"/>
        <w:gridCol w:w="247"/>
        <w:gridCol w:w="247"/>
        <w:gridCol w:w="247"/>
        <w:gridCol w:w="36"/>
        <w:gridCol w:w="36"/>
        <w:gridCol w:w="36"/>
        <w:gridCol w:w="36"/>
        <w:gridCol w:w="36"/>
        <w:gridCol w:w="36"/>
        <w:gridCol w:w="373"/>
        <w:gridCol w:w="373"/>
        <w:gridCol w:w="373"/>
      </w:tblGrid>
      <w:tr w:rsidR="00000000">
        <w:trPr>
          <w:gridAfter w:val="14"/>
          <w:divId w:val="2025012200"/>
          <w:jc w:val="center"/>
        </w:trPr>
        <w:tc>
          <w:tcPr>
            <w:tcW w:w="50" w:type="pct"/>
            <w:vAlign w:val="center"/>
            <w:hideMark/>
          </w:tcPr>
          <w:p w:rsidR="00000000" w:rsidRDefault="004D26FD">
            <w:pPr>
              <w:jc w:val="center"/>
              <w:rPr>
                <w:rFonts w:eastAsia="Times New Roman"/>
              </w:rPr>
            </w:pPr>
          </w:p>
        </w:tc>
        <w:tc>
          <w:tcPr>
            <w:tcW w:w="130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72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77"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10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84"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5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7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19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126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gridAfter w:val="9"/>
          <w:divId w:val="2025012200"/>
          <w:jc w:val="center"/>
        </w:trPr>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20"/>
                <w:szCs w:val="20"/>
              </w:rPr>
              <w:t>Florida</w:t>
            </w:r>
            <w:r>
              <w:rPr>
                <w:rFonts w:eastAsia="Times New Roman"/>
                <w:b/>
                <w:bCs/>
                <w:color w:val="000000"/>
                <w:sz w:val="20"/>
                <w:szCs w:val="20"/>
              </w:rPr>
              <w:br/>
            </w:r>
          </w:p>
        </w:tc>
        <w:tc>
          <w:tcPr>
            <w:tcW w:w="0" w:type="auto"/>
            <w:gridSpan w:val="12"/>
            <w:tcMar>
              <w:top w:w="30" w:type="dxa"/>
              <w:left w:w="20" w:type="dxa"/>
              <w:bottom w:w="30" w:type="dxa"/>
              <w:right w:w="20" w:type="dxa"/>
            </w:tcMar>
            <w:vAlign w:val="center"/>
            <w:hideMark/>
          </w:tcPr>
          <w:p w:rsidR="00000000" w:rsidRDefault="004D26FD">
            <w:pPr>
              <w:jc w:val="right"/>
              <w:rPr>
                <w:rFonts w:eastAsia="Times New Roman"/>
              </w:rPr>
            </w:pPr>
            <w:r>
              <w:rPr>
                <w:rFonts w:eastAsia="Times New Roman"/>
                <w:b/>
                <w:bCs/>
                <w:color w:val="000000"/>
                <w:sz w:val="20"/>
                <w:szCs w:val="20"/>
              </w:rPr>
              <w:t>9800 N.W. 41st Street</w:t>
            </w:r>
            <w:r>
              <w:rPr>
                <w:rFonts w:eastAsia="Times New Roman"/>
                <w:b/>
                <w:bCs/>
                <w:color w:val="000000"/>
                <w:sz w:val="20"/>
                <w:szCs w:val="20"/>
              </w:rPr>
              <w:t>,</w:t>
            </w:r>
          </w:p>
        </w:tc>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20"/>
                <w:szCs w:val="20"/>
              </w:rPr>
              <w:t>Miami</w:t>
            </w:r>
            <w:r>
              <w:rPr>
                <w:rFonts w:eastAsia="Times New Roman"/>
                <w:b/>
                <w:bCs/>
                <w:color w:val="000000"/>
                <w:sz w:val="20"/>
                <w:szCs w:val="20"/>
              </w:rPr>
              <w:t>,</w:t>
            </w:r>
          </w:p>
        </w:tc>
        <w:tc>
          <w:tcPr>
            <w:tcW w:w="0" w:type="auto"/>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20"/>
                <w:szCs w:val="20"/>
              </w:rPr>
              <w:t>Florid</w:t>
            </w:r>
            <w:r>
              <w:rPr>
                <w:rFonts w:eastAsia="Times New Roman"/>
                <w:b/>
                <w:bCs/>
                <w:color w:val="000000"/>
                <w:sz w:val="20"/>
                <w:szCs w:val="20"/>
              </w:rPr>
              <w:t>a</w:t>
            </w:r>
          </w:p>
        </w:tc>
        <w:tc>
          <w:tcPr>
            <w:tcW w:w="0" w:type="auto"/>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20"/>
                <w:szCs w:val="20"/>
              </w:rPr>
              <w:t>3317</w:t>
            </w:r>
            <w:r>
              <w:rPr>
                <w:rFonts w:eastAsia="Times New Roman"/>
                <w:b/>
                <w:bCs/>
                <w:color w:val="000000"/>
                <w:sz w:val="20"/>
                <w:szCs w:val="20"/>
              </w:rPr>
              <w:t>8</w:t>
            </w: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20"/>
                <w:szCs w:val="20"/>
              </w:rPr>
              <w:t>59-245942</w:t>
            </w:r>
            <w:r>
              <w:rPr>
                <w:rFonts w:eastAsia="Times New Roman"/>
                <w:b/>
                <w:bCs/>
                <w:color w:val="000000"/>
                <w:sz w:val="20"/>
                <w:szCs w:val="20"/>
              </w:rPr>
              <w:t>7</w:t>
            </w:r>
          </w:p>
        </w:tc>
      </w:tr>
      <w:tr w:rsidR="00000000">
        <w:trPr>
          <w:divId w:val="2025012200"/>
          <w:jc w:val="center"/>
        </w:trPr>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r>
            <w:r>
              <w:rPr>
                <w:rFonts w:eastAsia="Times New Roman"/>
                <w:color w:val="000000"/>
                <w:sz w:val="20"/>
                <w:szCs w:val="20"/>
              </w:rPr>
              <w:t>incorporation or organization</w:t>
            </w:r>
            <w:r>
              <w:rPr>
                <w:rFonts w:eastAsia="Times New Roman"/>
                <w:color w:val="000000"/>
                <w:sz w:val="20"/>
                <w:szCs w:val="20"/>
              </w:rPr>
              <w:t>)</w:t>
            </w:r>
          </w:p>
        </w:tc>
        <w:tc>
          <w:tcPr>
            <w:tcW w:w="0" w:type="auto"/>
            <w:gridSpan w:val="21"/>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(Address of Principal Executive Offices) (Zip Code</w:t>
            </w:r>
            <w:r>
              <w:rPr>
                <w:rFonts w:eastAsia="Times New Roman"/>
                <w:color w:val="000000"/>
                <w:sz w:val="20"/>
                <w:szCs w:val="20"/>
              </w:rPr>
              <w:t>)</w:t>
            </w:r>
          </w:p>
        </w:tc>
        <w:tc>
          <w:tcPr>
            <w:tcW w:w="0" w:type="auto"/>
            <w:gridSpan w:val="3"/>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r>
              <w:rPr>
                <w:rFonts w:eastAsia="Times New Roman"/>
                <w:color w:val="000000"/>
                <w:sz w:val="20"/>
                <w:szCs w:val="20"/>
              </w:rPr>
              <w:t>)</w:t>
            </w:r>
          </w:p>
        </w:tc>
      </w:tr>
      <w:tr w:rsidR="00000000">
        <w:trPr>
          <w:divId w:val="2025012200"/>
          <w:jc w:val="center"/>
        </w:trPr>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Registrant’</w:t>
            </w:r>
            <w:r>
              <w:rPr>
                <w:rFonts w:eastAsia="Times New Roman"/>
                <w:color w:val="000000"/>
                <w:sz w:val="20"/>
                <w:szCs w:val="20"/>
              </w:rPr>
              <w:t>s telephone number, including area code</w:t>
            </w:r>
            <w:r>
              <w:rPr>
                <w:rFonts w:eastAsia="Times New Roman"/>
                <w:color w:val="000000"/>
                <w:sz w:val="20"/>
                <w:szCs w:val="20"/>
              </w:rPr>
              <w:t>:</w:t>
            </w:r>
          </w:p>
        </w:tc>
        <w:tc>
          <w:tcPr>
            <w:tcW w:w="0" w:type="auto"/>
            <w:gridSpan w:val="3"/>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 </w:t>
            </w:r>
          </w:p>
        </w:tc>
      </w:tr>
      <w:tr w:rsidR="00000000">
        <w:trPr>
          <w:divId w:val="2025012200"/>
          <w:jc w:val="center"/>
        </w:trPr>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D26FD">
            <w:pPr>
              <w:jc w:val="right"/>
              <w:rPr>
                <w:rFonts w:eastAsia="Times New Roman"/>
              </w:rPr>
            </w:pPr>
            <w:r>
              <w:rPr>
                <w:rFonts w:eastAsia="Times New Roman"/>
                <w:b/>
                <w:bCs/>
                <w:color w:val="000000"/>
                <w:sz w:val="20"/>
                <w:szCs w:val="20"/>
              </w:rPr>
              <w:t>(</w:t>
            </w: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20"/>
                <w:szCs w:val="20"/>
              </w:rPr>
              <w:t>30</w:t>
            </w:r>
            <w:r>
              <w:rPr>
                <w:rFonts w:eastAsia="Times New Roman"/>
                <w:b/>
                <w:bCs/>
                <w:color w:val="000000"/>
                <w:sz w:val="20"/>
                <w:szCs w:val="20"/>
              </w:rPr>
              <w:t>5</w:t>
            </w:r>
          </w:p>
        </w:tc>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20"/>
                <w:szCs w:val="20"/>
              </w:rPr>
              <w:t>)</w:t>
            </w:r>
          </w:p>
        </w:tc>
        <w:tc>
          <w:tcPr>
            <w:tcW w:w="0" w:type="auto"/>
            <w:gridSpan w:val="9"/>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20"/>
                <w:szCs w:val="20"/>
              </w:rPr>
              <w:t>428-800</w:t>
            </w:r>
            <w:r>
              <w:rPr>
                <w:rFonts w:eastAsia="Times New Roman"/>
                <w:b/>
                <w:bCs/>
                <w:color w:val="000000"/>
                <w:sz w:val="20"/>
                <w:szCs w:val="20"/>
              </w:rPr>
              <w:t>0</w:t>
            </w:r>
          </w:p>
        </w:tc>
        <w:tc>
          <w:tcPr>
            <w:tcW w:w="0" w:type="auto"/>
            <w:gridSpan w:val="3"/>
            <w:vAlign w:val="center"/>
            <w:hideMark/>
          </w:tcPr>
          <w:p w:rsidR="00000000" w:rsidRDefault="004D26FD">
            <w:pPr>
              <w:rPr>
                <w:rFonts w:eastAsia="Times New Roman"/>
              </w:rPr>
            </w:pPr>
          </w:p>
        </w:tc>
        <w:tc>
          <w:tcPr>
            <w:tcW w:w="0" w:type="auto"/>
            <w:vAlign w:val="center"/>
            <w:hideMark/>
          </w:tcPr>
          <w:p w:rsidR="00000000" w:rsidRDefault="004D26FD">
            <w:pPr>
              <w:rPr>
                <w:rFonts w:eastAsia="Times New Roman"/>
                <w:sz w:val="20"/>
                <w:szCs w:val="20"/>
              </w:rPr>
            </w:pPr>
          </w:p>
        </w:tc>
        <w:tc>
          <w:tcPr>
            <w:tcW w:w="0" w:type="auto"/>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25012200"/>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1"/>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Securities registered pursuant to Section 12(b) of the Ac</w:t>
            </w:r>
            <w:r>
              <w:rPr>
                <w:rFonts w:eastAsia="Times New Roman"/>
                <w:color w:val="000000"/>
                <w:sz w:val="20"/>
                <w:szCs w:val="20"/>
              </w:rPr>
              <w:t>t</w:t>
            </w:r>
          </w:p>
        </w:tc>
        <w:tc>
          <w:tcPr>
            <w:tcW w:w="0" w:type="auto"/>
            <w:gridSpan w:val="3"/>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2025012200"/>
          <w:jc w:val="center"/>
        </w:trPr>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Title of each clas</w:t>
            </w:r>
            <w:r>
              <w:rPr>
                <w:rFonts w:eastAsia="Times New Roman"/>
                <w:color w:val="000000"/>
                <w:sz w:val="20"/>
                <w:szCs w:val="20"/>
              </w:rPr>
              <w:t>s</w:t>
            </w:r>
          </w:p>
        </w:tc>
        <w:tc>
          <w:tcPr>
            <w:tcW w:w="0" w:type="auto"/>
            <w:gridSpan w:val="21"/>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Trading Symbol (s</w:t>
            </w:r>
            <w:r>
              <w:rPr>
                <w:rFonts w:eastAsia="Times New Roman"/>
                <w:color w:val="000000"/>
                <w:sz w:val="20"/>
                <w:szCs w:val="20"/>
              </w:rPr>
              <w:t>)</w:t>
            </w:r>
          </w:p>
        </w:tc>
        <w:tc>
          <w:tcPr>
            <w:tcW w:w="0" w:type="auto"/>
            <w:gridSpan w:val="3"/>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Name of each exchange on which registere</w:t>
            </w:r>
            <w:r>
              <w:rPr>
                <w:rFonts w:eastAsia="Times New Roman"/>
                <w:color w:val="000000"/>
                <w:sz w:val="20"/>
                <w:szCs w:val="20"/>
              </w:rPr>
              <w:t>d</w:t>
            </w:r>
          </w:p>
        </w:tc>
      </w:tr>
      <w:tr w:rsidR="00000000">
        <w:trPr>
          <w:divId w:val="2025012200"/>
          <w:jc w:val="center"/>
        </w:trPr>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Common Stock , $0.01 par valu</w:t>
            </w:r>
            <w:r>
              <w:rPr>
                <w:rFonts w:eastAsia="Times New Roman"/>
                <w:color w:val="000000"/>
                <w:sz w:val="20"/>
                <w:szCs w:val="20"/>
              </w:rPr>
              <w:t>e</w:t>
            </w:r>
          </w:p>
        </w:tc>
        <w:tc>
          <w:tcPr>
            <w:tcW w:w="0" w:type="auto"/>
            <w:gridSpan w:val="21"/>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IN</w:t>
            </w:r>
            <w:r>
              <w:rPr>
                <w:rFonts w:eastAsia="Times New Roman"/>
                <w:color w:val="000000"/>
                <w:sz w:val="20"/>
                <w:szCs w:val="20"/>
              </w:rPr>
              <w:t>T</w:t>
            </w:r>
          </w:p>
        </w:tc>
        <w:tc>
          <w:tcPr>
            <w:tcW w:w="0" w:type="auto"/>
            <w:gridSpan w:val="3"/>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New York Stock Exchang</w:t>
            </w:r>
            <w:r>
              <w:rPr>
                <w:rFonts w:eastAsia="Times New Roman"/>
                <w:color w:val="000000"/>
                <w:sz w:val="20"/>
                <w:szCs w:val="20"/>
              </w:rPr>
              <w:t>e</w:t>
            </w:r>
          </w:p>
        </w:tc>
      </w:tr>
    </w:tbl>
    <w:p w:rsidR="00000000" w:rsidRDefault="004D26FD">
      <w:pPr>
        <w:ind w:firstLine="720"/>
        <w:divId w:val="1014192776"/>
        <w:rPr>
          <w:rFonts w:eastAsia="Times New Roman"/>
        </w:rPr>
      </w:pPr>
      <w:r>
        <w:rPr>
          <w:rFonts w:eastAsia="Times New Roman"/>
          <w:color w:val="000000"/>
          <w:sz w:val="20"/>
          <w:szCs w:val="20"/>
        </w:rPr>
        <w:t> </w:t>
      </w:r>
    </w:p>
    <w:p w:rsidR="00000000" w:rsidRDefault="004D26FD">
      <w:pPr>
        <w:jc w:val="center"/>
        <w:rPr>
          <w:rFonts w:eastAsia="Times New Roman"/>
        </w:rPr>
      </w:pPr>
    </w:p>
    <w:p w:rsidR="00000000" w:rsidRDefault="004D26FD">
      <w:pPr>
        <w:jc w:val="both"/>
        <w:rPr>
          <w:rFonts w:eastAsia="Times New Roman"/>
        </w:rPr>
      </w:pPr>
      <w:r>
        <w:rPr>
          <w:rFonts w:eastAsia="Times New Roman"/>
          <w:color w:val="000000"/>
          <w:sz w:val="20"/>
          <w:szCs w:val="20"/>
        </w:rPr>
        <w:t>        </w:t>
      </w:r>
      <w:r>
        <w:rPr>
          <w:rFonts w:eastAsia="Times New Roman"/>
          <w:color w:val="000000"/>
          <w:sz w:val="20"/>
          <w:szCs w:val="20"/>
        </w:rPr>
        <w:t xml:space="preserve">Indicate by check mark whether the registrant: (1) has filed all reports required to be filed by Section 13 or 15(d) of the Securities Exchange Act of 1934 during the preceding 12 months (or for such </w:t>
      </w:r>
      <w:r>
        <w:rPr>
          <w:rFonts w:eastAsia="Times New Roman"/>
          <w:color w:val="000000"/>
          <w:sz w:val="20"/>
          <w:szCs w:val="20"/>
        </w:rPr>
        <w:lastRenderedPageBreak/>
        <w:t xml:space="preserve">shorter period that the registrant was required to file </w:t>
      </w:r>
      <w:r>
        <w:rPr>
          <w:rFonts w:eastAsia="Times New Roman"/>
          <w:color w:val="000000"/>
          <w:sz w:val="20"/>
          <w:szCs w:val="20"/>
        </w:rPr>
        <w:t>such reports), and (2) has been subject to such filing requirements for the past 90 days.   Yes</w:t>
      </w:r>
      <w:r>
        <w:rPr>
          <w:rFonts w:eastAsia="Times New Roman"/>
          <w:color w:val="000000"/>
          <w:sz w:val="20"/>
          <w:szCs w:val="20"/>
        </w:rPr>
        <w:t xml:space="preserve"> </w:t>
      </w:r>
      <w:r>
        <w:rPr>
          <w:rFonts w:ascii="Wingdings" w:eastAsia="Times New Roman" w:hAnsi="Wingdings"/>
          <w:color w:val="000000"/>
          <w:sz w:val="20"/>
          <w:szCs w:val="20"/>
        </w:rPr>
        <w:t>þ</w:t>
      </w:r>
      <w:r>
        <w:rPr>
          <w:rFonts w:eastAsia="Times New Roman"/>
          <w:color w:val="000000"/>
          <w:sz w:val="20"/>
          <w:szCs w:val="20"/>
        </w:rPr>
        <w:t xml:space="preserve">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4D26FD">
      <w:pPr>
        <w:ind w:firstLine="1080"/>
        <w:jc w:val="both"/>
        <w:rPr>
          <w:rFonts w:eastAsia="Times New Roman"/>
        </w:rPr>
      </w:pPr>
      <w:r>
        <w:rPr>
          <w:rFonts w:eastAsia="Times New Roman"/>
          <w:color w:val="000000"/>
          <w:sz w:val="16"/>
          <w:szCs w:val="16"/>
        </w:rPr>
        <w:t> </w:t>
      </w:r>
    </w:p>
    <w:p w:rsidR="00000000" w:rsidRDefault="004D26FD">
      <w:pPr>
        <w:ind w:firstLine="360"/>
        <w:jc w:val="both"/>
        <w:rPr>
          <w:rFonts w:eastAsia="Times New Roman"/>
        </w:rPr>
      </w:pPr>
      <w:r>
        <w:rPr>
          <w:rFonts w:eastAsia="Times New Roman"/>
          <w:color w:val="000000"/>
          <w:sz w:val="20"/>
          <w:szCs w:val="20"/>
        </w:rPr>
        <w:t xml:space="preserve">Indicate by check mark whether the registrant has submitted electronically every Interactive Data File required to be submitted pursuant to Rule 405 </w:t>
      </w:r>
      <w:r>
        <w:rPr>
          <w:rFonts w:eastAsia="Times New Roman"/>
          <w:color w:val="000000"/>
          <w:sz w:val="20"/>
          <w:szCs w:val="20"/>
        </w:rPr>
        <w:t>of Regulation S-T (§ 232.405 of this chapter) during the preceding 12 months (or for such shorter period that the registrant was required to submit such files).   Yes</w:t>
      </w:r>
      <w:r>
        <w:rPr>
          <w:rFonts w:eastAsia="Times New Roman"/>
          <w:color w:val="000000"/>
          <w:sz w:val="20"/>
          <w:szCs w:val="20"/>
        </w:rPr>
        <w:t xml:space="preserve"> </w:t>
      </w:r>
      <w:r>
        <w:rPr>
          <w:rFonts w:ascii="Wingdings" w:eastAsia="Times New Roman" w:hAnsi="Wingdings"/>
          <w:color w:val="000000"/>
          <w:sz w:val="20"/>
          <w:szCs w:val="20"/>
        </w:rPr>
        <w:t>þ</w:t>
      </w:r>
      <w:r>
        <w:rPr>
          <w:rFonts w:eastAsia="Times New Roman"/>
          <w:color w:val="000000"/>
          <w:sz w:val="20"/>
          <w:szCs w:val="20"/>
        </w:rPr>
        <w:t xml:space="preserve">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4D26FD">
      <w:pPr>
        <w:ind w:firstLine="1080"/>
        <w:jc w:val="both"/>
        <w:rPr>
          <w:rFonts w:eastAsia="Times New Roman"/>
        </w:rPr>
      </w:pPr>
      <w:r>
        <w:rPr>
          <w:rFonts w:eastAsia="Times New Roman"/>
          <w:color w:val="000000"/>
          <w:sz w:val="16"/>
          <w:szCs w:val="16"/>
        </w:rPr>
        <w:t> </w:t>
      </w:r>
    </w:p>
    <w:p w:rsidR="00000000" w:rsidRDefault="004D26FD">
      <w:pPr>
        <w:ind w:firstLine="360"/>
        <w:jc w:val="both"/>
        <w:rPr>
          <w:rFonts w:eastAsia="Times New Roman"/>
        </w:rPr>
      </w:pPr>
      <w:r>
        <w:rPr>
          <w:rFonts w:eastAsia="Times New Roman"/>
          <w:color w:val="000000"/>
          <w:sz w:val="20"/>
          <w:szCs w:val="20"/>
        </w:rPr>
        <w:t>Indicate by check mark whether the registrant is a large accelerated filer, an</w:t>
      </w:r>
      <w:r>
        <w:rPr>
          <w:rFonts w:eastAsia="Times New Roman"/>
          <w:color w:val="000000"/>
          <w:sz w:val="20"/>
          <w:szCs w:val="20"/>
        </w:rPr>
        <w:t xml:space="preserve"> accelerated filer, a non-accelerated filer, or a smaller reporting company.  See the definitions of “large accelerated filer,” “accelerated filer” and “smaller reporting company” in Rule 12b-2 of the Exchange Act.  Large accelerated filer</w:t>
      </w:r>
      <w:r>
        <w:rPr>
          <w:rFonts w:eastAsia="Times New Roman"/>
          <w:color w:val="000000"/>
          <w:sz w:val="20"/>
          <w:szCs w:val="20"/>
        </w:rPr>
        <w:t xml:space="preserve"> </w:t>
      </w:r>
      <w:r>
        <w:rPr>
          <w:rFonts w:ascii="Wingdings" w:eastAsia="Times New Roman" w:hAnsi="Wingdings"/>
          <w:color w:val="000000"/>
          <w:sz w:val="20"/>
          <w:szCs w:val="20"/>
        </w:rPr>
        <w:t>þ</w:t>
      </w:r>
      <w:r>
        <w:rPr>
          <w:rFonts w:eastAsia="Times New Roman"/>
          <w:color w:val="000000"/>
          <w:sz w:val="20"/>
          <w:szCs w:val="20"/>
        </w:rPr>
        <w:t xml:space="preserve">   Accelerated </w:t>
      </w:r>
      <w:r>
        <w:rPr>
          <w:rFonts w:eastAsia="Times New Roman"/>
          <w:color w:val="000000"/>
          <w:sz w:val="20"/>
          <w:szCs w:val="20"/>
        </w:rPr>
        <w:t>filer</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xml:space="preserve">   Non-accelerated filer</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xml:space="preserve">   Smaller reporting company</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xml:space="preserve"> Emerging growth company</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4D26FD">
      <w:pPr>
        <w:ind w:firstLine="720"/>
        <w:jc w:val="both"/>
        <w:rPr>
          <w:rFonts w:eastAsia="Times New Roman"/>
        </w:rPr>
      </w:pPr>
      <w:r>
        <w:rPr>
          <w:rFonts w:eastAsia="Times New Roman"/>
          <w:color w:val="000000"/>
          <w:sz w:val="16"/>
          <w:szCs w:val="16"/>
        </w:rPr>
        <w:t> </w:t>
      </w:r>
    </w:p>
    <w:p w:rsidR="00000000" w:rsidRDefault="004D26FD">
      <w:pPr>
        <w:divId w:val="1077485342"/>
        <w:rPr>
          <w:rFonts w:eastAsia="Times New Roman"/>
        </w:rPr>
      </w:pPr>
    </w:p>
    <w:p w:rsidR="00000000" w:rsidRDefault="004D26FD">
      <w:pPr>
        <w:rPr>
          <w:rFonts w:eastAsia="Times New Roman"/>
        </w:rPr>
      </w:pPr>
      <w:r>
        <w:rPr>
          <w:rFonts w:eastAsia="Times New Roman"/>
        </w:rPr>
        <w:pict>
          <v:rect id="_x0000_i1026" style="width:0;height:1.5pt" o:hralign="center" o:hrstd="t" o:hr="t" fillcolor="#a0a0a0" stroked="f"/>
        </w:pict>
      </w:r>
    </w:p>
    <w:p w:rsidR="00000000" w:rsidRDefault="004D26FD">
      <w:pPr>
        <w:divId w:val="54357555"/>
        <w:rPr>
          <w:rFonts w:eastAsia="Times New Roman"/>
        </w:rPr>
      </w:pPr>
    </w:p>
    <w:p w:rsidR="00000000" w:rsidRDefault="004D26FD">
      <w:pPr>
        <w:ind w:firstLine="360"/>
        <w:divId w:val="1271469269"/>
        <w:rPr>
          <w:rFonts w:eastAsia="Times New Roman"/>
        </w:rPr>
      </w:pPr>
      <w:r>
        <w:rPr>
          <w:rFonts w:eastAsia="Times New Roman"/>
          <w:color w:val="000000"/>
          <w:sz w:val="20"/>
          <w:szCs w:val="20"/>
        </w:rPr>
        <w:t>If an emerging growth company, indicate by check mark if the registrant has elected not to use the extended transition per</w:t>
      </w:r>
      <w:r>
        <w:rPr>
          <w:rFonts w:eastAsia="Times New Roman"/>
          <w:color w:val="000000"/>
          <w:sz w:val="20"/>
          <w:szCs w:val="20"/>
        </w:rPr>
        <w:t>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Indicate by check mark whether the registrant is a shell company (as defined in Rule 12b-2 of the Exchange Act).   Yes</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r>
        <w:rPr>
          <w:rFonts w:eastAsia="Times New Roman"/>
          <w:color w:val="000000"/>
          <w:sz w:val="20"/>
          <w:szCs w:val="20"/>
        </w:rPr>
        <w:t xml:space="preserve"> </w:t>
      </w:r>
      <w:r>
        <w:rPr>
          <w:rFonts w:ascii="Wingdings" w:eastAsia="Times New Roman" w:hAnsi="Wingdings"/>
          <w:color w:val="000000"/>
          <w:sz w:val="20"/>
          <w:szCs w:val="20"/>
        </w:rPr>
        <w:t>þ</w:t>
      </w:r>
    </w:p>
    <w:p w:rsidR="00000000" w:rsidRDefault="004D26FD">
      <w:pPr>
        <w:ind w:firstLine="720"/>
        <w:jc w:val="both"/>
        <w:rPr>
          <w:rFonts w:eastAsia="Times New Roman"/>
        </w:rPr>
      </w:pPr>
      <w:r>
        <w:rPr>
          <w:rFonts w:eastAsia="Times New Roman"/>
          <w:color w:val="000000"/>
          <w:sz w:val="16"/>
          <w:szCs w:val="16"/>
        </w:rPr>
        <w:t> </w:t>
      </w:r>
    </w:p>
    <w:p w:rsidR="00000000" w:rsidRDefault="004D26FD">
      <w:pPr>
        <w:ind w:firstLine="360"/>
        <w:jc w:val="both"/>
        <w:rPr>
          <w:rFonts w:eastAsia="Times New Roman"/>
        </w:rPr>
      </w:pPr>
      <w:r>
        <w:rPr>
          <w:rFonts w:eastAsia="Times New Roman"/>
          <w:color w:val="000000"/>
          <w:sz w:val="20"/>
          <w:szCs w:val="20"/>
        </w:rPr>
        <w:t>The registrant had a total of 63,489,928 shares of common stock, par value $0.01 per share, issued and outstanding as of July </w:t>
      </w:r>
      <w:r>
        <w:rPr>
          <w:rFonts w:eastAsia="Times New Roman"/>
          <w:color w:val="000000"/>
          <w:sz w:val="20"/>
          <w:szCs w:val="20"/>
        </w:rPr>
        <w:t>24, 2020</w:t>
      </w:r>
      <w:r>
        <w:rPr>
          <w:rFonts w:eastAsia="Times New Roman"/>
          <w:color w:val="000000"/>
          <w:sz w:val="20"/>
          <w:szCs w:val="20"/>
        </w:rPr>
        <w:t>.</w:t>
      </w:r>
    </w:p>
    <w:p w:rsidR="00000000" w:rsidRDefault="004D26FD">
      <w:pPr>
        <w:divId w:val="1300650893"/>
        <w:rPr>
          <w:rFonts w:eastAsia="Times New Roman"/>
        </w:rPr>
      </w:pPr>
    </w:p>
    <w:p w:rsidR="00000000" w:rsidRDefault="004D26FD">
      <w:pPr>
        <w:divId w:val="1560895101"/>
        <w:rPr>
          <w:rFonts w:eastAsia="Times New Roman"/>
        </w:rPr>
      </w:pPr>
    </w:p>
    <w:p w:rsidR="00000000" w:rsidRDefault="004D26FD">
      <w:pPr>
        <w:rPr>
          <w:rFonts w:eastAsia="Times New Roman"/>
        </w:rPr>
      </w:pPr>
      <w:r>
        <w:rPr>
          <w:rFonts w:eastAsia="Times New Roman"/>
        </w:rPr>
        <w:pict>
          <v:rect id="_x0000_i1027" style="width:0;height:1.5pt" o:hralign="center" o:hrstd="t" o:hr="t" fillcolor="#a0a0a0" stroked="f"/>
        </w:pict>
      </w:r>
    </w:p>
    <w:p w:rsidR="00000000" w:rsidRDefault="004D26FD">
      <w:pPr>
        <w:divId w:val="492525445"/>
        <w:rPr>
          <w:rFonts w:eastAsia="Times New Roman"/>
        </w:rPr>
      </w:pPr>
    </w:p>
    <w:p w:rsidR="00000000" w:rsidRDefault="004D26FD">
      <w:pPr>
        <w:jc w:val="center"/>
        <w:rPr>
          <w:rFonts w:eastAsia="Times New Roman"/>
        </w:rPr>
      </w:pPr>
      <w:r>
        <w:rPr>
          <w:rFonts w:eastAsia="Times New Roman"/>
          <w:b/>
          <w:bCs/>
          <w:color w:val="000000"/>
          <w:sz w:val="20"/>
          <w:szCs w:val="20"/>
        </w:rPr>
        <w:t>Table of Content</w:t>
      </w:r>
      <w:r>
        <w:rPr>
          <w:rFonts w:eastAsia="Times New Roman"/>
          <w:b/>
          <w:bCs/>
          <w:color w:val="000000"/>
          <w:sz w:val="20"/>
          <w:szCs w:val="20"/>
        </w:rPr>
        <w:t>s</w:t>
      </w:r>
    </w:p>
    <w:p w:rsidR="00000000" w:rsidRDefault="004D26FD">
      <w:pPr>
        <w:jc w:val="center"/>
        <w:rPr>
          <w:rFonts w:eastAsia="Times New Roman"/>
        </w:rPr>
      </w:pPr>
      <w:r>
        <w:rPr>
          <w:rFonts w:eastAsia="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91"/>
        <w:gridCol w:w="415"/>
        <w:gridCol w:w="90"/>
        <w:gridCol w:w="73"/>
        <w:gridCol w:w="491"/>
        <w:gridCol w:w="73"/>
        <w:gridCol w:w="73"/>
        <w:gridCol w:w="6388"/>
        <w:gridCol w:w="73"/>
        <w:gridCol w:w="73"/>
        <w:gridCol w:w="127"/>
        <w:gridCol w:w="74"/>
        <w:gridCol w:w="80"/>
        <w:gridCol w:w="80"/>
        <w:gridCol w:w="80"/>
      </w:tblGrid>
      <w:tr w:rsidR="00000000">
        <w:trPr>
          <w:gridAfter w:val="3"/>
          <w:divId w:val="306588942"/>
        </w:trPr>
        <w:tc>
          <w:tcPr>
            <w:tcW w:w="50" w:type="pct"/>
            <w:vAlign w:val="center"/>
            <w:hideMark/>
          </w:tcPr>
          <w:p w:rsidR="00000000" w:rsidRDefault="004D26FD">
            <w:pPr>
              <w:jc w:val="center"/>
              <w:rPr>
                <w:rFonts w:eastAsia="Times New Roman"/>
              </w:rPr>
            </w:pPr>
          </w:p>
        </w:tc>
        <w:tc>
          <w:tcPr>
            <w:tcW w:w="22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97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306588942"/>
        </w:trPr>
        <w:tc>
          <w:tcPr>
            <w:tcW w:w="0" w:type="auto"/>
            <w:gridSpan w:val="3"/>
            <w:tcMar>
              <w:top w:w="30" w:type="dxa"/>
              <w:left w:w="20" w:type="dxa"/>
              <w:bottom w:w="30" w:type="dxa"/>
              <w:right w:w="20" w:type="dxa"/>
            </w:tcMar>
            <w:vAlign w:val="bottom"/>
            <w:hideMark/>
          </w:tcPr>
          <w:p w:rsidR="00000000" w:rsidRDefault="004D26FD">
            <w:pPr>
              <w:divId w:val="1762024344"/>
              <w:rPr>
                <w:rFonts w:eastAsia="Times New Roman"/>
              </w:rPr>
            </w:pPr>
            <w:hyperlink w:anchor="i38eac0cef5ef4c4591dad908159e1e8d_13" w:history="1">
              <w:r>
                <w:rPr>
                  <w:rStyle w:val="a3"/>
                  <w:rFonts w:eastAsia="Times New Roman"/>
                  <w:sz w:val="20"/>
                  <w:szCs w:val="20"/>
                </w:rPr>
                <w:t>Part I.</w:t>
              </w:r>
            </w:hyperlink>
          </w:p>
        </w:tc>
        <w:tc>
          <w:tcPr>
            <w:tcW w:w="0" w:type="auto"/>
            <w:gridSpan w:val="6"/>
            <w:tcMar>
              <w:top w:w="30" w:type="dxa"/>
              <w:left w:w="20" w:type="dxa"/>
              <w:bottom w:w="30" w:type="dxa"/>
              <w:right w:w="20" w:type="dxa"/>
            </w:tcMar>
            <w:vAlign w:val="bottom"/>
            <w:hideMark/>
          </w:tcPr>
          <w:p w:rsidR="00000000" w:rsidRDefault="004D26FD">
            <w:pPr>
              <w:divId w:val="2066293394"/>
              <w:rPr>
                <w:rFonts w:eastAsia="Times New Roman"/>
              </w:rPr>
            </w:pPr>
            <w:hyperlink w:anchor="i38eac0cef5ef4c4591dad908159e1e8d_13" w:history="1">
              <w:r>
                <w:rPr>
                  <w:rStyle w:val="a3"/>
                  <w:rFonts w:eastAsia="Times New Roman"/>
                  <w:sz w:val="20"/>
                  <w:szCs w:val="20"/>
                </w:rPr>
                <w:t>Financial Information</w:t>
              </w:r>
            </w:hyperlink>
          </w:p>
        </w:tc>
        <w:tc>
          <w:tcPr>
            <w:tcW w:w="0" w:type="auto"/>
            <w:gridSpan w:val="3"/>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306588942"/>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divId w:val="1248077038"/>
              <w:rPr>
                <w:rFonts w:eastAsia="Times New Roman"/>
              </w:rPr>
            </w:pPr>
            <w:hyperlink w:anchor="i38eac0cef5ef4c4591dad908159e1e8d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4D26FD">
            <w:pPr>
              <w:divId w:val="1668703270"/>
              <w:rPr>
                <w:rFonts w:eastAsia="Times New Roman"/>
              </w:rPr>
            </w:pPr>
            <w:hyperlink w:anchor="i38eac0cef5ef4c4591dad908159e1e8d_13" w:history="1">
              <w:r>
                <w:rPr>
                  <w:rStyle w:val="a3"/>
                  <w:rFonts w:eastAsia="Times New Roman"/>
                  <w:sz w:val="20"/>
                  <w:szCs w:val="20"/>
                </w:rPr>
                <w:t>Financial Statements (Unaudited)</w:t>
              </w:r>
            </w:hyperlink>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divId w:val="498274092"/>
              <w:rPr>
                <w:rFonts w:eastAsia="Times New Roman"/>
              </w:rPr>
            </w:pPr>
            <w:hyperlink w:anchor="i38eac0cef5ef4c4591dad908159e1e8d_13" w:history="1">
              <w:r>
                <w:rPr>
                  <w:rStyle w:val="a3"/>
                  <w:rFonts w:eastAsia="Times New Roman"/>
                  <w:sz w:val="20"/>
                  <w:szCs w:val="20"/>
                </w:rPr>
                <w:t>Consolidated Balance Sheets as of June 30, 2020 and December 31, 2019</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3" w:history="1">
              <w:r>
                <w:rPr>
                  <w:rStyle w:val="a3"/>
                  <w:rFonts w:eastAsia="Times New Roman"/>
                  <w:sz w:val="20"/>
                  <w:szCs w:val="20"/>
                  <w:u w:val="none"/>
                </w:rPr>
                <w:t>1</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divId w:val="562840290"/>
              <w:rPr>
                <w:rFonts w:eastAsia="Times New Roman"/>
              </w:rPr>
            </w:pPr>
            <w:hyperlink w:anchor="i38eac0cef5ef4c4591dad908159e1e8d_19" w:history="1">
              <w:r>
                <w:rPr>
                  <w:rStyle w:val="a3"/>
                  <w:rFonts w:eastAsia="Times New Roman"/>
                  <w:sz w:val="20"/>
                  <w:szCs w:val="20"/>
                </w:rPr>
                <w:t xml:space="preserve">Consolidated Statements of Income and Comprehensive </w:t>
              </w:r>
              <w:r>
                <w:rPr>
                  <w:rStyle w:val="a3"/>
                  <w:rFonts w:eastAsia="Times New Roman"/>
                  <w:sz w:val="20"/>
                  <w:szCs w:val="20"/>
                </w:rPr>
                <w:t>Income for the Three and Six Months ended June 30, 2020 and 2019</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9" w:history="1">
              <w:r>
                <w:rPr>
                  <w:rStyle w:val="a3"/>
                  <w:rFonts w:eastAsia="Times New Roman"/>
                  <w:sz w:val="20"/>
                  <w:szCs w:val="20"/>
                  <w:u w:val="none"/>
                </w:rPr>
                <w:t>2</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divId w:val="2011135374"/>
              <w:rPr>
                <w:rFonts w:eastAsia="Times New Roman"/>
              </w:rPr>
            </w:pPr>
            <w:hyperlink w:anchor="i38eac0cef5ef4c4591dad908159e1e8d_25" w:history="1">
              <w:r>
                <w:rPr>
                  <w:rStyle w:val="a3"/>
                  <w:rFonts w:eastAsia="Times New Roman"/>
                  <w:sz w:val="20"/>
                  <w:szCs w:val="20"/>
                </w:rPr>
                <w:t>Consolidated Statements of Shareholders’ Equity for the Three and Six Months ended June 30, 2020 and 2019</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25" w:history="1">
              <w:r>
                <w:rPr>
                  <w:rStyle w:val="a3"/>
                  <w:rFonts w:eastAsia="Times New Roman"/>
                  <w:sz w:val="20"/>
                  <w:szCs w:val="20"/>
                  <w:u w:val="none"/>
                </w:rPr>
                <w:t>3</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divId w:val="1358315872"/>
              <w:rPr>
                <w:rFonts w:eastAsia="Times New Roman"/>
              </w:rPr>
            </w:pPr>
            <w:hyperlink w:anchor="i38eac0cef5ef4c4591dad908159e1e8d_31" w:history="1">
              <w:r>
                <w:rPr>
                  <w:rStyle w:val="a3"/>
                  <w:rFonts w:eastAsia="Times New Roman"/>
                  <w:sz w:val="20"/>
                  <w:szCs w:val="20"/>
                </w:rPr>
                <w:t>Consolidated Statements of Cash Flows for the Six Months ended</w:t>
              </w:r>
            </w:hyperlink>
            <w:hyperlink w:anchor="i38eac0cef5ef4c4591dad908159e1e8d_31" w:history="1">
              <w:r>
                <w:rPr>
                  <w:rStyle w:val="a3"/>
                  <w:rFonts w:eastAsia="Times New Roman"/>
                  <w:sz w:val="20"/>
                  <w:szCs w:val="20"/>
                </w:rPr>
                <w:t xml:space="preserve"> June</w:t>
              </w:r>
            </w:hyperlink>
            <w:hyperlink w:anchor="i38eac0cef5ef4c4591dad908159e1e8d_31" w:history="1">
              <w:r>
                <w:rPr>
                  <w:rStyle w:val="a3"/>
                  <w:rFonts w:eastAsia="Times New Roman"/>
                  <w:sz w:val="20"/>
                  <w:szCs w:val="20"/>
                </w:rPr>
                <w:t xml:space="preserve"> 3</w:t>
              </w:r>
            </w:hyperlink>
            <w:hyperlink w:anchor="i38eac0cef5ef4c4591dad908159e1e8d_31" w:history="1">
              <w:r>
                <w:rPr>
                  <w:rStyle w:val="a3"/>
                  <w:rFonts w:eastAsia="Times New Roman"/>
                  <w:sz w:val="20"/>
                  <w:szCs w:val="20"/>
                </w:rPr>
                <w:t>0</w:t>
              </w:r>
            </w:hyperlink>
            <w:hyperlink w:anchor="i38eac0cef5ef4c4591dad908159e1e8d_31" w:history="1">
              <w:r>
                <w:rPr>
                  <w:rStyle w:val="a3"/>
                  <w:rFonts w:eastAsia="Times New Roman"/>
                  <w:sz w:val="20"/>
                  <w:szCs w:val="20"/>
                </w:rPr>
                <w:t>, 2020 and 2019</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31" w:history="1">
              <w:r>
                <w:rPr>
                  <w:rStyle w:val="a3"/>
                  <w:rFonts w:eastAsia="Times New Roman"/>
                  <w:sz w:val="20"/>
                  <w:szCs w:val="20"/>
                  <w:u w:val="none"/>
                </w:rPr>
                <w:t>5</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divId w:val="142234430"/>
              <w:rPr>
                <w:rFonts w:eastAsia="Times New Roman"/>
              </w:rPr>
            </w:pPr>
            <w:hyperlink w:anchor="i38eac0cef5ef4c4591dad908159e1e8d_37" w:history="1">
              <w:r>
                <w:rPr>
                  <w:rStyle w:val="a3"/>
                  <w:rFonts w:eastAsia="Times New Roman"/>
                  <w:sz w:val="20"/>
                  <w:szCs w:val="20"/>
                </w:rPr>
                <w:t>Notes to the Consolidated Financial Statements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37" w:history="1">
              <w:r>
                <w:rPr>
                  <w:rStyle w:val="a3"/>
                  <w:rFonts w:eastAsia="Times New Roman"/>
                  <w:sz w:val="20"/>
                  <w:szCs w:val="20"/>
                  <w:u w:val="none"/>
                </w:rPr>
                <w:t>7</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divId w:val="378015476"/>
              <w:rPr>
                <w:rFonts w:eastAsia="Times New Roman"/>
              </w:rPr>
            </w:pPr>
            <w:hyperlink w:anchor="i38eac0cef5ef4c4591dad908159e1e8d_103"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4D26FD">
            <w:pPr>
              <w:divId w:val="1104424778"/>
              <w:rPr>
                <w:rFonts w:eastAsia="Times New Roman"/>
              </w:rPr>
            </w:pPr>
            <w:hyperlink w:anchor="i38eac0cef5ef4c4591dad908159e1e8d_103"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03" w:history="1">
              <w:r>
                <w:rPr>
                  <w:rStyle w:val="a3"/>
                  <w:rFonts w:eastAsia="Times New Roman"/>
                  <w:sz w:val="20"/>
                  <w:szCs w:val="20"/>
                  <w:u w:val="none"/>
                </w:rPr>
                <w:t>25</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divId w:val="878784027"/>
              <w:rPr>
                <w:rFonts w:eastAsia="Times New Roman"/>
              </w:rPr>
            </w:pPr>
            <w:hyperlink w:anchor="i38eac0cef5ef4c4591dad908159e1e8d_115"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4D26FD">
            <w:pPr>
              <w:divId w:val="1593010926"/>
              <w:rPr>
                <w:rFonts w:eastAsia="Times New Roman"/>
              </w:rPr>
            </w:pPr>
            <w:hyperlink w:anchor="i38eac0cef5ef4c4591dad908159e1e8d_115"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15" w:history="1">
              <w:r>
                <w:rPr>
                  <w:rStyle w:val="a3"/>
                  <w:rFonts w:eastAsia="Times New Roman"/>
                  <w:sz w:val="20"/>
                  <w:szCs w:val="20"/>
                  <w:u w:val="none"/>
                </w:rPr>
                <w:t>38</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divId w:val="1501431669"/>
              <w:rPr>
                <w:rFonts w:eastAsia="Times New Roman"/>
              </w:rPr>
            </w:pPr>
            <w:hyperlink w:anchor="i38eac0cef5ef4c4591dad908159e1e8d_118"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4D26FD">
            <w:pPr>
              <w:divId w:val="342441139"/>
              <w:rPr>
                <w:rFonts w:eastAsia="Times New Roman"/>
              </w:rPr>
            </w:pPr>
            <w:hyperlink w:anchor="i38eac0cef5ef4c4591dad908159e1e8d_118"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18" w:history="1">
              <w:r>
                <w:rPr>
                  <w:rStyle w:val="a3"/>
                  <w:rFonts w:eastAsia="Times New Roman"/>
                  <w:sz w:val="20"/>
                  <w:szCs w:val="20"/>
                  <w:u w:val="none"/>
                </w:rPr>
                <w:t>38</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30" w:type="dxa"/>
              <w:left w:w="20" w:type="dxa"/>
              <w:bottom w:w="30" w:type="dxa"/>
              <w:right w:w="20" w:type="dxa"/>
            </w:tcMar>
            <w:vAlign w:val="bottom"/>
            <w:hideMark/>
          </w:tcPr>
          <w:p w:rsidR="00000000" w:rsidRDefault="004D26FD">
            <w:pPr>
              <w:divId w:val="856696625"/>
              <w:rPr>
                <w:rFonts w:eastAsia="Times New Roman"/>
              </w:rPr>
            </w:pPr>
            <w:hyperlink w:anchor="i38eac0cef5ef4c4591dad908159e1e8d_121" w:history="1">
              <w:r>
                <w:rPr>
                  <w:rStyle w:val="a3"/>
                  <w:rFonts w:eastAsia="Times New Roman"/>
                  <w:sz w:val="20"/>
                  <w:szCs w:val="20"/>
                </w:rPr>
                <w:t>Part II.</w:t>
              </w:r>
            </w:hyperlink>
          </w:p>
        </w:tc>
        <w:tc>
          <w:tcPr>
            <w:tcW w:w="0" w:type="auto"/>
            <w:gridSpan w:val="6"/>
            <w:tcMar>
              <w:top w:w="30" w:type="dxa"/>
              <w:left w:w="20" w:type="dxa"/>
              <w:bottom w:w="30" w:type="dxa"/>
              <w:right w:w="20" w:type="dxa"/>
            </w:tcMar>
            <w:vAlign w:val="bottom"/>
            <w:hideMark/>
          </w:tcPr>
          <w:p w:rsidR="00000000" w:rsidRDefault="004D26FD">
            <w:pPr>
              <w:divId w:val="157158240"/>
              <w:rPr>
                <w:rFonts w:eastAsia="Times New Roman"/>
              </w:rPr>
            </w:pPr>
            <w:hyperlink w:anchor="i38eac0cef5ef4c4591dad908159e1e8d_121" w:history="1">
              <w:r>
                <w:rPr>
                  <w:rStyle w:val="a3"/>
                  <w:rFonts w:eastAsia="Times New Roman"/>
                  <w:sz w:val="20"/>
                  <w:szCs w:val="20"/>
                </w:rPr>
                <w:t>Other Information</w:t>
              </w:r>
            </w:hyperlink>
          </w:p>
        </w:tc>
        <w:tc>
          <w:tcPr>
            <w:tcW w:w="0" w:type="auto"/>
            <w:gridSpan w:val="3"/>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306588942"/>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divId w:val="2034454621"/>
              <w:rPr>
                <w:rFonts w:eastAsia="Times New Roman"/>
              </w:rPr>
            </w:pPr>
            <w:hyperlink w:anchor="i38eac0cef5ef4c4591dad908159e1e8d_124"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4D26FD">
            <w:pPr>
              <w:divId w:val="478034566"/>
              <w:rPr>
                <w:rFonts w:eastAsia="Times New Roman"/>
              </w:rPr>
            </w:pPr>
            <w:hyperlink w:anchor="i38eac0cef5ef4c4591dad908159e1e8d_124"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24" w:history="1">
              <w:r>
                <w:rPr>
                  <w:rStyle w:val="a3"/>
                  <w:rFonts w:eastAsia="Times New Roman"/>
                  <w:sz w:val="20"/>
                  <w:szCs w:val="20"/>
                  <w:u w:val="none"/>
                </w:rPr>
                <w:t>39</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D26FD">
            <w:pPr>
              <w:divId w:val="777455060"/>
              <w:rPr>
                <w:rFonts w:eastAsia="Times New Roman"/>
              </w:rPr>
            </w:pPr>
            <w:hyperlink w:anchor="i38eac0cef5ef4c4591dad908159e1e8d_127"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4D26FD">
            <w:pPr>
              <w:divId w:val="669530202"/>
              <w:rPr>
                <w:rFonts w:eastAsia="Times New Roman"/>
              </w:rPr>
            </w:pPr>
            <w:hyperlink w:anchor="i38eac0cef5ef4c4591dad908159e1e8d_127"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27" w:history="1">
              <w:r>
                <w:rPr>
                  <w:rStyle w:val="a3"/>
                  <w:rFonts w:eastAsia="Times New Roman"/>
                  <w:sz w:val="20"/>
                  <w:szCs w:val="20"/>
                  <w:u w:val="none"/>
                </w:rPr>
                <w:t>39</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divId w:val="1875652977"/>
              <w:rPr>
                <w:rFonts w:eastAsia="Times New Roman"/>
              </w:rPr>
            </w:pPr>
            <w:hyperlink w:anchor="i38eac0cef5ef4c4591dad908159e1e8d_130"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4D26FD">
            <w:pPr>
              <w:divId w:val="1273172415"/>
              <w:rPr>
                <w:rFonts w:eastAsia="Times New Roman"/>
              </w:rPr>
            </w:pPr>
            <w:hyperlink w:anchor="i38eac0cef5ef4c4591dad908159e1e8d_130"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30" w:history="1">
              <w:r>
                <w:rPr>
                  <w:rStyle w:val="a3"/>
                  <w:rFonts w:eastAsia="Times New Roman"/>
                  <w:sz w:val="20"/>
                  <w:szCs w:val="20"/>
                  <w:u w:val="none"/>
                </w:rPr>
                <w:t>42</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hideMark/>
          </w:tcPr>
          <w:p w:rsidR="00000000" w:rsidRDefault="004D26FD">
            <w:pPr>
              <w:divId w:val="1182278412"/>
              <w:rPr>
                <w:rFonts w:eastAsia="Times New Roman"/>
              </w:rPr>
            </w:pPr>
            <w:hyperlink w:anchor="i38eac0cef5ef4c4591dad908159e1e8d_133"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4D26FD">
            <w:pPr>
              <w:divId w:val="442959343"/>
              <w:rPr>
                <w:rFonts w:eastAsia="Times New Roman"/>
              </w:rPr>
            </w:pPr>
            <w:hyperlink w:anchor="i38eac0cef5ef4c4591dad908159e1e8d_133"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33" w:history="1">
              <w:r>
                <w:rPr>
                  <w:rStyle w:val="a3"/>
                  <w:rFonts w:eastAsia="Times New Roman"/>
                  <w:sz w:val="20"/>
                  <w:szCs w:val="20"/>
                  <w:u w:val="none"/>
                </w:rPr>
                <w:t>43</w:t>
              </w:r>
            </w:hyperlink>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306588942"/>
        </w:trPr>
        <w:tc>
          <w:tcPr>
            <w:tcW w:w="0" w:type="auto"/>
            <w:gridSpan w:val="6"/>
            <w:tcMar>
              <w:top w:w="30" w:type="dxa"/>
              <w:left w:w="20" w:type="dxa"/>
              <w:bottom w:w="30" w:type="dxa"/>
              <w:right w:w="20" w:type="dxa"/>
            </w:tcMar>
            <w:vAlign w:val="bottom"/>
            <w:hideMark/>
          </w:tcPr>
          <w:p w:rsidR="00000000" w:rsidRDefault="004D26FD">
            <w:pPr>
              <w:divId w:val="415250070"/>
              <w:rPr>
                <w:rFonts w:eastAsia="Times New Roman"/>
              </w:rPr>
            </w:pPr>
            <w:hyperlink w:anchor="i38eac0cef5ef4c4591dad908159e1e8d_136" w:history="1">
              <w:r>
                <w:rPr>
                  <w:rStyle w:val="a3"/>
                  <w:rFonts w:eastAsia="Times New Roman"/>
                  <w:sz w:val="20"/>
                  <w:szCs w:val="20"/>
                </w:rPr>
                <w:t>Signatures</w:t>
              </w:r>
            </w:hyperlink>
          </w:p>
        </w:tc>
        <w:tc>
          <w:tcPr>
            <w:tcW w:w="0" w:type="auto"/>
            <w:gridSpan w:val="3"/>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jc w:val="right"/>
              <w:rPr>
                <w:rFonts w:eastAsia="Times New Roman"/>
              </w:rPr>
            </w:pPr>
            <w:hyperlink w:anchor="i38eac0cef5ef4c4591dad908159e1e8d_136" w:history="1">
              <w:r>
                <w:rPr>
                  <w:rStyle w:val="a3"/>
                  <w:rFonts w:eastAsia="Times New Roman"/>
                  <w:sz w:val="20"/>
                  <w:szCs w:val="20"/>
                  <w:u w:val="none"/>
                </w:rPr>
                <w:t>44</w:t>
              </w:r>
            </w:hyperlink>
          </w:p>
        </w:tc>
      </w:tr>
    </w:tbl>
    <w:p w:rsidR="00000000" w:rsidRDefault="004D26FD">
      <w:pPr>
        <w:divId w:val="196548138"/>
        <w:rPr>
          <w:rFonts w:eastAsia="Times New Roman"/>
        </w:rPr>
      </w:pPr>
    </w:p>
    <w:p w:rsidR="00000000" w:rsidRDefault="004D26FD">
      <w:pPr>
        <w:rPr>
          <w:rFonts w:eastAsia="Times New Roman"/>
        </w:rPr>
      </w:pPr>
      <w:r>
        <w:rPr>
          <w:rFonts w:eastAsia="Times New Roman"/>
        </w:rPr>
        <w:pict>
          <v:rect id="_x0000_i1028" style="width:0;height:1.5pt" o:hralign="center" o:hrstd="t" o:hr="t" fillcolor="#a0a0a0" stroked="f"/>
        </w:pict>
      </w:r>
    </w:p>
    <w:p w:rsidR="00000000" w:rsidRDefault="004D26FD">
      <w:pPr>
        <w:divId w:val="1527789518"/>
        <w:rPr>
          <w:rFonts w:eastAsia="Times New Roman"/>
        </w:rPr>
      </w:pPr>
    </w:p>
    <w:p w:rsidR="00000000" w:rsidRDefault="004D26FD">
      <w:pPr>
        <w:divId w:val="2043944565"/>
        <w:rPr>
          <w:rFonts w:eastAsia="Times New Roman"/>
        </w:rPr>
      </w:pPr>
      <w:r>
        <w:rPr>
          <w:rFonts w:eastAsia="Times New Roman"/>
          <w:b/>
          <w:bCs/>
          <w:color w:val="000000"/>
          <w:sz w:val="20"/>
          <w:szCs w:val="20"/>
        </w:rPr>
        <w:t>Part I — Financial Informatio</w:t>
      </w:r>
      <w:r>
        <w:rPr>
          <w:rFonts w:eastAsia="Times New Roman"/>
          <w:b/>
          <w:bCs/>
          <w:color w:val="000000"/>
          <w:sz w:val="20"/>
          <w:szCs w:val="20"/>
        </w:rPr>
        <w:t>n</w:t>
      </w:r>
    </w:p>
    <w:p w:rsidR="00000000" w:rsidRDefault="004D26FD">
      <w:pPr>
        <w:divId w:val="105542528"/>
        <w:rPr>
          <w:rFonts w:eastAsia="Times New Roman"/>
        </w:rPr>
      </w:pPr>
      <w:r>
        <w:rPr>
          <w:rFonts w:eastAsia="Times New Roman"/>
          <w:color w:val="000000"/>
          <w:sz w:val="20"/>
          <w:szCs w:val="20"/>
        </w:rPr>
        <w:t> </w:t>
      </w:r>
    </w:p>
    <w:p w:rsidR="00000000" w:rsidRDefault="004D26FD">
      <w:pPr>
        <w:ind w:hanging="1080"/>
        <w:divId w:val="222788767"/>
        <w:rPr>
          <w:rFonts w:eastAsia="Times New Roman"/>
        </w:rPr>
      </w:pPr>
      <w:r>
        <w:rPr>
          <w:rFonts w:eastAsia="Times New Roman"/>
          <w:b/>
          <w:bCs/>
          <w:color w:val="000000"/>
          <w:sz w:val="20"/>
          <w:szCs w:val="20"/>
        </w:rPr>
        <w:t>Item 1.  Financial Statement</w:t>
      </w:r>
      <w:r>
        <w:rPr>
          <w:rFonts w:eastAsia="Times New Roman"/>
          <w:b/>
          <w:bCs/>
          <w:color w:val="000000"/>
          <w:sz w:val="20"/>
          <w:szCs w:val="20"/>
        </w:rPr>
        <w:t>s</w:t>
      </w:r>
    </w:p>
    <w:p w:rsidR="00000000" w:rsidRDefault="004D26FD">
      <w:pPr>
        <w:ind w:firstLine="720"/>
        <w:jc w:val="center"/>
        <w:rPr>
          <w:rFonts w:eastAsia="Times New Roman"/>
        </w:rPr>
      </w:pPr>
      <w:r>
        <w:rPr>
          <w:rFonts w:eastAsia="Times New Roman"/>
          <w:color w:val="000000"/>
          <w:sz w:val="20"/>
          <w:szCs w:val="20"/>
        </w:rPr>
        <w:t> </w:t>
      </w:r>
    </w:p>
    <w:p w:rsidR="00000000" w:rsidRDefault="004D26FD">
      <w:pPr>
        <w:jc w:val="center"/>
        <w:rPr>
          <w:rFonts w:eastAsia="Times New Roman"/>
        </w:rPr>
      </w:pPr>
      <w:r>
        <w:rPr>
          <w:rFonts w:eastAsia="Times New Roman"/>
          <w:b/>
          <w:bCs/>
          <w:color w:val="000000"/>
          <w:sz w:val="20"/>
          <w:szCs w:val="20"/>
        </w:rPr>
        <w:t>World Fuel Services Corporatio</w:t>
      </w:r>
      <w:r>
        <w:rPr>
          <w:rFonts w:eastAsia="Times New Roman"/>
          <w:b/>
          <w:bCs/>
          <w:color w:val="000000"/>
          <w:sz w:val="20"/>
          <w:szCs w:val="20"/>
        </w:rPr>
        <w:t>n</w:t>
      </w:r>
    </w:p>
    <w:p w:rsidR="00000000" w:rsidRDefault="004D26FD">
      <w:pPr>
        <w:jc w:val="center"/>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p w:rsidR="00000000" w:rsidRDefault="004D26FD">
      <w:pPr>
        <w:jc w:val="center"/>
        <w:rPr>
          <w:rFonts w:eastAsia="Times New Roman"/>
        </w:rPr>
      </w:pPr>
      <w:r>
        <w:rPr>
          <w:rFonts w:eastAsia="Times New Roman"/>
          <w:color w:val="000000"/>
          <w:sz w:val="20"/>
          <w:szCs w:val="20"/>
        </w:rPr>
        <w:t>(Unaudited - In millions, except per share data</w:t>
      </w:r>
      <w:r>
        <w:rPr>
          <w:rFonts w:eastAsia="Times New Roman"/>
          <w:color w:val="000000"/>
          <w:sz w:val="20"/>
          <w:szCs w:val="20"/>
        </w:rPr>
        <w:t>)</w:t>
      </w:r>
    </w:p>
    <w:p w:rsidR="00000000" w:rsidRDefault="004D26FD">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56"/>
        <w:gridCol w:w="5539"/>
        <w:gridCol w:w="57"/>
        <w:gridCol w:w="36"/>
        <w:gridCol w:w="36"/>
        <w:gridCol w:w="36"/>
        <w:gridCol w:w="115"/>
        <w:gridCol w:w="892"/>
        <w:gridCol w:w="75"/>
        <w:gridCol w:w="36"/>
        <w:gridCol w:w="36"/>
        <w:gridCol w:w="36"/>
        <w:gridCol w:w="116"/>
        <w:gridCol w:w="877"/>
        <w:gridCol w:w="75"/>
        <w:gridCol w:w="36"/>
        <w:gridCol w:w="36"/>
        <w:gridCol w:w="36"/>
        <w:gridCol w:w="36"/>
        <w:gridCol w:w="36"/>
        <w:gridCol w:w="36"/>
        <w:gridCol w:w="36"/>
        <w:gridCol w:w="36"/>
      </w:tblGrid>
      <w:tr w:rsidR="00000000">
        <w:trPr>
          <w:gridAfter w:val="6"/>
          <w:divId w:val="163323257"/>
        </w:trPr>
        <w:tc>
          <w:tcPr>
            <w:tcW w:w="50" w:type="pct"/>
            <w:vAlign w:val="center"/>
            <w:hideMark/>
          </w:tcPr>
          <w:p w:rsidR="00000000" w:rsidRDefault="004D26FD">
            <w:pPr>
              <w:jc w:val="center"/>
              <w:rPr>
                <w:rFonts w:eastAsia="Times New Roman"/>
              </w:rPr>
            </w:pPr>
          </w:p>
        </w:tc>
        <w:tc>
          <w:tcPr>
            <w:tcW w:w="346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r>
      <w:tr w:rsidR="00000000">
        <w:trPr>
          <w:divId w:val="163323257"/>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Current assets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and cash equivalent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receivable,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1,415.9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2,891.9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Inventorie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308.8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Prepaid expense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72.7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80.6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Short-term derivative assets,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146.5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current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current asset</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2,931.4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4,170.1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Property and equipment,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368.4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360.9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Goodwil</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913.5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843.7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Identifiable intangible and other non-current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617.7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asset</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4,881.0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5,992.4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Liabilities</w:t>
            </w:r>
            <w:r>
              <w:rPr>
                <w:rFonts w:eastAsia="Times New Roman"/>
                <w:color w:val="000000"/>
                <w:sz w:val="16"/>
                <w:szCs w:val="16"/>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Current liabilities</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Current maturities of long-term deb</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53.8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payabl</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1,090.4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2,602.7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Customer deposit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126.7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Accrued expenses and other current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337.9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current liabilitie</w:t>
            </w:r>
            <w:r>
              <w:rPr>
                <w:rFonts w:eastAsia="Times New Roman"/>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1,606.6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3,162.4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Long-term deb</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1,043.3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574.7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Non-current income tax liabilities,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long-term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liabilitie</w:t>
            </w:r>
            <w:r>
              <w:rPr>
                <w:rFonts w:eastAsia="Times New Roman"/>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3,062.7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4,098.5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Commitments and contingencies (Note 12</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Equity</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World Fuel shareholders' equity</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20" w:type="dxa"/>
              <w:bottom w:w="30" w:type="dxa"/>
              <w:right w:w="20" w:type="dxa"/>
            </w:tcMar>
            <w:vAlign w:val="bottom"/>
            <w:hideMark/>
          </w:tcPr>
          <w:p w:rsidR="00000000" w:rsidRDefault="004D26FD">
            <w:pPr>
              <w:divId w:val="416368224"/>
              <w:rPr>
                <w:rFonts w:eastAsia="Times New Roman"/>
              </w:rPr>
            </w:pPr>
            <w:r>
              <w:rPr>
                <w:rFonts w:eastAsia="Times New Roman"/>
                <w:color w:val="000000"/>
                <w:sz w:val="16"/>
                <w:szCs w:val="16"/>
              </w:rPr>
              <w:t>Preferred stock, $1.00 par value; 0.1 shares authorized, none issue</w:t>
            </w:r>
            <w:r>
              <w:rPr>
                <w:rFonts w:eastAsia="Times New Roman"/>
                <w:color w:val="000000"/>
                <w:sz w:val="16"/>
                <w:szCs w:val="16"/>
              </w:rPr>
              <w:t>d</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20" w:type="dxa"/>
              <w:bottom w:w="30" w:type="dxa"/>
              <w:right w:w="20" w:type="dxa"/>
            </w:tcMar>
            <w:vAlign w:val="bottom"/>
            <w:hideMark/>
          </w:tcPr>
          <w:p w:rsidR="00000000" w:rsidRDefault="004D26FD">
            <w:pPr>
              <w:divId w:val="1724256708"/>
              <w:rPr>
                <w:rFonts w:eastAsia="Times New Roman"/>
              </w:rPr>
            </w:pPr>
            <w:r>
              <w:rPr>
                <w:rFonts w:eastAsia="Times New Roman"/>
                <w:color w:val="000000"/>
                <w:sz w:val="16"/>
                <w:szCs w:val="16"/>
              </w:rPr>
              <w:lastRenderedPageBreak/>
              <w:t>Common stock, $0.01 par value; 100.0 shares authorized, 63.3 and 65.2 issued and outstanding as of June 30, 2020 and December 31, 2019, respectivel</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Capital in excess of par valu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219.3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274.7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Retained earning</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Accumulated other comprehensive los</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(173.5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(146.3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World Fuel shareholders' equit</w:t>
            </w:r>
            <w:r>
              <w:rPr>
                <w:rFonts w:eastAsia="Times New Roman"/>
                <w:color w:val="000000"/>
                <w:sz w:val="16"/>
                <w:szCs w:val="16"/>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1,815.0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1,890.4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Noncontrolling interes</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equit</w:t>
            </w:r>
            <w:r>
              <w:rPr>
                <w:rFonts w:eastAsia="Times New Roman"/>
                <w:color w:val="000000"/>
                <w:sz w:val="16"/>
                <w:szCs w:val="16"/>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1,818.3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1,893.9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323257"/>
        </w:trPr>
        <w:tc>
          <w:tcPr>
            <w:tcW w:w="0" w:type="auto"/>
            <w:gridSpan w:val="3"/>
            <w:tcBorders>
              <w:top w:val="single" w:sz="8" w:space="0" w:color="000000"/>
              <w:bottom w:val="double" w:sz="6"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liabilities and equit</w:t>
            </w:r>
            <w:r>
              <w:rPr>
                <w:rFonts w:eastAsia="Times New Roman"/>
                <w:color w:val="000000"/>
                <w:sz w:val="16"/>
                <w:szCs w:val="16"/>
              </w:rPr>
              <w:t>y</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4,881.0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5,992.4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jc w:val="center"/>
        <w:rPr>
          <w:rFonts w:eastAsia="Times New Roman"/>
        </w:rPr>
      </w:pPr>
      <w:r>
        <w:rPr>
          <w:rFonts w:eastAsia="Times New Roman"/>
          <w:color w:val="000000"/>
          <w:sz w:val="20"/>
          <w:szCs w:val="20"/>
        </w:rPr>
        <w:t> </w:t>
      </w:r>
    </w:p>
    <w:p w:rsidR="00000000" w:rsidRDefault="004D26FD">
      <w:pPr>
        <w:ind w:firstLine="720"/>
        <w:jc w:val="center"/>
        <w:rPr>
          <w:rFonts w:eastAsia="Times New Roman"/>
        </w:rPr>
      </w:pPr>
      <w:r>
        <w:rPr>
          <w:rFonts w:eastAsia="Times New Roman"/>
          <w:color w:val="000000"/>
          <w:sz w:val="20"/>
          <w:szCs w:val="20"/>
        </w:rPr>
        <w:t>The accompanying notes are an integral part of these unaudited Consolidated Financial Statements</w:t>
      </w:r>
      <w:r>
        <w:rPr>
          <w:rFonts w:eastAsia="Times New Roman"/>
          <w:color w:val="000000"/>
          <w:sz w:val="20"/>
          <w:szCs w:val="20"/>
        </w:rPr>
        <w:t>.</w:t>
      </w:r>
    </w:p>
    <w:p w:rsidR="00000000" w:rsidRDefault="004D26FD">
      <w:pPr>
        <w:ind w:firstLine="720"/>
        <w:divId w:val="683677060"/>
        <w:rPr>
          <w:rFonts w:eastAsia="Times New Roman"/>
        </w:rPr>
      </w:pPr>
    </w:p>
    <w:p w:rsidR="00000000" w:rsidRDefault="004D26FD">
      <w:pPr>
        <w:jc w:val="center"/>
        <w:divId w:val="22823421"/>
        <w:rPr>
          <w:rFonts w:eastAsia="Times New Roman"/>
        </w:rPr>
      </w:pPr>
      <w:r>
        <w:rPr>
          <w:rFonts w:eastAsia="Times New Roman"/>
          <w:color w:val="000000"/>
          <w:sz w:val="20"/>
          <w:szCs w:val="20"/>
        </w:rPr>
        <w:t>1</w:t>
      </w:r>
    </w:p>
    <w:p w:rsidR="00000000" w:rsidRDefault="004D26FD">
      <w:pPr>
        <w:rPr>
          <w:rFonts w:eastAsia="Times New Roman"/>
        </w:rPr>
      </w:pPr>
      <w:r>
        <w:rPr>
          <w:rFonts w:eastAsia="Times New Roman"/>
        </w:rPr>
        <w:pict>
          <v:rect id="_x0000_i1029" style="width:0;height:1.5pt" o:hralign="center" o:hrstd="t" o:hr="t" fillcolor="#a0a0a0" stroked="f"/>
        </w:pict>
      </w:r>
    </w:p>
    <w:p w:rsidR="00000000" w:rsidRDefault="004D26FD">
      <w:pPr>
        <w:divId w:val="1433472142"/>
        <w:rPr>
          <w:rFonts w:eastAsia="Times New Roman"/>
        </w:rPr>
      </w:pPr>
    </w:p>
    <w:p w:rsidR="00000000" w:rsidRDefault="004D26FD">
      <w:pPr>
        <w:jc w:val="center"/>
        <w:rPr>
          <w:rFonts w:eastAsia="Times New Roman"/>
        </w:rPr>
      </w:pPr>
      <w:r>
        <w:rPr>
          <w:rFonts w:eastAsia="Times New Roman"/>
          <w:b/>
          <w:bCs/>
          <w:color w:val="000000"/>
          <w:sz w:val="20"/>
          <w:szCs w:val="20"/>
        </w:rPr>
        <w:t>World Fuel Services Corporatio</w:t>
      </w:r>
      <w:r>
        <w:rPr>
          <w:rFonts w:eastAsia="Times New Roman"/>
          <w:b/>
          <w:bCs/>
          <w:color w:val="000000"/>
          <w:sz w:val="20"/>
          <w:szCs w:val="20"/>
        </w:rPr>
        <w:t>n</w:t>
      </w:r>
    </w:p>
    <w:p w:rsidR="00000000" w:rsidRDefault="004D26FD">
      <w:pPr>
        <w:jc w:val="center"/>
        <w:rPr>
          <w:rFonts w:eastAsia="Times New Roman"/>
        </w:rPr>
      </w:pPr>
      <w:r>
        <w:rPr>
          <w:rFonts w:eastAsia="Times New Roman"/>
          <w:b/>
          <w:bCs/>
          <w:color w:val="000000"/>
          <w:sz w:val="20"/>
          <w:szCs w:val="20"/>
        </w:rPr>
        <w:t>Consolidated Statements of Income and Comprehensive Incom</w:t>
      </w:r>
      <w:r>
        <w:rPr>
          <w:rFonts w:eastAsia="Times New Roman"/>
          <w:b/>
          <w:bCs/>
          <w:color w:val="000000"/>
          <w:sz w:val="20"/>
          <w:szCs w:val="20"/>
        </w:rPr>
        <w:t>e</w:t>
      </w:r>
    </w:p>
    <w:p w:rsidR="00000000" w:rsidRDefault="004D26FD">
      <w:pPr>
        <w:jc w:val="center"/>
        <w:rPr>
          <w:rFonts w:eastAsia="Times New Roman"/>
        </w:rPr>
      </w:pPr>
      <w:r>
        <w:rPr>
          <w:rFonts w:eastAsia="Times New Roman"/>
          <w:color w:val="000000"/>
          <w:sz w:val="20"/>
          <w:szCs w:val="20"/>
        </w:rPr>
        <w:t>(Unaudited – In millions, except per share data</w:t>
      </w:r>
      <w:r>
        <w:rPr>
          <w:rFonts w:eastAsia="Times New Roman"/>
          <w:color w:val="000000"/>
          <w:sz w:val="20"/>
          <w:szCs w:val="20"/>
        </w:rPr>
        <w:t>)</w:t>
      </w:r>
    </w:p>
    <w:p w:rsidR="00000000" w:rsidRDefault="004D26FD">
      <w:pPr>
        <w:ind w:firstLine="720"/>
        <w:divId w:val="1997948613"/>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3770"/>
        <w:gridCol w:w="42"/>
        <w:gridCol w:w="37"/>
        <w:gridCol w:w="116"/>
        <w:gridCol w:w="36"/>
        <w:gridCol w:w="115"/>
        <w:gridCol w:w="726"/>
        <w:gridCol w:w="75"/>
        <w:gridCol w:w="36"/>
        <w:gridCol w:w="36"/>
        <w:gridCol w:w="36"/>
        <w:gridCol w:w="115"/>
        <w:gridCol w:w="671"/>
        <w:gridCol w:w="75"/>
        <w:gridCol w:w="36"/>
        <w:gridCol w:w="36"/>
        <w:gridCol w:w="36"/>
        <w:gridCol w:w="115"/>
        <w:gridCol w:w="674"/>
        <w:gridCol w:w="75"/>
        <w:gridCol w:w="36"/>
        <w:gridCol w:w="36"/>
        <w:gridCol w:w="36"/>
        <w:gridCol w:w="115"/>
        <w:gridCol w:w="676"/>
        <w:gridCol w:w="75"/>
        <w:gridCol w:w="36"/>
        <w:gridCol w:w="36"/>
        <w:gridCol w:w="36"/>
        <w:gridCol w:w="36"/>
        <w:gridCol w:w="36"/>
        <w:gridCol w:w="36"/>
        <w:gridCol w:w="36"/>
        <w:gridCol w:w="36"/>
        <w:gridCol w:w="36"/>
        <w:gridCol w:w="36"/>
        <w:gridCol w:w="36"/>
        <w:gridCol w:w="36"/>
      </w:tblGrid>
      <w:tr w:rsidR="00000000">
        <w:trPr>
          <w:gridAfter w:val="12"/>
          <w:divId w:val="190538925"/>
        </w:trPr>
        <w:tc>
          <w:tcPr>
            <w:tcW w:w="50" w:type="pct"/>
            <w:vAlign w:val="center"/>
            <w:hideMark/>
          </w:tcPr>
          <w:p w:rsidR="00000000" w:rsidRDefault="004D26FD">
            <w:pPr>
              <w:ind w:firstLine="720"/>
              <w:rPr>
                <w:rFonts w:eastAsia="Times New Roman"/>
              </w:rPr>
            </w:pPr>
          </w:p>
        </w:tc>
        <w:tc>
          <w:tcPr>
            <w:tcW w:w="241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90538925"/>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For the Three Months Ende</w:t>
            </w:r>
            <w:r>
              <w:rPr>
                <w:rFonts w:eastAsia="Times New Roman"/>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For the Six Months Ende</w:t>
            </w:r>
            <w:r>
              <w:rPr>
                <w:rFonts w:eastAsia="Times New Roman"/>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90538925"/>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June 30</w:t>
            </w:r>
            <w:r>
              <w:rPr>
                <w:rFonts w:eastAsia="Times New Roman"/>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June 30</w:t>
            </w:r>
            <w:r>
              <w:rPr>
                <w:rFonts w:eastAsia="Times New Roman"/>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90538925"/>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202</w:t>
            </w:r>
            <w:r>
              <w:rPr>
                <w:rFonts w:eastAsia="Times New Roman"/>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202</w:t>
            </w:r>
            <w:r>
              <w:rPr>
                <w:rFonts w:eastAsia="Times New Roman"/>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3,158.3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9,459.4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11,173.5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18,138.2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Cost of revenu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2,944.5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9,190.8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10,700.9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17,618.5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Gross profi</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268.6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472.6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519.7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Operating expenses</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Compensation and employee benefit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95.9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General and administrativ</w:t>
            </w:r>
            <w:r>
              <w:rPr>
                <w:rFonts w:eastAsia="Times New Roman"/>
                <w:color w:val="000000"/>
                <w:sz w:val="16"/>
                <w:szCs w:val="16"/>
              </w:rPr>
              <w:t>e</w:t>
            </w:r>
          </w:p>
        </w:tc>
        <w:tc>
          <w:tcPr>
            <w:tcW w:w="0" w:type="auto"/>
            <w:gridSpan w:val="3"/>
            <w:shd w:val="clear" w:color="auto" w:fill="FFFFFF"/>
            <w:tcMar>
              <w:top w:w="15" w:type="dxa"/>
              <w:left w:w="135"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 impairment</w:t>
            </w:r>
            <w:r>
              <w:rPr>
                <w:rFonts w:eastAsia="Times New Roman"/>
                <w:color w:val="000000"/>
                <w:sz w:val="16"/>
                <w:szCs w:val="16"/>
              </w:rPr>
              <w:t>s</w:t>
            </w:r>
          </w:p>
        </w:tc>
        <w:tc>
          <w:tcPr>
            <w:tcW w:w="0" w:type="auto"/>
            <w:gridSpan w:val="3"/>
            <w:shd w:val="clear" w:color="auto" w:fill="CCEEFF"/>
            <w:tcMar>
              <w:top w:w="15" w:type="dxa"/>
              <w:left w:w="135"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Restructuring charge</w:t>
            </w:r>
            <w:r>
              <w:rPr>
                <w:rFonts w:eastAsia="Times New Roman"/>
                <w:color w:val="000000"/>
                <w:sz w:val="16"/>
                <w:szCs w:val="16"/>
              </w:rPr>
              <w:t>s</w:t>
            </w:r>
          </w:p>
        </w:tc>
        <w:tc>
          <w:tcPr>
            <w:tcW w:w="0" w:type="auto"/>
            <w:gridSpan w:val="3"/>
            <w:shd w:val="clear" w:color="auto" w:fill="FFFFFF"/>
            <w:tcMar>
              <w:top w:w="15" w:type="dxa"/>
              <w:left w:w="135"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202.0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193.4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389.9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374.1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Income from operation</w:t>
            </w:r>
            <w:r>
              <w:rPr>
                <w:rFonts w:eastAsia="Times New Roman"/>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82.7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145.6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Non-operating expenses, net</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Interest expense and other financing costs,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income (expense),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(28.1</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(36.6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Income (loss) before income taxe</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57.6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Provision for income taxe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(loss) including noncontrolling interes</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74.9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(loss) attributable to noncontrolling interes</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(loss) attributable to World Fue</w:t>
            </w:r>
            <w:r>
              <w:rPr>
                <w:rFonts w:eastAsia="Times New Roman"/>
                <w:color w:val="000000"/>
                <w:sz w:val="16"/>
                <w:szCs w:val="16"/>
              </w:rPr>
              <w:t>l</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(10.2</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74.2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Basic earnings per common shar</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Basic weighted average common share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Diluted earnings per common shar</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Diluted weighted average common share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Comprehensive income</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lastRenderedPageBreak/>
              <w:t>Net income (loss) including noncontrolling interes</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translation adjustment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CCEEFF"/>
            <w:tcMar>
              <w:top w:w="30" w:type="dxa"/>
              <w:left w:w="20" w:type="dxa"/>
              <w:bottom w:w="30" w:type="dxa"/>
              <w:right w:w="20" w:type="dxa"/>
            </w:tcMar>
            <w:vAlign w:val="bottom"/>
            <w:hideMark/>
          </w:tcPr>
          <w:p w:rsidR="00000000" w:rsidRDefault="004D26FD">
            <w:pPr>
              <w:divId w:val="153880662"/>
              <w:rPr>
                <w:rFonts w:eastAsia="Times New Roman"/>
              </w:rPr>
            </w:pPr>
            <w:r>
              <w:rPr>
                <w:rFonts w:eastAsia="Times New Roman"/>
                <w:color w:val="000000"/>
                <w:sz w:val="16"/>
                <w:szCs w:val="16"/>
              </w:rPr>
              <w:t xml:space="preserve">Cash flow hedges, net of income tax benefit of $7.2 and benefit of $1.1 </w:t>
            </w:r>
            <w:r>
              <w:rPr>
                <w:rFonts w:eastAsia="Times New Roman"/>
                <w:color w:val="000000"/>
                <w:sz w:val="16"/>
                <w:szCs w:val="16"/>
              </w:rPr>
              <w:t>for the three months ended June 30, 2020 and 2019, respectively, and net of income tax expense of $0.2 and benefit of $5.2 for the six months ended June 30, 2020 and 2019, respectivel</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(16.0</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(27.2</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Comprehensive income (loss) including noncontrolling interes</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Comprehensive income (loss) attributable to noncontrolling interes</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0538925"/>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Comprehensive income (loss) attributable to World Fue</w:t>
            </w:r>
            <w:r>
              <w:rPr>
                <w:rFonts w:eastAsia="Times New Roman"/>
                <w:color w:val="000000"/>
                <w:sz w:val="16"/>
                <w:szCs w:val="16"/>
              </w:rPr>
              <w:t>l</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(26.7</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divId w:val="1449423438"/>
        <w:rPr>
          <w:rFonts w:eastAsia="Times New Roman"/>
        </w:rPr>
      </w:pPr>
      <w:r>
        <w:rPr>
          <w:rFonts w:eastAsia="Times New Roman"/>
          <w:color w:val="000000"/>
          <w:sz w:val="20"/>
          <w:szCs w:val="20"/>
        </w:rPr>
        <w:t> </w:t>
      </w:r>
    </w:p>
    <w:p w:rsidR="00000000" w:rsidRDefault="004D26FD">
      <w:pPr>
        <w:ind w:firstLine="720"/>
        <w:jc w:val="center"/>
        <w:rPr>
          <w:rFonts w:eastAsia="Times New Roman"/>
        </w:rPr>
      </w:pPr>
      <w:r>
        <w:rPr>
          <w:rFonts w:eastAsia="Times New Roman"/>
          <w:color w:val="000000"/>
          <w:sz w:val="20"/>
          <w:szCs w:val="20"/>
        </w:rPr>
        <w:t>The accompanying notes are an integral part of these unaudited Consolid</w:t>
      </w:r>
      <w:r>
        <w:rPr>
          <w:rFonts w:eastAsia="Times New Roman"/>
          <w:color w:val="000000"/>
          <w:sz w:val="20"/>
          <w:szCs w:val="20"/>
        </w:rPr>
        <w:t>ated Financial Statements</w:t>
      </w:r>
      <w:r>
        <w:rPr>
          <w:rFonts w:eastAsia="Times New Roman"/>
          <w:color w:val="000000"/>
          <w:sz w:val="20"/>
          <w:szCs w:val="20"/>
        </w:rPr>
        <w:t>.</w:t>
      </w:r>
    </w:p>
    <w:p w:rsidR="00000000" w:rsidRDefault="004D26FD">
      <w:pPr>
        <w:ind w:firstLine="720"/>
        <w:divId w:val="953514434"/>
        <w:rPr>
          <w:rFonts w:eastAsia="Times New Roman"/>
        </w:rPr>
      </w:pPr>
    </w:p>
    <w:p w:rsidR="00000000" w:rsidRDefault="004D26FD">
      <w:pPr>
        <w:jc w:val="center"/>
        <w:divId w:val="1178037054"/>
        <w:rPr>
          <w:rFonts w:eastAsia="Times New Roman"/>
        </w:rPr>
      </w:pPr>
      <w:r>
        <w:rPr>
          <w:rFonts w:eastAsia="Times New Roman"/>
          <w:color w:val="000000"/>
          <w:sz w:val="20"/>
          <w:szCs w:val="20"/>
        </w:rPr>
        <w:t>2</w:t>
      </w:r>
    </w:p>
    <w:p w:rsidR="00000000" w:rsidRDefault="004D26FD">
      <w:pPr>
        <w:rPr>
          <w:rFonts w:eastAsia="Times New Roman"/>
        </w:rPr>
      </w:pPr>
      <w:r>
        <w:rPr>
          <w:rFonts w:eastAsia="Times New Roman"/>
        </w:rPr>
        <w:pict>
          <v:rect id="_x0000_i1030" style="width:0;height:1.5pt" o:hralign="center" o:hrstd="t" o:hr="t" fillcolor="#a0a0a0" stroked="f"/>
        </w:pict>
      </w:r>
    </w:p>
    <w:p w:rsidR="00000000" w:rsidRDefault="004D26FD">
      <w:pPr>
        <w:divId w:val="151652330"/>
        <w:rPr>
          <w:rFonts w:eastAsia="Times New Roman"/>
        </w:rPr>
      </w:pPr>
    </w:p>
    <w:p w:rsidR="00000000" w:rsidRDefault="004D26FD">
      <w:pPr>
        <w:jc w:val="center"/>
        <w:rPr>
          <w:rFonts w:eastAsia="Times New Roman"/>
        </w:rPr>
      </w:pPr>
      <w:r>
        <w:rPr>
          <w:rFonts w:eastAsia="Times New Roman"/>
          <w:b/>
          <w:bCs/>
          <w:color w:val="000000"/>
          <w:sz w:val="20"/>
          <w:szCs w:val="20"/>
        </w:rPr>
        <w:t>World Fuel Services Corporatio</w:t>
      </w:r>
      <w:r>
        <w:rPr>
          <w:rFonts w:eastAsia="Times New Roman"/>
          <w:b/>
          <w:bCs/>
          <w:color w:val="000000"/>
          <w:sz w:val="20"/>
          <w:szCs w:val="20"/>
        </w:rPr>
        <w:t>n</w:t>
      </w:r>
    </w:p>
    <w:p w:rsidR="00000000" w:rsidRDefault="004D26FD">
      <w:pPr>
        <w:jc w:val="center"/>
        <w:rPr>
          <w:rFonts w:eastAsia="Times New Roman"/>
        </w:rPr>
      </w:pPr>
      <w:r>
        <w:rPr>
          <w:rFonts w:eastAsia="Times New Roman"/>
          <w:b/>
          <w:bCs/>
          <w:color w:val="000000"/>
          <w:sz w:val="20"/>
          <w:szCs w:val="20"/>
        </w:rPr>
        <w:t xml:space="preserve">Consolidated Statements of Shareholders’ Equity </w:t>
      </w:r>
      <w:r>
        <w:rPr>
          <w:rFonts w:eastAsia="Times New Roman"/>
          <w:b/>
          <w:bCs/>
          <w:color w:val="000000"/>
          <w:sz w:val="20"/>
          <w:szCs w:val="20"/>
        </w:rPr>
        <w:t> </w:t>
      </w:r>
    </w:p>
    <w:p w:rsidR="00000000" w:rsidRDefault="004D26FD">
      <w:pPr>
        <w:jc w:val="center"/>
        <w:rPr>
          <w:rFonts w:eastAsia="Times New Roman"/>
        </w:rPr>
      </w:pPr>
      <w:r>
        <w:rPr>
          <w:rFonts w:eastAsia="Times New Roman"/>
          <w:color w:val="000000"/>
          <w:sz w:val="20"/>
          <w:szCs w:val="20"/>
        </w:rPr>
        <w:t>(Unaudited - In millions</w:t>
      </w:r>
      <w:r>
        <w:rPr>
          <w:rFonts w:eastAsia="Times New Roman"/>
          <w:color w:val="000000"/>
          <w:sz w:val="20"/>
          <w:szCs w:val="20"/>
        </w:rPr>
        <w:t>)</w:t>
      </w:r>
    </w:p>
    <w:p w:rsidR="00000000" w:rsidRDefault="004D26FD">
      <w:pPr>
        <w:ind w:firstLine="720"/>
        <w:jc w:val="center"/>
        <w:rPr>
          <w:rFonts w:eastAsia="Times New Roman"/>
        </w:rPr>
      </w:pPr>
      <w:r>
        <w:rPr>
          <w:rFonts w:eastAsia="Times New Roman"/>
          <w:color w:val="000000"/>
          <w:sz w:val="20"/>
          <w:szCs w:val="20"/>
        </w:rPr>
        <w:t> </w:t>
      </w:r>
    </w:p>
    <w:tbl>
      <w:tblPr>
        <w:tblW w:w="4970" w:type="pct"/>
        <w:tblCellMar>
          <w:top w:w="15" w:type="dxa"/>
          <w:left w:w="15" w:type="dxa"/>
          <w:bottom w:w="15" w:type="dxa"/>
          <w:right w:w="15" w:type="dxa"/>
        </w:tblCellMar>
        <w:tblLook w:val="04A0" w:firstRow="1" w:lastRow="0" w:firstColumn="1" w:lastColumn="0" w:noHBand="0" w:noVBand="1"/>
      </w:tblPr>
      <w:tblGrid>
        <w:gridCol w:w="41"/>
        <w:gridCol w:w="1043"/>
        <w:gridCol w:w="41"/>
        <w:gridCol w:w="74"/>
        <w:gridCol w:w="298"/>
        <w:gridCol w:w="75"/>
        <w:gridCol w:w="36"/>
        <w:gridCol w:w="36"/>
        <w:gridCol w:w="36"/>
        <w:gridCol w:w="116"/>
        <w:gridCol w:w="354"/>
        <w:gridCol w:w="89"/>
        <w:gridCol w:w="36"/>
        <w:gridCol w:w="36"/>
        <w:gridCol w:w="36"/>
        <w:gridCol w:w="115"/>
        <w:gridCol w:w="415"/>
        <w:gridCol w:w="75"/>
        <w:gridCol w:w="36"/>
        <w:gridCol w:w="36"/>
        <w:gridCol w:w="36"/>
        <w:gridCol w:w="115"/>
        <w:gridCol w:w="535"/>
        <w:gridCol w:w="75"/>
        <w:gridCol w:w="36"/>
        <w:gridCol w:w="36"/>
        <w:gridCol w:w="36"/>
        <w:gridCol w:w="115"/>
        <w:gridCol w:w="482"/>
        <w:gridCol w:w="75"/>
        <w:gridCol w:w="36"/>
        <w:gridCol w:w="36"/>
        <w:gridCol w:w="36"/>
        <w:gridCol w:w="116"/>
        <w:gridCol w:w="767"/>
        <w:gridCol w:w="103"/>
        <w:gridCol w:w="36"/>
        <w:gridCol w:w="36"/>
        <w:gridCol w:w="36"/>
        <w:gridCol w:w="116"/>
        <w:gridCol w:w="706"/>
        <w:gridCol w:w="83"/>
        <w:gridCol w:w="36"/>
        <w:gridCol w:w="36"/>
        <w:gridCol w:w="36"/>
        <w:gridCol w:w="116"/>
        <w:gridCol w:w="740"/>
        <w:gridCol w:w="101"/>
        <w:gridCol w:w="36"/>
        <w:gridCol w:w="36"/>
        <w:gridCol w:w="36"/>
        <w:gridCol w:w="36"/>
        <w:gridCol w:w="36"/>
        <w:gridCol w:w="36"/>
        <w:gridCol w:w="36"/>
        <w:gridCol w:w="36"/>
        <w:gridCol w:w="36"/>
        <w:gridCol w:w="36"/>
        <w:gridCol w:w="36"/>
        <w:gridCol w:w="36"/>
        <w:gridCol w:w="400"/>
        <w:gridCol w:w="400"/>
      </w:tblGrid>
      <w:tr w:rsidR="00000000">
        <w:trPr>
          <w:gridAfter w:val="14"/>
          <w:divId w:val="1431854953"/>
        </w:trPr>
        <w:tc>
          <w:tcPr>
            <w:tcW w:w="50" w:type="pct"/>
            <w:vAlign w:val="center"/>
            <w:hideMark/>
          </w:tcPr>
          <w:p w:rsidR="00000000" w:rsidRDefault="004D26FD">
            <w:pPr>
              <w:ind w:firstLine="720"/>
              <w:jc w:val="center"/>
              <w:rPr>
                <w:rFonts w:eastAsia="Times New Roman"/>
              </w:rPr>
            </w:pPr>
          </w:p>
        </w:tc>
        <w:tc>
          <w:tcPr>
            <w:tcW w:w="127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0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0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5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7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2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6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gridAfter w:val="8"/>
          <w:divId w:val="1431854953"/>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Capital in</w:t>
            </w:r>
            <w:r>
              <w:rPr>
                <w:rFonts w:eastAsia="Times New Roman"/>
                <w:b/>
                <w:bCs/>
                <w:color w:val="000000"/>
                <w:sz w:val="14"/>
                <w:szCs w:val="14"/>
              </w:rPr>
              <w:br/>
              <w:t>Excess of</w:t>
            </w:r>
            <w:r>
              <w:rPr>
                <w:rFonts w:eastAsia="Times New Roman"/>
                <w:b/>
                <w:bCs/>
                <w:color w:val="000000"/>
                <w:sz w:val="14"/>
                <w:szCs w:val="14"/>
              </w:rPr>
              <w:br/>
              <w:t>Par Valu</w:t>
            </w:r>
            <w:r>
              <w:rPr>
                <w:rFonts w:eastAsia="Times New Roman"/>
                <w:b/>
                <w:bCs/>
                <w:color w:val="000000"/>
                <w:sz w:val="14"/>
                <w:szCs w:val="14"/>
              </w:rPr>
              <w:t>e</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w:t>
            </w:r>
            <w:r>
              <w:rPr>
                <w:rFonts w:eastAsia="Times New Roman"/>
                <w:b/>
                <w:bCs/>
                <w:color w:val="000000"/>
                <w:sz w:val="14"/>
                <w:szCs w:val="14"/>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World Fuel</w:t>
            </w:r>
            <w:r>
              <w:rPr>
                <w:rFonts w:eastAsia="Times New Roman"/>
                <w:b/>
                <w:bCs/>
                <w:color w:val="000000"/>
                <w:sz w:val="14"/>
                <w:szCs w:val="14"/>
              </w:rPr>
              <w:br/>
              <w:t>Shareholders'</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 xml:space="preserve">Interest </w:t>
            </w:r>
            <w:r>
              <w:rPr>
                <w:rFonts w:eastAsia="Times New Roman"/>
                <w:b/>
                <w:bCs/>
                <w:color w:val="000000"/>
                <w:sz w:val="14"/>
                <w:szCs w:val="14"/>
              </w:rPr>
              <w:br/>
              <w:t>Equit</w:t>
            </w:r>
            <w:r>
              <w:rPr>
                <w:rFonts w:eastAsia="Times New Roman"/>
                <w:b/>
                <w:bCs/>
                <w:color w:val="000000"/>
                <w:sz w:val="14"/>
                <w:szCs w:val="14"/>
              </w:rPr>
              <w:t>y</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 </w:t>
            </w:r>
          </w:p>
        </w:tc>
      </w:tr>
      <w:tr w:rsidR="00000000">
        <w:trPr>
          <w:divId w:val="1431854953"/>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Amoun</w:t>
            </w:r>
            <w:r>
              <w:rPr>
                <w:rFonts w:eastAsia="Times New Roman"/>
                <w:b/>
                <w:bCs/>
                <w:color w:val="000000"/>
                <w:sz w:val="14"/>
                <w:szCs w:val="14"/>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Total Equit</w:t>
            </w:r>
            <w:r>
              <w:rPr>
                <w:rFonts w:eastAsia="Times New Roman"/>
                <w:b/>
                <w:bCs/>
                <w:color w:val="000000"/>
                <w:sz w:val="14"/>
                <w:szCs w:val="14"/>
              </w:rPr>
              <w:t>y</w:t>
            </w:r>
          </w:p>
        </w:tc>
      </w:tr>
      <w:tr w:rsidR="004D26FD">
        <w:trPr>
          <w:divId w:val="143185495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December 31, 201</w:t>
            </w:r>
            <w:r>
              <w:rPr>
                <w:rFonts w:eastAsia="Times New Roman"/>
                <w:color w:val="000000"/>
                <w:sz w:val="16"/>
                <w:szCs w:val="16"/>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274.7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1,761.3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(146.3</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1,890.4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1,893.9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Cumulative effect of change in accounting principl</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(loss</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dividends declare</w:t>
            </w:r>
            <w:r>
              <w:rPr>
                <w:rFonts w:eastAsia="Times New Roman"/>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Amortization of share-based payment award</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Issuance (cancellation) of common stock related to share-based payment award</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Purchases of common stock tendered by employees to satisfy the required withholding taxes related to share-based payment award</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lastRenderedPageBreak/>
              <w:t>Purchases of common stoc</w:t>
            </w:r>
            <w:r>
              <w:rPr>
                <w:rFonts w:eastAsia="Times New Roman"/>
                <w:color w:val="000000"/>
                <w:sz w:val="16"/>
                <w:szCs w:val="16"/>
              </w:rPr>
              <w:t>k</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(55.6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(55.6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(55.6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143185495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March 31, 202</w:t>
            </w:r>
            <w:r>
              <w:rPr>
                <w:rFonts w:eastAsia="Times New Roman"/>
                <w:color w:val="000000"/>
                <w:sz w:val="16"/>
                <w:szCs w:val="16"/>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218.2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1,785.1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(157.5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1,846.4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1,850.1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(loss</w:t>
            </w: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dividends declare</w:t>
            </w:r>
            <w:r>
              <w:rPr>
                <w:rFonts w:eastAsia="Times New Roman"/>
                <w:color w:val="000000"/>
                <w:sz w:val="16"/>
                <w:szCs w:val="16"/>
              </w:rPr>
              <w:t>d</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Amortization of share-based payment award</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Issuance (cancellation) of common stock related to share-based payment award</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Purchases of common stock tendered by employees to satisfy the required withholding taxes related to share-based payment award</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3185495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1431854953"/>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June 30, 202</w:t>
            </w:r>
            <w:r>
              <w:rPr>
                <w:rFonts w:eastAsia="Times New Roman"/>
                <w:color w:val="000000"/>
                <w:sz w:val="16"/>
                <w:szCs w:val="16"/>
              </w:rPr>
              <w:t>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219.3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(173.5</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1,818.3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divId w:val="1419059225"/>
        <w:rPr>
          <w:rFonts w:eastAsia="Times New Roman"/>
        </w:rPr>
      </w:pPr>
      <w:r>
        <w:rPr>
          <w:rFonts w:eastAsia="Times New Roman"/>
          <w:color w:val="000000"/>
          <w:sz w:val="16"/>
          <w:szCs w:val="16"/>
        </w:rPr>
        <w:t>       </w:t>
      </w:r>
      <w:r>
        <w:rPr>
          <w:rFonts w:eastAsia="Times New Roman"/>
          <w:color w:val="000000"/>
          <w:sz w:val="16"/>
          <w:szCs w:val="16"/>
        </w:rPr>
        <w:t> </w:t>
      </w:r>
      <w:r>
        <w:rPr>
          <w:rFonts w:eastAsia="Times New Roman"/>
          <w:color w:val="000000"/>
          <w:sz w:val="20"/>
          <w:szCs w:val="20"/>
        </w:rPr>
        <w:t> </w:t>
      </w:r>
    </w:p>
    <w:p w:rsidR="00000000" w:rsidRDefault="004D26FD">
      <w:pPr>
        <w:jc w:val="center"/>
        <w:divId w:val="2031105721"/>
        <w:rPr>
          <w:rFonts w:eastAsia="Times New Roman"/>
        </w:rPr>
      </w:pPr>
      <w:r>
        <w:rPr>
          <w:rFonts w:eastAsia="Times New Roman"/>
          <w:color w:val="000000"/>
          <w:sz w:val="20"/>
          <w:szCs w:val="20"/>
        </w:rPr>
        <w:t>3</w:t>
      </w:r>
    </w:p>
    <w:p w:rsidR="00000000" w:rsidRDefault="004D26FD">
      <w:pPr>
        <w:rPr>
          <w:rFonts w:eastAsia="Times New Roman"/>
        </w:rPr>
      </w:pPr>
      <w:r>
        <w:rPr>
          <w:rFonts w:eastAsia="Times New Roman"/>
        </w:rPr>
        <w:pict>
          <v:rect id="_x0000_i1031" style="width:0;height:1.5pt" o:hralign="center" o:hrstd="t" o:hr="t" fillcolor="#a0a0a0" stroked="f"/>
        </w:pict>
      </w:r>
    </w:p>
    <w:p w:rsidR="00000000" w:rsidRDefault="004D26FD">
      <w:pPr>
        <w:divId w:val="1796868994"/>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41"/>
        <w:gridCol w:w="1043"/>
        <w:gridCol w:w="41"/>
        <w:gridCol w:w="74"/>
        <w:gridCol w:w="298"/>
        <w:gridCol w:w="75"/>
        <w:gridCol w:w="36"/>
        <w:gridCol w:w="36"/>
        <w:gridCol w:w="36"/>
        <w:gridCol w:w="116"/>
        <w:gridCol w:w="354"/>
        <w:gridCol w:w="89"/>
        <w:gridCol w:w="36"/>
        <w:gridCol w:w="36"/>
        <w:gridCol w:w="36"/>
        <w:gridCol w:w="115"/>
        <w:gridCol w:w="415"/>
        <w:gridCol w:w="75"/>
        <w:gridCol w:w="36"/>
        <w:gridCol w:w="36"/>
        <w:gridCol w:w="36"/>
        <w:gridCol w:w="115"/>
        <w:gridCol w:w="535"/>
        <w:gridCol w:w="75"/>
        <w:gridCol w:w="36"/>
        <w:gridCol w:w="36"/>
        <w:gridCol w:w="36"/>
        <w:gridCol w:w="115"/>
        <w:gridCol w:w="482"/>
        <w:gridCol w:w="75"/>
        <w:gridCol w:w="36"/>
        <w:gridCol w:w="36"/>
        <w:gridCol w:w="36"/>
        <w:gridCol w:w="116"/>
        <w:gridCol w:w="767"/>
        <w:gridCol w:w="103"/>
        <w:gridCol w:w="36"/>
        <w:gridCol w:w="36"/>
        <w:gridCol w:w="36"/>
        <w:gridCol w:w="116"/>
        <w:gridCol w:w="706"/>
        <w:gridCol w:w="83"/>
        <w:gridCol w:w="36"/>
        <w:gridCol w:w="36"/>
        <w:gridCol w:w="36"/>
        <w:gridCol w:w="116"/>
        <w:gridCol w:w="740"/>
        <w:gridCol w:w="101"/>
        <w:gridCol w:w="36"/>
        <w:gridCol w:w="36"/>
        <w:gridCol w:w="36"/>
        <w:gridCol w:w="36"/>
        <w:gridCol w:w="36"/>
        <w:gridCol w:w="36"/>
        <w:gridCol w:w="36"/>
        <w:gridCol w:w="36"/>
        <w:gridCol w:w="36"/>
        <w:gridCol w:w="36"/>
        <w:gridCol w:w="36"/>
        <w:gridCol w:w="36"/>
        <w:gridCol w:w="400"/>
        <w:gridCol w:w="400"/>
      </w:tblGrid>
      <w:tr w:rsidR="00000000">
        <w:trPr>
          <w:gridAfter w:val="14"/>
          <w:divId w:val="1736733819"/>
        </w:trPr>
        <w:tc>
          <w:tcPr>
            <w:tcW w:w="50" w:type="pct"/>
            <w:vAlign w:val="center"/>
            <w:hideMark/>
          </w:tcPr>
          <w:p w:rsidR="00000000" w:rsidRDefault="004D26FD">
            <w:pPr>
              <w:rPr>
                <w:rFonts w:eastAsia="Times New Roman"/>
              </w:rPr>
            </w:pPr>
          </w:p>
        </w:tc>
        <w:tc>
          <w:tcPr>
            <w:tcW w:w="127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0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0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5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7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2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6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gridAfter w:val="8"/>
          <w:divId w:val="1736733819"/>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4"/>
                <w:szCs w:val="14"/>
              </w:rPr>
              <w:t> </w:t>
            </w:r>
          </w:p>
        </w:tc>
        <w:tc>
          <w:tcPr>
            <w:tcW w:w="0" w:type="auto"/>
            <w:gridSpan w:val="9"/>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Capital in</w:t>
            </w:r>
            <w:r>
              <w:rPr>
                <w:rFonts w:eastAsia="Times New Roman"/>
                <w:b/>
                <w:bCs/>
                <w:color w:val="000000"/>
                <w:sz w:val="14"/>
                <w:szCs w:val="14"/>
              </w:rPr>
              <w:br/>
            </w:r>
            <w:r>
              <w:rPr>
                <w:rFonts w:eastAsia="Times New Roman"/>
                <w:b/>
                <w:bCs/>
                <w:color w:val="000000"/>
                <w:sz w:val="14"/>
                <w:szCs w:val="14"/>
              </w:rPr>
              <w:t>Excess of</w:t>
            </w:r>
            <w:r>
              <w:rPr>
                <w:rFonts w:eastAsia="Times New Roman"/>
                <w:b/>
                <w:bCs/>
                <w:color w:val="000000"/>
                <w:sz w:val="14"/>
                <w:szCs w:val="14"/>
              </w:rPr>
              <w:br/>
              <w:t>Par Valu</w:t>
            </w:r>
            <w:r>
              <w:rPr>
                <w:rFonts w:eastAsia="Times New Roman"/>
                <w:b/>
                <w:bCs/>
                <w:color w:val="000000"/>
                <w:sz w:val="14"/>
                <w:szCs w:val="14"/>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Retained</w:t>
            </w:r>
            <w:r>
              <w:rPr>
                <w:rFonts w:eastAsia="Times New Roman"/>
                <w:b/>
                <w:bCs/>
                <w:color w:val="000000"/>
                <w:sz w:val="14"/>
                <w:szCs w:val="14"/>
              </w:rPr>
              <w:br/>
              <w:t>Earning</w:t>
            </w:r>
            <w:r>
              <w:rPr>
                <w:rFonts w:eastAsia="Times New Roman"/>
                <w:b/>
                <w:bCs/>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w:t>
            </w:r>
            <w:r>
              <w:rPr>
                <w:rFonts w:eastAsia="Times New Roman"/>
                <w:b/>
                <w:bCs/>
                <w:color w:val="000000"/>
                <w:sz w:val="14"/>
                <w:szCs w:val="14"/>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World Fuel</w:t>
            </w:r>
            <w:r>
              <w:rPr>
                <w:rFonts w:eastAsia="Times New Roman"/>
                <w:b/>
                <w:bCs/>
                <w:color w:val="000000"/>
                <w:sz w:val="14"/>
                <w:szCs w:val="14"/>
              </w:rPr>
              <w:br/>
              <w:t>Shareholders'</w:t>
            </w:r>
            <w:r>
              <w:rPr>
                <w:rFonts w:eastAsia="Times New Roman"/>
                <w:b/>
                <w:bCs/>
                <w:color w:val="000000"/>
                <w:sz w:val="14"/>
                <w:szCs w:val="14"/>
              </w:rPr>
              <w:br/>
              <w:t>Equit</w:t>
            </w:r>
            <w:r>
              <w:rPr>
                <w:rFonts w:eastAsia="Times New Roman"/>
                <w:b/>
                <w:bCs/>
                <w:color w:val="000000"/>
                <w:sz w:val="14"/>
                <w:szCs w:val="14"/>
              </w:rPr>
              <w:t>y</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Merge w:val="restart"/>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 xml:space="preserve">Interest </w:t>
            </w:r>
            <w:r>
              <w:rPr>
                <w:rFonts w:eastAsia="Times New Roman"/>
                <w:b/>
                <w:bCs/>
                <w:color w:val="000000"/>
                <w:sz w:val="14"/>
                <w:szCs w:val="14"/>
              </w:rPr>
              <w:br/>
              <w:t>Equit</w:t>
            </w:r>
            <w:r>
              <w:rPr>
                <w:rFonts w:eastAsia="Times New Roman"/>
                <w:b/>
                <w:bCs/>
                <w:color w:val="000000"/>
                <w:sz w:val="14"/>
                <w:szCs w:val="14"/>
              </w:rPr>
              <w:t>y</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color w:val="000000"/>
                <w:sz w:val="20"/>
                <w:szCs w:val="20"/>
              </w:rPr>
              <w:t> </w:t>
            </w:r>
          </w:p>
        </w:tc>
      </w:tr>
      <w:tr w:rsidR="00000000">
        <w:trPr>
          <w:divId w:val="1736733819"/>
        </w:trPr>
        <w:tc>
          <w:tcPr>
            <w:tcW w:w="0" w:type="auto"/>
            <w:gridSpan w:val="3"/>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4"/>
                <w:szCs w:val="14"/>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Share</w:t>
            </w:r>
            <w:r>
              <w:rPr>
                <w:rFonts w:eastAsia="Times New Roman"/>
                <w:b/>
                <w:bCs/>
                <w:color w:val="000000"/>
                <w:sz w:val="14"/>
                <w:szCs w:val="14"/>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Amoun</w:t>
            </w:r>
            <w:r>
              <w:rPr>
                <w:rFonts w:eastAsia="Times New Roman"/>
                <w:b/>
                <w:bCs/>
                <w:color w:val="000000"/>
                <w:sz w:val="14"/>
                <w:szCs w:val="14"/>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4"/>
                <w:szCs w:val="14"/>
              </w:rPr>
              <w:t>Total Equit</w:t>
            </w:r>
            <w:r>
              <w:rPr>
                <w:rFonts w:eastAsia="Times New Roman"/>
                <w:b/>
                <w:bCs/>
                <w:color w:val="000000"/>
                <w:sz w:val="14"/>
                <w:szCs w:val="14"/>
              </w:rPr>
              <w:t>y</w:t>
            </w:r>
          </w:p>
        </w:tc>
      </w:tr>
      <w:tr w:rsidR="004D26FD">
        <w:trPr>
          <w:divId w:val="173673381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December 31, 201</w:t>
            </w:r>
            <w:r>
              <w:rPr>
                <w:rFonts w:eastAsia="Times New Roman"/>
                <w:color w:val="000000"/>
                <w:sz w:val="16"/>
                <w:szCs w:val="16"/>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67.0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340.4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1,606.1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(131.7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1,815.4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1,831.6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dividends declare</w:t>
            </w:r>
            <w:r>
              <w:rPr>
                <w:rFonts w:eastAsia="Times New Roman"/>
                <w:color w:val="000000"/>
                <w:sz w:val="16"/>
                <w:szCs w:val="16"/>
              </w:rPr>
              <w:t>d</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Amortization of share-based payment award</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Issuance (cancellation) of common stock related to share-based payment award</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Purchases of common stock tendered by employees to satisfy the required withholding taxes related to share-based payment award</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173673381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March 31, 201</w:t>
            </w:r>
            <w:r>
              <w:rPr>
                <w:rFonts w:eastAsia="Times New Roman"/>
                <w:color w:val="000000"/>
                <w:sz w:val="16"/>
                <w:szCs w:val="16"/>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67.1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343.0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1,639.3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(142.7</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1,840.3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1,855.8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dividends declare</w:t>
            </w:r>
            <w:r>
              <w:rPr>
                <w:rFonts w:eastAsia="Times New Roman"/>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Amortization of share-based payment award</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Issuance (cancellation) of common stock related to share-based payment award</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Purchases of common stock tendered by employees to satisfy the required withholding taxes related to share-based payment award</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Purchases of common stoc</w:t>
            </w:r>
            <w:r>
              <w:rPr>
                <w:rFonts w:eastAsia="Times New Roman"/>
                <w:color w:val="000000"/>
                <w:sz w:val="16"/>
                <w:szCs w:val="16"/>
              </w:rPr>
              <w:t>k</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comprehensive income (loss</w:t>
            </w: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173673381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June 30, 201</w:t>
            </w:r>
            <w:r>
              <w:rPr>
                <w:rFonts w:eastAsia="Times New Roman"/>
                <w:color w:val="000000"/>
                <w:sz w:val="16"/>
                <w:szCs w:val="16"/>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1,669.7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(151.6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1,799.4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1,815.6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36733819"/>
          <w:trHeight w:val="300"/>
        </w:trPr>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jc w:val="both"/>
        <w:rPr>
          <w:rFonts w:eastAsia="Times New Roman"/>
        </w:rPr>
      </w:pPr>
      <w:r>
        <w:rPr>
          <w:rFonts w:eastAsia="Times New Roman"/>
          <w:b/>
          <w:bCs/>
          <w:color w:val="000000"/>
          <w:sz w:val="20"/>
          <w:szCs w:val="20"/>
        </w:rPr>
        <w:t>Cash Dividend</w:t>
      </w:r>
      <w:r>
        <w:rPr>
          <w:rFonts w:eastAsia="Times New Roman"/>
          <w:b/>
          <w:bCs/>
          <w:color w:val="000000"/>
          <w:sz w:val="20"/>
          <w:szCs w:val="20"/>
        </w:rPr>
        <w:t>s</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During the six months ended June 30, 2020, the Company's Board of Directors declared quarterly cash dividends of $0.10 per common share representing $6.5 million and $6.3 million in total dividends, which were paid on April 9, 2020 and July 2, 2020 respect</w:t>
      </w:r>
      <w:r>
        <w:rPr>
          <w:rFonts w:eastAsia="Times New Roman"/>
          <w:color w:val="000000"/>
          <w:sz w:val="20"/>
          <w:szCs w:val="20"/>
        </w:rPr>
        <w:t xml:space="preserve">ively. During the six months ended June 30, 2019, the </w:t>
      </w:r>
      <w:r>
        <w:rPr>
          <w:rFonts w:eastAsia="Times New Roman"/>
          <w:color w:val="000000"/>
          <w:sz w:val="20"/>
          <w:szCs w:val="20"/>
        </w:rPr>
        <w:t>C</w:t>
      </w:r>
      <w:r>
        <w:rPr>
          <w:rFonts w:eastAsia="Times New Roman"/>
          <w:color w:val="000000"/>
          <w:sz w:val="20"/>
          <w:szCs w:val="20"/>
          <w:shd w:val="clear" w:color="auto" w:fill="FFFFFF"/>
        </w:rPr>
        <w:t>ompany's Board of Directors declared quarterly cash dividends of $0.06 and $0.10 per common share representing $4.0 million and $6.6 million in total</w:t>
      </w:r>
      <w:r>
        <w:rPr>
          <w:rFonts w:eastAsia="Times New Roman"/>
          <w:color w:val="000000"/>
          <w:sz w:val="20"/>
          <w:szCs w:val="20"/>
          <w:shd w:val="clear" w:color="auto" w:fill="FFFFFF"/>
        </w:rPr>
        <w:t xml:space="preserve"> </w:t>
      </w:r>
      <w:r>
        <w:rPr>
          <w:rFonts w:eastAsia="Times New Roman"/>
          <w:color w:val="000000"/>
          <w:sz w:val="20"/>
          <w:szCs w:val="20"/>
        </w:rPr>
        <w:t>dividends, which were paid on April 12, 2019 and Ju</w:t>
      </w:r>
      <w:r>
        <w:rPr>
          <w:rFonts w:eastAsia="Times New Roman"/>
          <w:color w:val="000000"/>
          <w:sz w:val="20"/>
          <w:szCs w:val="20"/>
        </w:rPr>
        <w:t>ly 5, 2019 respectively</w:t>
      </w:r>
      <w:r>
        <w:rPr>
          <w:rFonts w:eastAsia="Times New Roman"/>
          <w:color w:val="000000"/>
          <w:sz w:val="20"/>
          <w:szCs w:val="20"/>
        </w:rPr>
        <w:t>.</w:t>
      </w:r>
    </w:p>
    <w:p w:rsidR="00000000" w:rsidRDefault="004D26FD">
      <w:pPr>
        <w:divId w:val="722290393"/>
        <w:rPr>
          <w:rFonts w:eastAsia="Times New Roman"/>
        </w:rPr>
      </w:pPr>
    </w:p>
    <w:p w:rsidR="00000000" w:rsidRDefault="004D26FD">
      <w:pPr>
        <w:jc w:val="center"/>
        <w:rPr>
          <w:rFonts w:eastAsia="Times New Roman"/>
        </w:rPr>
      </w:pPr>
      <w:r>
        <w:rPr>
          <w:rFonts w:eastAsia="Times New Roman"/>
          <w:color w:val="000000"/>
          <w:sz w:val="20"/>
          <w:szCs w:val="20"/>
        </w:rPr>
        <w:t>The accompanying notes are an integral part of these unaudited Consolidated Financial Statements</w:t>
      </w:r>
      <w:r>
        <w:rPr>
          <w:rFonts w:eastAsia="Times New Roman"/>
          <w:color w:val="000000"/>
          <w:sz w:val="20"/>
          <w:szCs w:val="20"/>
        </w:rPr>
        <w:t>.</w:t>
      </w:r>
    </w:p>
    <w:p w:rsidR="00000000" w:rsidRDefault="004D26FD">
      <w:pPr>
        <w:ind w:firstLine="720"/>
        <w:divId w:val="119763972"/>
        <w:rPr>
          <w:rFonts w:eastAsia="Times New Roman"/>
        </w:rPr>
      </w:pPr>
    </w:p>
    <w:p w:rsidR="00000000" w:rsidRDefault="004D26FD">
      <w:pPr>
        <w:jc w:val="center"/>
        <w:divId w:val="2029016350"/>
        <w:rPr>
          <w:rFonts w:eastAsia="Times New Roman"/>
        </w:rPr>
      </w:pPr>
      <w:r>
        <w:rPr>
          <w:rFonts w:eastAsia="Times New Roman"/>
          <w:color w:val="000000"/>
          <w:sz w:val="20"/>
          <w:szCs w:val="20"/>
        </w:rPr>
        <w:t>4</w:t>
      </w:r>
    </w:p>
    <w:p w:rsidR="00000000" w:rsidRDefault="004D26FD">
      <w:pPr>
        <w:rPr>
          <w:rFonts w:eastAsia="Times New Roman"/>
        </w:rPr>
      </w:pPr>
      <w:r>
        <w:rPr>
          <w:rFonts w:eastAsia="Times New Roman"/>
        </w:rPr>
        <w:pict>
          <v:rect id="_x0000_i1032" style="width:0;height:1.5pt" o:hralign="center" o:hrstd="t" o:hr="t" fillcolor="#a0a0a0" stroked="f"/>
        </w:pict>
      </w:r>
    </w:p>
    <w:p w:rsidR="00000000" w:rsidRDefault="004D26FD">
      <w:pPr>
        <w:divId w:val="1487890765"/>
        <w:rPr>
          <w:rFonts w:eastAsia="Times New Roman"/>
        </w:rPr>
      </w:pPr>
    </w:p>
    <w:p w:rsidR="00000000" w:rsidRDefault="004D26FD">
      <w:pPr>
        <w:jc w:val="center"/>
        <w:rPr>
          <w:rFonts w:eastAsia="Times New Roman"/>
        </w:rPr>
      </w:pPr>
      <w:r>
        <w:rPr>
          <w:rFonts w:eastAsia="Times New Roman"/>
          <w:b/>
          <w:bCs/>
          <w:color w:val="000000"/>
          <w:sz w:val="20"/>
          <w:szCs w:val="20"/>
        </w:rPr>
        <w:t>World Fuel Services Corporatio</w:t>
      </w:r>
      <w:r>
        <w:rPr>
          <w:rFonts w:eastAsia="Times New Roman"/>
          <w:b/>
          <w:bCs/>
          <w:color w:val="000000"/>
          <w:sz w:val="20"/>
          <w:szCs w:val="20"/>
        </w:rPr>
        <w:t>n</w:t>
      </w:r>
    </w:p>
    <w:p w:rsidR="00000000" w:rsidRDefault="004D26FD">
      <w:pPr>
        <w:jc w:val="center"/>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4D26FD">
      <w:pPr>
        <w:jc w:val="center"/>
        <w:rPr>
          <w:rFonts w:eastAsia="Times New Roman"/>
        </w:rPr>
      </w:pPr>
      <w:r>
        <w:rPr>
          <w:rFonts w:eastAsia="Times New Roman"/>
          <w:color w:val="000000"/>
          <w:sz w:val="20"/>
          <w:szCs w:val="20"/>
        </w:rPr>
        <w:t>(Unaudited - In mi</w:t>
      </w:r>
      <w:r>
        <w:rPr>
          <w:rFonts w:eastAsia="Times New Roman"/>
          <w:color w:val="000000"/>
          <w:sz w:val="20"/>
          <w:szCs w:val="20"/>
        </w:rPr>
        <w:t>llions</w:t>
      </w:r>
      <w:r>
        <w:rPr>
          <w:rFonts w:eastAsia="Times New Roman"/>
          <w:color w:val="000000"/>
          <w:sz w:val="20"/>
          <w:szCs w:val="20"/>
        </w:rPr>
        <w:t>)</w:t>
      </w:r>
    </w:p>
    <w:p w:rsidR="00000000" w:rsidRDefault="004D26FD">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5731"/>
        <w:gridCol w:w="58"/>
        <w:gridCol w:w="36"/>
        <w:gridCol w:w="36"/>
        <w:gridCol w:w="36"/>
        <w:gridCol w:w="116"/>
        <w:gridCol w:w="828"/>
        <w:gridCol w:w="75"/>
        <w:gridCol w:w="36"/>
        <w:gridCol w:w="36"/>
        <w:gridCol w:w="36"/>
        <w:gridCol w:w="116"/>
        <w:gridCol w:w="817"/>
        <w:gridCol w:w="75"/>
        <w:gridCol w:w="36"/>
        <w:gridCol w:w="36"/>
        <w:gridCol w:w="36"/>
        <w:gridCol w:w="36"/>
        <w:gridCol w:w="36"/>
        <w:gridCol w:w="36"/>
      </w:tblGrid>
      <w:tr w:rsidR="00000000">
        <w:trPr>
          <w:gridAfter w:val="6"/>
          <w:divId w:val="71241462"/>
        </w:trPr>
        <w:tc>
          <w:tcPr>
            <w:tcW w:w="50" w:type="pct"/>
            <w:vAlign w:val="center"/>
            <w:hideMark/>
          </w:tcPr>
          <w:p w:rsidR="00000000" w:rsidRDefault="004D26FD">
            <w:pPr>
              <w:jc w:val="center"/>
              <w:rPr>
                <w:rFonts w:eastAsia="Times New Roman"/>
              </w:rPr>
            </w:pPr>
          </w:p>
        </w:tc>
        <w:tc>
          <w:tcPr>
            <w:tcW w:w="355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3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71241462"/>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71241462"/>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71241462"/>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flows from operating activities</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20"/>
                <w:szCs w:val="20"/>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including noncontrolling interes</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Adjustments to reconcile net income including noncontrolling interest to net cash provided by operating activities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Depreciation and amortizatio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43.1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Provision for bad deb</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Share-based payment award compensation cost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Deferred income tax expense (benefit</w:t>
            </w:r>
            <w:r>
              <w:rPr>
                <w:rFonts w:eastAsia="Times New Roman"/>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(gains) losses, net</w:t>
            </w:r>
            <w:r>
              <w:rPr>
                <w:rFonts w:eastAsia="Times New Roman"/>
                <w:color w:val="000000"/>
                <w:sz w:val="16"/>
                <w:szCs w:val="16"/>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w:t>
            </w:r>
            <w:r>
              <w:rPr>
                <w:rFonts w:eastAsia="Times New Roman"/>
                <w:color w:val="000000"/>
                <w:sz w:val="16"/>
                <w:szCs w:val="16"/>
              </w:rPr>
              <w:t>r</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Changes in assets and liabilities, net of acquisitions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receivable, net</w:t>
            </w:r>
            <w:r>
              <w:rPr>
                <w:rFonts w:eastAsia="Times New Roman"/>
                <w:color w:val="000000"/>
                <w:sz w:val="16"/>
                <w:szCs w:val="16"/>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1,462.6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Inventorie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Prepaid expense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Short-term derivative assets,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(110.4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current asset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collateral with counterpartie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non-current asset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payabl</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(1,527.1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Customer deposit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Accrued expenses and other current liabilitie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(143.7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36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Non-current income tax, net and other long-term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(60.4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adjustment</w:t>
            </w:r>
            <w:r>
              <w:rPr>
                <w:rFonts w:eastAsia="Times New Roman"/>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214.1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60.8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Net cash provided by (used in) operating activitie</w:t>
            </w:r>
            <w:r>
              <w:rPr>
                <w:rFonts w:eastAsia="Times New Roman"/>
                <w:b/>
                <w:bCs/>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245.1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135.8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flows from investing activities</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Acquisition of business, net of cash acquire</w:t>
            </w:r>
            <w:r>
              <w:rPr>
                <w:rFonts w:eastAsia="Times New Roman"/>
                <w:color w:val="000000"/>
                <w:sz w:val="16"/>
                <w:szCs w:val="16"/>
              </w:rPr>
              <w:t>d</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(130.6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Capital expenditure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(32.9</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investing activities,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Net cash (used in) provided by investing activitie</w:t>
            </w:r>
            <w:r>
              <w:rPr>
                <w:rFonts w:eastAsia="Times New Roman"/>
                <w:b/>
                <w:bCs/>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(168.7</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flows from financing activities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Borrowings of deb</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2,080.0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3,197.6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Repayments of deb</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(1,613.7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3,218.6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Dividends paid on common stoc</w:t>
            </w:r>
            <w:r>
              <w:rPr>
                <w:rFonts w:eastAsia="Times New Roman"/>
                <w:color w:val="000000"/>
                <w:sz w:val="16"/>
                <w:szCs w:val="16"/>
              </w:rPr>
              <w:t>k</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Repurchases of common stoc</w:t>
            </w:r>
            <w:r>
              <w:rPr>
                <w:rFonts w:eastAsia="Times New Roman"/>
                <w:color w:val="000000"/>
                <w:sz w:val="16"/>
                <w:szCs w:val="16"/>
              </w:rPr>
              <w:t>k</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(55.6</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(65.4</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financing activities,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Net cash provided by (used in) financing activitie</w:t>
            </w:r>
            <w:r>
              <w:rPr>
                <w:rFonts w:eastAsia="Times New Roman"/>
                <w:b/>
                <w:bCs/>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394.9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(97.1</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Effect of exchange rate changes on cash and cash equivalent</w:t>
            </w:r>
            <w:r>
              <w:rPr>
                <w:rFonts w:eastAsia="Times New Roman"/>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(11.6</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Net increase (decrease) in cash and cash equivalent</w:t>
            </w:r>
            <w:r>
              <w:rPr>
                <w:rFonts w:eastAsia="Times New Roman"/>
                <w:b/>
                <w:bCs/>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459.6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and cash equivalents, as of the beginning of the perio</w:t>
            </w:r>
            <w:r>
              <w:rPr>
                <w:rFonts w:eastAsia="Times New Roman"/>
                <w:color w:val="000000"/>
                <w:sz w:val="16"/>
                <w:szCs w:val="16"/>
              </w:rPr>
              <w:t>d</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1241462"/>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Cash and cash equivalents, as of the end of the perio</w:t>
            </w:r>
            <w:r>
              <w:rPr>
                <w:rFonts w:eastAsia="Times New Roman"/>
                <w:b/>
                <w:bCs/>
                <w:color w:val="000000"/>
                <w:sz w:val="16"/>
                <w:szCs w:val="16"/>
              </w:rPr>
              <w:t>d</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218.1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jc w:val="center"/>
        <w:rPr>
          <w:rFonts w:eastAsia="Times New Roman"/>
        </w:rPr>
      </w:pPr>
      <w:r>
        <w:rPr>
          <w:rFonts w:eastAsia="Times New Roman"/>
          <w:color w:val="000000"/>
          <w:sz w:val="20"/>
          <w:szCs w:val="20"/>
        </w:rPr>
        <w:t> </w:t>
      </w:r>
    </w:p>
    <w:p w:rsidR="00000000" w:rsidRDefault="004D26FD">
      <w:pPr>
        <w:jc w:val="center"/>
        <w:rPr>
          <w:rFonts w:eastAsia="Times New Roman"/>
        </w:rPr>
      </w:pPr>
      <w:r>
        <w:rPr>
          <w:rFonts w:eastAsia="Times New Roman"/>
          <w:color w:val="000000"/>
          <w:sz w:val="20"/>
          <w:szCs w:val="20"/>
        </w:rPr>
        <w:t>The accompanying notes are an integral part of these unaudited Consolidated Financial Statements</w:t>
      </w:r>
      <w:r>
        <w:rPr>
          <w:rFonts w:eastAsia="Times New Roman"/>
          <w:color w:val="000000"/>
          <w:sz w:val="20"/>
          <w:szCs w:val="20"/>
        </w:rPr>
        <w:t>.</w:t>
      </w:r>
    </w:p>
    <w:p w:rsidR="00000000" w:rsidRDefault="004D26FD">
      <w:pPr>
        <w:ind w:firstLine="720"/>
        <w:jc w:val="both"/>
        <w:rPr>
          <w:rFonts w:eastAsia="Times New Roman"/>
        </w:rPr>
      </w:pPr>
    </w:p>
    <w:p w:rsidR="00000000" w:rsidRDefault="004D26FD">
      <w:pPr>
        <w:ind w:firstLine="720"/>
        <w:jc w:val="both"/>
        <w:rPr>
          <w:rFonts w:eastAsia="Times New Roman"/>
        </w:rPr>
      </w:pPr>
    </w:p>
    <w:p w:rsidR="00000000" w:rsidRDefault="004D26FD">
      <w:pPr>
        <w:jc w:val="center"/>
        <w:divId w:val="1963145341"/>
        <w:rPr>
          <w:rFonts w:eastAsia="Times New Roman"/>
        </w:rPr>
      </w:pPr>
      <w:r>
        <w:rPr>
          <w:rFonts w:eastAsia="Times New Roman"/>
          <w:color w:val="000000"/>
          <w:sz w:val="20"/>
          <w:szCs w:val="20"/>
        </w:rPr>
        <w:t>5</w:t>
      </w:r>
    </w:p>
    <w:p w:rsidR="00000000" w:rsidRDefault="004D26FD">
      <w:pPr>
        <w:rPr>
          <w:rFonts w:eastAsia="Times New Roman"/>
        </w:rPr>
      </w:pPr>
      <w:r>
        <w:rPr>
          <w:rFonts w:eastAsia="Times New Roman"/>
        </w:rPr>
        <w:pict>
          <v:rect id="_x0000_i1033" style="width:0;height:1.5pt" o:hralign="center" o:hrstd="t" o:hr="t" fillcolor="#a0a0a0" stroked="f"/>
        </w:pict>
      </w:r>
    </w:p>
    <w:p w:rsidR="00000000" w:rsidRDefault="004D26FD">
      <w:pPr>
        <w:divId w:val="15624849"/>
        <w:rPr>
          <w:rFonts w:eastAsia="Times New Roman"/>
        </w:rPr>
      </w:pPr>
    </w:p>
    <w:p w:rsidR="00000000" w:rsidRDefault="004D26FD">
      <w:pPr>
        <w:jc w:val="both"/>
        <w:rPr>
          <w:rFonts w:eastAsia="Times New Roman"/>
        </w:rPr>
      </w:pPr>
      <w:r>
        <w:rPr>
          <w:rFonts w:eastAsia="Times New Roman"/>
          <w:b/>
          <w:bCs/>
          <w:color w:val="000000"/>
          <w:sz w:val="20"/>
          <w:szCs w:val="20"/>
        </w:rPr>
        <w:t>Supplemental Schedule of Noncash Investing and Financing Activities</w:t>
      </w:r>
      <w:r>
        <w:rPr>
          <w:rFonts w:eastAsia="Times New Roman"/>
          <w:b/>
          <w:bCs/>
          <w:color w:val="000000"/>
          <w:sz w:val="20"/>
          <w:szCs w:val="20"/>
        </w:rPr>
        <w:t>:</w:t>
      </w:r>
    </w:p>
    <w:p w:rsidR="00000000" w:rsidRDefault="004D26FD">
      <w:pPr>
        <w:ind w:firstLine="720"/>
        <w:jc w:val="both"/>
        <w:rPr>
          <w:rFonts w:eastAsia="Times New Roman"/>
        </w:rPr>
      </w:pPr>
      <w:r>
        <w:rPr>
          <w:rFonts w:eastAsia="Times New Roman"/>
          <w:color w:val="000000"/>
          <w:sz w:val="20"/>
          <w:szCs w:val="20"/>
        </w:rPr>
        <w:t> </w:t>
      </w:r>
    </w:p>
    <w:p w:rsidR="00000000" w:rsidRDefault="004D26FD">
      <w:pPr>
        <w:jc w:val="both"/>
        <w:rPr>
          <w:rFonts w:eastAsia="Times New Roman"/>
        </w:rPr>
      </w:pPr>
      <w:r>
        <w:rPr>
          <w:rFonts w:eastAsia="Times New Roman"/>
          <w:color w:val="000000"/>
          <w:sz w:val="20"/>
          <w:szCs w:val="20"/>
        </w:rPr>
        <w:t>1. Cash dividend</w:t>
      </w:r>
      <w:r>
        <w:rPr>
          <w:rFonts w:eastAsia="Times New Roman"/>
          <w:color w:val="000000"/>
          <w:sz w:val="20"/>
          <w:szCs w:val="20"/>
        </w:rPr>
        <w:t>s</w:t>
      </w:r>
      <w:r>
        <w:rPr>
          <w:rFonts w:eastAsia="Times New Roman"/>
          <w:color w:val="000000"/>
          <w:sz w:val="20"/>
          <w:szCs w:val="20"/>
          <w:shd w:val="clear" w:color="auto" w:fill="FFFFFF"/>
        </w:rPr>
        <w:t xml:space="preserve"> declared, but not yet pai</w:t>
      </w:r>
      <w:r>
        <w:rPr>
          <w:rFonts w:eastAsia="Times New Roman"/>
          <w:color w:val="000000"/>
          <w:sz w:val="20"/>
          <w:szCs w:val="20"/>
          <w:shd w:val="clear" w:color="auto" w:fill="FFFFFF"/>
        </w:rPr>
        <w:t>d, were $6.3 million and $6.6 million for the six months ended June 30, 2020 and 2019, respectively.</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shd w:val="clear" w:color="auto" w:fill="FFFFFF"/>
        </w:rPr>
        <w:t>2. Deferred consideration and other transactions for the acquisition of a business and assets were $38.9 million as of June 30, 2020.</w:t>
      </w:r>
    </w:p>
    <w:p w:rsidR="00000000" w:rsidRDefault="004D26FD">
      <w:pPr>
        <w:jc w:val="both"/>
        <w:rPr>
          <w:rFonts w:eastAsia="Times New Roman"/>
        </w:rPr>
      </w:pPr>
    </w:p>
    <w:p w:rsidR="00000000" w:rsidRDefault="004D26FD">
      <w:pPr>
        <w:jc w:val="center"/>
        <w:rPr>
          <w:rFonts w:eastAsia="Times New Roman"/>
        </w:rPr>
      </w:pPr>
      <w:r>
        <w:rPr>
          <w:rFonts w:eastAsia="Times New Roman"/>
          <w:color w:val="000000"/>
          <w:sz w:val="20"/>
          <w:szCs w:val="20"/>
        </w:rPr>
        <w:t xml:space="preserve">The accompanying </w:t>
      </w:r>
      <w:r>
        <w:rPr>
          <w:rFonts w:eastAsia="Times New Roman"/>
          <w:color w:val="000000"/>
          <w:sz w:val="20"/>
          <w:szCs w:val="20"/>
        </w:rPr>
        <w:t>notes are an integral part of these unaudited Consolidated Financial Statements</w:t>
      </w:r>
      <w:r>
        <w:rPr>
          <w:rFonts w:eastAsia="Times New Roman"/>
          <w:color w:val="000000"/>
          <w:sz w:val="20"/>
          <w:szCs w:val="20"/>
        </w:rPr>
        <w:t>.</w:t>
      </w:r>
    </w:p>
    <w:p w:rsidR="00000000" w:rsidRDefault="004D26FD">
      <w:pPr>
        <w:jc w:val="center"/>
        <w:divId w:val="250048325"/>
        <w:rPr>
          <w:rFonts w:eastAsia="Times New Roman"/>
        </w:rPr>
      </w:pPr>
    </w:p>
    <w:p w:rsidR="00000000" w:rsidRDefault="004D26FD">
      <w:pPr>
        <w:jc w:val="center"/>
        <w:divId w:val="1640726507"/>
        <w:rPr>
          <w:rFonts w:eastAsia="Times New Roman"/>
        </w:rPr>
      </w:pPr>
      <w:r>
        <w:rPr>
          <w:rFonts w:eastAsia="Times New Roman"/>
          <w:color w:val="000000"/>
          <w:sz w:val="20"/>
          <w:szCs w:val="20"/>
        </w:rPr>
        <w:t>6</w:t>
      </w:r>
    </w:p>
    <w:p w:rsidR="00000000" w:rsidRDefault="004D26FD">
      <w:pPr>
        <w:rPr>
          <w:rFonts w:eastAsia="Times New Roman"/>
        </w:rPr>
      </w:pPr>
      <w:r>
        <w:rPr>
          <w:rFonts w:eastAsia="Times New Roman"/>
        </w:rPr>
        <w:pict>
          <v:rect id="_x0000_i1034" style="width:0;height:1.5pt" o:hralign="center" o:hrstd="t" o:hr="t" fillcolor="#a0a0a0" stroked="f"/>
        </w:pict>
      </w:r>
    </w:p>
    <w:p w:rsidR="00000000" w:rsidRDefault="004D26FD">
      <w:pPr>
        <w:divId w:val="1489592014"/>
        <w:rPr>
          <w:rFonts w:eastAsia="Times New Roman"/>
        </w:rPr>
      </w:pPr>
    </w:p>
    <w:p w:rsidR="00000000" w:rsidRDefault="004D26FD">
      <w:pPr>
        <w:jc w:val="center"/>
        <w:rPr>
          <w:rFonts w:eastAsia="Times New Roman"/>
        </w:rPr>
      </w:pPr>
      <w:r>
        <w:rPr>
          <w:rFonts w:eastAsia="Times New Roman"/>
          <w:b/>
          <w:bCs/>
          <w:color w:val="000000"/>
          <w:sz w:val="20"/>
          <w:szCs w:val="20"/>
        </w:rPr>
        <w:t>World Fuel Services Corporatio</w:t>
      </w:r>
      <w:r>
        <w:rPr>
          <w:rFonts w:eastAsia="Times New Roman"/>
          <w:b/>
          <w:bCs/>
          <w:color w:val="000000"/>
          <w:sz w:val="20"/>
          <w:szCs w:val="20"/>
        </w:rPr>
        <w:t>n</w:t>
      </w:r>
    </w:p>
    <w:p w:rsidR="00000000" w:rsidRDefault="004D26FD">
      <w:pPr>
        <w:jc w:val="center"/>
        <w:rPr>
          <w:rFonts w:eastAsia="Times New Roman"/>
        </w:rPr>
      </w:pPr>
      <w:r>
        <w:rPr>
          <w:rFonts w:eastAsia="Times New Roman"/>
          <w:b/>
          <w:bCs/>
          <w:color w:val="000000"/>
          <w:sz w:val="20"/>
          <w:szCs w:val="20"/>
        </w:rPr>
        <w:t>Notes to the Consolidated Financial Statement</w:t>
      </w:r>
      <w:r>
        <w:rPr>
          <w:rFonts w:eastAsia="Times New Roman"/>
          <w:b/>
          <w:bCs/>
          <w:color w:val="000000"/>
          <w:sz w:val="20"/>
          <w:szCs w:val="20"/>
        </w:rPr>
        <w:t>s</w:t>
      </w:r>
    </w:p>
    <w:p w:rsidR="00000000" w:rsidRDefault="004D26FD">
      <w:pPr>
        <w:jc w:val="center"/>
        <w:rPr>
          <w:rFonts w:eastAsia="Times New Roman"/>
        </w:rPr>
      </w:pPr>
      <w:r>
        <w:rPr>
          <w:rFonts w:eastAsia="Times New Roman"/>
          <w:color w:val="000000"/>
          <w:sz w:val="20"/>
          <w:szCs w:val="20"/>
        </w:rPr>
        <w:t>(Unaudited)</w:t>
      </w:r>
      <w:r>
        <w:rPr>
          <w:rFonts w:eastAsia="Times New Roman"/>
          <w:color w:val="000000"/>
          <w:sz w:val="20"/>
          <w:szCs w:val="20"/>
        </w:rPr>
        <w:t> </w:t>
      </w:r>
    </w:p>
    <w:p w:rsidR="00000000" w:rsidRDefault="004D26FD">
      <w:pPr>
        <w:jc w:val="both"/>
        <w:rPr>
          <w:rFonts w:eastAsia="Times New Roman"/>
        </w:rPr>
      </w:pPr>
    </w:p>
    <w:p w:rsidR="00000000" w:rsidRDefault="004D26FD">
      <w:pPr>
        <w:jc w:val="both"/>
        <w:rPr>
          <w:rFonts w:eastAsia="Times New Roman"/>
        </w:rPr>
      </w:pPr>
      <w:r>
        <w:rPr>
          <w:rFonts w:eastAsia="Times New Roman"/>
          <w:b/>
          <w:bCs/>
          <w:color w:val="000000"/>
          <w:sz w:val="20"/>
          <w:szCs w:val="20"/>
        </w:rPr>
        <w:t xml:space="preserve">1. </w:t>
      </w:r>
      <w:r>
        <w:rPr>
          <w:rFonts w:eastAsia="Times New Roman"/>
          <w:b/>
          <w:bCs/>
          <w:color w:val="000000"/>
          <w:sz w:val="20"/>
          <w:szCs w:val="20"/>
        </w:rPr>
        <w:t>Basis of Presentation and Significant Accounting Policie</w:t>
      </w:r>
      <w:r>
        <w:rPr>
          <w:rFonts w:eastAsia="Times New Roman"/>
          <w:b/>
          <w:bCs/>
          <w:color w:val="000000"/>
          <w:sz w:val="20"/>
          <w:szCs w:val="20"/>
        </w:rPr>
        <w:t>s</w:t>
      </w:r>
    </w:p>
    <w:p w:rsidR="00000000" w:rsidRDefault="004D26FD">
      <w:pPr>
        <w:ind w:firstLine="1080"/>
        <w:jc w:val="both"/>
        <w:rPr>
          <w:rFonts w:eastAsia="Times New Roman"/>
        </w:rPr>
      </w:pPr>
      <w:r>
        <w:rPr>
          <w:rFonts w:eastAsia="Times New Roman"/>
          <w:color w:val="000000"/>
          <w:sz w:val="20"/>
          <w:szCs w:val="20"/>
        </w:rPr>
        <w:t> </w:t>
      </w:r>
    </w:p>
    <w:p w:rsidR="00000000" w:rsidRDefault="004D26FD">
      <w:pPr>
        <w:jc w:val="both"/>
        <w:rPr>
          <w:rFonts w:eastAsia="Times New Roman"/>
        </w:rPr>
      </w:pPr>
      <w:r>
        <w:rPr>
          <w:rFonts w:eastAsia="Times New Roman"/>
          <w:b/>
          <w:bCs/>
          <w:color w:val="000000"/>
          <w:sz w:val="20"/>
          <w:szCs w:val="20"/>
        </w:rPr>
        <w:t>        Genera</w:t>
      </w:r>
      <w:r>
        <w:rPr>
          <w:rFonts w:eastAsia="Times New Roman"/>
          <w:b/>
          <w:bCs/>
          <w:color w:val="000000"/>
          <w:sz w:val="20"/>
          <w:szCs w:val="20"/>
        </w:rPr>
        <w:t>l</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World Fuel Services Corporation (the “Company”</w:t>
      </w:r>
      <w:r>
        <w:rPr>
          <w:rFonts w:eastAsia="Times New Roman"/>
          <w:color w:val="000000"/>
          <w:sz w:val="20"/>
          <w:szCs w:val="20"/>
        </w:rPr>
        <w:t>) was incorporated in Florida in July 1984 and along with its consolidated subsidiaries is referred to collectively in this Quarterly Report on Form 10-Q (“10-Q Report”) as “World Fuel,” “we,” “our” and “us.”</w:t>
      </w:r>
      <w:r>
        <w:rPr>
          <w:rFonts w:eastAsia="Times New Roman"/>
          <w:color w:val="000000"/>
          <w:sz w:val="20"/>
          <w:szCs w:val="20"/>
        </w:rPr>
        <w:t xml:space="preserve"> </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We are a leading global fuel service</w:t>
      </w:r>
      <w:r>
        <w:rPr>
          <w:rFonts w:eastAsia="Times New Roman"/>
          <w:color w:val="000000"/>
          <w:sz w:val="20"/>
          <w:szCs w:val="20"/>
        </w:rPr>
        <w:t>s company, principally engaged in the distribution of fuel and related products and services in the aviation, marine and land transportation industries. In recent years, we have expanded our product and service offerings to include energy advisory services</w:t>
      </w:r>
      <w:r>
        <w:rPr>
          <w:rFonts w:eastAsia="Times New Roman"/>
          <w:color w:val="000000"/>
          <w:sz w:val="20"/>
          <w:szCs w:val="20"/>
        </w:rPr>
        <w:t xml:space="preserve"> and supply fulfillment with respect to natural gas and power and transaction and payment management solutions to commercial and industrial customers. Our intention is to become a leading global energy management company offering a full suite of energy adv</w:t>
      </w:r>
      <w:r>
        <w:rPr>
          <w:rFonts w:eastAsia="Times New Roman"/>
          <w:color w:val="000000"/>
          <w:sz w:val="20"/>
          <w:szCs w:val="20"/>
        </w:rPr>
        <w:t>isory, management and fulfillment services, technology solutions as well as sustainability products and services across the energy product spectrum. We also offer payment management solutions to commercial and industrial customers, principally in the aviat</w:t>
      </w:r>
      <w:r>
        <w:rPr>
          <w:rFonts w:eastAsia="Times New Roman"/>
          <w:color w:val="000000"/>
          <w:sz w:val="20"/>
          <w:szCs w:val="20"/>
        </w:rPr>
        <w:t>ion, land and marine transportation industries. We will continue to focus on enhancing the portfolio of products and services we provide based on changes in customer demand, including sustainability offerings and renewable fuel products</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We prepared our </w:t>
      </w:r>
      <w:r>
        <w:rPr>
          <w:rFonts w:eastAsia="Times New Roman"/>
          <w:color w:val="000000"/>
          <w:sz w:val="20"/>
          <w:szCs w:val="20"/>
        </w:rPr>
        <w:t xml:space="preserve">Consolidated Financial Statements following the requirements of the United States (“U.S.”) Securities and Exchange Commission (“SEC”) for interim reporting. As permitted under those rules, certain footnotes or other financial information that are normally </w:t>
      </w:r>
      <w:r>
        <w:rPr>
          <w:rFonts w:eastAsia="Times New Roman"/>
          <w:color w:val="000000"/>
          <w:sz w:val="20"/>
          <w:szCs w:val="20"/>
        </w:rPr>
        <w:t>required by accounting principles generally accepted in the U.S. (“U.S. GAAP”) can be condensed or omitted.</w:t>
      </w:r>
      <w:r>
        <w:rPr>
          <w:rFonts w:eastAsia="Times New Roman"/>
          <w:color w:val="000000"/>
          <w:sz w:val="20"/>
          <w:szCs w:val="20"/>
        </w:rPr>
        <w:t xml:space="preserve"> </w:t>
      </w:r>
    </w:p>
    <w:p w:rsidR="00000000" w:rsidRDefault="004D26FD">
      <w:pPr>
        <w:ind w:firstLine="108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Revenues, expenses, assets and liabilities can vary during each quarter of the year. Therefore, the results and trends in these interim financial</w:t>
      </w:r>
      <w:r>
        <w:rPr>
          <w:rFonts w:eastAsia="Times New Roman"/>
          <w:color w:val="000000"/>
          <w:sz w:val="20"/>
          <w:szCs w:val="20"/>
        </w:rPr>
        <w:t xml:space="preserve"> statements may not be representative of those for the full year. In our opinion, all adjustments necessary for a fair statement of the financial statements, which are of a normal and recurring nature, have been made for the interim periods reported. The i</w:t>
      </w:r>
      <w:r>
        <w:rPr>
          <w:rFonts w:eastAsia="Times New Roman"/>
          <w:color w:val="000000"/>
          <w:sz w:val="20"/>
          <w:szCs w:val="20"/>
        </w:rPr>
        <w:t>nformation included in this 10-Q Report should be read in conjunction with the Consolidated Financial Statements and accompanying notes included in our 2019 Annual Report on Form 10-K (“2019 10-K Report”). Certain amounts in the Consolidated Financial Stat</w:t>
      </w:r>
      <w:r>
        <w:rPr>
          <w:rFonts w:eastAsia="Times New Roman"/>
          <w:color w:val="000000"/>
          <w:sz w:val="20"/>
          <w:szCs w:val="20"/>
        </w:rPr>
        <w:t>ements and accompanying notes may not add due to rounding. All percentages have been calculated using unrounded amounts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COVID-1</w:t>
      </w:r>
      <w:r>
        <w:rPr>
          <w:rFonts w:eastAsia="Times New Roman"/>
          <w:b/>
          <w:bCs/>
          <w:color w:val="000000"/>
          <w:sz w:val="20"/>
          <w:szCs w:val="20"/>
        </w:rPr>
        <w:t>9</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outbreak of COVID-19, which was declared a pandemic by the World Health Organization in March 2020, has created signif</w:t>
      </w:r>
      <w:r>
        <w:rPr>
          <w:rFonts w:eastAsia="Times New Roman"/>
          <w:color w:val="000000"/>
          <w:sz w:val="20"/>
          <w:szCs w:val="20"/>
        </w:rPr>
        <w:t>icant volatility, uncertainty and disruption in the global economy. The rapid spread of the virus has caused governments around the world to implement stringent measures to help control its spread, including, without limitation, quarantines, “stay-at-home”</w:t>
      </w:r>
      <w:r>
        <w:rPr>
          <w:rFonts w:eastAsia="Times New Roman"/>
          <w:color w:val="000000"/>
          <w:sz w:val="20"/>
          <w:szCs w:val="20"/>
        </w:rPr>
        <w:t xml:space="preserve"> or “shelter-in-place” orders, social-distancing mandates, travel restrictions, and closures or reduced operations for businesses, governmental agencies, schools and other institutions, among others.</w:t>
      </w:r>
      <w:r>
        <w:rPr>
          <w:rFonts w:eastAsia="Times New Roman"/>
          <w:color w:val="000000"/>
          <w:sz w:val="20"/>
          <w:szCs w:val="20"/>
        </w:rPr>
        <w:t xml:space="preserve"> </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Beginning in the quarterly period ended March 31, 202</w:t>
      </w:r>
      <w:r>
        <w:rPr>
          <w:rFonts w:eastAsia="Times New Roman"/>
          <w:color w:val="000000"/>
          <w:sz w:val="20"/>
          <w:szCs w:val="20"/>
        </w:rPr>
        <w:t>0, the aviation, marine and land transportation industries, along with global economic conditions generally, have been significantly disrupted by the pandemic. A large number of our customers in these industries have experienced substantial reductions in t</w:t>
      </w:r>
      <w:r>
        <w:rPr>
          <w:rFonts w:eastAsia="Times New Roman"/>
          <w:color w:val="000000"/>
          <w:sz w:val="20"/>
          <w:szCs w:val="20"/>
        </w:rPr>
        <w:t>heir operations due to travel restrictions and stay-at-home orders, as well as the extended shutdown of various businesses in affected regions. Furthermore, government measures also led to a precipitous decline and historic volatility in fuel prices in res</w:t>
      </w:r>
      <w:r>
        <w:rPr>
          <w:rFonts w:eastAsia="Times New Roman"/>
          <w:color w:val="000000"/>
          <w:sz w:val="20"/>
          <w:szCs w:val="20"/>
        </w:rPr>
        <w:t xml:space="preserve">ponse to concerns about demand for fuel, further exacerbated by recent disagreements regarding crude oil production levels between the Organization of Petroleum Exporting Countries ("OPEC") members and other oil-producing countries such as Russia, as well </w:t>
      </w:r>
      <w:r>
        <w:rPr>
          <w:rFonts w:eastAsia="Times New Roman"/>
          <w:color w:val="000000"/>
          <w:sz w:val="20"/>
          <w:szCs w:val="20"/>
        </w:rPr>
        <w:t>as related global storage considerations. In response to these developments, in March 2020, we took swift action to ensure the safety of our employees and other stakeholders and initiated a number of initiatives relating to cost reduction, liquidity and op</w:t>
      </w:r>
      <w:r>
        <w:rPr>
          <w:rFonts w:eastAsia="Times New Roman"/>
          <w:color w:val="000000"/>
          <w:sz w:val="20"/>
          <w:szCs w:val="20"/>
        </w:rPr>
        <w:t>erating efficiencies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divId w:val="1418748637"/>
        <w:rPr>
          <w:rFonts w:eastAsia="Times New Roman"/>
        </w:rPr>
      </w:pPr>
      <w:r>
        <w:rPr>
          <w:rFonts w:eastAsia="Times New Roman"/>
          <w:color w:val="000000"/>
          <w:sz w:val="20"/>
          <w:szCs w:val="20"/>
        </w:rPr>
        <w:t>While the pandemic and associated impacts on economic activity had a limited adverse effect on our results of operations and financial condition for the first quarter of 2020, we have since seen a sharp decline in demand and related</w:t>
      </w:r>
      <w:r>
        <w:rPr>
          <w:rFonts w:eastAsia="Times New Roman"/>
          <w:color w:val="000000"/>
          <w:sz w:val="20"/>
          <w:szCs w:val="20"/>
        </w:rPr>
        <w:t xml:space="preserve"> sales as large sectors of the global economy have been adversely impacted by the crisis. Accordingly, our results of operations during the second quarter of 2020 were significantly impacted due to the effects of the pandemic. As a result, during the secon</w:t>
      </w:r>
      <w:r>
        <w:rPr>
          <w:rFonts w:eastAsia="Times New Roman"/>
          <w:color w:val="000000"/>
          <w:sz w:val="20"/>
          <w:szCs w:val="20"/>
        </w:rPr>
        <w:t>d quarter of 2020, we took additional steps and expanded the restructuring of our operations to include the rationalization of our global office footprint, including the transition of select offices to smaller or more cost-effective locations.</w:t>
      </w:r>
      <w:r>
        <w:rPr>
          <w:rFonts w:eastAsia="Times New Roman"/>
          <w:color w:val="000000"/>
          <w:sz w:val="20"/>
          <w:szCs w:val="20"/>
        </w:rPr>
        <w:t xml:space="preserve"> </w:t>
      </w:r>
    </w:p>
    <w:p w:rsidR="00000000" w:rsidRDefault="004D26FD">
      <w:pPr>
        <w:jc w:val="center"/>
        <w:divId w:val="1568807633"/>
        <w:rPr>
          <w:rFonts w:eastAsia="Times New Roman"/>
        </w:rPr>
      </w:pPr>
      <w:r>
        <w:rPr>
          <w:rFonts w:eastAsia="Times New Roman"/>
          <w:color w:val="000000"/>
          <w:sz w:val="20"/>
          <w:szCs w:val="20"/>
        </w:rPr>
        <w:t>7</w:t>
      </w:r>
    </w:p>
    <w:p w:rsidR="00000000" w:rsidRDefault="004D26FD">
      <w:pPr>
        <w:rPr>
          <w:rFonts w:eastAsia="Times New Roman"/>
        </w:rPr>
      </w:pPr>
      <w:r>
        <w:rPr>
          <w:rFonts w:eastAsia="Times New Roman"/>
        </w:rPr>
        <w:pict>
          <v:rect id="_x0000_i1035" style="width:0;height:1.5pt" o:hralign="center" o:hrstd="t" o:hr="t" fillcolor="#a0a0a0" stroked="f"/>
        </w:pict>
      </w:r>
    </w:p>
    <w:p w:rsidR="00000000" w:rsidRDefault="004D26FD">
      <w:pPr>
        <w:divId w:val="1514764538"/>
        <w:rPr>
          <w:rFonts w:eastAsia="Times New Roman"/>
        </w:rPr>
      </w:pP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We make estimates and assumptions that affect the reported amounts on our financial statements and accompanying notes as of the date of the financial statements. We assessed accounting estimates that require consideration of</w:t>
      </w:r>
      <w:r>
        <w:rPr>
          <w:rFonts w:eastAsia="Times New Roman"/>
          <w:color w:val="000000"/>
          <w:sz w:val="20"/>
          <w:szCs w:val="20"/>
        </w:rPr>
        <w:t xml:space="preserve"> forecasted financial information, including, but not limited to, our allowance for credit losses, the carrying value of our goodwill, intangible assets, and other long-lived assets. This assessment was conducted in the context of information reasonably av</w:t>
      </w:r>
      <w:r>
        <w:rPr>
          <w:rFonts w:eastAsia="Times New Roman"/>
          <w:color w:val="000000"/>
          <w:sz w:val="20"/>
          <w:szCs w:val="20"/>
        </w:rPr>
        <w:t>ailable to us, as well as our consideration of the future potential impacts of COVID-19 on our business as of June 30, 2020. At this time, we are unable to predict with specificity the ultimate impact of the crisis, as it will depend on the magnitude, seve</w:t>
      </w:r>
      <w:r>
        <w:rPr>
          <w:rFonts w:eastAsia="Times New Roman"/>
          <w:color w:val="000000"/>
          <w:sz w:val="20"/>
          <w:szCs w:val="20"/>
        </w:rPr>
        <w:t>rity and duration of the pandemic, as well as how quickly, and to what extent, normal economic and operating conditions resume on a sustainable basis globally. Accordingly, if the impact is more severe or longer in duration than we have assumed, such impac</w:t>
      </w:r>
      <w:r>
        <w:rPr>
          <w:rFonts w:eastAsia="Times New Roman"/>
          <w:color w:val="000000"/>
          <w:sz w:val="20"/>
          <w:szCs w:val="20"/>
        </w:rPr>
        <w:t>t could potentially result in additional impairments and increases in credit allowances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Significant Accounting Policie</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jc w:val="both"/>
        <w:rPr>
          <w:rFonts w:eastAsia="Times New Roman"/>
        </w:rPr>
      </w:pPr>
      <w:r>
        <w:rPr>
          <w:rFonts w:eastAsia="Times New Roman"/>
          <w:color w:val="000000"/>
          <w:sz w:val="20"/>
          <w:szCs w:val="20"/>
        </w:rPr>
        <w:t>        There have been no significant changes, other than those related to the adopted new accounting standards below, in the Comp</w:t>
      </w:r>
      <w:r>
        <w:rPr>
          <w:rFonts w:eastAsia="Times New Roman"/>
          <w:color w:val="000000"/>
          <w:sz w:val="20"/>
          <w:szCs w:val="20"/>
        </w:rPr>
        <w:t>any's accounting policies from those disclosed in our 2019 10-K Report. The significant accounting policies we use for quarterly financial reporting are disclosed in Note 1. Basis of Presentation, New Accounting Standards and Significant Accounting Policie</w:t>
      </w:r>
      <w:r>
        <w:rPr>
          <w:rFonts w:eastAsia="Times New Roman"/>
          <w:color w:val="000000"/>
          <w:sz w:val="20"/>
          <w:szCs w:val="20"/>
        </w:rPr>
        <w:t>s of the accompanying notes to the Consolidated Financial Statements included in our 2019 10-K Report, and in the section below Adoption of New Accounting Standards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divId w:val="2114083834"/>
        <w:rPr>
          <w:rFonts w:eastAsia="Times New Roman"/>
        </w:rPr>
      </w:pPr>
      <w:r>
        <w:rPr>
          <w:rFonts w:eastAsia="Times New Roman"/>
          <w:b/>
          <w:bCs/>
          <w:color w:val="000000"/>
          <w:sz w:val="20"/>
          <w:szCs w:val="20"/>
        </w:rPr>
        <w:t>Adoption of New Accounting Standard</w:t>
      </w:r>
      <w:r>
        <w:rPr>
          <w:rFonts w:eastAsia="Times New Roman"/>
          <w:b/>
          <w:bCs/>
          <w:color w:val="000000"/>
          <w:sz w:val="20"/>
          <w:szCs w:val="20"/>
        </w:rPr>
        <w:t>s</w:t>
      </w:r>
    </w:p>
    <w:p w:rsidR="00000000" w:rsidRDefault="004D26FD">
      <w:pPr>
        <w:ind w:firstLine="360"/>
        <w:jc w:val="both"/>
        <w:rPr>
          <w:rFonts w:eastAsia="Times New Roman"/>
        </w:rPr>
      </w:pPr>
      <w:r>
        <w:rPr>
          <w:rFonts w:eastAsia="Times New Roman"/>
          <w:color w:val="000000"/>
          <w:sz w:val="20"/>
          <w:szCs w:val="20"/>
        </w:rPr>
        <w:t>We included below a description of recent new accounting standards or accounting standards updates that had an impact on the Company’s Consolidated Financial Statements. New accounting standards or accounting standards updates not listed below were assesse</w:t>
      </w:r>
      <w:r>
        <w:rPr>
          <w:rFonts w:eastAsia="Times New Roman"/>
          <w:color w:val="000000"/>
          <w:sz w:val="20"/>
          <w:szCs w:val="20"/>
        </w:rPr>
        <w:t>d and determined to be either not applicable or did not have a material impact on the Company’s Consolidated Financial Statements or processes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divId w:val="970093625"/>
        <w:rPr>
          <w:rFonts w:eastAsia="Times New Roman"/>
        </w:rPr>
      </w:pPr>
      <w:r>
        <w:rPr>
          <w:rFonts w:eastAsia="Times New Roman"/>
          <w:i/>
          <w:iCs/>
          <w:color w:val="000000"/>
          <w:sz w:val="20"/>
          <w:szCs w:val="20"/>
        </w:rPr>
        <w:t>Financial Instruments-Credit Losses (Topic 326): Measurement of Credit Losses on Financial Instruments</w:t>
      </w:r>
      <w:r>
        <w:rPr>
          <w:rFonts w:eastAsia="Times New Roman"/>
          <w:i/>
          <w:iCs/>
          <w:color w:val="000000"/>
          <w:sz w:val="20"/>
          <w:szCs w:val="20"/>
        </w:rPr>
        <w:t>.</w:t>
      </w:r>
      <w:r>
        <w:rPr>
          <w:rFonts w:eastAsia="Times New Roman"/>
          <w:color w:val="000000"/>
          <w:sz w:val="20"/>
          <w:szCs w:val="20"/>
        </w:rPr>
        <w:t xml:space="preserve"> In Jun</w:t>
      </w:r>
      <w:r>
        <w:rPr>
          <w:rFonts w:eastAsia="Times New Roman"/>
          <w:color w:val="000000"/>
          <w:sz w:val="20"/>
          <w:szCs w:val="20"/>
        </w:rPr>
        <w:t>e 2016, Accounting Standards Update ("ASU") 2016-13 was issued, which replaced the incurred loss impairment model with a model that reflects expected credit losses over the lifetime of the asset and requires consideration of a broader range of reasonable a</w:t>
      </w:r>
      <w:r>
        <w:rPr>
          <w:rFonts w:eastAsia="Times New Roman"/>
          <w:color w:val="000000"/>
          <w:sz w:val="20"/>
          <w:szCs w:val="20"/>
        </w:rPr>
        <w:t>nd supportable information to determine credit loss estimates. The guidance in this update, including the subsequent related codification amendments, changed how entities account for credit impairment from trade and other receivables, net investments arisi</w:t>
      </w:r>
      <w:r>
        <w:rPr>
          <w:rFonts w:eastAsia="Times New Roman"/>
          <w:color w:val="000000"/>
          <w:sz w:val="20"/>
          <w:szCs w:val="20"/>
        </w:rPr>
        <w:t>ng from sales-type and direct financing leases, debt securities, purchased-credit impaired financial assets and other instruments in addition to loans. For receivables and certain other instruments that are not measured at fair value, entities are required</w:t>
      </w:r>
      <w:r>
        <w:rPr>
          <w:rFonts w:eastAsia="Times New Roman"/>
          <w:color w:val="000000"/>
          <w:sz w:val="20"/>
          <w:szCs w:val="20"/>
        </w:rPr>
        <w:t xml:space="preserve"> to estimate expected credit losses. Under the expected loss model, an entity recognizes a loss upon initial recognition of the asset that reflects all future events that could lead to a loss being realized, regardless of whether it is probable that the fu</w:t>
      </w:r>
      <w:r>
        <w:rPr>
          <w:rFonts w:eastAsia="Times New Roman"/>
          <w:color w:val="000000"/>
          <w:sz w:val="20"/>
          <w:szCs w:val="20"/>
        </w:rPr>
        <w:t>ture event will occur</w:t>
      </w:r>
      <w:r>
        <w:rPr>
          <w:rFonts w:eastAsia="Times New Roman"/>
          <w:color w:val="000000"/>
          <w:sz w:val="20"/>
          <w:szCs w:val="20"/>
        </w:rPr>
        <w:t>.</w:t>
      </w:r>
    </w:p>
    <w:p w:rsidR="00000000" w:rsidRDefault="004D26FD">
      <w:pPr>
        <w:ind w:firstLine="360"/>
        <w:jc w:val="both"/>
        <w:divId w:val="1370229250"/>
        <w:rPr>
          <w:rFonts w:eastAsia="Times New Roman"/>
        </w:rPr>
      </w:pPr>
      <w:r>
        <w:rPr>
          <w:rFonts w:eastAsia="Times New Roman"/>
          <w:color w:val="000000"/>
          <w:sz w:val="20"/>
          <w:szCs w:val="20"/>
        </w:rPr>
        <w:t>The Company adopted</w:t>
      </w:r>
      <w:r>
        <w:rPr>
          <w:rFonts w:eastAsia="Times New Roman"/>
          <w:color w:val="000000"/>
          <w:sz w:val="20"/>
          <w:szCs w:val="20"/>
        </w:rPr>
        <w:t xml:space="preserve"> </w:t>
      </w:r>
      <w:r>
        <w:rPr>
          <w:rFonts w:eastAsia="Times New Roman"/>
          <w:color w:val="000000"/>
          <w:sz w:val="20"/>
          <w:szCs w:val="20"/>
        </w:rPr>
        <w:t>ASU 2016-1</w:t>
      </w:r>
      <w:r>
        <w:rPr>
          <w:rFonts w:eastAsia="Times New Roman"/>
          <w:color w:val="000000"/>
          <w:sz w:val="20"/>
          <w:szCs w:val="20"/>
        </w:rPr>
        <w:t>3</w:t>
      </w:r>
      <w:r>
        <w:rPr>
          <w:rFonts w:eastAsia="Times New Roman"/>
          <w:color w:val="000000"/>
          <w:sz w:val="20"/>
          <w:szCs w:val="20"/>
        </w:rPr>
        <w:t>, including the related codification amendments, in the first quarter of 2020 utilizing the modified retrospective transition method and applying the transition provisions at the effective date.</w:t>
      </w:r>
      <w:r>
        <w:rPr>
          <w:rFonts w:eastAsia="Times New Roman"/>
          <w:color w:val="000000"/>
          <w:sz w:val="20"/>
          <w:szCs w:val="20"/>
        </w:rPr>
        <w:t xml:space="preserve"> </w:t>
      </w:r>
    </w:p>
    <w:p w:rsidR="00000000" w:rsidRDefault="004D26FD">
      <w:pPr>
        <w:ind w:firstLine="360"/>
        <w:jc w:val="both"/>
        <w:divId w:val="1874492878"/>
        <w:rPr>
          <w:rFonts w:eastAsia="Times New Roman"/>
        </w:rPr>
      </w:pPr>
      <w:r>
        <w:rPr>
          <w:rFonts w:eastAsia="Times New Roman"/>
          <w:color w:val="000000"/>
          <w:sz w:val="20"/>
          <w:szCs w:val="20"/>
        </w:rPr>
        <w:t>The Co</w:t>
      </w:r>
      <w:r>
        <w:rPr>
          <w:rFonts w:eastAsia="Times New Roman"/>
          <w:color w:val="000000"/>
          <w:sz w:val="20"/>
          <w:szCs w:val="20"/>
        </w:rPr>
        <w:t>mpany implemented changes to business processes and internal controls that support the new standard. As of the date of implementation on January 1, 2020, the Company recognized</w:t>
      </w:r>
      <w:r>
        <w:rPr>
          <w:rFonts w:eastAsia="Times New Roman"/>
          <w:color w:val="000000"/>
          <w:sz w:val="20"/>
          <w:szCs w:val="20"/>
        </w:rPr>
        <w:t xml:space="preserve"> </w:t>
      </w:r>
      <w:r>
        <w:rPr>
          <w:rFonts w:eastAsia="Times New Roman"/>
          <w:color w:val="000000"/>
          <w:sz w:val="20"/>
          <w:szCs w:val="20"/>
          <w:shd w:val="clear" w:color="auto" w:fill="FFFFFF"/>
        </w:rPr>
        <w:t>$11.1 millio</w:t>
      </w:r>
      <w:r>
        <w:rPr>
          <w:rFonts w:eastAsia="Times New Roman"/>
          <w:color w:val="000000"/>
          <w:sz w:val="20"/>
          <w:szCs w:val="20"/>
          <w:shd w:val="clear" w:color="auto" w:fill="FFFFFF"/>
        </w:rPr>
        <w:t>n</w:t>
      </w:r>
      <w:r>
        <w:rPr>
          <w:rFonts w:eastAsia="Times New Roman"/>
          <w:color w:val="000000"/>
          <w:sz w:val="20"/>
          <w:szCs w:val="20"/>
        </w:rPr>
        <w:t xml:space="preserve"> as a reduction to the opening retained earnings balance. The main</w:t>
      </w:r>
      <w:r>
        <w:rPr>
          <w:rFonts w:eastAsia="Times New Roman"/>
          <w:color w:val="000000"/>
          <w:sz w:val="20"/>
          <w:szCs w:val="20"/>
        </w:rPr>
        <w:t xml:space="preserve"> drivers of the consolidated impact at transition are related to the inclusion of future economic conditions, the exclusion of freestanding credit enhancements when estimating the expected credit loss and estimating the lifetime credit losses of notes rece</w:t>
      </w:r>
      <w:r>
        <w:rPr>
          <w:rFonts w:eastAsia="Times New Roman"/>
          <w:color w:val="000000"/>
          <w:sz w:val="20"/>
          <w:szCs w:val="20"/>
        </w:rPr>
        <w:t>ivable</w:t>
      </w:r>
      <w:r>
        <w:rPr>
          <w:rFonts w:eastAsia="Times New Roman"/>
          <w:color w:val="000000"/>
          <w:sz w:val="20"/>
          <w:szCs w:val="20"/>
        </w:rPr>
        <w:t>.</w:t>
      </w:r>
    </w:p>
    <w:p w:rsidR="00000000" w:rsidRDefault="004D26FD">
      <w:pPr>
        <w:ind w:firstLine="360"/>
        <w:jc w:val="both"/>
        <w:rPr>
          <w:rFonts w:eastAsia="Times New Roman"/>
        </w:rPr>
      </w:pPr>
      <w:r>
        <w:rPr>
          <w:rFonts w:eastAsia="Times New Roman"/>
          <w:b/>
          <w:bCs/>
          <w:color w:val="000000"/>
          <w:sz w:val="20"/>
          <w:szCs w:val="20"/>
        </w:rPr>
        <w:t>Accounting Standards Issued but Not Yet Adopte</w:t>
      </w:r>
      <w:r>
        <w:rPr>
          <w:rFonts w:eastAsia="Times New Roman"/>
          <w:b/>
          <w:bCs/>
          <w:color w:val="000000"/>
          <w:sz w:val="20"/>
          <w:szCs w:val="20"/>
        </w:rPr>
        <w:t>d</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There have been no recently issued accounting standards not yet adopted by us which are expected, upon adoption, to have a material impact on the Company’s Consolidated Financial Statements or proce</w:t>
      </w:r>
      <w:r>
        <w:rPr>
          <w:rFonts w:eastAsia="Times New Roman"/>
          <w:color w:val="000000"/>
          <w:sz w:val="20"/>
          <w:szCs w:val="20"/>
        </w:rPr>
        <w:t>sses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both"/>
        <w:rPr>
          <w:rFonts w:eastAsia="Times New Roman"/>
        </w:rPr>
      </w:pPr>
    </w:p>
    <w:p w:rsidR="00000000" w:rsidRDefault="004D26FD">
      <w:pPr>
        <w:jc w:val="both"/>
        <w:rPr>
          <w:rFonts w:eastAsia="Times New Roman"/>
        </w:rPr>
      </w:pPr>
      <w:r>
        <w:rPr>
          <w:rFonts w:eastAsia="Times New Roman"/>
          <w:b/>
          <w:bCs/>
          <w:color w:val="000000"/>
          <w:sz w:val="20"/>
          <w:szCs w:val="20"/>
        </w:rPr>
        <w:t>2. Accounts Receivable</w:t>
      </w:r>
      <w:r>
        <w:rPr>
          <w:rFonts w:eastAsia="Times New Roman"/>
          <w:b/>
          <w:bCs/>
          <w:color w:val="000000"/>
          <w:sz w:val="20"/>
          <w:szCs w:val="20"/>
        </w:rPr>
        <w:t xml:space="preserve"> </w:t>
      </w:r>
    </w:p>
    <w:p w:rsidR="00000000" w:rsidRDefault="004D26FD">
      <w:pPr>
        <w:jc w:val="both"/>
        <w:rPr>
          <w:rFonts w:eastAsia="Times New Roman"/>
        </w:rPr>
      </w:pPr>
    </w:p>
    <w:p w:rsidR="00000000" w:rsidRDefault="004D26FD">
      <w:pPr>
        <w:jc w:val="both"/>
        <w:rPr>
          <w:rFonts w:eastAsia="Times New Roman"/>
        </w:rPr>
      </w:pPr>
      <w:r>
        <w:rPr>
          <w:rFonts w:eastAsia="Times New Roman"/>
          <w:b/>
          <w:bCs/>
          <w:color w:val="000000"/>
          <w:sz w:val="20"/>
          <w:szCs w:val="20"/>
        </w:rPr>
        <w:t>        Accounts receivable and allowance for credit losse</w:t>
      </w:r>
      <w:r>
        <w:rPr>
          <w:rFonts w:eastAsia="Times New Roman"/>
          <w:b/>
          <w:bCs/>
          <w:color w:val="000000"/>
          <w:sz w:val="20"/>
          <w:szCs w:val="20"/>
        </w:rPr>
        <w:t>s</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We extend credit on an unsecured basis to most of our customers. Our exposure to expected credit losses depends on the financial condition of our cust</w:t>
      </w:r>
      <w:r>
        <w:rPr>
          <w:rFonts w:eastAsia="Times New Roman"/>
          <w:color w:val="000000"/>
          <w:sz w:val="20"/>
          <w:szCs w:val="20"/>
        </w:rPr>
        <w:t>omers and other macroeconomic factors beyond our control, such as deteriorating conditions in the world economy or in the industries we serve, changes in oil prices and political instability. While we actively manage our</w:t>
      </w:r>
      <w:r>
        <w:rPr>
          <w:rFonts w:eastAsia="Times New Roman"/>
          <w:color w:val="000000"/>
          <w:sz w:val="20"/>
          <w:szCs w:val="20"/>
        </w:rPr>
        <w:t xml:space="preserve"> </w:t>
      </w:r>
    </w:p>
    <w:p w:rsidR="00000000" w:rsidRDefault="004D26FD">
      <w:pPr>
        <w:jc w:val="center"/>
        <w:divId w:val="1969698492"/>
        <w:rPr>
          <w:rFonts w:eastAsia="Times New Roman"/>
        </w:rPr>
      </w:pPr>
      <w:r>
        <w:rPr>
          <w:rFonts w:eastAsia="Times New Roman"/>
          <w:color w:val="000000"/>
          <w:sz w:val="20"/>
          <w:szCs w:val="20"/>
        </w:rPr>
        <w:t>8</w:t>
      </w:r>
    </w:p>
    <w:p w:rsidR="00000000" w:rsidRDefault="004D26FD">
      <w:pPr>
        <w:rPr>
          <w:rFonts w:eastAsia="Times New Roman"/>
        </w:rPr>
      </w:pPr>
      <w:r>
        <w:rPr>
          <w:rFonts w:eastAsia="Times New Roman"/>
        </w:rPr>
        <w:pict>
          <v:rect id="_x0000_i1036" style="width:0;height:1.5pt" o:hralign="center" o:hrstd="t" o:hr="t" fillcolor="#a0a0a0" stroked="f"/>
        </w:pict>
      </w:r>
    </w:p>
    <w:p w:rsidR="00000000" w:rsidRDefault="004D26FD">
      <w:pPr>
        <w:divId w:val="2022781027"/>
        <w:rPr>
          <w:rFonts w:eastAsia="Times New Roman"/>
        </w:rPr>
      </w:pPr>
    </w:p>
    <w:p w:rsidR="00000000" w:rsidRDefault="004D26FD">
      <w:pPr>
        <w:jc w:val="both"/>
        <w:rPr>
          <w:rFonts w:eastAsia="Times New Roman"/>
        </w:rPr>
      </w:pPr>
      <w:r>
        <w:rPr>
          <w:rFonts w:eastAsia="Times New Roman"/>
          <w:color w:val="000000"/>
          <w:sz w:val="20"/>
          <w:szCs w:val="20"/>
        </w:rPr>
        <w:t>credit exposure and work to respond to both changes in our customers’ financial conditions or macroeconomic events, there can be no guarantee we will be able to mitigate all of these risks successfully</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We perform ongoing credit evaluations</w:t>
      </w:r>
      <w:r>
        <w:rPr>
          <w:rFonts w:eastAsia="Times New Roman"/>
          <w:color w:val="000000"/>
          <w:sz w:val="20"/>
          <w:szCs w:val="20"/>
        </w:rPr>
        <w:t xml:space="preserve"> of our customers and adjust credit limits based upon payment history and the customer’s current creditworthiness based on expected exposure. Our payment terms with customers are based on each customers' creditworthiness and are generally 30-60 days, altho</w:t>
      </w:r>
      <w:r>
        <w:rPr>
          <w:rFonts w:eastAsia="Times New Roman"/>
          <w:color w:val="000000"/>
          <w:sz w:val="20"/>
          <w:szCs w:val="20"/>
        </w:rPr>
        <w:t>ugh certain markets and other customer-specific factors may warrant longer payment terms. Accounts receivable balances that are not paid within the terms of the sales agreement may be subject to finance fees based on the outstanding balance. Although we an</w:t>
      </w:r>
      <w:r>
        <w:rPr>
          <w:rFonts w:eastAsia="Times New Roman"/>
          <w:color w:val="000000"/>
          <w:sz w:val="20"/>
          <w:szCs w:val="20"/>
        </w:rPr>
        <w:t>alyze customers’ payment history and expected creditworthiness, since we extend credit on an unsecured basis to most of our customers, there is a possibility that any accounts receivable not collected may ultimately need to be written off</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Accounts recei</w:t>
      </w:r>
      <w:r>
        <w:rPr>
          <w:rFonts w:eastAsia="Times New Roman"/>
          <w:color w:val="000000"/>
          <w:sz w:val="20"/>
          <w:szCs w:val="20"/>
        </w:rPr>
        <w:t>vable are measured at amortized cost. The health of our receivables is continuously monitored using a risk-based model, taking into consideration both the timeliness and predictability of collections from our customers. We maintain a provision for expected</w:t>
      </w:r>
      <w:r>
        <w:rPr>
          <w:rFonts w:eastAsia="Times New Roman"/>
          <w:color w:val="000000"/>
          <w:sz w:val="20"/>
          <w:szCs w:val="20"/>
        </w:rPr>
        <w:t xml:space="preserve"> credit losses based upon our historical experience with our customers, along with any specific customer collection issues that we have identified from current financial information and business prospects, as well as any political or economic conditions or</w:t>
      </w:r>
      <w:r>
        <w:rPr>
          <w:rFonts w:eastAsia="Times New Roman"/>
          <w:color w:val="000000"/>
          <w:sz w:val="20"/>
          <w:szCs w:val="20"/>
        </w:rPr>
        <w:t xml:space="preserve"> other market factors, including certain assumptions based on reasonable forward-looking information from market sources. Principally, based on these credit risk factors, portfolio segments are defined and an internally derived risk-based credit loss reser</w:t>
      </w:r>
      <w:r>
        <w:rPr>
          <w:rFonts w:eastAsia="Times New Roman"/>
          <w:color w:val="000000"/>
          <w:sz w:val="20"/>
          <w:szCs w:val="20"/>
        </w:rPr>
        <w:t>ve is established and applied to each portfolio segment. Customer account balances that are deemed to be at high risk of collectability are reserved at higher rates than customer account balances which we expect to collect without difficulty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divId w:val="255140167"/>
        <w:rPr>
          <w:rFonts w:eastAsia="Times New Roman"/>
        </w:rPr>
      </w:pPr>
      <w:r>
        <w:rPr>
          <w:rFonts w:eastAsia="Times New Roman"/>
          <w:color w:val="000000"/>
          <w:sz w:val="20"/>
          <w:szCs w:val="20"/>
        </w:rPr>
        <w:t>We had acco</w:t>
      </w:r>
      <w:r>
        <w:rPr>
          <w:rFonts w:eastAsia="Times New Roman"/>
          <w:color w:val="000000"/>
          <w:sz w:val="20"/>
          <w:szCs w:val="20"/>
        </w:rPr>
        <w:t>unts receivable of $1.4 billion and</w:t>
      </w:r>
      <w:r>
        <w:rPr>
          <w:rFonts w:eastAsia="Times New Roman"/>
          <w:color w:val="000000"/>
          <w:sz w:val="20"/>
          <w:szCs w:val="20"/>
        </w:rPr>
        <w:t xml:space="preserve"> </w:t>
      </w:r>
      <w:r>
        <w:rPr>
          <w:rFonts w:eastAsia="Times New Roman"/>
          <w:color w:val="000000"/>
          <w:sz w:val="20"/>
          <w:szCs w:val="20"/>
          <w:shd w:val="clear" w:color="auto" w:fill="FFFFFF"/>
        </w:rPr>
        <w:t>$2.9 billio</w:t>
      </w:r>
      <w:r>
        <w:rPr>
          <w:rFonts w:eastAsia="Times New Roman"/>
          <w:color w:val="000000"/>
          <w:sz w:val="20"/>
          <w:szCs w:val="20"/>
          <w:shd w:val="clear" w:color="auto" w:fill="FFFFFF"/>
        </w:rPr>
        <w:t>n</w:t>
      </w:r>
      <w:r>
        <w:rPr>
          <w:rFonts w:eastAsia="Times New Roman"/>
          <w:color w:val="000000"/>
          <w:sz w:val="20"/>
          <w:szCs w:val="20"/>
        </w:rPr>
        <w:t xml:space="preserve"> as of June 30, 2020 and December 31, 2019, respectively. We also had an allowance for credit losses related to accounts receivables and other insignificant financing receivables of $48.6 million (including t</w:t>
      </w:r>
      <w:r>
        <w:rPr>
          <w:rFonts w:eastAsia="Times New Roman"/>
          <w:color w:val="000000"/>
          <w:sz w:val="20"/>
          <w:szCs w:val="20"/>
        </w:rPr>
        <w:t>he</w:t>
      </w:r>
      <w:r>
        <w:rPr>
          <w:rFonts w:eastAsia="Times New Roman"/>
          <w:color w:val="000000"/>
          <w:sz w:val="20"/>
          <w:szCs w:val="20"/>
        </w:rPr>
        <w:t xml:space="preserve"> </w:t>
      </w:r>
      <w:r>
        <w:rPr>
          <w:rFonts w:eastAsia="Times New Roman"/>
          <w:color w:val="000000"/>
          <w:sz w:val="20"/>
          <w:szCs w:val="20"/>
          <w:shd w:val="clear" w:color="auto" w:fill="FFFFFF"/>
        </w:rPr>
        <w:t>$11.1 millio</w:t>
      </w:r>
      <w:r>
        <w:rPr>
          <w:rFonts w:eastAsia="Times New Roman"/>
          <w:color w:val="000000"/>
          <w:sz w:val="20"/>
          <w:szCs w:val="20"/>
          <w:shd w:val="clear" w:color="auto" w:fill="FFFFFF"/>
        </w:rPr>
        <w:t>n</w:t>
      </w:r>
      <w:r>
        <w:rPr>
          <w:rFonts w:eastAsia="Times New Roman"/>
          <w:color w:val="000000"/>
          <w:sz w:val="20"/>
          <w:szCs w:val="20"/>
        </w:rPr>
        <w:t xml:space="preserve"> cumulative transition adjustment to retained earnings related to the implementation of</w:t>
      </w:r>
      <w:r>
        <w:rPr>
          <w:rFonts w:eastAsia="Times New Roman"/>
          <w:color w:val="000000"/>
          <w:sz w:val="20"/>
          <w:szCs w:val="20"/>
        </w:rPr>
        <w:t xml:space="preserve"> </w:t>
      </w:r>
      <w:r>
        <w:rPr>
          <w:rFonts w:eastAsia="Times New Roman"/>
          <w:color w:val="000000"/>
          <w:sz w:val="20"/>
          <w:szCs w:val="20"/>
        </w:rPr>
        <w:t>ASU 2016-1</w:t>
      </w:r>
      <w:r>
        <w:rPr>
          <w:rFonts w:eastAsia="Times New Roman"/>
          <w:color w:val="000000"/>
          <w:sz w:val="20"/>
          <w:szCs w:val="20"/>
        </w:rPr>
        <w:t>3</w:t>
      </w:r>
      <w:r>
        <w:rPr>
          <w:rFonts w:eastAsia="Times New Roman"/>
          <w:color w:val="000000"/>
          <w:sz w:val="20"/>
          <w:szCs w:val="20"/>
        </w:rPr>
        <w:t>) and</w:t>
      </w:r>
      <w:r>
        <w:rPr>
          <w:rFonts w:eastAsia="Times New Roman"/>
          <w:color w:val="000000"/>
          <w:sz w:val="20"/>
          <w:szCs w:val="20"/>
        </w:rPr>
        <w:t xml:space="preserve"> </w:t>
      </w:r>
      <w:r>
        <w:rPr>
          <w:rFonts w:eastAsia="Times New Roman"/>
          <w:color w:val="000000"/>
          <w:sz w:val="20"/>
          <w:szCs w:val="20"/>
          <w:shd w:val="clear" w:color="auto" w:fill="FFFFFF"/>
        </w:rPr>
        <w:t>$35.5 millio</w:t>
      </w:r>
      <w:r>
        <w:rPr>
          <w:rFonts w:eastAsia="Times New Roman"/>
          <w:color w:val="000000"/>
          <w:sz w:val="20"/>
          <w:szCs w:val="20"/>
          <w:shd w:val="clear" w:color="auto" w:fill="FFFFFF"/>
        </w:rPr>
        <w:t>n</w:t>
      </w:r>
      <w:r>
        <w:rPr>
          <w:rFonts w:eastAsia="Times New Roman"/>
          <w:color w:val="000000"/>
          <w:sz w:val="20"/>
          <w:szCs w:val="20"/>
        </w:rPr>
        <w:t>, as of June 30, 2020 and December </w:t>
      </w:r>
      <w:r>
        <w:rPr>
          <w:rFonts w:eastAsia="Times New Roman"/>
          <w:color w:val="000000"/>
          <w:sz w:val="20"/>
          <w:szCs w:val="20"/>
        </w:rPr>
        <w:t>31, 2019, respectively. Changes to the expected credit loss provision during the six months ended June 30, 2020 include global economic outlook considerations as a result of the Company’s assessment of reasonable and supportable forward-looking information</w:t>
      </w:r>
      <w:r>
        <w:rPr>
          <w:rFonts w:eastAsia="Times New Roman"/>
          <w:color w:val="000000"/>
          <w:sz w:val="20"/>
          <w:szCs w:val="20"/>
        </w:rPr>
        <w:t xml:space="preserve"> including the expected overall impact of the pandemic mainly to the aviation segment. Write-off of uncollectible receivables during the six months ended June 30, 2020 resulted from negative impacts of the pandemic combined with pre-existing financial diff</w:t>
      </w:r>
      <w:r>
        <w:rPr>
          <w:rFonts w:eastAsia="Times New Roman"/>
          <w:color w:val="000000"/>
          <w:sz w:val="20"/>
          <w:szCs w:val="20"/>
        </w:rPr>
        <w:t>iculties experienced by certain customers. Based on an aging analysis as of June 30, 2020, 91% of our net accounts receivable were outstanding less than 60 days</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The following table sets forth activities in our allowance for credit losses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6"/>
        <w:gridCol w:w="7190"/>
        <w:gridCol w:w="67"/>
        <w:gridCol w:w="36"/>
        <w:gridCol w:w="36"/>
        <w:gridCol w:w="36"/>
        <w:gridCol w:w="115"/>
        <w:gridCol w:w="672"/>
        <w:gridCol w:w="75"/>
      </w:tblGrid>
      <w:tr w:rsidR="00000000">
        <w:trPr>
          <w:divId w:val="1426727588"/>
        </w:trPr>
        <w:tc>
          <w:tcPr>
            <w:tcW w:w="50" w:type="pct"/>
            <w:vAlign w:val="center"/>
            <w:hideMark/>
          </w:tcPr>
          <w:p w:rsidR="00000000" w:rsidRDefault="004D26FD">
            <w:pPr>
              <w:ind w:firstLine="360"/>
              <w:jc w:val="both"/>
              <w:rPr>
                <w:rFonts w:eastAsia="Times New Roman"/>
              </w:rPr>
            </w:pPr>
          </w:p>
        </w:tc>
        <w:tc>
          <w:tcPr>
            <w:tcW w:w="434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42672758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1426727588"/>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r>
      <w:tr w:rsidR="00000000">
        <w:trPr>
          <w:divId w:val="142672758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r>
      <w:tr w:rsidR="00000000">
        <w:trPr>
          <w:divId w:val="14267275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January 1, 202</w:t>
            </w:r>
            <w:r>
              <w:rPr>
                <w:rFonts w:eastAsia="Times New Roman"/>
                <w:color w:val="000000"/>
                <w:sz w:val="16"/>
                <w:szCs w:val="16"/>
              </w:rPr>
              <w:t>0</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46.6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426727588"/>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Charges to provision for credit losse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426727588"/>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Write-off of uncollectible receivable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426727588"/>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Recoveries of credit losse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426727588"/>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Translation adjustment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426727588"/>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June 30, 202</w:t>
            </w:r>
            <w:r>
              <w:rPr>
                <w:rFonts w:eastAsia="Times New Roman"/>
                <w:color w:val="000000"/>
                <w:sz w:val="16"/>
                <w:szCs w:val="16"/>
              </w:rPr>
              <w:t>0</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bl>
    <w:p w:rsidR="00000000" w:rsidRDefault="004D26FD">
      <w:pPr>
        <w:jc w:val="both"/>
        <w:divId w:val="1983339532"/>
        <w:rPr>
          <w:rFonts w:eastAsia="Times New Roman"/>
        </w:rPr>
      </w:pPr>
      <w:r>
        <w:rPr>
          <w:rFonts w:eastAsia="Times New Roman"/>
          <w:b/>
          <w:bCs/>
          <w:color w:val="000000"/>
          <w:sz w:val="20"/>
          <w:szCs w:val="20"/>
        </w:rPr>
        <w:t>        Financing program</w:t>
      </w:r>
      <w:r>
        <w:rPr>
          <w:rFonts w:eastAsia="Times New Roman"/>
          <w:b/>
          <w:bCs/>
          <w:color w:val="000000"/>
          <w:sz w:val="20"/>
          <w:szCs w:val="20"/>
        </w:rPr>
        <w:t>s</w:t>
      </w:r>
    </w:p>
    <w:p w:rsidR="00000000" w:rsidRDefault="004D26FD">
      <w:pPr>
        <w:ind w:firstLine="360"/>
        <w:jc w:val="both"/>
        <w:rPr>
          <w:rFonts w:eastAsia="Times New Roman"/>
        </w:rPr>
      </w:pPr>
      <w:r>
        <w:rPr>
          <w:rFonts w:eastAsia="Times New Roman"/>
          <w:color w:val="000000"/>
          <w:sz w:val="20"/>
          <w:szCs w:val="20"/>
        </w:rPr>
        <w:t>We have accounts receivable financing programs under receivables purchase agreements (“RPAs”) with Wells Fargo Bank, N.A. and Citibank, N.A. that allow for the sale of our accounts receivable in an amount up to 100% of our outstanding qualifying accounts r</w:t>
      </w:r>
      <w:r>
        <w:rPr>
          <w:rFonts w:eastAsia="Times New Roman"/>
          <w:color w:val="000000"/>
          <w:sz w:val="20"/>
          <w:szCs w:val="20"/>
        </w:rPr>
        <w:t>eceivable balances and receive cash consideration equal to the total balance, less a discount margin equal to LIBOR plus 1% to 3%. Accounts receivable sold under the RPAs are accounted for as sales, in accordance with FASB ASC Topic 860,</w:t>
      </w:r>
      <w:r>
        <w:rPr>
          <w:rFonts w:eastAsia="Times New Roman"/>
          <w:color w:val="000000"/>
          <w:sz w:val="20"/>
          <w:szCs w:val="20"/>
        </w:rPr>
        <w:t xml:space="preserve"> </w:t>
      </w:r>
      <w:r>
        <w:rPr>
          <w:rFonts w:eastAsia="Times New Roman"/>
          <w:i/>
          <w:iCs/>
          <w:color w:val="000000"/>
          <w:sz w:val="20"/>
          <w:szCs w:val="20"/>
        </w:rPr>
        <w:t>Transfers and Serv</w:t>
      </w:r>
      <w:r>
        <w:rPr>
          <w:rFonts w:eastAsia="Times New Roman"/>
          <w:i/>
          <w:iCs/>
          <w:color w:val="000000"/>
          <w:sz w:val="20"/>
          <w:szCs w:val="20"/>
        </w:rPr>
        <w:t>icin</w:t>
      </w:r>
      <w:r>
        <w:rPr>
          <w:rFonts w:eastAsia="Times New Roman"/>
          <w:i/>
          <w:iCs/>
          <w:color w:val="000000"/>
          <w:sz w:val="20"/>
          <w:szCs w:val="20"/>
        </w:rPr>
        <w:t>g</w:t>
      </w:r>
      <w:r>
        <w:rPr>
          <w:rFonts w:eastAsia="Times New Roman"/>
          <w:color w:val="000000"/>
          <w:sz w:val="20"/>
          <w:szCs w:val="20"/>
        </w:rPr>
        <w:t>, and excluded from Accounts receivable, net on the accompanying Consolidated Balance Sheets. Fees and interest paid under the RPAs are recorded within Interest expense and other financing costs, net on the Consolidated Statements of Comprehensive Income</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Under the RPAs, accounts receivable sold, which remained outstanding as of June 30, 2020 and December 31, 2019, were $92.6 million and</w:t>
      </w:r>
      <w:r>
        <w:rPr>
          <w:rFonts w:eastAsia="Times New Roman"/>
          <w:color w:val="000000"/>
          <w:sz w:val="20"/>
          <w:szCs w:val="20"/>
        </w:rPr>
        <w:t xml:space="preserve"> </w:t>
      </w:r>
      <w:r>
        <w:rPr>
          <w:rFonts w:eastAsia="Times New Roman"/>
          <w:color w:val="000000"/>
          <w:sz w:val="20"/>
          <w:szCs w:val="20"/>
          <w:shd w:val="clear" w:color="auto" w:fill="FFFFFF"/>
        </w:rPr>
        <w:t>$405.9 millio</w:t>
      </w:r>
      <w:r>
        <w:rPr>
          <w:rFonts w:eastAsia="Times New Roman"/>
          <w:color w:val="000000"/>
          <w:sz w:val="20"/>
          <w:szCs w:val="20"/>
          <w:shd w:val="clear" w:color="auto" w:fill="FFFFFF"/>
        </w:rPr>
        <w:t>n</w:t>
      </w:r>
      <w:r>
        <w:rPr>
          <w:rFonts w:eastAsia="Times New Roman"/>
          <w:color w:val="000000"/>
          <w:sz w:val="20"/>
          <w:szCs w:val="20"/>
        </w:rPr>
        <w:t>, respectively. The fees and int</w:t>
      </w:r>
      <w:r>
        <w:rPr>
          <w:rFonts w:eastAsia="Times New Roman"/>
          <w:color w:val="000000"/>
          <w:sz w:val="20"/>
          <w:szCs w:val="20"/>
        </w:rPr>
        <w:t>e</w:t>
      </w:r>
      <w:r>
        <w:rPr>
          <w:rFonts w:eastAsia="Times New Roman"/>
          <w:color w:val="000000"/>
          <w:sz w:val="20"/>
          <w:szCs w:val="20"/>
          <w:shd w:val="clear" w:color="auto" w:fill="FFFFFF"/>
        </w:rPr>
        <w:t>rest paid under the RPAs were $5.5 million and $13.3 million for</w:t>
      </w:r>
      <w:r>
        <w:rPr>
          <w:rFonts w:eastAsia="Times New Roman"/>
          <w:color w:val="000000"/>
          <w:sz w:val="20"/>
          <w:szCs w:val="20"/>
          <w:shd w:val="clear" w:color="auto" w:fill="FFFFFF"/>
        </w:rPr>
        <w:t xml:space="preserve"> the six months ended June 30, 2020 and 2019, respectively. For the six months ended June 30, 2020 and 2019, cash payments to the owners of account receivables were $2.5 billion and $4.2 billion, respectively, and cash proceeds from the sale of account rec</w:t>
      </w:r>
      <w:r>
        <w:rPr>
          <w:rFonts w:eastAsia="Times New Roman"/>
          <w:color w:val="000000"/>
          <w:sz w:val="20"/>
          <w:szCs w:val="20"/>
          <w:shd w:val="clear" w:color="auto" w:fill="FFFFFF"/>
        </w:rPr>
        <w:t>eivables were $2.2 billion and $4.2 billion, respectively.</w:t>
      </w:r>
    </w:p>
    <w:p w:rsidR="00000000" w:rsidRDefault="004D26FD">
      <w:pPr>
        <w:jc w:val="both"/>
        <w:rPr>
          <w:rFonts w:eastAsia="Times New Roman"/>
        </w:rPr>
      </w:pPr>
    </w:p>
    <w:p w:rsidR="00000000" w:rsidRDefault="004D26FD">
      <w:pPr>
        <w:divId w:val="1585605272"/>
        <w:rPr>
          <w:rFonts w:eastAsia="Times New Roman"/>
        </w:rPr>
      </w:pPr>
    </w:p>
    <w:p w:rsidR="00000000" w:rsidRDefault="004D26FD">
      <w:pPr>
        <w:jc w:val="center"/>
        <w:divId w:val="1988707703"/>
        <w:rPr>
          <w:rFonts w:eastAsia="Times New Roman"/>
        </w:rPr>
      </w:pPr>
      <w:r>
        <w:rPr>
          <w:rFonts w:eastAsia="Times New Roman"/>
          <w:color w:val="000000"/>
          <w:sz w:val="20"/>
          <w:szCs w:val="20"/>
        </w:rPr>
        <w:t>9</w:t>
      </w:r>
    </w:p>
    <w:p w:rsidR="00000000" w:rsidRDefault="004D26FD">
      <w:pPr>
        <w:rPr>
          <w:rFonts w:eastAsia="Times New Roman"/>
        </w:rPr>
      </w:pPr>
      <w:r>
        <w:rPr>
          <w:rFonts w:eastAsia="Times New Roman"/>
        </w:rPr>
        <w:pict>
          <v:rect id="_x0000_i1037" style="width:0;height:1.5pt" o:hralign="center" o:hrstd="t" o:hr="t" fillcolor="#a0a0a0" stroked="f"/>
        </w:pict>
      </w:r>
    </w:p>
    <w:p w:rsidR="00000000" w:rsidRDefault="004D26FD">
      <w:pPr>
        <w:divId w:val="261761687"/>
        <w:rPr>
          <w:rFonts w:eastAsia="Times New Roman"/>
        </w:rPr>
      </w:pPr>
    </w:p>
    <w:p w:rsidR="00000000" w:rsidRDefault="004D26FD">
      <w:pPr>
        <w:jc w:val="both"/>
        <w:rPr>
          <w:rFonts w:eastAsia="Times New Roman"/>
        </w:rPr>
      </w:pPr>
      <w:r>
        <w:rPr>
          <w:rFonts w:eastAsia="Times New Roman"/>
          <w:b/>
          <w:bCs/>
          <w:color w:val="000000"/>
          <w:sz w:val="20"/>
          <w:szCs w:val="20"/>
        </w:rPr>
        <w:t>3. Acquisition</w:t>
      </w:r>
      <w:r>
        <w:rPr>
          <w:rFonts w:eastAsia="Times New Roman"/>
          <w:b/>
          <w:bCs/>
          <w:color w:val="000000"/>
          <w:sz w:val="20"/>
          <w:szCs w:val="20"/>
        </w:rPr>
        <w:t>s</w:t>
      </w:r>
    </w:p>
    <w:p w:rsidR="00000000" w:rsidRDefault="004D26FD">
      <w:pPr>
        <w:ind w:firstLine="720"/>
        <w:jc w:val="both"/>
        <w:rPr>
          <w:rFonts w:eastAsia="Times New Roman"/>
        </w:rPr>
      </w:pPr>
      <w:r>
        <w:rPr>
          <w:rFonts w:eastAsia="Times New Roman"/>
          <w:color w:val="000000"/>
          <w:sz w:val="20"/>
          <w:szCs w:val="20"/>
        </w:rPr>
        <w:t> </w:t>
      </w:r>
    </w:p>
    <w:p w:rsidR="00000000" w:rsidRDefault="004D26FD">
      <w:pPr>
        <w:jc w:val="both"/>
        <w:rPr>
          <w:rFonts w:eastAsia="Times New Roman"/>
        </w:rPr>
      </w:pPr>
      <w:r>
        <w:rPr>
          <w:rFonts w:eastAsia="Times New Roman"/>
          <w:b/>
          <w:bCs/>
          <w:color w:val="000000"/>
          <w:sz w:val="20"/>
          <w:szCs w:val="20"/>
        </w:rPr>
        <w:t>        2020 Acquisition</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During the second quarter of 2020, we acquired an additional interest in a software company in our aviation segment and obtained control. The transaction was accounted for as an asset acquisition and did not have a material impact on our Consolidated Finan</w:t>
      </w:r>
      <w:r>
        <w:rPr>
          <w:rFonts w:eastAsia="Times New Roman"/>
          <w:color w:val="000000"/>
          <w:sz w:val="20"/>
          <w:szCs w:val="20"/>
        </w:rPr>
        <w:t>cial Statements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During the first quarter of 2020, we completed the acquisition of the aviation fuel business from Universal Weather and Aviation, Inc. (“UVair fuel business”), which serves business and general aviation customers worldwide. The acquisiti</w:t>
      </w:r>
      <w:r>
        <w:rPr>
          <w:rFonts w:eastAsia="Times New Roman"/>
          <w:color w:val="000000"/>
          <w:sz w:val="20"/>
          <w:szCs w:val="20"/>
        </w:rPr>
        <w:t>on was accounted for as a business combination</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both"/>
        <w:divId w:val="1542590277"/>
        <w:rPr>
          <w:rFonts w:eastAsia="Times New Roman"/>
        </w:rPr>
      </w:pPr>
      <w:r>
        <w:rPr>
          <w:rFonts w:eastAsia="Times New Roman"/>
          <w:color w:val="000000"/>
          <w:sz w:val="20"/>
          <w:szCs w:val="20"/>
        </w:rPr>
        <w:t>        The following table summarizes the aggregate consideration paid for this acquisition, updated as of June 30, 2020 for certain working capital items, and the provisional amounts of the assets acquire</w:t>
      </w:r>
      <w:r>
        <w:rPr>
          <w:rFonts w:eastAsia="Times New Roman"/>
          <w:color w:val="000000"/>
          <w:sz w:val="20"/>
          <w:szCs w:val="20"/>
        </w:rPr>
        <w:t>d and liabilities assumed, recognized at the acquisition date. The Company is in the process of obtaining information to finalize the valuations of certain acquired assets and assumed liabilities and expects to complete the process in the third quarter 202</w:t>
      </w:r>
      <w:r>
        <w:rPr>
          <w:rFonts w:eastAsia="Times New Roman"/>
          <w:color w:val="000000"/>
          <w:sz w:val="20"/>
          <w:szCs w:val="20"/>
        </w:rPr>
        <w:t>0. Thus, the provisional measurements of these acquired assets and assumed liabilities are subject to change (amounts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76"/>
        <w:gridCol w:w="7392"/>
        <w:gridCol w:w="77"/>
        <w:gridCol w:w="115"/>
        <w:gridCol w:w="556"/>
        <w:gridCol w:w="77"/>
      </w:tblGrid>
      <w:tr w:rsidR="00000000">
        <w:trPr>
          <w:divId w:val="711459224"/>
        </w:trPr>
        <w:tc>
          <w:tcPr>
            <w:tcW w:w="50" w:type="pct"/>
            <w:vAlign w:val="center"/>
            <w:hideMark/>
          </w:tcPr>
          <w:p w:rsidR="00000000" w:rsidRDefault="004D26FD">
            <w:pPr>
              <w:jc w:val="both"/>
              <w:rPr>
                <w:rFonts w:eastAsia="Times New Roman"/>
              </w:rPr>
            </w:pPr>
          </w:p>
        </w:tc>
        <w:tc>
          <w:tcPr>
            <w:tcW w:w="446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3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71145922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71145922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Cash paid for acquisition of busines</w:t>
            </w:r>
            <w:r>
              <w:rPr>
                <w:rFonts w:eastAsia="Times New Roman"/>
                <w:b/>
                <w:bCs/>
                <w:color w:val="000000"/>
                <w:sz w:val="16"/>
                <w:szCs w:val="16"/>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b/>
                <w:bCs/>
                <w:color w:val="000000"/>
                <w:sz w:val="16"/>
                <w:szCs w:val="16"/>
              </w:rPr>
              <w:t>128.6</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 </w:t>
            </w:r>
          </w:p>
        </w:tc>
      </w:tr>
      <w:tr w:rsidR="00000000">
        <w:trPr>
          <w:divId w:val="71145922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Amounts due to seller</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7114592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Estimated purchase pric</w:t>
            </w:r>
            <w:r>
              <w:rPr>
                <w:rFonts w:eastAsia="Times New Roman"/>
                <w:b/>
                <w:bCs/>
                <w:color w:val="000000"/>
                <w:sz w:val="16"/>
                <w:szCs w:val="16"/>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b/>
                <w:bCs/>
                <w:color w:val="000000"/>
                <w:sz w:val="16"/>
                <w:szCs w:val="16"/>
              </w:rPr>
              <w:t>158.6</w:t>
            </w:r>
            <w:r>
              <w:rPr>
                <w:rFonts w:eastAsia="Times New Roman"/>
                <w:b/>
                <w:bCs/>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 </w:t>
            </w:r>
          </w:p>
        </w:tc>
      </w:tr>
      <w:tr w:rsidR="00000000">
        <w:trPr>
          <w:divId w:val="711459224"/>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71145922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Assets acquired</w:t>
            </w:r>
            <w:r>
              <w:rPr>
                <w:rFonts w:eastAsia="Times New Roman"/>
                <w:b/>
                <w:bCs/>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r>
      <w:tr w:rsidR="00000000">
        <w:trPr>
          <w:divId w:val="71145922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receivabl</w:t>
            </w:r>
            <w:r>
              <w:rPr>
                <w:rFonts w:eastAsia="Times New Roman"/>
                <w:color w:val="000000"/>
                <w:sz w:val="16"/>
                <w:szCs w:val="16"/>
              </w:rPr>
              <w:t>e</w:t>
            </w: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71145922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Goodwill and identifiable intangible asset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123.0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71145922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current and long-term asset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711459224"/>
          <w:trHeight w:val="240"/>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71145922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Liabilities assumed</w:t>
            </w:r>
            <w:r>
              <w:rPr>
                <w:rFonts w:eastAsia="Times New Roman"/>
                <w:b/>
                <w:bCs/>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r>
      <w:tr w:rsidR="00000000">
        <w:trPr>
          <w:divId w:val="71145922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payabl</w:t>
            </w:r>
            <w:r>
              <w:rPr>
                <w:rFonts w:eastAsia="Times New Roman"/>
                <w:color w:val="000000"/>
                <w:sz w:val="16"/>
                <w:szCs w:val="16"/>
              </w:rPr>
              <w:t>e</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71145922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Other current and long-term liabilitie</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711459224"/>
          <w:trHeight w:val="240"/>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711459224"/>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Estimated purchase pric</w:t>
            </w:r>
            <w:r>
              <w:rPr>
                <w:rFonts w:eastAsia="Times New Roman"/>
                <w:b/>
                <w:bCs/>
                <w:color w:val="000000"/>
                <w:sz w:val="16"/>
                <w:szCs w:val="16"/>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b/>
                <w:bCs/>
                <w:color w:val="000000"/>
                <w:sz w:val="16"/>
                <w:szCs w:val="16"/>
              </w:rPr>
              <w:t>158.6</w:t>
            </w:r>
            <w:r>
              <w:rPr>
                <w:rFonts w:eastAsia="Times New Roman"/>
                <w:b/>
                <w:bCs/>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 </w:t>
            </w:r>
          </w:p>
        </w:tc>
      </w:tr>
    </w:tbl>
    <w:p w:rsidR="00000000" w:rsidRDefault="004D26FD">
      <w:pPr>
        <w:divId w:val="919405332"/>
        <w:rPr>
          <w:rFonts w:eastAsia="Times New Roman"/>
        </w:rPr>
      </w:pPr>
      <w:r>
        <w:rPr>
          <w:rFonts w:eastAsia="Times New Roman"/>
          <w:color w:val="000000"/>
          <w:sz w:val="20"/>
          <w:szCs w:val="20"/>
        </w:rPr>
        <w:t>       </w:t>
      </w: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 xml:space="preserve">The goodwill of $78.7 </w:t>
      </w:r>
      <w:r>
        <w:rPr>
          <w:rFonts w:eastAsia="Times New Roman"/>
          <w:color w:val="000000"/>
          <w:sz w:val="20"/>
          <w:szCs w:val="20"/>
        </w:rPr>
        <w:t xml:space="preserve">million included the adjustments made to certain working capital items during the quarter ended June 30, 2020 and was assigned to the aviation segment. The company anticipates $70.3 million of the goodwill assigned to be deductible for tax purposes and is </w:t>
      </w:r>
      <w:r>
        <w:rPr>
          <w:rFonts w:eastAsia="Times New Roman"/>
          <w:color w:val="000000"/>
          <w:sz w:val="20"/>
          <w:szCs w:val="20"/>
        </w:rPr>
        <w:t>attributable primarily to the expected synergies and other benefits that we believe will result from combining the acquired operations with the aviation segment operations. The identifiable intangible assets were $44.3 million and primarily consisted of cu</w:t>
      </w:r>
      <w:r>
        <w:rPr>
          <w:rFonts w:eastAsia="Times New Roman"/>
          <w:color w:val="000000"/>
          <w:sz w:val="20"/>
          <w:szCs w:val="20"/>
        </w:rPr>
        <w:t>stomer relationships and other identifiable assets</w:t>
      </w:r>
      <w:r>
        <w:rPr>
          <w:rFonts w:eastAsia="Times New Roman"/>
          <w:color w:val="000000"/>
          <w:sz w:val="20"/>
          <w:szCs w:val="20"/>
        </w:rPr>
        <w:t>.</w:t>
      </w:r>
    </w:p>
    <w:p w:rsidR="00000000" w:rsidRDefault="004D26FD">
      <w:pPr>
        <w:ind w:firstLine="720"/>
        <w:divId w:val="445081386"/>
        <w:rPr>
          <w:rFonts w:eastAsia="Times New Roman"/>
        </w:rPr>
      </w:pPr>
    </w:p>
    <w:p w:rsidR="00000000" w:rsidRDefault="004D26FD">
      <w:pPr>
        <w:ind w:firstLine="360"/>
        <w:jc w:val="both"/>
        <w:rPr>
          <w:rFonts w:eastAsia="Times New Roman"/>
        </w:rPr>
      </w:pPr>
      <w:r>
        <w:rPr>
          <w:rFonts w:eastAsia="Times New Roman"/>
          <w:color w:val="000000"/>
          <w:sz w:val="20"/>
          <w:szCs w:val="20"/>
        </w:rPr>
        <w:t>The financial position, results of operations and cash flows of these acquisitions have been included in our Consolidated Financial Statements since their acquisition dates and did not have a material i</w:t>
      </w:r>
      <w:r>
        <w:rPr>
          <w:rFonts w:eastAsia="Times New Roman"/>
          <w:color w:val="000000"/>
          <w:sz w:val="20"/>
          <w:szCs w:val="20"/>
        </w:rPr>
        <w:t>mpact on our consolidated revenue and net income for the three and six months ended June 30, 2020; accordingly, pro forma information for these acquisitions have not been provided as the impact was not considered material</w:t>
      </w:r>
      <w:r>
        <w:rPr>
          <w:rFonts w:eastAsia="Times New Roman"/>
          <w:color w:val="000000"/>
          <w:sz w:val="20"/>
          <w:szCs w:val="20"/>
        </w:rPr>
        <w:t>.</w:t>
      </w:r>
    </w:p>
    <w:p w:rsidR="00000000" w:rsidRDefault="004D26FD">
      <w:pPr>
        <w:jc w:val="both"/>
        <w:rPr>
          <w:rFonts w:eastAsia="Times New Roman"/>
        </w:rPr>
      </w:pPr>
    </w:p>
    <w:p w:rsidR="00000000" w:rsidRDefault="004D26FD">
      <w:pPr>
        <w:divId w:val="1313679102"/>
        <w:rPr>
          <w:rFonts w:eastAsia="Times New Roman"/>
        </w:rPr>
      </w:pPr>
    </w:p>
    <w:p w:rsidR="00000000" w:rsidRDefault="004D26FD">
      <w:pPr>
        <w:divId w:val="65685056"/>
        <w:rPr>
          <w:rFonts w:eastAsia="Times New Roman"/>
        </w:rPr>
      </w:pPr>
      <w:r>
        <w:rPr>
          <w:rFonts w:eastAsia="Times New Roman"/>
          <w:b/>
          <w:bCs/>
          <w:color w:val="000000"/>
          <w:sz w:val="20"/>
          <w:szCs w:val="20"/>
        </w:rPr>
        <w:t>4. Derivative Instrument</w:t>
      </w:r>
      <w:r>
        <w:rPr>
          <w:rFonts w:eastAsia="Times New Roman"/>
          <w:b/>
          <w:bCs/>
          <w:color w:val="000000"/>
          <w:sz w:val="20"/>
          <w:szCs w:val="20"/>
        </w:rPr>
        <w:t>s</w:t>
      </w:r>
    </w:p>
    <w:p w:rsidR="00000000" w:rsidRDefault="004D26FD">
      <w:pPr>
        <w:ind w:firstLine="720"/>
        <w:divId w:val="330181139"/>
        <w:rPr>
          <w:rFonts w:eastAsia="Times New Roman"/>
        </w:rPr>
      </w:pPr>
    </w:p>
    <w:p w:rsidR="00000000" w:rsidRDefault="004D26FD">
      <w:pPr>
        <w:ind w:firstLine="360"/>
        <w:jc w:val="both"/>
        <w:rPr>
          <w:rFonts w:eastAsia="Times New Roman"/>
        </w:rPr>
      </w:pPr>
      <w:r>
        <w:rPr>
          <w:rFonts w:eastAsia="Times New Roman"/>
          <w:color w:val="000000"/>
          <w:sz w:val="20"/>
          <w:szCs w:val="20"/>
        </w:rPr>
        <w:t>T</w:t>
      </w:r>
      <w:r>
        <w:rPr>
          <w:rFonts w:eastAsia="Times New Roman"/>
          <w:color w:val="000000"/>
          <w:sz w:val="20"/>
          <w:szCs w:val="20"/>
        </w:rPr>
        <w:t>he following describes our derivative classifications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Fair Value Hedges</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Includes derivative contracts we hold to hedge the risk of changes in the price of our inventory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Cash Flow Hedges</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Includes derivative contracts we execute to mitigate the risk of price and interest rate volatility in forecasted transactions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Non-designated Derivatives</w:t>
      </w:r>
      <w:r>
        <w:rPr>
          <w:rFonts w:eastAsia="Times New Roman"/>
          <w:i/>
          <w:iCs/>
          <w:color w:val="000000"/>
          <w:sz w:val="20"/>
          <w:szCs w:val="20"/>
        </w:rPr>
        <w:t>.</w:t>
      </w:r>
      <w:r>
        <w:rPr>
          <w:rFonts w:eastAsia="Times New Roman"/>
          <w:color w:val="000000"/>
          <w:sz w:val="20"/>
          <w:szCs w:val="20"/>
        </w:rPr>
        <w:t xml:space="preserve"> Includes derivatives we primarily transact to mitigate the risk of market price fluctuations in sw</w:t>
      </w:r>
      <w:r>
        <w:rPr>
          <w:rFonts w:eastAsia="Times New Roman"/>
          <w:color w:val="000000"/>
          <w:sz w:val="20"/>
          <w:szCs w:val="20"/>
        </w:rPr>
        <w:t>aps or futures contracts, as well as certain forward fixed price purchase and sale contracts to hedge the risk of currency rate fluctuations and for portfolio optimization</w:t>
      </w:r>
      <w:r>
        <w:rPr>
          <w:rFonts w:eastAsia="Times New Roman"/>
          <w:color w:val="000000"/>
          <w:sz w:val="20"/>
          <w:szCs w:val="20"/>
        </w:rPr>
        <w:t>.</w:t>
      </w:r>
    </w:p>
    <w:p w:rsidR="00000000" w:rsidRDefault="004D26FD">
      <w:pPr>
        <w:jc w:val="center"/>
        <w:divId w:val="578518048"/>
        <w:rPr>
          <w:rFonts w:eastAsia="Times New Roman"/>
        </w:rPr>
      </w:pPr>
      <w:r>
        <w:rPr>
          <w:rFonts w:eastAsia="Times New Roman"/>
          <w:color w:val="000000"/>
          <w:sz w:val="20"/>
          <w:szCs w:val="20"/>
        </w:rPr>
        <w:t>1</w:t>
      </w:r>
      <w:r>
        <w:rPr>
          <w:rFonts w:eastAsia="Times New Roman"/>
          <w:color w:val="000000"/>
          <w:sz w:val="20"/>
          <w:szCs w:val="20"/>
        </w:rPr>
        <w:t>0</w:t>
      </w:r>
    </w:p>
    <w:p w:rsidR="00000000" w:rsidRDefault="004D26FD">
      <w:pPr>
        <w:rPr>
          <w:rFonts w:eastAsia="Times New Roman"/>
        </w:rPr>
      </w:pPr>
      <w:r>
        <w:rPr>
          <w:rFonts w:eastAsia="Times New Roman"/>
        </w:rPr>
        <w:pict>
          <v:rect id="_x0000_i1038" style="width:0;height:1.5pt" o:hralign="center" o:hrstd="t" o:hr="t" fillcolor="#a0a0a0" stroked="f"/>
        </w:pict>
      </w:r>
    </w:p>
    <w:p w:rsidR="00000000" w:rsidRDefault="004D26FD">
      <w:pPr>
        <w:divId w:val="1106463264"/>
        <w:rPr>
          <w:rFonts w:eastAsia="Times New Roman"/>
        </w:rPr>
      </w:pP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In March 2020, we entered into a $300 mi</w:t>
      </w:r>
      <w:r>
        <w:rPr>
          <w:rFonts w:eastAsia="Times New Roman"/>
          <w:color w:val="000000"/>
          <w:sz w:val="20"/>
          <w:szCs w:val="20"/>
        </w:rPr>
        <w:t>llion, one-month LIBOR, floating-for-fixed non-amortizing interest rate swap contract ("IR Swap") with a maturity date in March 2025. The IR Swap was designated as a cash flow hedge to mitigate potential adverse changes in interest rates related to certain</w:t>
      </w:r>
      <w:r>
        <w:rPr>
          <w:rFonts w:eastAsia="Times New Roman"/>
          <w:color w:val="000000"/>
          <w:sz w:val="20"/>
          <w:szCs w:val="20"/>
        </w:rPr>
        <w:t xml:space="preserve"> variable rate debt obligations. Changes in the IR Swap's fair value recorded periodically in Accumulated other comprehensive income, are subsequently reclassified to our Consolidated Statements of Income and Comprehensive Income within Interest expense an</w:t>
      </w:r>
      <w:r>
        <w:rPr>
          <w:rFonts w:eastAsia="Times New Roman"/>
          <w:color w:val="000000"/>
          <w:sz w:val="20"/>
          <w:szCs w:val="20"/>
        </w:rPr>
        <w:t>d other financing costs, net when the underlying hedged variable rate interest payments are accrued</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 presents the gross fair value of our derivative instruments and their locations on the Consolidated Balance Sheets (in millions)</w:t>
      </w:r>
      <w:r>
        <w:rPr>
          <w:rFonts w:eastAsia="Times New Roman"/>
          <w:color w:val="000000"/>
          <w:sz w:val="20"/>
          <w:szCs w:val="20"/>
        </w:rPr>
        <w:t>:</w:t>
      </w:r>
    </w:p>
    <w:p w:rsidR="00000000" w:rsidRDefault="004D26FD">
      <w:pPr>
        <w:ind w:firstLine="360"/>
        <w:divId w:val="1006594967"/>
        <w:rPr>
          <w:rFonts w:eastAsia="Times New Roman"/>
        </w:rPr>
      </w:pPr>
      <w:r>
        <w:rPr>
          <w:rFonts w:eastAsia="Times New Roman"/>
          <w:color w:val="000000"/>
          <w:sz w:val="20"/>
          <w:szCs w:val="20"/>
        </w:rPr>
        <w:t> </w:t>
      </w:r>
    </w:p>
    <w:tbl>
      <w:tblPr>
        <w:tblW w:w="4970" w:type="pct"/>
        <w:jc w:val="center"/>
        <w:tblCellMar>
          <w:top w:w="15" w:type="dxa"/>
          <w:left w:w="15" w:type="dxa"/>
          <w:bottom w:w="15" w:type="dxa"/>
          <w:right w:w="15" w:type="dxa"/>
        </w:tblCellMar>
        <w:tblLook w:val="04A0" w:firstRow="1" w:lastRow="0" w:firstColumn="1" w:lastColumn="0" w:noHBand="0" w:noVBand="1"/>
      </w:tblPr>
      <w:tblGrid>
        <w:gridCol w:w="47"/>
        <w:gridCol w:w="833"/>
        <w:gridCol w:w="47"/>
        <w:gridCol w:w="37"/>
        <w:gridCol w:w="1618"/>
        <w:gridCol w:w="36"/>
        <w:gridCol w:w="36"/>
        <w:gridCol w:w="36"/>
        <w:gridCol w:w="36"/>
        <w:gridCol w:w="115"/>
        <w:gridCol w:w="415"/>
        <w:gridCol w:w="75"/>
        <w:gridCol w:w="115"/>
        <w:gridCol w:w="415"/>
        <w:gridCol w:w="75"/>
        <w:gridCol w:w="116"/>
        <w:gridCol w:w="596"/>
        <w:gridCol w:w="75"/>
        <w:gridCol w:w="115"/>
        <w:gridCol w:w="415"/>
        <w:gridCol w:w="75"/>
        <w:gridCol w:w="115"/>
        <w:gridCol w:w="415"/>
        <w:gridCol w:w="75"/>
        <w:gridCol w:w="115"/>
        <w:gridCol w:w="415"/>
        <w:gridCol w:w="75"/>
        <w:gridCol w:w="116"/>
        <w:gridCol w:w="597"/>
        <w:gridCol w:w="76"/>
        <w:gridCol w:w="115"/>
        <w:gridCol w:w="415"/>
        <w:gridCol w:w="75"/>
        <w:gridCol w:w="36"/>
        <w:gridCol w:w="36"/>
        <w:gridCol w:w="36"/>
        <w:gridCol w:w="36"/>
        <w:gridCol w:w="36"/>
        <w:gridCol w:w="36"/>
        <w:gridCol w:w="36"/>
        <w:gridCol w:w="36"/>
        <w:gridCol w:w="36"/>
      </w:tblGrid>
      <w:tr w:rsidR="00000000">
        <w:trPr>
          <w:gridAfter w:val="12"/>
          <w:divId w:val="405226548"/>
          <w:jc w:val="center"/>
        </w:trPr>
        <w:tc>
          <w:tcPr>
            <w:tcW w:w="50" w:type="pct"/>
            <w:vAlign w:val="center"/>
            <w:hideMark/>
          </w:tcPr>
          <w:p w:rsidR="00000000" w:rsidRDefault="004D26FD">
            <w:pPr>
              <w:ind w:firstLine="360"/>
              <w:rPr>
                <w:rFonts w:eastAsia="Times New Roman"/>
              </w:rPr>
            </w:pPr>
          </w:p>
        </w:tc>
        <w:tc>
          <w:tcPr>
            <w:tcW w:w="9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160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405226548"/>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Gross Derivative Asset</w:t>
            </w:r>
            <w:r>
              <w:rPr>
                <w:rFonts w:eastAsia="Times New Roman"/>
                <w:b/>
                <w:bCs/>
                <w:color w:val="000000"/>
                <w:sz w:val="16"/>
                <w:szCs w:val="16"/>
              </w:rPr>
              <w:t>s</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Gross Derivative Liabilitie</w:t>
            </w:r>
            <w:r>
              <w:rPr>
                <w:rFonts w:eastAsia="Times New Roman"/>
                <w:b/>
                <w:bCs/>
                <w:color w:val="000000"/>
                <w:sz w:val="16"/>
                <w:szCs w:val="16"/>
              </w:rPr>
              <w:t>s</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405226548"/>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405226548"/>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Derivative Instrument</w:t>
            </w:r>
            <w:r>
              <w:rPr>
                <w:rFonts w:eastAsia="Times New Roman"/>
                <w:b/>
                <w:bCs/>
                <w:color w:val="000000"/>
                <w:sz w:val="16"/>
                <w:szCs w:val="16"/>
              </w:rPr>
              <w:t>s</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Consolidated Balance Sheets locatio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u w:val="single"/>
              </w:rPr>
              <w:t>Derivatives designated as hedging instrument</w:t>
            </w:r>
            <w:r>
              <w:rPr>
                <w:rFonts w:eastAsia="Times New Roman"/>
                <w:b/>
                <w:bCs/>
                <w:color w:val="000000"/>
                <w:sz w:val="16"/>
                <w:szCs w:val="16"/>
                <w:u w:val="single"/>
              </w:rPr>
              <w:t>s</w:t>
            </w:r>
          </w:p>
        </w:tc>
        <w:tc>
          <w:tcPr>
            <w:tcW w:w="0" w:type="auto"/>
            <w:gridSpan w:val="3"/>
            <w:vAlign w:val="center"/>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  </w:t>
            </w:r>
            <w:r>
              <w:rPr>
                <w:rFonts w:eastAsia="Times New Roman"/>
                <w:color w:val="000000"/>
                <w:sz w:val="16"/>
                <w:szCs w:val="16"/>
              </w:rPr>
              <w:t> Commodity contract</w:t>
            </w:r>
            <w:r>
              <w:rPr>
                <w:rFonts w:eastAsia="Times New Roman"/>
                <w:color w:val="000000"/>
                <w:sz w:val="16"/>
                <w:szCs w:val="16"/>
              </w:rPr>
              <w:t>s</w:t>
            </w: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Short-term derivative assets,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Identifiable intangible and other non-current asset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Accrued expenses and other current liabilitie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204.0</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1.7</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177.0</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Other long-term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0.4</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204.1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177.3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30" w:type="dxa"/>
              <w:left w:w="135" w:type="dxa"/>
              <w:bottom w:w="30" w:type="dxa"/>
              <w:right w:w="20" w:type="dxa"/>
            </w:tcMar>
            <w:hideMark/>
          </w:tcPr>
          <w:p w:rsidR="00000000" w:rsidRDefault="004D26FD">
            <w:pPr>
              <w:rPr>
                <w:rFonts w:eastAsia="Times New Roman"/>
              </w:rPr>
            </w:pPr>
            <w:r>
              <w:rPr>
                <w:rFonts w:eastAsia="Times New Roman"/>
                <w:color w:val="000000"/>
                <w:sz w:val="16"/>
                <w:szCs w:val="16"/>
              </w:rPr>
              <w:t>Interest rate contract</w:t>
            </w:r>
            <w:r>
              <w:rPr>
                <w:rFonts w:eastAsia="Times New Roman"/>
                <w:color w:val="000000"/>
                <w:sz w:val="16"/>
                <w:szCs w:val="16"/>
              </w:rPr>
              <w:t>s</w:t>
            </w: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Short-term derivative assets, ne</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Identifiable intangible and other non-current asset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Accrued expenses and other current liabilitie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Other long-term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6"/>
            <w:tcBorders>
              <w:top w:val="single" w:sz="8" w:space="0" w:color="000000"/>
            </w:tcBorders>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Total derivatives designated as hedging instrument</w:t>
            </w:r>
            <w:r>
              <w:rPr>
                <w:rFonts w:eastAsia="Times New Roman"/>
                <w:b/>
                <w:bCs/>
                <w:color w:val="000000"/>
                <w:sz w:val="16"/>
                <w:szCs w:val="16"/>
              </w:rPr>
              <w:t>s</w:t>
            </w:r>
          </w:p>
        </w:tc>
        <w:tc>
          <w:tcPr>
            <w:tcW w:w="0" w:type="auto"/>
            <w:gridSpan w:val="3"/>
            <w:vAlign w:val="center"/>
            <w:hideMark/>
          </w:tcPr>
          <w:p w:rsidR="00000000" w:rsidRDefault="004D26FD">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204.1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1.7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182.2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trHeight w:val="240"/>
          <w:jc w:val="center"/>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6"/>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u w:val="single"/>
              </w:rPr>
              <w:t>Derivatives not designated as hedging instrument</w:t>
            </w:r>
            <w:r>
              <w:rPr>
                <w:rFonts w:eastAsia="Times New Roman"/>
                <w:b/>
                <w:bCs/>
                <w:color w:val="000000"/>
                <w:sz w:val="16"/>
                <w:szCs w:val="16"/>
                <w:u w:val="single"/>
              </w:rPr>
              <w:t>s</w:t>
            </w:r>
          </w:p>
        </w:tc>
        <w:tc>
          <w:tcPr>
            <w:tcW w:w="0" w:type="auto"/>
            <w:gridSpan w:val="3"/>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   Commodity contract</w:t>
            </w:r>
            <w:r>
              <w:rPr>
                <w:rFonts w:eastAsia="Times New Roman"/>
                <w:color w:val="000000"/>
                <w:sz w:val="16"/>
                <w:szCs w:val="16"/>
              </w:rPr>
              <w:t>s</w:t>
            </w: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Short-term derivative assets,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217.8</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65.7</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64.5</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7.2</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Identifiable intangible and other non-current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45.1</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23.0</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12.3</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Accrued expenses and other current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206.5</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161.0</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328.5</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203.4</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Other long-term liabilitie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18.9</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7.7</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40.6</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19.7</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488.3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257.3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445.9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235.0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   </w:t>
            </w: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Short-term derivative assets,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Identifiable intangible and other non-current asset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Accrued expenses and other current liabilitie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1.8</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0.9</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10.6</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11.4</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bottom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10.9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11.6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Total derivatives not designated as hedging instrument</w:t>
            </w:r>
            <w:r>
              <w:rPr>
                <w:rFonts w:eastAsia="Times New Roman"/>
                <w:b/>
                <w:bCs/>
                <w:color w:val="000000"/>
                <w:sz w:val="16"/>
                <w:szCs w:val="16"/>
              </w:rPr>
              <w:t>s</w:t>
            </w:r>
          </w:p>
        </w:tc>
        <w:tc>
          <w:tcPr>
            <w:tcW w:w="0" w:type="auto"/>
            <w:gridSpan w:val="3"/>
            <w:vAlign w:val="center"/>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490.7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259.4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456.9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246.6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trHeight w:val="240"/>
          <w:jc w:val="center"/>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405226548"/>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Total derivative</w:t>
            </w:r>
            <w:r>
              <w:rPr>
                <w:rFonts w:eastAsia="Times New Roman"/>
                <w:b/>
                <w:bCs/>
                <w:color w:val="000000"/>
                <w:sz w:val="16"/>
                <w:szCs w:val="16"/>
              </w:rPr>
              <w:t>s</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694.8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261.1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639.1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266.6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divId w:val="441606301"/>
        <w:rPr>
          <w:rFonts w:eastAsia="Times New Roman"/>
        </w:rPr>
      </w:pPr>
      <w:r>
        <w:rPr>
          <w:rFonts w:eastAsia="Times New Roman"/>
          <w:color w:val="000000"/>
          <w:sz w:val="20"/>
          <w:szCs w:val="20"/>
        </w:rPr>
        <w:t>For information regarding our derivative instruments measured at fair value after net</w:t>
      </w:r>
      <w:r>
        <w:rPr>
          <w:rFonts w:eastAsia="Times New Roman"/>
          <w:color w:val="000000"/>
          <w:sz w:val="20"/>
          <w:szCs w:val="20"/>
        </w:rPr>
        <w:t>ting and collateral, see Note 7. Fair Value Measurements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36046995"/>
        <w:rPr>
          <w:rFonts w:eastAsia="Times New Roman"/>
        </w:rPr>
      </w:pPr>
      <w:r>
        <w:rPr>
          <w:rFonts w:eastAsia="Times New Roman"/>
          <w:color w:val="000000"/>
          <w:sz w:val="20"/>
          <w:szCs w:val="20"/>
        </w:rPr>
        <w:t>1</w:t>
      </w:r>
      <w:r>
        <w:rPr>
          <w:rFonts w:eastAsia="Times New Roman"/>
          <w:color w:val="000000"/>
          <w:sz w:val="20"/>
          <w:szCs w:val="20"/>
        </w:rPr>
        <w:t>1</w:t>
      </w:r>
    </w:p>
    <w:p w:rsidR="00000000" w:rsidRDefault="004D26FD">
      <w:pPr>
        <w:rPr>
          <w:rFonts w:eastAsia="Times New Roman"/>
        </w:rPr>
      </w:pPr>
      <w:r>
        <w:rPr>
          <w:rFonts w:eastAsia="Times New Roman"/>
        </w:rPr>
        <w:pict>
          <v:rect id="_x0000_i1039" style="width:0;height:1.5pt" o:hralign="center" o:hrstd="t" o:hr="t" fillcolor="#a0a0a0" stroked="f"/>
        </w:pict>
      </w:r>
    </w:p>
    <w:p w:rsidR="00000000" w:rsidRDefault="004D26FD">
      <w:pPr>
        <w:divId w:val="2054423703"/>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 summarizes the gross notional values of our commodity and foreign currency exchange derivative contracts used for risk management purp</w:t>
      </w:r>
      <w:r>
        <w:rPr>
          <w:rFonts w:eastAsia="Times New Roman"/>
          <w:color w:val="000000"/>
          <w:sz w:val="20"/>
          <w:szCs w:val="20"/>
        </w:rPr>
        <w:t>oses that were outstanding as of June 30, 2020 (in millions)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67"/>
        <w:gridCol w:w="69"/>
        <w:gridCol w:w="36"/>
        <w:gridCol w:w="36"/>
        <w:gridCol w:w="36"/>
        <w:gridCol w:w="65"/>
        <w:gridCol w:w="1094"/>
        <w:gridCol w:w="71"/>
        <w:gridCol w:w="37"/>
        <w:gridCol w:w="36"/>
        <w:gridCol w:w="36"/>
        <w:gridCol w:w="67"/>
        <w:gridCol w:w="1095"/>
        <w:gridCol w:w="76"/>
        <w:gridCol w:w="36"/>
        <w:gridCol w:w="36"/>
        <w:gridCol w:w="36"/>
        <w:gridCol w:w="36"/>
        <w:gridCol w:w="36"/>
        <w:gridCol w:w="36"/>
      </w:tblGrid>
      <w:tr w:rsidR="00000000">
        <w:trPr>
          <w:gridAfter w:val="6"/>
          <w:divId w:val="1314260528"/>
          <w:jc w:val="center"/>
        </w:trPr>
        <w:tc>
          <w:tcPr>
            <w:tcW w:w="50" w:type="pct"/>
            <w:vAlign w:val="center"/>
            <w:hideMark/>
          </w:tcPr>
          <w:p w:rsidR="00000000" w:rsidRDefault="004D26FD">
            <w:pPr>
              <w:ind w:firstLine="360"/>
              <w:jc w:val="both"/>
              <w:rPr>
                <w:rFonts w:eastAsia="Times New Roman"/>
              </w:rPr>
            </w:pPr>
          </w:p>
        </w:tc>
        <w:tc>
          <w:tcPr>
            <w:tcW w:w="326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314260528"/>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As of 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314260528"/>
          <w:jc w:val="center"/>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b/>
                <w:bCs/>
                <w:color w:val="333333"/>
                <w:sz w:val="16"/>
                <w:szCs w:val="16"/>
              </w:rPr>
              <w:t>Derivative Instrument</w:t>
            </w:r>
            <w:r>
              <w:rPr>
                <w:rFonts w:eastAsia="Times New Roman"/>
                <w:b/>
                <w:bCs/>
                <w:color w:val="333333"/>
                <w:sz w:val="16"/>
                <w:szCs w:val="16"/>
              </w:rPr>
              <w:t>s</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333333"/>
                <w:sz w:val="16"/>
                <w:szCs w:val="16"/>
              </w:rPr>
              <w:t>Unit</w:t>
            </w:r>
            <w:r>
              <w:rPr>
                <w:rFonts w:eastAsia="Times New Roman"/>
                <w:b/>
                <w:bCs/>
                <w:color w:val="333333"/>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Commodity contract</w:t>
            </w:r>
            <w:r>
              <w:rPr>
                <w:rFonts w:eastAsia="Times New Roman"/>
                <w:b/>
                <w:bCs/>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Lon</w:t>
            </w:r>
            <w:r>
              <w:rPr>
                <w:rFonts w:eastAsia="Times New Roman"/>
                <w:color w:val="000000"/>
                <w:sz w:val="16"/>
                <w:szCs w:val="16"/>
              </w:rPr>
              <w:t>g</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color w:val="000000"/>
                <w:sz w:val="16"/>
                <w:szCs w:val="16"/>
              </w:rPr>
              <w:t>BB</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65.0</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Shor</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D26FD">
            <w:pPr>
              <w:jc w:val="center"/>
              <w:rPr>
                <w:rFonts w:eastAsia="Times New Roman"/>
              </w:rPr>
            </w:pPr>
            <w:r>
              <w:rPr>
                <w:rFonts w:eastAsia="Times New Roman"/>
                <w:color w:val="000000"/>
                <w:sz w:val="16"/>
                <w:szCs w:val="16"/>
              </w:rPr>
              <w:t>BB</w:t>
            </w:r>
            <w:r>
              <w:rPr>
                <w:rFonts w:eastAsia="Times New Roman"/>
                <w:color w:val="000000"/>
                <w:sz w:val="16"/>
                <w:szCs w:val="16"/>
              </w:rPr>
              <w:t>L</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(49.2</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trHeight w:val="240"/>
          <w:jc w:val="center"/>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Foreign currency exchange contract</w:t>
            </w:r>
            <w:r>
              <w:rPr>
                <w:rFonts w:eastAsia="Times New Roman"/>
                <w:b/>
                <w:bCs/>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Sell U.S. dollar, buy other currencie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color w:val="000000"/>
                <w:sz w:val="16"/>
                <w:szCs w:val="16"/>
              </w:rPr>
              <w:t>US</w:t>
            </w:r>
            <w:r>
              <w:rPr>
                <w:rFonts w:eastAsia="Times New Roman"/>
                <w:color w:val="000000"/>
                <w:sz w:val="16"/>
                <w:szCs w:val="16"/>
              </w:rPr>
              <w:t>D</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(70.3</w:t>
            </w:r>
            <w:r>
              <w:rPr>
                <w:rFonts w:eastAsia="Times New Roman"/>
                <w:color w:val="000000"/>
                <w:sz w:val="16"/>
                <w:szCs w:val="16"/>
              </w:rPr>
              <w:t>)</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tcBorders>
              <w:bottom w:val="double" w:sz="6"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Buy U.S. dollar, sell other currencie</w:t>
            </w:r>
            <w:r>
              <w:rPr>
                <w:rFonts w:eastAsia="Times New Roman"/>
                <w:color w:val="000000"/>
                <w:sz w:val="16"/>
                <w:szCs w:val="16"/>
              </w:rPr>
              <w:t>s</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bottom w:val="double" w:sz="6" w:space="0" w:color="000000"/>
            </w:tcBorders>
            <w:shd w:val="clear" w:color="auto" w:fill="CCEEFF"/>
            <w:tcMar>
              <w:top w:w="30" w:type="dxa"/>
              <w:left w:w="20" w:type="dxa"/>
              <w:bottom w:w="30" w:type="dxa"/>
              <w:right w:w="20" w:type="dxa"/>
            </w:tcMar>
            <w:hideMark/>
          </w:tcPr>
          <w:p w:rsidR="00000000" w:rsidRDefault="004D26FD">
            <w:pPr>
              <w:jc w:val="center"/>
              <w:rPr>
                <w:rFonts w:eastAsia="Times New Roman"/>
              </w:rPr>
            </w:pPr>
            <w:r>
              <w:rPr>
                <w:rFonts w:eastAsia="Times New Roman"/>
                <w:color w:val="000000"/>
                <w:sz w:val="16"/>
                <w:szCs w:val="16"/>
              </w:rPr>
              <w:t>US</w:t>
            </w:r>
            <w:r>
              <w:rPr>
                <w:rFonts w:eastAsia="Times New Roman"/>
                <w:color w:val="000000"/>
                <w:sz w:val="16"/>
                <w:szCs w:val="16"/>
              </w:rPr>
              <w:t>D</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422.6</w:t>
            </w:r>
            <w:r>
              <w:rPr>
                <w:rFonts w:eastAsia="Times New Roman"/>
                <w:color w:val="000000"/>
                <w:sz w:val="16"/>
                <w:szCs w:val="16"/>
              </w:rPr>
              <w:t> </w:t>
            </w:r>
          </w:p>
        </w:tc>
        <w:tc>
          <w:tcPr>
            <w:tcW w:w="0" w:type="auto"/>
            <w:tcBorders>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14260528"/>
          <w:jc w:val="center"/>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rPr>
          <w:rFonts w:eastAsia="Times New Roman"/>
        </w:rPr>
      </w:pPr>
    </w:p>
    <w:p w:rsidR="00000000" w:rsidRDefault="004D26FD">
      <w:pPr>
        <w:ind w:firstLine="360"/>
        <w:jc w:val="both"/>
        <w:divId w:val="1964385571"/>
        <w:rPr>
          <w:rFonts w:eastAsia="Times New Roman"/>
        </w:rPr>
      </w:pPr>
      <w:r>
        <w:rPr>
          <w:rFonts w:eastAsia="Times New Roman"/>
          <w:color w:val="000000"/>
          <w:sz w:val="20"/>
          <w:szCs w:val="20"/>
        </w:rPr>
        <w:t>As of June 30, 2020, and</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the following amounts were recorded on our Consolidated Balance Sheets related to cumulative basis adjustments for fair value hedges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7"/>
        <w:gridCol w:w="2188"/>
        <w:gridCol w:w="36"/>
        <w:gridCol w:w="36"/>
        <w:gridCol w:w="36"/>
        <w:gridCol w:w="36"/>
        <w:gridCol w:w="116"/>
        <w:gridCol w:w="872"/>
        <w:gridCol w:w="76"/>
        <w:gridCol w:w="37"/>
        <w:gridCol w:w="36"/>
        <w:gridCol w:w="36"/>
        <w:gridCol w:w="115"/>
        <w:gridCol w:w="899"/>
        <w:gridCol w:w="75"/>
        <w:gridCol w:w="36"/>
        <w:gridCol w:w="36"/>
        <w:gridCol w:w="36"/>
        <w:gridCol w:w="115"/>
        <w:gridCol w:w="899"/>
        <w:gridCol w:w="75"/>
        <w:gridCol w:w="36"/>
        <w:gridCol w:w="36"/>
        <w:gridCol w:w="36"/>
        <w:gridCol w:w="116"/>
        <w:gridCol w:w="899"/>
        <w:gridCol w:w="76"/>
        <w:gridCol w:w="175"/>
        <w:gridCol w:w="175"/>
        <w:gridCol w:w="175"/>
        <w:gridCol w:w="175"/>
        <w:gridCol w:w="175"/>
        <w:gridCol w:w="175"/>
        <w:gridCol w:w="36"/>
        <w:gridCol w:w="36"/>
        <w:gridCol w:w="36"/>
        <w:gridCol w:w="36"/>
        <w:gridCol w:w="36"/>
        <w:gridCol w:w="36"/>
      </w:tblGrid>
      <w:tr w:rsidR="00000000">
        <w:trPr>
          <w:gridAfter w:val="12"/>
          <w:divId w:val="2053261616"/>
        </w:trPr>
        <w:tc>
          <w:tcPr>
            <w:tcW w:w="50" w:type="pct"/>
            <w:vAlign w:val="center"/>
            <w:hideMark/>
          </w:tcPr>
          <w:p w:rsidR="00000000" w:rsidRDefault="004D26FD">
            <w:pPr>
              <w:ind w:firstLine="360"/>
              <w:jc w:val="both"/>
              <w:rPr>
                <w:rFonts w:eastAsia="Times New Roman"/>
              </w:rPr>
            </w:pPr>
          </w:p>
        </w:tc>
        <w:tc>
          <w:tcPr>
            <w:tcW w:w="162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2053261616"/>
        </w:trPr>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Line item in the Consolidated Balance Sheets in which the hedged item is include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Carrying Amount of Hedged Assets/(Liabilities</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Cumulative Amount of Fair Value Hedging Adjustment Included in the Carrying Amount of the Hedged Asset/(Liabilities</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2053261616"/>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2053261616"/>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3261616"/>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Inventor</w:t>
            </w:r>
            <w:r>
              <w:rPr>
                <w:rFonts w:eastAsia="Times New Roman"/>
                <w:color w:val="000000"/>
                <w:sz w:val="16"/>
                <w:szCs w:val="16"/>
              </w:rPr>
              <w:t>y</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32.1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30.7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rPr>
          <w:rFonts w:eastAsia="Times New Roman"/>
        </w:rPr>
      </w:pPr>
    </w:p>
    <w:p w:rsidR="00000000" w:rsidRDefault="004D26FD">
      <w:pPr>
        <w:ind w:firstLine="360"/>
        <w:jc w:val="both"/>
        <w:divId w:val="1158031692"/>
        <w:rPr>
          <w:rFonts w:eastAsia="Times New Roman"/>
        </w:rPr>
      </w:pPr>
    </w:p>
    <w:p w:rsidR="00000000" w:rsidRDefault="004D26FD">
      <w:pPr>
        <w:jc w:val="center"/>
        <w:divId w:val="1817457755"/>
        <w:rPr>
          <w:rFonts w:eastAsia="Times New Roman"/>
        </w:rPr>
      </w:pPr>
      <w:r>
        <w:rPr>
          <w:rFonts w:eastAsia="Times New Roman"/>
          <w:color w:val="000000"/>
          <w:sz w:val="20"/>
          <w:szCs w:val="20"/>
        </w:rPr>
        <w:t>1</w:t>
      </w:r>
      <w:r>
        <w:rPr>
          <w:rFonts w:eastAsia="Times New Roman"/>
          <w:color w:val="000000"/>
          <w:sz w:val="20"/>
          <w:szCs w:val="20"/>
        </w:rPr>
        <w:t>2</w:t>
      </w:r>
    </w:p>
    <w:p w:rsidR="00000000" w:rsidRDefault="004D26FD">
      <w:pPr>
        <w:rPr>
          <w:rFonts w:eastAsia="Times New Roman"/>
        </w:rPr>
      </w:pPr>
      <w:r>
        <w:rPr>
          <w:rFonts w:eastAsia="Times New Roman"/>
        </w:rPr>
        <w:pict>
          <v:rect id="_x0000_i1040" style="width:0;height:1.5pt" o:hralign="center" o:hrstd="t" o:hr="t" fillcolor="#a0a0a0" stroked="f"/>
        </w:pict>
      </w:r>
    </w:p>
    <w:p w:rsidR="00000000" w:rsidRDefault="004D26FD">
      <w:pPr>
        <w:divId w:val="1081945620"/>
        <w:rPr>
          <w:rFonts w:eastAsia="Times New Roman"/>
        </w:rPr>
      </w:pPr>
    </w:p>
    <w:p w:rsidR="00000000" w:rsidRDefault="004D26FD">
      <w:pPr>
        <w:ind w:firstLine="360"/>
        <w:jc w:val="both"/>
        <w:divId w:val="718747094"/>
        <w:rPr>
          <w:rFonts w:eastAsia="Times New Roman"/>
        </w:rPr>
      </w:pPr>
      <w:r>
        <w:rPr>
          <w:rFonts w:eastAsia="Times New Roman"/>
          <w:color w:val="000000"/>
          <w:sz w:val="20"/>
          <w:szCs w:val="20"/>
        </w:rPr>
        <w:t>The following table presents the effect of fair value and cash flow hedges on income and expense line items in our Consolidated Statements of Income and Comprehensive Income (in millions)</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46"/>
        <w:gridCol w:w="1039"/>
        <w:gridCol w:w="46"/>
        <w:gridCol w:w="39"/>
        <w:gridCol w:w="745"/>
        <w:gridCol w:w="39"/>
        <w:gridCol w:w="36"/>
        <w:gridCol w:w="36"/>
        <w:gridCol w:w="36"/>
        <w:gridCol w:w="47"/>
        <w:gridCol w:w="293"/>
        <w:gridCol w:w="75"/>
        <w:gridCol w:w="115"/>
        <w:gridCol w:w="615"/>
        <w:gridCol w:w="75"/>
        <w:gridCol w:w="57"/>
        <w:gridCol w:w="350"/>
        <w:gridCol w:w="75"/>
        <w:gridCol w:w="115"/>
        <w:gridCol w:w="615"/>
        <w:gridCol w:w="75"/>
        <w:gridCol w:w="37"/>
        <w:gridCol w:w="190"/>
        <w:gridCol w:w="75"/>
        <w:gridCol w:w="116"/>
        <w:gridCol w:w="492"/>
        <w:gridCol w:w="95"/>
        <w:gridCol w:w="50"/>
        <w:gridCol w:w="277"/>
        <w:gridCol w:w="75"/>
        <w:gridCol w:w="115"/>
        <w:gridCol w:w="615"/>
        <w:gridCol w:w="75"/>
        <w:gridCol w:w="57"/>
        <w:gridCol w:w="350"/>
        <w:gridCol w:w="75"/>
        <w:gridCol w:w="115"/>
        <w:gridCol w:w="615"/>
        <w:gridCol w:w="75"/>
        <w:gridCol w:w="37"/>
        <w:gridCol w:w="190"/>
        <w:gridCol w:w="75"/>
        <w:gridCol w:w="149"/>
        <w:gridCol w:w="435"/>
        <w:gridCol w:w="9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239220073"/>
        </w:trPr>
        <w:tc>
          <w:tcPr>
            <w:tcW w:w="50" w:type="pct"/>
            <w:vAlign w:val="center"/>
            <w:hideMark/>
          </w:tcPr>
          <w:p w:rsidR="00000000" w:rsidRDefault="004D26FD">
            <w:pPr>
              <w:ind w:firstLine="360"/>
              <w:jc w:val="both"/>
              <w:rPr>
                <w:rFonts w:eastAsia="Times New Roman"/>
              </w:rPr>
            </w:pPr>
          </w:p>
        </w:tc>
        <w:tc>
          <w:tcPr>
            <w:tcW w:w="113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96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8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41"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239220073"/>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Location and Amount of Gain and (Loss) Recognized in Income on Fair Value and Cash Flow Hedging Relationship</w:t>
            </w:r>
            <w:r>
              <w:rPr>
                <w:rFonts w:eastAsia="Times New Roman"/>
                <w:b/>
                <w:bCs/>
                <w:color w:val="000000"/>
                <w:sz w:val="16"/>
                <w:szCs w:val="16"/>
              </w:rPr>
              <w:t>s</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 201</w:t>
            </w:r>
            <w:r>
              <w:rPr>
                <w:rFonts w:eastAsia="Times New Roman"/>
                <w:b/>
                <w:bCs/>
                <w:color w:val="000000"/>
                <w:sz w:val="16"/>
                <w:szCs w:val="16"/>
              </w:rPr>
              <w:t>9</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6"/>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Cost of 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Interest expense and other financing costs, ne</w:t>
            </w:r>
            <w:r>
              <w:rPr>
                <w:rFonts w:eastAsia="Times New Roman"/>
                <w:b/>
                <w:bCs/>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Cost of 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Interest expense and other financing costs, ne</w:t>
            </w:r>
            <w:r>
              <w:rPr>
                <w:rFonts w:eastAsia="Times New Roman"/>
                <w:b/>
                <w:bCs/>
                <w:color w:val="000000"/>
                <w:sz w:val="16"/>
                <w:szCs w:val="16"/>
              </w:rPr>
              <w:t>t</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239220073"/>
        </w:trPr>
        <w:tc>
          <w:tcPr>
            <w:tcW w:w="0" w:type="auto"/>
            <w:gridSpan w:val="6"/>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Total amounts of income and expense line items in which the effects of fair value or cash flow hedged are recorde</w:t>
            </w:r>
            <w:r>
              <w:rPr>
                <w:rFonts w:eastAsia="Times New Roman"/>
                <w:color w:val="000000"/>
                <w:sz w:val="16"/>
                <w:szCs w:val="16"/>
              </w:rPr>
              <w:t>d</w:t>
            </w:r>
          </w:p>
        </w:tc>
        <w:tc>
          <w:tcPr>
            <w:tcW w:w="0" w:type="auto"/>
            <w:gridSpan w:val="3"/>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3,158.3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2,944.5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9,459.4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9,190.8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21.7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6"/>
            <w:shd w:val="clear" w:color="auto" w:fill="CCEE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Gains or Loss on fair value hedge relationships</w:t>
            </w:r>
            <w:r>
              <w:rPr>
                <w:rFonts w:eastAsia="Times New Roman"/>
                <w:color w:val="000000"/>
                <w:sz w:val="16"/>
                <w:szCs w:val="16"/>
              </w:rPr>
              <w:t>:</w:t>
            </w:r>
          </w:p>
        </w:tc>
        <w:tc>
          <w:tcPr>
            <w:tcW w:w="0" w:type="auto"/>
            <w:gridSpan w:val="3"/>
            <w:vAlign w:val="center"/>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   Commodity contracts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Hedged Ite</w:t>
            </w:r>
            <w:r>
              <w:rPr>
                <w:rFonts w:eastAsia="Times New Roman"/>
                <w:color w:val="000000"/>
                <w:sz w:val="16"/>
                <w:szCs w:val="16"/>
              </w:rPr>
              <w:t>m</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(0.9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Derivatives designated as hedging instrument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(0.6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6"/>
            <w:shd w:val="clear" w:color="auto" w:fill="CCEE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Gains or Loss on cash flow hedge relationships</w:t>
            </w:r>
            <w:r>
              <w:rPr>
                <w:rFonts w:eastAsia="Times New Roman"/>
                <w:color w:val="000000"/>
                <w:sz w:val="16"/>
                <w:szCs w:val="16"/>
              </w:rPr>
              <w:t>:</w:t>
            </w:r>
          </w:p>
        </w:tc>
        <w:tc>
          <w:tcPr>
            <w:tcW w:w="0" w:type="auto"/>
            <w:gridSpan w:val="3"/>
            <w:vAlign w:val="center"/>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   Commodity contracts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Amount of Gain (Loss) Reclassified from AOCI into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27.0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(56.2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25.8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   Interest rate contracts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Amount of Gain (Loss) Reclassified from AOCI into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239220073"/>
        </w:trPr>
        <w:tc>
          <w:tcPr>
            <w:tcW w:w="0" w:type="auto"/>
            <w:gridSpan w:val="6"/>
            <w:tcBorders>
              <w:top w:val="single" w:sz="8" w:space="0" w:color="000000"/>
            </w:tcBorders>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Total amount of income and expense line items excluding the impact of hedge</w:t>
            </w:r>
            <w:r>
              <w:rPr>
                <w:rFonts w:eastAsia="Times New Roman"/>
                <w:color w:val="000000"/>
                <w:sz w:val="16"/>
                <w:szCs w:val="16"/>
              </w:rPr>
              <w:t>s</w:t>
            </w:r>
          </w:p>
        </w:tc>
        <w:tc>
          <w:tcPr>
            <w:tcW w:w="0" w:type="auto"/>
            <w:gridSpan w:val="3"/>
            <w:vAlign w:val="center"/>
            <w:hideMark/>
          </w:tcPr>
          <w:p w:rsidR="00000000" w:rsidRDefault="004D26FD">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3,131.4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2,892.6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9,461.9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9,215.1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21.7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Height w:val="240"/>
        </w:trPr>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bottom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3"/>
            <w:tcBorders>
              <w:top w:val="single" w:sz="8" w:space="0" w:color="000000"/>
              <w:bottom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Location and Amount of Gain and (Loss) Recognized in Income on Fair Value and Cash Flow Hedging Relationship</w:t>
            </w:r>
            <w:r>
              <w:rPr>
                <w:rFonts w:eastAsia="Times New Roman"/>
                <w:b/>
                <w:bCs/>
                <w:color w:val="000000"/>
                <w:sz w:val="16"/>
                <w:szCs w:val="16"/>
              </w:rPr>
              <w:t>s</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 201</w:t>
            </w:r>
            <w:r>
              <w:rPr>
                <w:rFonts w:eastAsia="Times New Roman"/>
                <w:b/>
                <w:bCs/>
                <w:color w:val="000000"/>
                <w:sz w:val="16"/>
                <w:szCs w:val="16"/>
              </w:rPr>
              <w:t>9</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6"/>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Cost of 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Interest expense and other financing costs, ne</w:t>
            </w:r>
            <w:r>
              <w:rPr>
                <w:rFonts w:eastAsia="Times New Roman"/>
                <w:b/>
                <w:bCs/>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Cost of Revenu</w:t>
            </w:r>
            <w:r>
              <w:rPr>
                <w:rFonts w:eastAsia="Times New Roman"/>
                <w:b/>
                <w:bCs/>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Interest expense and other financing costs, ne</w:t>
            </w:r>
            <w:r>
              <w:rPr>
                <w:rFonts w:eastAsia="Times New Roman"/>
                <w:b/>
                <w:bCs/>
                <w:color w:val="000000"/>
                <w:sz w:val="16"/>
                <w:szCs w:val="16"/>
              </w:rPr>
              <w:t>t</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239220073"/>
        </w:trPr>
        <w:tc>
          <w:tcPr>
            <w:tcW w:w="0" w:type="auto"/>
            <w:gridSpan w:val="6"/>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amounts of income and expense line items in which the effects of fair value or cash flow hedged are recorde</w:t>
            </w:r>
            <w:r>
              <w:rPr>
                <w:rFonts w:eastAsia="Times New Roman"/>
                <w:color w:val="000000"/>
                <w:sz w:val="16"/>
                <w:szCs w:val="16"/>
              </w:rPr>
              <w:t>d</w:t>
            </w:r>
          </w:p>
        </w:tc>
        <w:tc>
          <w:tcPr>
            <w:tcW w:w="0" w:type="auto"/>
            <w:gridSpan w:val="3"/>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11,173.5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10,700.9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26.9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18,138.2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17,618.5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42.2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6"/>
            <w:shd w:val="clear" w:color="auto" w:fill="CCEE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Gains or Loss on fair value hedge relationships</w:t>
            </w:r>
            <w:r>
              <w:rPr>
                <w:rFonts w:eastAsia="Times New Roman"/>
                <w:color w:val="000000"/>
                <w:sz w:val="16"/>
                <w:szCs w:val="16"/>
              </w:rPr>
              <w:t>:</w:t>
            </w:r>
          </w:p>
        </w:tc>
        <w:tc>
          <w:tcPr>
            <w:tcW w:w="0" w:type="auto"/>
            <w:gridSpan w:val="3"/>
            <w:vAlign w:val="center"/>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center"/>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30" w:type="dxa"/>
              <w:left w:w="225" w:type="dxa"/>
              <w:bottom w:w="30" w:type="dxa"/>
              <w:right w:w="20" w:type="dxa"/>
            </w:tcMar>
            <w:vAlign w:val="center"/>
            <w:hideMark/>
          </w:tcPr>
          <w:p w:rsidR="00000000" w:rsidRDefault="004D26FD">
            <w:pPr>
              <w:rPr>
                <w:rFonts w:eastAsia="Times New Roman"/>
              </w:rPr>
            </w:pPr>
            <w:r>
              <w:rPr>
                <w:rFonts w:eastAsia="Times New Roman"/>
                <w:color w:val="000000"/>
                <w:sz w:val="16"/>
                <w:szCs w:val="16"/>
              </w:rPr>
              <w:t>   Commodity contracts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Hedged Ite</w:t>
            </w:r>
            <w:r>
              <w:rPr>
                <w:rFonts w:eastAsia="Times New Roman"/>
                <w:color w:val="000000"/>
                <w:sz w:val="16"/>
                <w:szCs w:val="16"/>
              </w:rPr>
              <w:t>m</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(14.3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15.4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Derivatives designated as hedging instrument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13.8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(14.1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6"/>
            <w:shd w:val="clear" w:color="auto" w:fill="CCEEFF"/>
            <w:tcMar>
              <w:top w:w="30" w:type="dxa"/>
              <w:left w:w="225" w:type="dxa"/>
              <w:bottom w:w="30" w:type="dxa"/>
              <w:right w:w="20" w:type="dxa"/>
            </w:tcMar>
            <w:hideMark/>
          </w:tcPr>
          <w:p w:rsidR="00000000" w:rsidRDefault="004D26FD">
            <w:pPr>
              <w:rPr>
                <w:rFonts w:eastAsia="Times New Roman"/>
              </w:rPr>
            </w:pPr>
            <w:r>
              <w:rPr>
                <w:rFonts w:eastAsia="Times New Roman"/>
                <w:color w:val="000000"/>
                <w:sz w:val="16"/>
                <w:szCs w:val="16"/>
              </w:rPr>
              <w:t>Gains or Loss on cash flow hedge relationships</w:t>
            </w:r>
            <w:r>
              <w:rPr>
                <w:rFonts w:eastAsia="Times New Roman"/>
                <w:color w:val="000000"/>
                <w:sz w:val="16"/>
                <w:szCs w:val="16"/>
              </w:rPr>
              <w:t>:</w:t>
            </w:r>
          </w:p>
        </w:tc>
        <w:tc>
          <w:tcPr>
            <w:tcW w:w="0" w:type="auto"/>
            <w:gridSpan w:val="3"/>
            <w:vAlign w:val="center"/>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center"/>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30" w:type="dxa"/>
              <w:left w:w="225" w:type="dxa"/>
              <w:bottom w:w="30" w:type="dxa"/>
              <w:right w:w="20" w:type="dxa"/>
            </w:tcMar>
            <w:vAlign w:val="center"/>
            <w:hideMark/>
          </w:tcPr>
          <w:p w:rsidR="00000000" w:rsidRDefault="004D26FD">
            <w:pPr>
              <w:rPr>
                <w:rFonts w:eastAsia="Times New Roman"/>
              </w:rPr>
            </w:pPr>
            <w:r>
              <w:rPr>
                <w:rFonts w:eastAsia="Times New Roman"/>
                <w:color w:val="000000"/>
                <w:sz w:val="16"/>
                <w:szCs w:val="16"/>
              </w:rPr>
              <w:t>   Commodity contracts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Amount of Gain (Loss) Reclassified from AOCI into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(57.3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(6.3</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17.4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FFFFFF"/>
            <w:tcMar>
              <w:top w:w="30" w:type="dxa"/>
              <w:left w:w="225" w:type="dxa"/>
              <w:bottom w:w="30" w:type="dxa"/>
              <w:right w:w="20" w:type="dxa"/>
            </w:tcMar>
            <w:vAlign w:val="center"/>
            <w:hideMark/>
          </w:tcPr>
          <w:p w:rsidR="00000000" w:rsidRDefault="004D26FD">
            <w:pPr>
              <w:rPr>
                <w:rFonts w:eastAsia="Times New Roman"/>
              </w:rPr>
            </w:pPr>
            <w:r>
              <w:rPr>
                <w:rFonts w:eastAsia="Times New Roman"/>
                <w:color w:val="000000"/>
                <w:sz w:val="16"/>
                <w:szCs w:val="16"/>
              </w:rPr>
              <w:t>   Interest rate contracts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39220073"/>
        </w:trPr>
        <w:tc>
          <w:tcPr>
            <w:tcW w:w="0" w:type="auto"/>
            <w:gridSpan w:val="3"/>
            <w:shd w:val="clear" w:color="auto" w:fill="CCEEFF"/>
            <w:tcMar>
              <w:top w:w="15" w:type="dxa"/>
              <w:left w:w="225" w:type="dxa"/>
              <w:bottom w:w="15" w:type="dxa"/>
              <w:right w:w="20" w:type="dxa"/>
            </w:tcMar>
            <w:vAlign w:val="center"/>
            <w:hideMark/>
          </w:tcPr>
          <w:p w:rsidR="00000000" w:rsidRDefault="004D26FD">
            <w:pPr>
              <w:rPr>
                <w:rFonts w:eastAsia="Times New Roman"/>
                <w:sz w:val="20"/>
                <w:szCs w:val="20"/>
              </w:rPr>
            </w:pPr>
          </w:p>
        </w:tc>
        <w:tc>
          <w:tcPr>
            <w:tcW w:w="0" w:type="auto"/>
            <w:gridSpan w:val="3"/>
            <w:tcBorders>
              <w:bottom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Amount of Gain (Loss) Reclassified from AOCI into Incom</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center"/>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239220073"/>
        </w:trPr>
        <w:tc>
          <w:tcPr>
            <w:tcW w:w="0" w:type="auto"/>
            <w:gridSpan w:val="6"/>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amount of income and expense line items excluding the impact of hedge</w:t>
            </w:r>
            <w:r>
              <w:rPr>
                <w:rFonts w:eastAsia="Times New Roman"/>
                <w:color w:val="000000"/>
                <w:sz w:val="16"/>
                <w:szCs w:val="16"/>
              </w:rPr>
              <w:t>s</w:t>
            </w:r>
          </w:p>
        </w:tc>
        <w:tc>
          <w:tcPr>
            <w:tcW w:w="0" w:type="auto"/>
            <w:gridSpan w:val="3"/>
            <w:vAlign w:val="center"/>
            <w:hideMark/>
          </w:tcPr>
          <w:p w:rsidR="00000000" w:rsidRDefault="004D26FD">
            <w:pPr>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11,132.5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10,643.1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26.9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18,144.5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17,637.2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42.2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divId w:val="61491695"/>
        <w:rPr>
          <w:rFonts w:eastAsia="Times New Roman"/>
        </w:rPr>
      </w:pPr>
      <w:r>
        <w:rPr>
          <w:rFonts w:eastAsia="Times New Roman"/>
          <w:color w:val="000000"/>
          <w:sz w:val="20"/>
          <w:szCs w:val="20"/>
        </w:rPr>
        <w:t>For the three and six months ended June 30, 2020 and 2019, there were no gains or losses recognized in earnings related to our fair value or cash flow hedges that were excluded from the assessment of hedge effectiveness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both"/>
        <w:rPr>
          <w:rFonts w:eastAsia="Times New Roman"/>
        </w:rPr>
      </w:pPr>
      <w:r>
        <w:rPr>
          <w:rFonts w:eastAsia="Times New Roman"/>
          <w:color w:val="000000"/>
          <w:sz w:val="20"/>
          <w:szCs w:val="20"/>
        </w:rPr>
        <w:t>        As of June 30</w:t>
      </w:r>
      <w:r>
        <w:rPr>
          <w:rFonts w:eastAsia="Times New Roman"/>
          <w:color w:val="000000"/>
          <w:sz w:val="20"/>
          <w:szCs w:val="20"/>
        </w:rPr>
        <w:t>, 2020, on a pre-tax basis for commodity cash flow hedges, $160.8 million and $170.8 million is scheduled to be reclassified from Accumulated other comprehensive loss as an increase to Revenue and increase to Cost of revenue, respectively, over the next tw</w:t>
      </w:r>
      <w:r>
        <w:rPr>
          <w:rFonts w:eastAsia="Times New Roman"/>
          <w:color w:val="000000"/>
          <w:sz w:val="20"/>
          <w:szCs w:val="20"/>
        </w:rPr>
        <w:t>elve months</w:t>
      </w:r>
      <w:r>
        <w:rPr>
          <w:rFonts w:eastAsia="Times New Roman"/>
          <w:color w:val="000000"/>
          <w:sz w:val="20"/>
          <w:szCs w:val="20"/>
        </w:rPr>
        <w:t>.</w:t>
      </w:r>
    </w:p>
    <w:p w:rsidR="00000000" w:rsidRDefault="004D26FD">
      <w:pPr>
        <w:jc w:val="center"/>
        <w:divId w:val="44762603"/>
        <w:rPr>
          <w:rFonts w:eastAsia="Times New Roman"/>
        </w:rPr>
      </w:pPr>
      <w:r>
        <w:rPr>
          <w:rFonts w:eastAsia="Times New Roman"/>
          <w:color w:val="000000"/>
          <w:sz w:val="20"/>
          <w:szCs w:val="20"/>
        </w:rPr>
        <w:t>1</w:t>
      </w:r>
      <w:r>
        <w:rPr>
          <w:rFonts w:eastAsia="Times New Roman"/>
          <w:color w:val="000000"/>
          <w:sz w:val="20"/>
          <w:szCs w:val="20"/>
        </w:rPr>
        <w:t>3</w:t>
      </w:r>
    </w:p>
    <w:p w:rsidR="00000000" w:rsidRDefault="004D26FD">
      <w:pPr>
        <w:rPr>
          <w:rFonts w:eastAsia="Times New Roman"/>
        </w:rPr>
      </w:pPr>
      <w:r>
        <w:rPr>
          <w:rFonts w:eastAsia="Times New Roman"/>
        </w:rPr>
        <w:pict>
          <v:rect id="_x0000_i1041" style="width:0;height:1.5pt" o:hralign="center" o:hrstd="t" o:hr="t" fillcolor="#a0a0a0" stroked="f"/>
        </w:pict>
      </w:r>
    </w:p>
    <w:p w:rsidR="00000000" w:rsidRDefault="004D26FD">
      <w:pPr>
        <w:divId w:val="762534082"/>
        <w:rPr>
          <w:rFonts w:eastAsia="Times New Roman"/>
        </w:rPr>
      </w:pP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 presents the effect and financial statement location of our derivative instruments in cash flow hedging relationships on Accumulated other comprehensive income and Consolidated Statements of Incom</w:t>
      </w:r>
      <w:r>
        <w:rPr>
          <w:rFonts w:eastAsia="Times New Roman"/>
          <w:color w:val="000000"/>
          <w:sz w:val="20"/>
          <w:szCs w:val="20"/>
        </w:rPr>
        <w:t>e and Comprehensive Income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1879"/>
        <w:gridCol w:w="38"/>
        <w:gridCol w:w="115"/>
        <w:gridCol w:w="482"/>
        <w:gridCol w:w="75"/>
        <w:gridCol w:w="36"/>
        <w:gridCol w:w="36"/>
        <w:gridCol w:w="36"/>
        <w:gridCol w:w="115"/>
        <w:gridCol w:w="482"/>
        <w:gridCol w:w="75"/>
        <w:gridCol w:w="36"/>
        <w:gridCol w:w="36"/>
        <w:gridCol w:w="36"/>
        <w:gridCol w:w="37"/>
        <w:gridCol w:w="1631"/>
        <w:gridCol w:w="36"/>
        <w:gridCol w:w="115"/>
        <w:gridCol w:w="459"/>
        <w:gridCol w:w="75"/>
        <w:gridCol w:w="154"/>
        <w:gridCol w:w="800"/>
        <w:gridCol w:w="153"/>
        <w:gridCol w:w="115"/>
        <w:gridCol w:w="421"/>
        <w:gridCol w:w="75"/>
        <w:gridCol w:w="36"/>
        <w:gridCol w:w="36"/>
        <w:gridCol w:w="36"/>
        <w:gridCol w:w="56"/>
        <w:gridCol w:w="51"/>
        <w:gridCol w:w="47"/>
        <w:gridCol w:w="36"/>
        <w:gridCol w:w="36"/>
        <w:gridCol w:w="36"/>
        <w:gridCol w:w="36"/>
        <w:gridCol w:w="36"/>
        <w:gridCol w:w="36"/>
        <w:gridCol w:w="36"/>
        <w:gridCol w:w="36"/>
        <w:gridCol w:w="36"/>
        <w:gridCol w:w="36"/>
        <w:gridCol w:w="36"/>
        <w:gridCol w:w="36"/>
      </w:tblGrid>
      <w:tr w:rsidR="00000000">
        <w:trPr>
          <w:gridAfter w:val="18"/>
          <w:divId w:val="2126002945"/>
        </w:trPr>
        <w:tc>
          <w:tcPr>
            <w:tcW w:w="50" w:type="pct"/>
            <w:vAlign w:val="center"/>
            <w:hideMark/>
          </w:tcPr>
          <w:p w:rsidR="00000000" w:rsidRDefault="004D26FD">
            <w:pPr>
              <w:ind w:firstLine="360"/>
              <w:jc w:val="both"/>
              <w:rPr>
                <w:rFonts w:eastAsia="Times New Roman"/>
              </w:rPr>
            </w:pPr>
          </w:p>
        </w:tc>
        <w:tc>
          <w:tcPr>
            <w:tcW w:w="13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9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41"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9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134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9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39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gridAfter w:val="6"/>
          <w:divId w:val="2126002945"/>
        </w:trPr>
        <w:tc>
          <w:tcPr>
            <w:tcW w:w="0" w:type="auto"/>
            <w:gridSpan w:val="3"/>
            <w:vMerge w:val="restart"/>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Amount of Gain (Loss) Recognized in Accumulated Other Comprehensive Income</w:t>
            </w:r>
            <w:r>
              <w:rPr>
                <w:rFonts w:eastAsia="Times New Roman"/>
                <w:b/>
                <w:bCs/>
                <w:color w:val="000000"/>
                <w:sz w:val="16"/>
                <w:szCs w:val="16"/>
              </w:rPr>
              <w:t xml:space="preserve"> </w:t>
            </w: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restart"/>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Amount of Gain (Loss) Reclassified from Accumulated Other Comprehensive Income into Income</w:t>
            </w:r>
            <w:r>
              <w:rPr>
                <w:rFonts w:eastAsia="Times New Roman"/>
                <w:b/>
                <w:bCs/>
                <w:color w:val="000000"/>
                <w:sz w:val="16"/>
                <w:szCs w:val="16"/>
              </w:rPr>
              <w:t xml:space="preserve"> </w:t>
            </w:r>
          </w:p>
        </w:tc>
        <w:tc>
          <w:tcPr>
            <w:tcW w:w="0" w:type="auto"/>
            <w:gridSpan w:val="9"/>
            <w:tcBorders>
              <w:bottom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2126002945"/>
        </w:trPr>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212600294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16"/>
                <w:szCs w:val="16"/>
              </w:rPr>
              <w:t>Derivative Instrument</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Commodity contract</w:t>
            </w:r>
            <w:r>
              <w:rPr>
                <w:rFonts w:eastAsia="Times New Roman"/>
                <w:color w:val="000000"/>
                <w:sz w:val="16"/>
                <w:szCs w:val="16"/>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(148.5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42.8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27.0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Commodity contract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100.3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(22.7</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Cost of revenu</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(56.2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25.8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Interest rate contract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Interest expense and other financing costs,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Gain (Loss</w:t>
            </w:r>
            <w:r>
              <w:rPr>
                <w:rFonts w:eastAsia="Times New Roman"/>
                <w:color w:val="000000"/>
                <w:sz w:val="16"/>
                <w:szCs w:val="16"/>
              </w:rPr>
              <w:t>)</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(50.3</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20.1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Gain (Loss</w:t>
            </w:r>
            <w:r>
              <w:rPr>
                <w:rFonts w:eastAsia="Times New Roman"/>
                <w:color w:val="000000"/>
                <w:sz w:val="16"/>
                <w:szCs w:val="16"/>
              </w:rPr>
              <w:t>)</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(29.2</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23.3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vMerge w:val="restart"/>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Amount of Gain (Loss) Recognized in Accumulated Other Comprehensive Income</w:t>
            </w:r>
            <w:r>
              <w:rPr>
                <w:rFonts w:eastAsia="Times New Roman"/>
                <w:b/>
                <w:bCs/>
                <w:color w:val="000000"/>
                <w:sz w:val="16"/>
                <w:szCs w:val="16"/>
              </w:rPr>
              <w:t xml:space="preserve"> </w:t>
            </w: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Merge w:val="restart"/>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Amount of Gain (Loss) Reclassified from Accumulated Other Comprehensive Income into Income</w:t>
            </w:r>
            <w:r>
              <w:rPr>
                <w:rFonts w:eastAsia="Times New Roman"/>
                <w:b/>
                <w:bCs/>
                <w:color w:val="000000"/>
                <w:sz w:val="16"/>
                <w:szCs w:val="16"/>
              </w:rPr>
              <w:t xml:space="preserve"> </w:t>
            </w:r>
          </w:p>
        </w:tc>
        <w:tc>
          <w:tcPr>
            <w:tcW w:w="0" w:type="auto"/>
            <w:gridSpan w:val="9"/>
            <w:tcBorders>
              <w:bottom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vMerge/>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Merge/>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2126002945"/>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16"/>
                <w:szCs w:val="16"/>
              </w:rPr>
              <w:t>Derivative Instrument</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Commodity contract</w:t>
            </w:r>
            <w:r>
              <w:rPr>
                <w:rFonts w:eastAsia="Times New Roman"/>
                <w:color w:val="000000"/>
                <w:sz w:val="16"/>
                <w:szCs w:val="16"/>
              </w:rPr>
              <w:t>s</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185.6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(177.7</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41.0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(6.3</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Commodity contract</w:t>
            </w:r>
            <w:r>
              <w:rPr>
                <w:rFonts w:eastAsia="Times New Roman"/>
                <w:color w:val="000000"/>
                <w:sz w:val="16"/>
                <w:szCs w:val="16"/>
              </w:rPr>
              <w:t>s</w:t>
            </w: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(197.4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173.7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Cost of Revenu</w:t>
            </w:r>
            <w:r>
              <w:rPr>
                <w:rFonts w:eastAsia="Times New Roman"/>
                <w:color w:val="000000"/>
                <w:sz w:val="16"/>
                <w:szCs w:val="16"/>
              </w:rPr>
              <w:t>e</w:t>
            </w: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(57.3</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17.4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Interest rate contract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Interest expense and other financing costs, ne</w:t>
            </w:r>
            <w:r>
              <w:rPr>
                <w:rFonts w:eastAsia="Times New Roman"/>
                <w:color w:val="000000"/>
                <w:sz w:val="16"/>
                <w:szCs w:val="16"/>
              </w:rPr>
              <w:t>t</w:t>
            </w: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center"/>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2600294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Gain (Loss</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(15.5</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Gain (Loss</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(16.3</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divId w:val="795222743"/>
        <w:rPr>
          <w:rFonts w:eastAsia="Times New Roman"/>
        </w:rPr>
      </w:pPr>
    </w:p>
    <w:p w:rsidR="00000000" w:rsidRDefault="004D26FD">
      <w:pPr>
        <w:ind w:firstLine="360"/>
        <w:jc w:val="both"/>
        <w:divId w:val="374046088"/>
        <w:rPr>
          <w:rFonts w:eastAsia="Times New Roman"/>
        </w:rPr>
      </w:pPr>
      <w:r>
        <w:rPr>
          <w:rFonts w:eastAsia="Times New Roman"/>
          <w:color w:val="000000"/>
          <w:sz w:val="20"/>
          <w:szCs w:val="20"/>
        </w:rPr>
        <w:t>The following tabl</w:t>
      </w:r>
      <w:r>
        <w:rPr>
          <w:rFonts w:eastAsia="Times New Roman"/>
          <w:color w:val="000000"/>
          <w:sz w:val="20"/>
          <w:szCs w:val="20"/>
        </w:rPr>
        <w:t>e presents the effect and financial statement location of our derivative instruments not designated as hedging instruments on our Consolidated Statements of Income and Comprehensive Income (in millions)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58"/>
        <w:gridCol w:w="4284"/>
        <w:gridCol w:w="58"/>
        <w:gridCol w:w="36"/>
        <w:gridCol w:w="36"/>
        <w:gridCol w:w="36"/>
        <w:gridCol w:w="47"/>
        <w:gridCol w:w="1029"/>
        <w:gridCol w:w="59"/>
        <w:gridCol w:w="36"/>
        <w:gridCol w:w="36"/>
        <w:gridCol w:w="36"/>
        <w:gridCol w:w="115"/>
        <w:gridCol w:w="842"/>
        <w:gridCol w:w="75"/>
        <w:gridCol w:w="36"/>
        <w:gridCol w:w="36"/>
        <w:gridCol w:w="36"/>
        <w:gridCol w:w="115"/>
        <w:gridCol w:w="828"/>
        <w:gridCol w:w="75"/>
        <w:gridCol w:w="36"/>
        <w:gridCol w:w="36"/>
        <w:gridCol w:w="36"/>
        <w:gridCol w:w="36"/>
        <w:gridCol w:w="36"/>
        <w:gridCol w:w="36"/>
        <w:gridCol w:w="36"/>
        <w:gridCol w:w="36"/>
        <w:gridCol w:w="36"/>
        <w:gridCol w:w="36"/>
      </w:tblGrid>
      <w:tr w:rsidR="00000000">
        <w:trPr>
          <w:gridAfter w:val="9"/>
          <w:divId w:val="2105107404"/>
          <w:jc w:val="center"/>
        </w:trPr>
        <w:tc>
          <w:tcPr>
            <w:tcW w:w="50" w:type="pct"/>
            <w:vAlign w:val="center"/>
            <w:hideMark/>
          </w:tcPr>
          <w:p w:rsidR="00000000" w:rsidRDefault="004D26FD">
            <w:pPr>
              <w:ind w:firstLine="360"/>
              <w:jc w:val="both"/>
              <w:rPr>
                <w:rFonts w:eastAsia="Times New Roman"/>
              </w:rPr>
            </w:pPr>
          </w:p>
        </w:tc>
        <w:tc>
          <w:tcPr>
            <w:tcW w:w="271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6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5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5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Amount of Realized and Unrealized Gain (Loss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12"/>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Derivative Instruments - Non-designate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Locatio</w:t>
            </w:r>
            <w:r>
              <w:rPr>
                <w:rFonts w:eastAsia="Times New Roman"/>
                <w:b/>
                <w:bCs/>
                <w:color w:val="000000"/>
                <w:sz w:val="16"/>
                <w:szCs w:val="16"/>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Commodity contract</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34.1</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69.4</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Cost of revenu</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(25.8</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(57.1</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8.4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12.4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(0.5</w:t>
            </w:r>
            <w:r>
              <w:rPr>
                <w:rFonts w:eastAsia="Times New Roman"/>
                <w:color w:val="000000"/>
                <w:sz w:val="16"/>
                <w:szCs w:val="16"/>
              </w:rPr>
              <w:t>)</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Other (expense),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(7.8</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(1.3</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(8.3</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(1.3</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Total Gain (Loss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trHeight w:val="240"/>
          <w:jc w:val="center"/>
        </w:trPr>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Amount of Realized and Unrealized Gain (Loss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Derivative Instruments - Non-designate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Location</w:t>
            </w:r>
            <w:r>
              <w:rPr>
                <w:rFonts w:eastAsia="Times New Roman"/>
                <w:b/>
                <w:bCs/>
                <w:color w:val="000000"/>
                <w:sz w:val="16"/>
                <w:szCs w:val="16"/>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jc w:val="center"/>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Commodity contract</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113.3</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144.5</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Cost of revenu</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(10.3</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(123.0</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102.9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21.5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Revenu</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Other (expense), ne</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 </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(0.8</w:t>
            </w:r>
            <w:r>
              <w:rPr>
                <w:rFonts w:eastAsia="Times New Roman"/>
                <w:color w:val="000000"/>
                <w:sz w:val="16"/>
                <w:szCs w:val="16"/>
              </w:rPr>
              <w:t>)</w:t>
            </w:r>
          </w:p>
        </w:tc>
        <w:tc>
          <w:tcPr>
            <w:tcW w:w="0" w:type="auto"/>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(0.9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05107404"/>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Total Gain (Loss</w:t>
            </w: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113.6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20.6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divId w:val="593131815"/>
        <w:rPr>
          <w:rFonts w:eastAsia="Times New Roman"/>
        </w:rPr>
      </w:pPr>
      <w:r>
        <w:rPr>
          <w:rFonts w:eastAsia="Times New Roman"/>
          <w:b/>
          <w:bCs/>
          <w:color w:val="000000"/>
          <w:sz w:val="20"/>
          <w:szCs w:val="20"/>
        </w:rPr>
        <w:t>       </w:t>
      </w:r>
      <w:r>
        <w:rPr>
          <w:rFonts w:eastAsia="Times New Roman"/>
          <w:b/>
          <w:bCs/>
          <w:color w:val="000000"/>
          <w:sz w:val="20"/>
          <w:szCs w:val="20"/>
        </w:rPr>
        <w:t> </w:t>
      </w:r>
    </w:p>
    <w:p w:rsidR="00000000" w:rsidRDefault="004D26FD">
      <w:pPr>
        <w:jc w:val="center"/>
        <w:divId w:val="74667730"/>
        <w:rPr>
          <w:rFonts w:eastAsia="Times New Roman"/>
        </w:rPr>
      </w:pPr>
      <w:r>
        <w:rPr>
          <w:rFonts w:eastAsia="Times New Roman"/>
          <w:color w:val="000000"/>
          <w:sz w:val="20"/>
          <w:szCs w:val="20"/>
        </w:rPr>
        <w:t>1</w:t>
      </w:r>
      <w:r>
        <w:rPr>
          <w:rFonts w:eastAsia="Times New Roman"/>
          <w:color w:val="000000"/>
          <w:sz w:val="20"/>
          <w:szCs w:val="20"/>
        </w:rPr>
        <w:t>4</w:t>
      </w:r>
    </w:p>
    <w:p w:rsidR="00000000" w:rsidRDefault="004D26FD">
      <w:pPr>
        <w:rPr>
          <w:rFonts w:eastAsia="Times New Roman"/>
        </w:rPr>
      </w:pPr>
      <w:r>
        <w:rPr>
          <w:rFonts w:eastAsia="Times New Roman"/>
        </w:rPr>
        <w:pict>
          <v:rect id="_x0000_i1042" style="width:0;height:1.5pt" o:hralign="center" o:hrstd="t" o:hr="t" fillcolor="#a0a0a0" stroked="f"/>
        </w:pict>
      </w:r>
    </w:p>
    <w:p w:rsidR="00000000" w:rsidRDefault="004D26FD">
      <w:pPr>
        <w:divId w:val="1405175901"/>
        <w:rPr>
          <w:rFonts w:eastAsia="Times New Roman"/>
        </w:rPr>
      </w:pPr>
    </w:p>
    <w:p w:rsidR="00000000" w:rsidRDefault="004D26FD">
      <w:pPr>
        <w:divId w:val="2120102794"/>
        <w:rPr>
          <w:rFonts w:eastAsia="Times New Roman"/>
        </w:rPr>
      </w:pPr>
      <w:r>
        <w:rPr>
          <w:rFonts w:eastAsia="Times New Roman"/>
          <w:b/>
          <w:bCs/>
          <w:color w:val="000000"/>
          <w:sz w:val="20"/>
          <w:szCs w:val="20"/>
        </w:rPr>
        <w:t>Credit-Risk-Related Contingent Feature</w:t>
      </w:r>
      <w:r>
        <w:rPr>
          <w:rFonts w:eastAsia="Times New Roman"/>
          <w:b/>
          <w:bCs/>
          <w:color w:val="000000"/>
          <w:sz w:val="20"/>
          <w:szCs w:val="20"/>
        </w:rPr>
        <w:t>s</w:t>
      </w:r>
    </w:p>
    <w:p w:rsidR="00000000" w:rsidRDefault="004D26FD">
      <w:pPr>
        <w:ind w:firstLine="720"/>
        <w:divId w:val="1517161041"/>
        <w:rPr>
          <w:rFonts w:eastAsia="Times New Roman"/>
        </w:rPr>
      </w:pPr>
      <w:r>
        <w:rPr>
          <w:rFonts w:eastAsia="Times New Roman"/>
          <w:color w:val="000000"/>
          <w:sz w:val="20"/>
          <w:szCs w:val="20"/>
        </w:rPr>
        <w:t> </w:t>
      </w:r>
    </w:p>
    <w:p w:rsidR="00000000" w:rsidRDefault="004D26FD">
      <w:pPr>
        <w:ind w:firstLine="360"/>
        <w:jc w:val="both"/>
        <w:divId w:val="1547175877"/>
        <w:rPr>
          <w:rFonts w:eastAsia="Times New Roman"/>
        </w:rPr>
      </w:pPr>
      <w:r>
        <w:rPr>
          <w:rFonts w:eastAsia="Times New Roman"/>
          <w:color w:val="000000"/>
          <w:sz w:val="20"/>
          <w:szCs w:val="20"/>
        </w:rPr>
        <w:t>We enter into derivative contracts, which may require us to provide collateral periodically. Additionally, certain derivative contracts contain credit-risk-related contingent c</w:t>
      </w:r>
      <w:r>
        <w:rPr>
          <w:rFonts w:eastAsia="Times New Roman"/>
          <w:color w:val="000000"/>
          <w:sz w:val="20"/>
          <w:szCs w:val="20"/>
        </w:rPr>
        <w:t xml:space="preserve">lauses that are triggered by credit events. These credit events may include the requirement to provide additional collateral or the immediate settlement of the derivative instruments upon the occurrence of such credit event or default. The following table </w:t>
      </w:r>
      <w:r>
        <w:rPr>
          <w:rFonts w:eastAsia="Times New Roman"/>
          <w:color w:val="000000"/>
          <w:sz w:val="20"/>
          <w:szCs w:val="20"/>
        </w:rPr>
        <w:t>presents the potential collateral requirements for derivative liabilities with credit-risk-contingent features as of June 30, 2020 and December 31, 2019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7"/>
        <w:gridCol w:w="5293"/>
        <w:gridCol w:w="57"/>
        <w:gridCol w:w="36"/>
        <w:gridCol w:w="36"/>
        <w:gridCol w:w="36"/>
        <w:gridCol w:w="36"/>
        <w:gridCol w:w="115"/>
        <w:gridCol w:w="1025"/>
        <w:gridCol w:w="75"/>
        <w:gridCol w:w="36"/>
        <w:gridCol w:w="36"/>
        <w:gridCol w:w="36"/>
        <w:gridCol w:w="116"/>
        <w:gridCol w:w="1011"/>
        <w:gridCol w:w="76"/>
        <w:gridCol w:w="36"/>
        <w:gridCol w:w="36"/>
        <w:gridCol w:w="36"/>
        <w:gridCol w:w="36"/>
        <w:gridCol w:w="36"/>
        <w:gridCol w:w="36"/>
      </w:tblGrid>
      <w:tr w:rsidR="00000000">
        <w:trPr>
          <w:gridAfter w:val="6"/>
          <w:divId w:val="1278610168"/>
        </w:trPr>
        <w:tc>
          <w:tcPr>
            <w:tcW w:w="50" w:type="pct"/>
            <w:vAlign w:val="center"/>
            <w:hideMark/>
          </w:tcPr>
          <w:p w:rsidR="00000000" w:rsidRDefault="004D26FD">
            <w:pPr>
              <w:ind w:firstLine="360"/>
              <w:jc w:val="both"/>
              <w:rPr>
                <w:rFonts w:eastAsia="Times New Roman"/>
              </w:rPr>
            </w:pPr>
          </w:p>
        </w:tc>
        <w:tc>
          <w:tcPr>
            <w:tcW w:w="330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6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6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27861016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333333"/>
                <w:sz w:val="16"/>
                <w:szCs w:val="16"/>
              </w:rPr>
              <w:t xml:space="preserve">Potential Collateral Requirements for </w:t>
            </w:r>
            <w:r>
              <w:rPr>
                <w:rFonts w:eastAsia="Times New Roman"/>
                <w:b/>
                <w:bCs/>
                <w:color w:val="333333"/>
                <w:sz w:val="16"/>
                <w:szCs w:val="16"/>
              </w:rPr>
              <w:br/>
              <w:t xml:space="preserve">Derivative Liabilities with </w:t>
            </w:r>
            <w:r>
              <w:rPr>
                <w:rFonts w:eastAsia="Times New Roman"/>
                <w:b/>
                <w:bCs/>
                <w:color w:val="333333"/>
                <w:sz w:val="16"/>
                <w:szCs w:val="16"/>
              </w:rPr>
              <w:br/>
              <w:t>Credit-Risk-Contingent Feature</w:t>
            </w:r>
            <w:r>
              <w:rPr>
                <w:rFonts w:eastAsia="Times New Roman"/>
                <w:b/>
                <w:bCs/>
                <w:color w:val="333333"/>
                <w:sz w:val="16"/>
                <w:szCs w:val="16"/>
              </w:rPr>
              <w:t>s</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27861016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333333"/>
                <w:sz w:val="16"/>
                <w:szCs w:val="16"/>
              </w:rPr>
              <w:t>As of June 30, 202</w:t>
            </w:r>
            <w:r>
              <w:rPr>
                <w:rFonts w:eastAsia="Times New Roman"/>
                <w:b/>
                <w:bCs/>
                <w:color w:val="333333"/>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333333"/>
                <w:sz w:val="16"/>
                <w:szCs w:val="16"/>
              </w:rPr>
              <w:t>As of December 31, 201</w:t>
            </w:r>
            <w:r>
              <w:rPr>
                <w:rFonts w:eastAsia="Times New Roman"/>
                <w:b/>
                <w:bCs/>
                <w:color w:val="333333"/>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7861016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Net derivative liability positions with credit contingent feature</w:t>
            </w:r>
            <w:r>
              <w:rPr>
                <w:rFonts w:eastAsia="Times New Roman"/>
                <w:color w:val="000000"/>
                <w:sz w:val="16"/>
                <w:szCs w:val="16"/>
              </w:rPr>
              <w:t>s</w:t>
            </w:r>
          </w:p>
        </w:tc>
        <w:tc>
          <w:tcPr>
            <w:tcW w:w="0" w:type="auto"/>
            <w:vAlign w:val="center"/>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65.2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45.6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78610168"/>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Collateral posted and held by our counterpartie</w:t>
            </w:r>
            <w:r>
              <w:rPr>
                <w:rFonts w:eastAsia="Times New Roman"/>
                <w:color w:val="000000"/>
                <w:sz w:val="16"/>
                <w:szCs w:val="16"/>
              </w:rPr>
              <w:t>s</w:t>
            </w:r>
          </w:p>
        </w:tc>
        <w:tc>
          <w:tcPr>
            <w:tcW w:w="0" w:type="auto"/>
            <w:vAlign w:val="center"/>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78610168"/>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Maximum additional potential collateral requirement</w:t>
            </w:r>
            <w:r>
              <w:rPr>
                <w:rFonts w:eastAsia="Times New Roman"/>
                <w:color w:val="000000"/>
                <w:sz w:val="16"/>
                <w:szCs w:val="16"/>
              </w:rPr>
              <w:t>s</w:t>
            </w:r>
          </w:p>
        </w:tc>
        <w:tc>
          <w:tcPr>
            <w:tcW w:w="0" w:type="auto"/>
            <w:vAlign w:val="center"/>
            <w:hideMark/>
          </w:tcPr>
          <w:p w:rsidR="00000000" w:rsidRDefault="004D26FD">
            <w:pPr>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65.2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hideMark/>
          </w:tcPr>
          <w:p w:rsidR="00000000" w:rsidRDefault="004D26FD">
            <w:pPr>
              <w:jc w:val="right"/>
              <w:rPr>
                <w:rFonts w:eastAsia="Times New Roman"/>
              </w:rPr>
            </w:pPr>
            <w:r>
              <w:rPr>
                <w:rFonts w:eastAsia="Times New Roman"/>
                <w:color w:val="000000"/>
                <w:sz w:val="16"/>
                <w:szCs w:val="16"/>
              </w:rPr>
              <w:t>45.6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divId w:val="1585919991"/>
        <w:rPr>
          <w:rFonts w:eastAsia="Times New Roman"/>
        </w:rPr>
      </w:pPr>
    </w:p>
    <w:p w:rsidR="00000000" w:rsidRDefault="004D26FD">
      <w:pPr>
        <w:divId w:val="329455588"/>
        <w:rPr>
          <w:rFonts w:eastAsia="Times New Roman"/>
        </w:rPr>
      </w:pPr>
    </w:p>
    <w:p w:rsidR="00000000" w:rsidRDefault="004D26FD">
      <w:pPr>
        <w:divId w:val="487747785"/>
        <w:rPr>
          <w:rFonts w:eastAsia="Times New Roman"/>
        </w:rPr>
      </w:pPr>
      <w:r>
        <w:rPr>
          <w:rFonts w:eastAsia="Times New Roman"/>
          <w:b/>
          <w:bCs/>
          <w:color w:val="000000"/>
          <w:sz w:val="20"/>
          <w:szCs w:val="20"/>
        </w:rPr>
        <w:t>5. Goodwil</w:t>
      </w:r>
      <w:r>
        <w:rPr>
          <w:rFonts w:eastAsia="Times New Roman"/>
          <w:b/>
          <w:bCs/>
          <w:color w:val="000000"/>
          <w:sz w:val="20"/>
          <w:szCs w:val="20"/>
        </w:rPr>
        <w:t>l</w:t>
      </w:r>
    </w:p>
    <w:p w:rsidR="00000000" w:rsidRDefault="004D26FD">
      <w:pPr>
        <w:ind w:firstLine="720"/>
        <w:divId w:val="1879052523"/>
        <w:rPr>
          <w:rFonts w:eastAsia="Times New Roman"/>
        </w:rPr>
      </w:pPr>
      <w:r>
        <w:rPr>
          <w:rFonts w:eastAsia="Times New Roman"/>
          <w:color w:val="000000"/>
          <w:sz w:val="20"/>
          <w:szCs w:val="20"/>
        </w:rPr>
        <w:t> </w:t>
      </w:r>
    </w:p>
    <w:p w:rsidR="00000000" w:rsidRDefault="004D26FD">
      <w:pPr>
        <w:ind w:firstLine="360"/>
        <w:jc w:val="both"/>
        <w:divId w:val="599489173"/>
        <w:rPr>
          <w:rFonts w:eastAsia="Times New Roman"/>
        </w:rPr>
      </w:pPr>
      <w:r>
        <w:rPr>
          <w:rFonts w:eastAsia="Times New Roman"/>
          <w:color w:val="000000"/>
          <w:sz w:val="20"/>
          <w:szCs w:val="20"/>
        </w:rPr>
        <w:t>Goodwill arises because the purchase price paid for our acquisitions reflects numerous factors, including the strategic fit and expected synergies these acquisitions bring to our existing operations. Goodwill is recorded at fair value and is reviewed at le</w:t>
      </w:r>
      <w:r>
        <w:rPr>
          <w:rFonts w:eastAsia="Times New Roman"/>
          <w:color w:val="000000"/>
          <w:sz w:val="20"/>
          <w:szCs w:val="20"/>
        </w:rPr>
        <w:t>ast annually for impairment</w:t>
      </w:r>
      <w:r>
        <w:rPr>
          <w:rFonts w:eastAsia="Times New Roman"/>
          <w:color w:val="000000"/>
          <w:sz w:val="20"/>
          <w:szCs w:val="20"/>
        </w:rPr>
        <w:t>.</w:t>
      </w:r>
    </w:p>
    <w:p w:rsidR="00000000" w:rsidRDefault="004D26FD">
      <w:pPr>
        <w:ind w:firstLine="360"/>
        <w:jc w:val="both"/>
        <w:divId w:val="1639072616"/>
        <w:rPr>
          <w:rFonts w:eastAsia="Times New Roman"/>
        </w:rPr>
      </w:pPr>
      <w:r>
        <w:rPr>
          <w:rFonts w:eastAsia="Times New Roman"/>
          <w:color w:val="000000"/>
          <w:sz w:val="20"/>
          <w:szCs w:val="20"/>
        </w:rPr>
        <w:t>The following table provides the components of and changes in the carrying amount of goodwill for the six months ended June 30, 2020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7"/>
        <w:gridCol w:w="4556"/>
        <w:gridCol w:w="58"/>
        <w:gridCol w:w="36"/>
        <w:gridCol w:w="36"/>
        <w:gridCol w:w="36"/>
        <w:gridCol w:w="116"/>
        <w:gridCol w:w="913"/>
        <w:gridCol w:w="75"/>
        <w:gridCol w:w="36"/>
        <w:gridCol w:w="36"/>
        <w:gridCol w:w="36"/>
        <w:gridCol w:w="115"/>
        <w:gridCol w:w="901"/>
        <w:gridCol w:w="75"/>
        <w:gridCol w:w="36"/>
        <w:gridCol w:w="36"/>
        <w:gridCol w:w="36"/>
        <w:gridCol w:w="36"/>
        <w:gridCol w:w="36"/>
        <w:gridCol w:w="115"/>
        <w:gridCol w:w="854"/>
        <w:gridCol w:w="75"/>
      </w:tblGrid>
      <w:tr w:rsidR="00000000">
        <w:trPr>
          <w:divId w:val="1374844784"/>
        </w:trPr>
        <w:tc>
          <w:tcPr>
            <w:tcW w:w="50" w:type="pct"/>
            <w:vAlign w:val="center"/>
            <w:hideMark/>
          </w:tcPr>
          <w:p w:rsidR="00000000" w:rsidRDefault="004D26FD">
            <w:pPr>
              <w:ind w:firstLine="360"/>
              <w:jc w:val="both"/>
              <w:rPr>
                <w:rFonts w:eastAsia="Times New Roman"/>
              </w:rPr>
            </w:pPr>
          </w:p>
        </w:tc>
        <w:tc>
          <w:tcPr>
            <w:tcW w:w="278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37484478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Aviatio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Land</w:t>
            </w:r>
            <w:r>
              <w:rPr>
                <w:rFonts w:eastAsia="Times New Roman"/>
                <w:b/>
                <w:bCs/>
                <w:color w:val="000000"/>
                <w:sz w:val="16"/>
                <w:szCs w:val="16"/>
              </w:rPr>
              <w:t xml:space="preserve"> </w:t>
            </w:r>
            <w:r>
              <w:rPr>
                <w:rFonts w:eastAsia="Times New Roman"/>
                <w:b/>
                <w:bCs/>
                <w:color w:val="000000"/>
                <w:sz w:val="10"/>
                <w:szCs w:val="10"/>
                <w:vertAlign w:val="superscript"/>
              </w:rPr>
              <w:t>(1)</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137484478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December 31, 201</w:t>
            </w:r>
            <w:r>
              <w:rPr>
                <w:rFonts w:eastAsia="Times New Roman"/>
                <w:color w:val="000000"/>
                <w:sz w:val="16"/>
                <w:szCs w:val="16"/>
              </w:rPr>
              <w:t>9</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323.6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520.1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843.7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37484478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Addition</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78.7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78.7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37484478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exchange and other adjustment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(8.8</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374844784"/>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June 30, 202</w:t>
            </w:r>
            <w:r>
              <w:rPr>
                <w:rFonts w:eastAsia="Times New Roman"/>
                <w:color w:val="000000"/>
                <w:sz w:val="16"/>
                <w:szCs w:val="16"/>
              </w:rPr>
              <w:t>0</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402.2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511.3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913.5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bl>
    <w:p w:rsidR="00000000" w:rsidRDefault="004D26FD">
      <w:pPr>
        <w:divId w:val="1047145782"/>
        <w:rPr>
          <w:rFonts w:eastAsia="Times New Roman"/>
        </w:rPr>
      </w:pPr>
      <w:r>
        <w:rPr>
          <w:rFonts w:eastAsia="Times New Roman"/>
          <w:color w:val="000000"/>
          <w:sz w:val="16"/>
          <w:szCs w:val="16"/>
        </w:rPr>
        <w:t>       </w:t>
      </w:r>
      <w:r>
        <w:rPr>
          <w:rFonts w:eastAsia="Times New Roman"/>
          <w:color w:val="000000"/>
          <w:sz w:val="16"/>
          <w:szCs w:val="16"/>
        </w:rPr>
        <w:t> </w:t>
      </w:r>
      <w:r>
        <w:rPr>
          <w:rFonts w:eastAsia="Times New Roman"/>
          <w:color w:val="000000"/>
          <w:sz w:val="10"/>
          <w:szCs w:val="10"/>
          <w:vertAlign w:val="superscript"/>
        </w:rPr>
        <w:t>(1</w:t>
      </w:r>
      <w:r>
        <w:rPr>
          <w:rFonts w:eastAsia="Times New Roman"/>
          <w:color w:val="000000"/>
          <w:sz w:val="10"/>
          <w:szCs w:val="10"/>
          <w:vertAlign w:val="superscript"/>
        </w:rPr>
        <w:t>)</w:t>
      </w:r>
      <w:r>
        <w:rPr>
          <w:rFonts w:eastAsia="Times New Roman"/>
          <w:color w:val="000000"/>
          <w:sz w:val="16"/>
          <w:szCs w:val="16"/>
        </w:rPr>
        <w:t>At June 30, 2020, $446.7 million of the land segment</w:t>
      </w:r>
      <w:r>
        <w:rPr>
          <w:rFonts w:eastAsia="Times New Roman"/>
          <w:color w:val="000000"/>
          <w:sz w:val="16"/>
          <w:szCs w:val="16"/>
        </w:rPr>
        <w:t>'s goodwill amount relates to the land reporting unit</w:t>
      </w:r>
      <w:r>
        <w:rPr>
          <w:rFonts w:eastAsia="Times New Roman"/>
          <w:color w:val="000000"/>
          <w:sz w:val="16"/>
          <w:szCs w:val="16"/>
        </w:rPr>
        <w:t>.</w:t>
      </w:r>
    </w:p>
    <w:p w:rsidR="00000000" w:rsidRDefault="004D26FD">
      <w:pPr>
        <w:divId w:val="46731228"/>
        <w:rPr>
          <w:rFonts w:eastAsia="Times New Roman"/>
        </w:rPr>
      </w:pPr>
    </w:p>
    <w:p w:rsidR="00000000" w:rsidRDefault="004D26FD">
      <w:pPr>
        <w:divId w:val="36441048"/>
        <w:rPr>
          <w:rFonts w:eastAsia="Times New Roman"/>
        </w:rPr>
      </w:pPr>
    </w:p>
    <w:p w:rsidR="00000000" w:rsidRDefault="004D26FD">
      <w:pPr>
        <w:divId w:val="2076662849"/>
        <w:rPr>
          <w:rFonts w:eastAsia="Times New Roman"/>
        </w:rPr>
      </w:pPr>
      <w:r>
        <w:rPr>
          <w:rFonts w:eastAsia="Times New Roman"/>
          <w:b/>
          <w:bCs/>
          <w:color w:val="000000"/>
          <w:sz w:val="20"/>
          <w:szCs w:val="20"/>
        </w:rPr>
        <w:t>6. Debt, Interest Income, Expense and Other Finance Cost</w:t>
      </w:r>
      <w:r>
        <w:rPr>
          <w:rFonts w:eastAsia="Times New Roman"/>
          <w:b/>
          <w:bCs/>
          <w:color w:val="000000"/>
          <w:sz w:val="20"/>
          <w:szCs w:val="20"/>
        </w:rPr>
        <w:t>s</w:t>
      </w:r>
    </w:p>
    <w:p w:rsidR="00000000" w:rsidRDefault="004D26FD">
      <w:pPr>
        <w:divId w:val="1536239224"/>
        <w:rPr>
          <w:rFonts w:eastAsia="Times New Roman"/>
        </w:rPr>
      </w:pPr>
    </w:p>
    <w:p w:rsidR="00000000" w:rsidRDefault="004D26FD">
      <w:pPr>
        <w:ind w:firstLine="360"/>
        <w:jc w:val="both"/>
        <w:rPr>
          <w:rFonts w:eastAsia="Times New Roman"/>
        </w:rPr>
      </w:pPr>
      <w:r>
        <w:rPr>
          <w:rFonts w:eastAsia="Times New Roman"/>
          <w:color w:val="000000"/>
          <w:sz w:val="20"/>
          <w:szCs w:val="20"/>
        </w:rPr>
        <w:t>Our debt consisted of the following as of June 30, 2020 and</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xml:space="preserve"> (in millions)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5590"/>
        <w:gridCol w:w="58"/>
        <w:gridCol w:w="36"/>
        <w:gridCol w:w="36"/>
        <w:gridCol w:w="36"/>
        <w:gridCol w:w="115"/>
        <w:gridCol w:w="900"/>
        <w:gridCol w:w="75"/>
        <w:gridCol w:w="36"/>
        <w:gridCol w:w="36"/>
        <w:gridCol w:w="36"/>
        <w:gridCol w:w="116"/>
        <w:gridCol w:w="887"/>
        <w:gridCol w:w="75"/>
        <w:gridCol w:w="36"/>
        <w:gridCol w:w="36"/>
        <w:gridCol w:w="36"/>
        <w:gridCol w:w="36"/>
        <w:gridCol w:w="36"/>
        <w:gridCol w:w="36"/>
      </w:tblGrid>
      <w:tr w:rsidR="00000000">
        <w:trPr>
          <w:gridAfter w:val="6"/>
          <w:divId w:val="87820320"/>
          <w:jc w:val="center"/>
        </w:trPr>
        <w:tc>
          <w:tcPr>
            <w:tcW w:w="50" w:type="pct"/>
            <w:vAlign w:val="center"/>
            <w:hideMark/>
          </w:tcPr>
          <w:p w:rsidR="00000000" w:rsidRDefault="004D26FD">
            <w:pPr>
              <w:ind w:firstLine="360"/>
              <w:jc w:val="both"/>
              <w:rPr>
                <w:rFonts w:eastAsia="Times New Roman"/>
              </w:rPr>
            </w:pPr>
          </w:p>
        </w:tc>
        <w:tc>
          <w:tcPr>
            <w:tcW w:w="346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87820320"/>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87820320"/>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t>,</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Credit Facilit</w:t>
            </w:r>
            <w:r>
              <w:rPr>
                <w:rFonts w:eastAsia="Times New Roman"/>
                <w:color w:val="000000"/>
                <w:sz w:val="16"/>
                <w:szCs w:val="16"/>
              </w:rPr>
              <w:t>y</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530.0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55.0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Term Loan</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515.6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Finance Lease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shd w:val="clear" w:color="auto" w:fill="CCEEFF"/>
            <w:tcMar>
              <w:top w:w="30" w:type="dxa"/>
              <w:left w:w="20" w:type="dxa"/>
              <w:bottom w:w="30" w:type="dxa"/>
              <w:right w:w="20" w:type="dxa"/>
            </w:tcMar>
            <w:vAlign w:val="bottom"/>
            <w:hideMark/>
          </w:tcPr>
          <w:p w:rsidR="00000000" w:rsidRDefault="004D26FD">
            <w:pPr>
              <w:divId w:val="1459757924"/>
              <w:rPr>
                <w:rFonts w:eastAsia="Times New Roman"/>
              </w:rPr>
            </w:pPr>
            <w:r>
              <w:rPr>
                <w:rFonts w:eastAsia="Times New Roman"/>
                <w:color w:val="000000"/>
                <w:sz w:val="16"/>
                <w:szCs w:val="16"/>
              </w:rPr>
              <w:t>Other</w:t>
            </w:r>
            <w:r>
              <w:rPr>
                <w:rFonts w:eastAsia="Times New Roman"/>
                <w:color w:val="000000"/>
                <w:sz w:val="16"/>
                <w:szCs w:val="16"/>
              </w:rPr>
              <w:t xml:space="preserve"> </w:t>
            </w:r>
            <w:r>
              <w:rPr>
                <w:rFonts w:eastAsia="Times New Roman"/>
                <w:color w:val="000000"/>
                <w:sz w:val="10"/>
                <w:szCs w:val="10"/>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deb</w:t>
            </w:r>
            <w:r>
              <w:rPr>
                <w:rFonts w:eastAsia="Times New Roman"/>
                <w:color w:val="000000"/>
                <w:sz w:val="16"/>
                <w:szCs w:val="16"/>
              </w:rPr>
              <w:t>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1,097.2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628.8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Current maturities of long-term deb</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53.8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87820320"/>
          <w:jc w:val="center"/>
        </w:trPr>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Long-term deb</w:t>
            </w:r>
            <w:r>
              <w:rPr>
                <w:rFonts w:eastAsia="Times New Roman"/>
                <w:color w:val="000000"/>
                <w:sz w:val="16"/>
                <w:szCs w:val="16"/>
              </w:rPr>
              <w:t>t</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1,043.3</w:t>
            </w:r>
            <w:r>
              <w:rPr>
                <w:rFonts w:eastAsia="Times New Roman"/>
                <w:color w:val="000000"/>
                <w:sz w:val="16"/>
                <w:szCs w:val="16"/>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574.7</w:t>
            </w:r>
            <w:r>
              <w:rPr>
                <w:rFonts w:eastAsia="Times New Roman"/>
                <w:color w:val="000000"/>
                <w:sz w:val="16"/>
                <w:szCs w:val="16"/>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jc w:val="both"/>
        <w:divId w:val="1293053125"/>
        <w:rPr>
          <w:rFonts w:eastAsia="Times New Roman"/>
        </w:rPr>
      </w:pPr>
      <w:r>
        <w:rPr>
          <w:rFonts w:eastAsia="Times New Roman"/>
          <w:color w:val="000000"/>
          <w:sz w:val="20"/>
          <w:szCs w:val="20"/>
        </w:rPr>
        <w:t>       </w:t>
      </w:r>
      <w:r>
        <w:rPr>
          <w:rFonts w:eastAsia="Times New Roman"/>
          <w:color w:val="000000"/>
          <w:sz w:val="20"/>
          <w:szCs w:val="20"/>
        </w:rPr>
        <w:t> </w:t>
      </w:r>
      <w:r>
        <w:rPr>
          <w:rFonts w:eastAsia="Times New Roman"/>
          <w:color w:val="000000"/>
          <w:sz w:val="10"/>
          <w:szCs w:val="10"/>
          <w:vertAlign w:val="superscript"/>
        </w:rPr>
        <w:t>(1</w:t>
      </w:r>
      <w:r>
        <w:rPr>
          <w:rFonts w:eastAsia="Times New Roman"/>
          <w:color w:val="000000"/>
          <w:sz w:val="10"/>
          <w:szCs w:val="10"/>
          <w:vertAlign w:val="superscript"/>
        </w:rPr>
        <w:t>)</w:t>
      </w:r>
      <w:r>
        <w:rPr>
          <w:rFonts w:eastAsia="Times New Roman"/>
          <w:color w:val="000000"/>
          <w:sz w:val="16"/>
          <w:szCs w:val="16"/>
        </w:rPr>
        <w:t xml:space="preserve"> </w:t>
      </w:r>
      <w:r>
        <w:rPr>
          <w:rFonts w:eastAsia="Times New Roman"/>
          <w:color w:val="000000"/>
          <w:sz w:val="16"/>
          <w:szCs w:val="16"/>
        </w:rPr>
        <w:t>Includes secured borrowings of $37.7 million (EUR 33.6 million), due within 12 months, for the transfer of tax receivables as of June 30, 2020</w:t>
      </w:r>
      <w:r>
        <w:rPr>
          <w:rFonts w:eastAsia="Times New Roman"/>
          <w:color w:val="000000"/>
          <w:sz w:val="16"/>
          <w:szCs w:val="16"/>
        </w:rPr>
        <w:t>.</w:t>
      </w:r>
    </w:p>
    <w:p w:rsidR="00000000" w:rsidRDefault="004D26FD">
      <w:pPr>
        <w:jc w:val="center"/>
        <w:divId w:val="1813907284"/>
        <w:rPr>
          <w:rFonts w:eastAsia="Times New Roman"/>
        </w:rPr>
      </w:pPr>
      <w:r>
        <w:rPr>
          <w:rFonts w:eastAsia="Times New Roman"/>
          <w:color w:val="000000"/>
          <w:sz w:val="20"/>
          <w:szCs w:val="20"/>
        </w:rPr>
        <w:t>1</w:t>
      </w:r>
      <w:r>
        <w:rPr>
          <w:rFonts w:eastAsia="Times New Roman"/>
          <w:color w:val="000000"/>
          <w:sz w:val="20"/>
          <w:szCs w:val="20"/>
        </w:rPr>
        <w:t>5</w:t>
      </w:r>
    </w:p>
    <w:p w:rsidR="00000000" w:rsidRDefault="004D26FD">
      <w:pPr>
        <w:rPr>
          <w:rFonts w:eastAsia="Times New Roman"/>
        </w:rPr>
      </w:pPr>
      <w:r>
        <w:rPr>
          <w:rFonts w:eastAsia="Times New Roman"/>
        </w:rPr>
        <w:pict>
          <v:rect id="_x0000_i1043" style="width:0;height:1.5pt" o:hralign="center" o:hrstd="t" o:hr="t" fillcolor="#a0a0a0" stroked="f"/>
        </w:pict>
      </w:r>
    </w:p>
    <w:p w:rsidR="00000000" w:rsidRDefault="004D26FD">
      <w:pPr>
        <w:divId w:val="913317808"/>
        <w:rPr>
          <w:rFonts w:eastAsia="Times New Roman"/>
        </w:rPr>
      </w:pPr>
    </w:p>
    <w:p w:rsidR="00000000" w:rsidRDefault="004D26FD">
      <w:pPr>
        <w:ind w:firstLine="360"/>
        <w:jc w:val="both"/>
        <w:divId w:val="581178523"/>
        <w:rPr>
          <w:rFonts w:eastAsia="Times New Roman"/>
        </w:rPr>
      </w:pPr>
      <w:r>
        <w:rPr>
          <w:rFonts w:eastAsia="Times New Roman"/>
          <w:color w:val="000000"/>
          <w:sz w:val="20"/>
          <w:szCs w:val="20"/>
        </w:rPr>
        <w:t>The following table provides additional information about our interest income (expense), and other financing costs, net, for the periods presented for the three and six months ended June 30, 2020 and</w:t>
      </w:r>
      <w:r>
        <w:rPr>
          <w:rFonts w:eastAsia="Times New Roman"/>
          <w:color w:val="000000"/>
          <w:sz w:val="20"/>
          <w:szCs w:val="20"/>
        </w:rPr>
        <w:t xml:space="preserve"> </w:t>
      </w:r>
      <w:r>
        <w:rPr>
          <w:rFonts w:eastAsia="Times New Roman"/>
          <w:color w:val="000000"/>
          <w:sz w:val="20"/>
          <w:szCs w:val="20"/>
          <w:shd w:val="clear" w:color="auto" w:fill="FFFFFF"/>
        </w:rPr>
        <w:t>201</w:t>
      </w:r>
      <w:r>
        <w:rPr>
          <w:rFonts w:eastAsia="Times New Roman"/>
          <w:color w:val="000000"/>
          <w:sz w:val="20"/>
          <w:szCs w:val="20"/>
          <w:shd w:val="clear" w:color="auto" w:fill="FFFFFF"/>
        </w:rPr>
        <w:t>9</w:t>
      </w:r>
      <w:r>
        <w:rPr>
          <w:rFonts w:eastAsia="Times New Roman"/>
          <w:color w:val="000000"/>
          <w:sz w:val="20"/>
          <w:szCs w:val="20"/>
        </w:rPr>
        <w:t xml:space="preserve">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3407"/>
        <w:gridCol w:w="50"/>
        <w:gridCol w:w="36"/>
        <w:gridCol w:w="36"/>
        <w:gridCol w:w="36"/>
        <w:gridCol w:w="115"/>
        <w:gridCol w:w="809"/>
        <w:gridCol w:w="75"/>
        <w:gridCol w:w="36"/>
        <w:gridCol w:w="36"/>
        <w:gridCol w:w="36"/>
        <w:gridCol w:w="115"/>
        <w:gridCol w:w="787"/>
        <w:gridCol w:w="75"/>
        <w:gridCol w:w="36"/>
        <w:gridCol w:w="36"/>
        <w:gridCol w:w="36"/>
        <w:gridCol w:w="115"/>
        <w:gridCol w:w="789"/>
        <w:gridCol w:w="75"/>
        <w:gridCol w:w="36"/>
        <w:gridCol w:w="36"/>
        <w:gridCol w:w="36"/>
        <w:gridCol w:w="115"/>
        <w:gridCol w:w="790"/>
        <w:gridCol w:w="75"/>
        <w:gridCol w:w="36"/>
        <w:gridCol w:w="36"/>
        <w:gridCol w:w="36"/>
        <w:gridCol w:w="36"/>
        <w:gridCol w:w="36"/>
        <w:gridCol w:w="36"/>
        <w:gridCol w:w="36"/>
        <w:gridCol w:w="36"/>
        <w:gridCol w:w="36"/>
        <w:gridCol w:w="36"/>
        <w:gridCol w:w="36"/>
        <w:gridCol w:w="36"/>
      </w:tblGrid>
      <w:tr w:rsidR="00000000">
        <w:trPr>
          <w:gridAfter w:val="12"/>
          <w:divId w:val="1878855398"/>
        </w:trPr>
        <w:tc>
          <w:tcPr>
            <w:tcW w:w="50" w:type="pct"/>
            <w:vAlign w:val="center"/>
            <w:hideMark/>
          </w:tcPr>
          <w:p w:rsidR="00000000" w:rsidRDefault="004D26FD">
            <w:pPr>
              <w:ind w:firstLine="360"/>
              <w:jc w:val="both"/>
              <w:rPr>
                <w:rFonts w:eastAsia="Times New Roman"/>
              </w:rPr>
            </w:pPr>
          </w:p>
        </w:tc>
        <w:tc>
          <w:tcPr>
            <w:tcW w:w="218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4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4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4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4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87885539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87885539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87885539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788553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Interest incom</w:t>
            </w:r>
            <w:r>
              <w:rPr>
                <w:rFonts w:eastAsia="Times New Roman"/>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78855398"/>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Interest expense and other financing cost</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(21.7</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(26.9</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(42.2</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78855398"/>
        </w:trPr>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(10.0</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(20.2</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(25.3</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(39.6</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divId w:val="476339174"/>
        <w:rPr>
          <w:rFonts w:eastAsia="Times New Roman"/>
        </w:rPr>
      </w:pPr>
      <w:r>
        <w:rPr>
          <w:rFonts w:eastAsia="Times New Roman"/>
          <w:color w:val="000000"/>
          <w:sz w:val="2"/>
          <w:szCs w:val="2"/>
        </w:rPr>
        <w:t>t</w:t>
      </w:r>
    </w:p>
    <w:p w:rsidR="00000000" w:rsidRDefault="004D26FD">
      <w:pPr>
        <w:jc w:val="both"/>
        <w:divId w:val="1012340115"/>
        <w:rPr>
          <w:rFonts w:eastAsia="Times New Roman"/>
        </w:rPr>
      </w:pPr>
    </w:p>
    <w:p w:rsidR="00000000" w:rsidRDefault="004D26FD">
      <w:pPr>
        <w:jc w:val="both"/>
        <w:rPr>
          <w:rFonts w:eastAsia="Times New Roman"/>
        </w:rPr>
      </w:pPr>
      <w:r>
        <w:rPr>
          <w:rFonts w:eastAsia="Times New Roman"/>
          <w:b/>
          <w:bCs/>
          <w:color w:val="000000"/>
          <w:sz w:val="20"/>
          <w:szCs w:val="20"/>
        </w:rPr>
        <w:t>7. Fair Value Measurement</w:t>
      </w:r>
      <w:r>
        <w:rPr>
          <w:rFonts w:eastAsia="Times New Roman"/>
          <w:b/>
          <w:bCs/>
          <w:color w:val="000000"/>
          <w:sz w:val="20"/>
          <w:szCs w:val="20"/>
        </w:rPr>
        <w:t>s</w:t>
      </w:r>
    </w:p>
    <w:p w:rsidR="00000000" w:rsidRDefault="004D26FD">
      <w:pPr>
        <w:ind w:firstLine="72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The carrying amounts of cash and cash equivalents, net accounts receivable, accounts payable and accrued expenses and other current liabilities approximate fair value based on their short-term maturities. The carrying values of our debt and notes receivabl</w:t>
      </w:r>
      <w:r>
        <w:rPr>
          <w:rFonts w:eastAsia="Times New Roman"/>
          <w:color w:val="000000"/>
          <w:sz w:val="20"/>
          <w:szCs w:val="20"/>
        </w:rPr>
        <w:t>e approximate fair value since these instruments bear interest either at variable rates or fixed rates, which are not significantly different from market rates. Based on the fair value hierarchy, our total debt of $1.1 billion and</w:t>
      </w:r>
      <w:r>
        <w:rPr>
          <w:rFonts w:eastAsia="Times New Roman"/>
          <w:color w:val="000000"/>
          <w:sz w:val="20"/>
          <w:szCs w:val="20"/>
        </w:rPr>
        <w:t xml:space="preserve"> </w:t>
      </w:r>
      <w:r>
        <w:rPr>
          <w:rFonts w:eastAsia="Times New Roman"/>
          <w:color w:val="000000"/>
          <w:sz w:val="20"/>
          <w:szCs w:val="20"/>
          <w:shd w:val="clear" w:color="auto" w:fill="FFFFFF"/>
        </w:rPr>
        <w:t>$628.8 millio</w:t>
      </w:r>
      <w:r>
        <w:rPr>
          <w:rFonts w:eastAsia="Times New Roman"/>
          <w:color w:val="000000"/>
          <w:sz w:val="20"/>
          <w:szCs w:val="20"/>
          <w:shd w:val="clear" w:color="auto" w:fill="FFFFFF"/>
        </w:rPr>
        <w:t>n</w:t>
      </w:r>
      <w:r>
        <w:rPr>
          <w:rFonts w:eastAsia="Times New Roman"/>
          <w:color w:val="000000"/>
          <w:sz w:val="20"/>
          <w:szCs w:val="20"/>
        </w:rPr>
        <w:t xml:space="preserve"> </w:t>
      </w:r>
      <w:r>
        <w:rPr>
          <w:rFonts w:eastAsia="Times New Roman"/>
          <w:color w:val="000000"/>
          <w:sz w:val="20"/>
          <w:szCs w:val="20"/>
        </w:rPr>
        <w:t>as of June 30, 2020 and December 31, 2019, respectively, and our notes receivable of $23.4 million and</w:t>
      </w:r>
      <w:r>
        <w:rPr>
          <w:rFonts w:eastAsia="Times New Roman"/>
          <w:color w:val="000000"/>
          <w:sz w:val="20"/>
          <w:szCs w:val="20"/>
        </w:rPr>
        <w:t xml:space="preserve"> </w:t>
      </w:r>
      <w:r>
        <w:rPr>
          <w:rFonts w:eastAsia="Times New Roman"/>
          <w:color w:val="000000"/>
          <w:sz w:val="20"/>
          <w:szCs w:val="20"/>
          <w:shd w:val="clear" w:color="auto" w:fill="FFFFFF"/>
        </w:rPr>
        <w:t>$21.0 millio</w:t>
      </w:r>
      <w:r>
        <w:rPr>
          <w:rFonts w:eastAsia="Times New Roman"/>
          <w:color w:val="000000"/>
          <w:sz w:val="20"/>
          <w:szCs w:val="20"/>
          <w:shd w:val="clear" w:color="auto" w:fill="FFFFFF"/>
        </w:rPr>
        <w:t>n</w:t>
      </w:r>
      <w:r>
        <w:rPr>
          <w:rFonts w:eastAsia="Times New Roman"/>
          <w:color w:val="000000"/>
          <w:sz w:val="20"/>
          <w:szCs w:val="20"/>
        </w:rPr>
        <w:t xml:space="preserve"> as of June 30, 2020 and December 31, 2019, respectively, were categorized as Level 2</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tables present information about ou</w:t>
      </w:r>
      <w:r>
        <w:rPr>
          <w:rFonts w:eastAsia="Times New Roman"/>
          <w:color w:val="000000"/>
          <w:sz w:val="20"/>
          <w:szCs w:val="20"/>
        </w:rPr>
        <w:t>r gross assets and liabilities that are measured at fair value on a recurring basis as of June 30, 2020 and</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xml:space="preserve">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748"/>
        <w:gridCol w:w="40"/>
        <w:gridCol w:w="36"/>
        <w:gridCol w:w="36"/>
        <w:gridCol w:w="36"/>
        <w:gridCol w:w="115"/>
        <w:gridCol w:w="632"/>
        <w:gridCol w:w="75"/>
        <w:gridCol w:w="36"/>
        <w:gridCol w:w="36"/>
        <w:gridCol w:w="36"/>
        <w:gridCol w:w="115"/>
        <w:gridCol w:w="632"/>
        <w:gridCol w:w="75"/>
        <w:gridCol w:w="36"/>
        <w:gridCol w:w="36"/>
        <w:gridCol w:w="36"/>
        <w:gridCol w:w="116"/>
        <w:gridCol w:w="632"/>
        <w:gridCol w:w="76"/>
        <w:gridCol w:w="36"/>
        <w:gridCol w:w="36"/>
        <w:gridCol w:w="36"/>
        <w:gridCol w:w="115"/>
        <w:gridCol w:w="633"/>
        <w:gridCol w:w="7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586695308"/>
        </w:trPr>
        <w:tc>
          <w:tcPr>
            <w:tcW w:w="50" w:type="pct"/>
            <w:vAlign w:val="center"/>
            <w:hideMark/>
          </w:tcPr>
          <w:p w:rsidR="00000000" w:rsidRDefault="004D26FD">
            <w:pPr>
              <w:ind w:firstLine="360"/>
              <w:jc w:val="both"/>
              <w:rPr>
                <w:rFonts w:eastAsia="Times New Roman"/>
              </w:rPr>
            </w:pPr>
          </w:p>
        </w:tc>
        <w:tc>
          <w:tcPr>
            <w:tcW w:w="250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6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6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6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6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58669530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Fair Value Measurements as of June 30, 202</w:t>
            </w:r>
            <w:r>
              <w:rPr>
                <w:rFonts w:eastAsia="Times New Roman"/>
                <w:b/>
                <w:bCs/>
                <w:color w:val="000000"/>
                <w:sz w:val="16"/>
                <w:szCs w:val="16"/>
              </w:rPr>
              <w:t>0</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Level 1 Input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Level 2 Input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Level 3 Input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Assets</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Interest rate contrac</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surrender value of life insuranc</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assets at fair valu</w:t>
            </w:r>
            <w:r>
              <w:rPr>
                <w:rFonts w:eastAsia="Times New Roman"/>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417.8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271.3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704.0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Height w:val="28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Liabilities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437.7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623.2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Interest rate contrac</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liabilities at fair valu</w:t>
            </w:r>
            <w:r>
              <w:rPr>
                <w:rFonts w:eastAsia="Times New Roman"/>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437.7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197.6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639.1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Height w:val="280"/>
        </w:trPr>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4"/>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Fair Value Measurements as of December 31, 201</w:t>
            </w:r>
            <w:r>
              <w:rPr>
                <w:rFonts w:eastAsia="Times New Roman"/>
                <w:b/>
                <w:bCs/>
                <w:color w:val="000000"/>
                <w:sz w:val="16"/>
                <w:szCs w:val="16"/>
              </w:rPr>
              <w:t>9</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Level 1 Input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Level 2 Input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Level 3 Input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Assets</w:t>
            </w:r>
            <w:r>
              <w:rPr>
                <w:rFonts w:eastAsia="Times New Roman"/>
                <w:color w:val="000000"/>
                <w:sz w:val="16"/>
                <w:szCs w:val="16"/>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148.3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259.0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Cash surrender value of life insuranc</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tcBorders>
            <w:shd w:val="clear" w:color="auto" w:fill="FFFF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assets at fair valu</w:t>
            </w:r>
            <w:r>
              <w:rPr>
                <w:rFonts w:eastAsia="Times New Roman"/>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148.3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270.4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Height w:val="28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Liabilities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177.6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586695308"/>
        </w:trPr>
        <w:tc>
          <w:tcPr>
            <w:tcW w:w="0" w:type="auto"/>
            <w:gridSpan w:val="3"/>
            <w:tcBorders>
              <w:top w:val="single" w:sz="8" w:space="0" w:color="000000"/>
              <w:bottom w:val="double" w:sz="6" w:space="0" w:color="000000"/>
            </w:tcBorders>
            <w:shd w:val="clear" w:color="auto" w:fill="CCEEFF"/>
            <w:tcMar>
              <w:top w:w="30" w:type="dxa"/>
              <w:left w:w="225"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liabilities at fair valu</w:t>
            </w:r>
            <w:r>
              <w:rPr>
                <w:rFonts w:eastAsia="Times New Roman"/>
                <w:color w:val="000000"/>
                <w:sz w:val="16"/>
                <w:szCs w:val="16"/>
              </w:rPr>
              <w:t>e</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177.6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80.9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266.6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divId w:val="255749767"/>
        <w:rPr>
          <w:rFonts w:eastAsia="Times New Roman"/>
        </w:rPr>
      </w:pPr>
      <w:r>
        <w:rPr>
          <w:rFonts w:eastAsia="Times New Roman"/>
          <w:color w:val="000000"/>
          <w:sz w:val="20"/>
          <w:szCs w:val="20"/>
        </w:rPr>
        <w:t>        </w:t>
      </w:r>
      <w:r>
        <w:rPr>
          <w:rFonts w:eastAsia="Times New Roman"/>
          <w:color w:val="000000"/>
          <w:sz w:val="20"/>
          <w:szCs w:val="20"/>
        </w:rPr>
        <w:t> </w:t>
      </w:r>
    </w:p>
    <w:p w:rsidR="00000000" w:rsidRDefault="004D26FD">
      <w:pPr>
        <w:jc w:val="center"/>
        <w:divId w:val="1611469822"/>
        <w:rPr>
          <w:rFonts w:eastAsia="Times New Roman"/>
        </w:rPr>
      </w:pPr>
      <w:r>
        <w:rPr>
          <w:rFonts w:eastAsia="Times New Roman"/>
          <w:color w:val="000000"/>
          <w:sz w:val="20"/>
          <w:szCs w:val="20"/>
        </w:rPr>
        <w:t>1</w:t>
      </w:r>
      <w:r>
        <w:rPr>
          <w:rFonts w:eastAsia="Times New Roman"/>
          <w:color w:val="000000"/>
          <w:sz w:val="20"/>
          <w:szCs w:val="20"/>
        </w:rPr>
        <w:t>6</w:t>
      </w:r>
    </w:p>
    <w:p w:rsidR="00000000" w:rsidRDefault="004D26FD">
      <w:pPr>
        <w:rPr>
          <w:rFonts w:eastAsia="Times New Roman"/>
        </w:rPr>
      </w:pPr>
      <w:r>
        <w:rPr>
          <w:rFonts w:eastAsia="Times New Roman"/>
        </w:rPr>
        <w:pict>
          <v:rect id="_x0000_i1044" style="width:0;height:1.5pt" o:hralign="center" o:hrstd="t" o:hr="t" fillcolor="#a0a0a0" stroked="f"/>
        </w:pict>
      </w:r>
    </w:p>
    <w:p w:rsidR="00000000" w:rsidRDefault="004D26FD">
      <w:pPr>
        <w:divId w:val="2141922052"/>
        <w:rPr>
          <w:rFonts w:eastAsia="Times New Roman"/>
        </w:rPr>
      </w:pPr>
    </w:p>
    <w:p w:rsidR="00000000" w:rsidRDefault="004D26FD">
      <w:pPr>
        <w:ind w:firstLine="360"/>
        <w:jc w:val="both"/>
        <w:rPr>
          <w:rFonts w:eastAsia="Times New Roman"/>
        </w:rPr>
      </w:pPr>
      <w:r>
        <w:rPr>
          <w:rFonts w:eastAsia="Times New Roman"/>
          <w:color w:val="000000"/>
          <w:sz w:val="20"/>
          <w:szCs w:val="20"/>
        </w:rPr>
        <w:t>The fair values of our commodity contracts measured using Level 3 inputs were not material at June 30, 2020 and December 31, 2019, respectively</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For our derivative contracts, we may enter into master netting, collateral and offset agreements with counterparties. These agreements provide us the ability to offset a counterparty’s rights and obligations, request additional collateral when necessary, o</w:t>
      </w:r>
      <w:r>
        <w:rPr>
          <w:rFonts w:eastAsia="Times New Roman"/>
          <w:color w:val="000000"/>
          <w:sz w:val="20"/>
          <w:szCs w:val="20"/>
        </w:rPr>
        <w:t xml:space="preserve">r liquidate the collateral in the event of counterparty default. We net the fair value of cash collateral paid or received against fair value amounts recognized for net derivative positions executed with the same counterparty under the same master netting </w:t>
      </w:r>
      <w:r>
        <w:rPr>
          <w:rFonts w:eastAsia="Times New Roman"/>
          <w:color w:val="000000"/>
          <w:sz w:val="20"/>
          <w:szCs w:val="20"/>
        </w:rPr>
        <w:t>or offset agreement</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tables summarize those derivative balances subject to the right of offset as presented on our Consolidated Balance Sheets as of June 30, 2020 and</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We have elected to offset the recognized fair value am</w:t>
      </w:r>
      <w:r>
        <w:rPr>
          <w:rFonts w:eastAsia="Times New Roman"/>
          <w:color w:val="000000"/>
          <w:sz w:val="20"/>
          <w:szCs w:val="20"/>
        </w:rPr>
        <w:t>ounts for multiple derivative instruments executed with the same counterparty in our financial statements when a legal right of offset exists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1777"/>
        <w:gridCol w:w="36"/>
        <w:gridCol w:w="36"/>
        <w:gridCol w:w="36"/>
        <w:gridCol w:w="36"/>
        <w:gridCol w:w="117"/>
        <w:gridCol w:w="683"/>
        <w:gridCol w:w="76"/>
        <w:gridCol w:w="36"/>
        <w:gridCol w:w="36"/>
        <w:gridCol w:w="36"/>
        <w:gridCol w:w="116"/>
        <w:gridCol w:w="605"/>
        <w:gridCol w:w="75"/>
        <w:gridCol w:w="36"/>
        <w:gridCol w:w="36"/>
        <w:gridCol w:w="36"/>
        <w:gridCol w:w="116"/>
        <w:gridCol w:w="590"/>
        <w:gridCol w:w="75"/>
        <w:gridCol w:w="36"/>
        <w:gridCol w:w="36"/>
        <w:gridCol w:w="36"/>
        <w:gridCol w:w="116"/>
        <w:gridCol w:w="633"/>
        <w:gridCol w:w="75"/>
        <w:gridCol w:w="36"/>
        <w:gridCol w:w="36"/>
        <w:gridCol w:w="36"/>
        <w:gridCol w:w="116"/>
        <w:gridCol w:w="645"/>
        <w:gridCol w:w="75"/>
        <w:gridCol w:w="36"/>
        <w:gridCol w:w="36"/>
        <w:gridCol w:w="36"/>
        <w:gridCol w:w="116"/>
        <w:gridCol w:w="602"/>
        <w:gridCol w:w="7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054045802"/>
          <w:jc w:val="center"/>
        </w:trPr>
        <w:tc>
          <w:tcPr>
            <w:tcW w:w="50" w:type="pct"/>
            <w:vAlign w:val="center"/>
            <w:hideMark/>
          </w:tcPr>
          <w:p w:rsidR="00000000" w:rsidRDefault="004D26FD">
            <w:pPr>
              <w:ind w:firstLine="360"/>
              <w:jc w:val="both"/>
              <w:rPr>
                <w:rFonts w:eastAsia="Times New Roman"/>
              </w:rPr>
            </w:pPr>
          </w:p>
        </w:tc>
        <w:tc>
          <w:tcPr>
            <w:tcW w:w="122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6"/>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Fair Value as of June 30, 202</w:t>
            </w:r>
            <w:r>
              <w:rPr>
                <w:rFonts w:eastAsia="Times New Roman"/>
                <w:b/>
                <w:bCs/>
                <w:color w:val="000000"/>
                <w:sz w:val="16"/>
                <w:szCs w:val="16"/>
              </w:rPr>
              <w:t>0</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Gross Amount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Gross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Gross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Net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Cas</w:t>
            </w:r>
            <w:r>
              <w:rPr>
                <w:rFonts w:eastAsia="Times New Roman"/>
                <w:b/>
                <w:bCs/>
                <w:color w:val="000000"/>
                <w:sz w:val="16"/>
                <w:szCs w:val="16"/>
              </w:rPr>
              <w:t>h</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 withou</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Recognize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Offse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Presente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Collatera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Right of Offse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Net Amount</w:t>
            </w:r>
            <w:r>
              <w:rPr>
                <w:rFonts w:eastAsia="Times New Roman"/>
                <w:b/>
                <w:bCs/>
                <w:color w:val="000000"/>
                <w:sz w:val="16"/>
                <w:szCs w:val="16"/>
              </w:rPr>
              <w:t>s</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Assets</w:t>
            </w:r>
            <w:r>
              <w:rPr>
                <w:rFonts w:eastAsia="Times New Roman"/>
                <w:b/>
                <w:bCs/>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1054045802"/>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b/>
                <w:bCs/>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b/>
                <w:bCs/>
                <w:color w:val="000000"/>
                <w:sz w:val="16"/>
                <w:szCs w:val="16"/>
              </w:rPr>
              <w:t>177.4</w:t>
            </w:r>
            <w:r>
              <w:rPr>
                <w:rFonts w:eastAsia="Times New Roman"/>
                <w:b/>
                <w:bCs/>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Interest rate contrac</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Total assets at fair valu</w:t>
            </w:r>
            <w:r>
              <w:rPr>
                <w:rFonts w:eastAsia="Times New Roman"/>
                <w:color w:val="000000"/>
                <w:sz w:val="16"/>
                <w:szCs w:val="16"/>
              </w:rPr>
              <w:t>e</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509.7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trHeight w:val="240"/>
          <w:jc w:val="center"/>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b/>
                <w:bCs/>
                <w:color w:val="000000"/>
                <w:sz w:val="16"/>
                <w:szCs w:val="16"/>
              </w:rPr>
              <w:t>Liabilities</w:t>
            </w:r>
            <w:r>
              <w:rPr>
                <w:rFonts w:eastAsia="Times New Roman"/>
                <w:b/>
                <w:bCs/>
                <w:color w:val="000000"/>
                <w:sz w:val="16"/>
                <w:szCs w:val="16"/>
              </w:rPr>
              <w: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4D26FD">
        <w:trPr>
          <w:divId w:val="1054045802"/>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623.2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507.5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115.7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96.2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Interest rate contrac</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shd w:val="clear" w:color="auto" w:fill="FFFF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054045802"/>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hideMark/>
          </w:tcPr>
          <w:p w:rsidR="00000000" w:rsidRDefault="004D26FD">
            <w:pPr>
              <w:rPr>
                <w:rFonts w:eastAsia="Times New Roman"/>
              </w:rPr>
            </w:pPr>
            <w:r>
              <w:rPr>
                <w:rFonts w:eastAsia="Times New Roman"/>
                <w:color w:val="000000"/>
                <w:sz w:val="16"/>
                <w:szCs w:val="16"/>
              </w:rPr>
              <w:t>Total liabilities at fair valu</w:t>
            </w:r>
            <w:r>
              <w:rPr>
                <w:rFonts w:eastAsia="Times New Roman"/>
                <w:color w:val="000000"/>
                <w:sz w:val="16"/>
                <w:szCs w:val="16"/>
              </w:rPr>
              <w:t>e</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639.1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509.7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129.4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2030"/>
        <w:gridCol w:w="144"/>
        <w:gridCol w:w="144"/>
        <w:gridCol w:w="144"/>
        <w:gridCol w:w="144"/>
        <w:gridCol w:w="144"/>
        <w:gridCol w:w="805"/>
        <w:gridCol w:w="144"/>
        <w:gridCol w:w="144"/>
        <w:gridCol w:w="144"/>
        <w:gridCol w:w="144"/>
        <w:gridCol w:w="144"/>
        <w:gridCol w:w="805"/>
        <w:gridCol w:w="144"/>
        <w:gridCol w:w="144"/>
        <w:gridCol w:w="144"/>
        <w:gridCol w:w="144"/>
        <w:gridCol w:w="144"/>
        <w:gridCol w:w="744"/>
        <w:gridCol w:w="144"/>
        <w:gridCol w:w="144"/>
        <w:gridCol w:w="144"/>
        <w:gridCol w:w="144"/>
        <w:gridCol w:w="144"/>
        <w:gridCol w:w="793"/>
        <w:gridCol w:w="144"/>
        <w:gridCol w:w="144"/>
        <w:gridCol w:w="144"/>
        <w:gridCol w:w="144"/>
        <w:gridCol w:w="144"/>
        <w:gridCol w:w="805"/>
        <w:gridCol w:w="144"/>
        <w:gridCol w:w="144"/>
        <w:gridCol w:w="144"/>
        <w:gridCol w:w="144"/>
        <w:gridCol w:w="144"/>
        <w:gridCol w:w="757"/>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24"/>
          <w:jc w:val="center"/>
        </w:trPr>
        <w:tc>
          <w:tcPr>
            <w:tcW w:w="50" w:type="pct"/>
            <w:vAlign w:val="center"/>
            <w:hideMark/>
          </w:tcPr>
          <w:p w:rsidR="00000000" w:rsidRDefault="004D26FD">
            <w:pPr>
              <w:jc w:val="center"/>
              <w:rPr>
                <w:rFonts w:eastAsia="Times New Roman"/>
              </w:rPr>
            </w:pPr>
          </w:p>
        </w:tc>
        <w:tc>
          <w:tcPr>
            <w:tcW w:w="122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6"/>
            <w:shd w:val="clear" w:color="auto" w:fill="FFFFFF"/>
            <w:tcMar>
              <w:top w:w="30" w:type="dxa"/>
              <w:left w:w="20" w:type="dxa"/>
              <w:bottom w:w="30" w:type="dxa"/>
              <w:right w:w="20" w:type="dxa"/>
            </w:tcMar>
            <w:hideMark/>
          </w:tcPr>
          <w:p w:rsidR="00000000" w:rsidRDefault="004D26FD">
            <w:pPr>
              <w:jc w:val="center"/>
              <w:rPr>
                <w:rFonts w:eastAsia="Times New Roman"/>
              </w:rPr>
            </w:pPr>
            <w:r>
              <w:rPr>
                <w:rFonts w:eastAsia="Times New Roman"/>
                <w:b/>
                <w:bCs/>
                <w:color w:val="000000"/>
                <w:sz w:val="16"/>
                <w:szCs w:val="16"/>
              </w:rPr>
              <w:t>Fair Value as of December 31, 201</w:t>
            </w:r>
            <w:r>
              <w:rPr>
                <w:rFonts w:eastAsia="Times New Roman"/>
                <w:b/>
                <w:bCs/>
                <w:color w:val="000000"/>
                <w:sz w:val="16"/>
                <w:szCs w:val="16"/>
              </w:rPr>
              <w:t>9</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2"/>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Gross Amount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Gross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Gross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Net Amount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Cas</w:t>
            </w:r>
            <w:r>
              <w:rPr>
                <w:rFonts w:eastAsia="Times New Roman"/>
                <w:b/>
                <w:bCs/>
                <w:color w:val="000000"/>
                <w:sz w:val="16"/>
                <w:szCs w:val="16"/>
              </w:rPr>
              <w:t>h</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w:t>
            </w:r>
            <w:r>
              <w:rPr>
                <w:rFonts w:eastAsia="Times New Roman"/>
                <w:b/>
                <w:bCs/>
                <w:color w:val="000000"/>
                <w:sz w:val="16"/>
                <w:szCs w:val="16"/>
              </w:rPr>
              <w:t>withou</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Recognize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Offse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Presente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Collatera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Right of Offse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Net Amount</w:t>
            </w:r>
            <w:r>
              <w:rPr>
                <w:rFonts w:eastAsia="Times New Roman"/>
                <w:b/>
                <w:bCs/>
                <w:color w:val="000000"/>
                <w:sz w:val="16"/>
                <w:szCs w:val="16"/>
              </w:rPr>
              <w:t>s</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Assets</w:t>
            </w:r>
            <w:r>
              <w:rPr>
                <w:rFonts w:eastAsia="Times New Roman"/>
                <w:b/>
                <w:bCs/>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130.0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assets at fair valu</w:t>
            </w:r>
            <w:r>
              <w:rPr>
                <w:rFonts w:eastAsia="Times New Roman"/>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261.1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131.1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130.0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trHeight w:val="300"/>
          <w:jc w:val="center"/>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Liabilities</w:t>
            </w:r>
            <w:r>
              <w:rPr>
                <w:rFonts w:eastAsia="Times New Roman"/>
                <w:b/>
                <w:bCs/>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Commodities contract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130.0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29.3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Foreign currency contract</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jc w:val="center"/>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Total liabilities at fair valu</w:t>
            </w:r>
            <w:r>
              <w:rPr>
                <w:rFonts w:eastAsia="Times New Roman"/>
                <w:color w:val="000000"/>
                <w:sz w:val="16"/>
                <w:szCs w:val="16"/>
              </w:rPr>
              <w:t>e</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266.6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131.1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135.5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29.3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106.3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At June 30, 2020 and De</w:t>
      </w:r>
      <w:r>
        <w:rPr>
          <w:rFonts w:eastAsia="Times New Roman"/>
          <w:color w:val="000000"/>
          <w:sz w:val="20"/>
          <w:szCs w:val="20"/>
        </w:rPr>
        <w:t>cember 31, 2019, we did not present any amounts gross on our Consolidated Balance Sheets where we had the right of offset</w:t>
      </w:r>
      <w:r>
        <w:rPr>
          <w:rFonts w:eastAsia="Times New Roman"/>
          <w:color w:val="000000"/>
          <w:sz w:val="20"/>
          <w:szCs w:val="20"/>
        </w:rPr>
        <w:t>.</w:t>
      </w:r>
    </w:p>
    <w:p w:rsidR="00000000" w:rsidRDefault="004D26FD">
      <w:pPr>
        <w:jc w:val="both"/>
        <w:divId w:val="199319125"/>
        <w:rPr>
          <w:rFonts w:eastAsia="Times New Roman"/>
        </w:rPr>
      </w:pPr>
      <w:r>
        <w:rPr>
          <w:rFonts w:eastAsia="Times New Roman"/>
          <w:b/>
          <w:bCs/>
          <w:color w:val="000000"/>
          <w:sz w:val="20"/>
          <w:szCs w:val="20"/>
        </w:rPr>
        <w:t>        Concentration of Credit Ris</w:t>
      </w:r>
      <w:r>
        <w:rPr>
          <w:rFonts w:eastAsia="Times New Roman"/>
          <w:b/>
          <w:bCs/>
          <w:color w:val="000000"/>
          <w:sz w:val="20"/>
          <w:szCs w:val="20"/>
        </w:rPr>
        <w:t>k</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Our individual over-the-counter ("OTC") counterparty exposure is managed within predetermined </w:t>
      </w:r>
      <w:r>
        <w:rPr>
          <w:rFonts w:eastAsia="Times New Roman"/>
          <w:color w:val="000000"/>
          <w:sz w:val="20"/>
          <w:szCs w:val="20"/>
        </w:rPr>
        <w:t>credit limits and includes the use of cash-call margins when appropriate, thereby reducing the risk of significant nonperformance. At June 30, 2020, one of our counterparties, with an exposure amount of $18.7 million, represented over 10% of our credit exp</w:t>
      </w:r>
      <w:r>
        <w:rPr>
          <w:rFonts w:eastAsia="Times New Roman"/>
          <w:color w:val="000000"/>
          <w:sz w:val="20"/>
          <w:szCs w:val="20"/>
        </w:rPr>
        <w:t>osure to OTC derivative counterparties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112942881"/>
        <w:rPr>
          <w:rFonts w:eastAsia="Times New Roman"/>
        </w:rPr>
      </w:pPr>
      <w:r>
        <w:rPr>
          <w:rFonts w:eastAsia="Times New Roman"/>
          <w:color w:val="000000"/>
          <w:sz w:val="20"/>
          <w:szCs w:val="20"/>
        </w:rPr>
        <w:t>1</w:t>
      </w:r>
      <w:r>
        <w:rPr>
          <w:rFonts w:eastAsia="Times New Roman"/>
          <w:color w:val="000000"/>
          <w:sz w:val="20"/>
          <w:szCs w:val="20"/>
        </w:rPr>
        <w:t>7</w:t>
      </w:r>
    </w:p>
    <w:p w:rsidR="00000000" w:rsidRDefault="004D26FD">
      <w:pPr>
        <w:rPr>
          <w:rFonts w:eastAsia="Times New Roman"/>
        </w:rPr>
      </w:pPr>
      <w:r>
        <w:rPr>
          <w:rFonts w:eastAsia="Times New Roman"/>
        </w:rPr>
        <w:pict>
          <v:rect id="_x0000_i1045" style="width:0;height:1.5pt" o:hralign="center" o:hrstd="t" o:hr="t" fillcolor="#a0a0a0" stroked="f"/>
        </w:pict>
      </w:r>
    </w:p>
    <w:p w:rsidR="00000000" w:rsidRDefault="004D26FD">
      <w:pPr>
        <w:divId w:val="684943072"/>
        <w:rPr>
          <w:rFonts w:eastAsia="Times New Roman"/>
        </w:rPr>
      </w:pPr>
    </w:p>
    <w:p w:rsidR="00000000" w:rsidRDefault="004D26FD">
      <w:pPr>
        <w:jc w:val="both"/>
        <w:divId w:val="1547062974"/>
        <w:rPr>
          <w:rFonts w:eastAsia="Times New Roman"/>
        </w:rPr>
      </w:pPr>
      <w:r>
        <w:rPr>
          <w:rFonts w:eastAsia="Times New Roman"/>
          <w:b/>
          <w:bCs/>
          <w:color w:val="000000"/>
          <w:sz w:val="20"/>
          <w:szCs w:val="20"/>
        </w:rPr>
        <w:t>8. Income Taxe</w:t>
      </w:r>
      <w:r>
        <w:rPr>
          <w:rFonts w:eastAsia="Times New Roman"/>
          <w:b/>
          <w:bCs/>
          <w:color w:val="000000"/>
          <w:sz w:val="20"/>
          <w:szCs w:val="20"/>
        </w:rPr>
        <w:t>s</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income tax provision and the respective effective income tax rates are as follows (in millions, except for income tax rates)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424"/>
        <w:gridCol w:w="36"/>
        <w:gridCol w:w="36"/>
        <w:gridCol w:w="36"/>
        <w:gridCol w:w="36"/>
        <w:gridCol w:w="115"/>
        <w:gridCol w:w="691"/>
        <w:gridCol w:w="169"/>
        <w:gridCol w:w="36"/>
        <w:gridCol w:w="36"/>
        <w:gridCol w:w="36"/>
        <w:gridCol w:w="115"/>
        <w:gridCol w:w="683"/>
        <w:gridCol w:w="169"/>
        <w:gridCol w:w="36"/>
        <w:gridCol w:w="36"/>
        <w:gridCol w:w="36"/>
        <w:gridCol w:w="115"/>
        <w:gridCol w:w="716"/>
        <w:gridCol w:w="169"/>
        <w:gridCol w:w="36"/>
        <w:gridCol w:w="36"/>
        <w:gridCol w:w="36"/>
        <w:gridCol w:w="115"/>
        <w:gridCol w:w="719"/>
        <w:gridCol w:w="169"/>
        <w:gridCol w:w="36"/>
        <w:gridCol w:w="36"/>
        <w:gridCol w:w="36"/>
        <w:gridCol w:w="36"/>
        <w:gridCol w:w="36"/>
        <w:gridCol w:w="36"/>
        <w:gridCol w:w="36"/>
        <w:gridCol w:w="36"/>
        <w:gridCol w:w="36"/>
        <w:gridCol w:w="36"/>
        <w:gridCol w:w="36"/>
        <w:gridCol w:w="36"/>
      </w:tblGrid>
      <w:tr w:rsidR="00000000">
        <w:trPr>
          <w:gridAfter w:val="12"/>
          <w:divId w:val="1632591908"/>
        </w:trPr>
        <w:tc>
          <w:tcPr>
            <w:tcW w:w="50" w:type="pct"/>
            <w:vAlign w:val="center"/>
            <w:hideMark/>
          </w:tcPr>
          <w:p w:rsidR="00000000" w:rsidRDefault="004D26FD">
            <w:pPr>
              <w:ind w:firstLine="360"/>
              <w:jc w:val="both"/>
              <w:rPr>
                <w:rFonts w:eastAsia="Times New Roman"/>
              </w:rPr>
            </w:pPr>
          </w:p>
        </w:tc>
        <w:tc>
          <w:tcPr>
            <w:tcW w:w="223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3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1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3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3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63259190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63259190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63259190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259190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Income tax provisio</w:t>
            </w:r>
            <w:r>
              <w:rPr>
                <w:rFonts w:eastAsia="Times New Roman"/>
                <w:color w:val="000000"/>
                <w:sz w:val="16"/>
                <w:szCs w:val="16"/>
              </w:rPr>
              <w:t>n</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2591908"/>
          <w:trHeight w:val="240"/>
        </w:trPr>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632591908"/>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Effective income tax rat</w:t>
            </w:r>
            <w:r>
              <w:rPr>
                <w:rFonts w:eastAsia="Times New Roman"/>
                <w:color w:val="000000"/>
                <w:sz w:val="16"/>
                <w:szCs w:val="16"/>
              </w:rPr>
              <w:t>e</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(258</w:t>
            </w: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jc w:val="both"/>
        <w:rPr>
          <w:rFonts w:eastAsia="Times New Roman"/>
        </w:rPr>
      </w:pPr>
      <w:r>
        <w:rPr>
          <w:rFonts w:eastAsia="Times New Roman"/>
          <w:color w:val="000000"/>
          <w:sz w:val="20"/>
          <w:szCs w:val="20"/>
        </w:rPr>
        <w:t> </w:t>
      </w:r>
    </w:p>
    <w:p w:rsidR="00000000" w:rsidRDefault="004D26FD">
      <w:pPr>
        <w:jc w:val="both"/>
        <w:rPr>
          <w:rFonts w:eastAsia="Times New Roman"/>
        </w:rPr>
      </w:pPr>
      <w:r>
        <w:rPr>
          <w:rFonts w:eastAsia="Times New Roman"/>
          <w:color w:val="000000"/>
          <w:sz w:val="20"/>
          <w:szCs w:val="20"/>
        </w:rPr>
        <w:t>        Our provision for income taxes for the three months ended June 30, 2020, was $7.7 million, resulting in an effective income tax rate of (258%). The provision includes a net discret</w:t>
      </w:r>
      <w:r>
        <w:rPr>
          <w:rFonts w:eastAsia="Times New Roman"/>
          <w:color w:val="000000"/>
          <w:sz w:val="20"/>
          <w:szCs w:val="20"/>
        </w:rPr>
        <w:t xml:space="preserve">e tax expense of $3.4 million for the period related primarily to return to provision adjustments resulting from tax return filings in several foreign jurisdictions. Without the $3.4 million in discrete items, the effective income tax rate would have been </w:t>
      </w:r>
      <w:r>
        <w:rPr>
          <w:rFonts w:eastAsia="Times New Roman"/>
          <w:color w:val="000000"/>
          <w:sz w:val="20"/>
          <w:szCs w:val="20"/>
        </w:rPr>
        <w:t>(144)%</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provision for in</w:t>
      </w:r>
      <w:r>
        <w:rPr>
          <w:rFonts w:eastAsia="Times New Roman"/>
          <w:color w:val="000000"/>
          <w:sz w:val="20"/>
          <w:szCs w:val="20"/>
        </w:rPr>
        <w:t>c</w:t>
      </w:r>
      <w:r>
        <w:rPr>
          <w:rFonts w:eastAsia="Times New Roman"/>
          <w:color w:val="000000"/>
          <w:sz w:val="20"/>
          <w:szCs w:val="20"/>
          <w:shd w:val="clear" w:color="auto" w:fill="FFFFFF"/>
        </w:rPr>
        <w:t>ome taxes for the three months ended June 30, 2019, was $20.0 million resulting in an effective tax rate of 35%. The provision includes a net discrete income tax expense of $0.8 million for the period. Without the $0.8 millio</w:t>
      </w:r>
      <w:r>
        <w:rPr>
          <w:rFonts w:eastAsia="Times New Roman"/>
          <w:color w:val="000000"/>
          <w:sz w:val="20"/>
          <w:szCs w:val="20"/>
          <w:shd w:val="clear" w:color="auto" w:fill="FFFFFF"/>
        </w:rPr>
        <w:t>n in discrete items, the effective income tax rate would have been 33%.</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shd w:val="clear" w:color="auto" w:fill="FFFFFF"/>
        </w:rPr>
        <w:t xml:space="preserve">Our provision for income taxes for the six months ended June 30, 2020, was $23.7 million, resulting in an effective income tax rate of 43%. The provision includes a net discrete tax </w:t>
      </w:r>
      <w:r>
        <w:rPr>
          <w:rFonts w:eastAsia="Times New Roman"/>
          <w:color w:val="000000"/>
          <w:sz w:val="20"/>
          <w:szCs w:val="20"/>
          <w:shd w:val="clear" w:color="auto" w:fill="FFFFFF"/>
        </w:rPr>
        <w:t>expense of $4.4 million for the period related primarily to return to provision adjustments resulting from tax return filings in several foreign jurisdictions. Without the $4.4 million in discrete items, the effective income tax rate would have been 35%.</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shd w:val="clear" w:color="auto" w:fill="FFFFFF"/>
        </w:rPr>
        <w:t>Our provision for income taxes for the six months ended June 30, 2019, was $34.0 million resulting in an effective tax rate of 31%. The provision includes a net discrete income tax benefit of $2.0 million for the period. Without the $2.0 million in discre</w:t>
      </w:r>
      <w:r>
        <w:rPr>
          <w:rFonts w:eastAsia="Times New Roman"/>
          <w:color w:val="000000"/>
          <w:sz w:val="20"/>
          <w:szCs w:val="20"/>
          <w:shd w:val="clear" w:color="auto" w:fill="FFFFFF"/>
        </w:rPr>
        <w:t>te items, the effective income tax rate would have been 33%.</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income tax concession in Singapore, which reduces the income tax rate on qualified sales and derivative gains and losses decreased foreign income taxes by $0.8 million and $0.6 million for the three months ended June 30, 2020 and 2019, respectively. Th</w:t>
      </w:r>
      <w:r>
        <w:rPr>
          <w:rFonts w:eastAsia="Times New Roman"/>
          <w:color w:val="000000"/>
          <w:sz w:val="20"/>
          <w:szCs w:val="20"/>
        </w:rPr>
        <w:t>e impact of the income tax concession on basic earnings per common share was $0.01 and $0.01 for the three months ended June 30, 2020 and 2019, respectively and $0.01 and $0.01 on a diluted earnings per common share basis, respectively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income tax co</w:t>
      </w:r>
      <w:r>
        <w:rPr>
          <w:rFonts w:eastAsia="Times New Roman"/>
          <w:color w:val="000000"/>
          <w:sz w:val="20"/>
          <w:szCs w:val="20"/>
        </w:rPr>
        <w:t xml:space="preserve">ncession decreased foreign income taxes by $2.7 million and $1.5 million for the six months ended June 30, 2020 and 2019, respectively. The impact of the income tax concession on basic earnings per common share was $0.04 and $0.02 for the six months ended </w:t>
      </w:r>
      <w:r>
        <w:rPr>
          <w:rFonts w:eastAsia="Times New Roman"/>
          <w:color w:val="000000"/>
          <w:sz w:val="20"/>
          <w:szCs w:val="20"/>
        </w:rPr>
        <w:t>June 30, 2020 and 2019, respectively and $0.04 and $0.02 on a diluted earnings per common share basis, respectively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provision for income taxes for the three and six months ended June 30, 2020 and 2019 was calculated based on the estimated annual eff</w:t>
      </w:r>
      <w:r>
        <w:rPr>
          <w:rFonts w:eastAsia="Times New Roman"/>
          <w:color w:val="000000"/>
          <w:sz w:val="20"/>
          <w:szCs w:val="20"/>
        </w:rPr>
        <w:t xml:space="preserve">ective income tax rate for the 2020 and 2019 fiscal years. The actual effective income tax rate for the 2020 fiscal year may be materially different as a result of differences between estimated versus actual results and the geographic tax jurisdictions in </w:t>
      </w:r>
      <w:r>
        <w:rPr>
          <w:rFonts w:eastAsia="Times New Roman"/>
          <w:color w:val="000000"/>
          <w:sz w:val="20"/>
          <w:szCs w:val="20"/>
        </w:rPr>
        <w:t>which the results are earned</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On July 20, 2020, the Internal Revenue Service (“IRS”) released final regulations relating to the high tax exception rules under the global intangible low-tax income ("GILTI") and Subpart F income provisions of the Code whic</w:t>
      </w:r>
      <w:r>
        <w:rPr>
          <w:rFonts w:eastAsia="Times New Roman"/>
          <w:color w:val="000000"/>
          <w:sz w:val="20"/>
          <w:szCs w:val="20"/>
        </w:rPr>
        <w:t>h are effective for years beginning after July 23, 2020; however taxpayers may choose to apply the regulations for tax years beginning after December 31, 2017. The company is in the process of reviewing the final regulations and determining the potential i</w:t>
      </w:r>
      <w:r>
        <w:rPr>
          <w:rFonts w:eastAsia="Times New Roman"/>
          <w:color w:val="000000"/>
          <w:sz w:val="20"/>
          <w:szCs w:val="20"/>
        </w:rPr>
        <w:t>mpact if any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1569728528"/>
        <w:rPr>
          <w:rFonts w:eastAsia="Times New Roman"/>
        </w:rPr>
      </w:pPr>
      <w:r>
        <w:rPr>
          <w:rFonts w:eastAsia="Times New Roman"/>
          <w:color w:val="000000"/>
          <w:sz w:val="20"/>
          <w:szCs w:val="20"/>
        </w:rPr>
        <w:t>1</w:t>
      </w:r>
      <w:r>
        <w:rPr>
          <w:rFonts w:eastAsia="Times New Roman"/>
          <w:color w:val="000000"/>
          <w:sz w:val="20"/>
          <w:szCs w:val="20"/>
        </w:rPr>
        <w:t>8</w:t>
      </w:r>
    </w:p>
    <w:p w:rsidR="00000000" w:rsidRDefault="004D26FD">
      <w:pPr>
        <w:rPr>
          <w:rFonts w:eastAsia="Times New Roman"/>
        </w:rPr>
      </w:pPr>
      <w:r>
        <w:rPr>
          <w:rFonts w:eastAsia="Times New Roman"/>
        </w:rPr>
        <w:pict>
          <v:rect id="_x0000_i1046" style="width:0;height:1.5pt" o:hralign="center" o:hrstd="t" o:hr="t" fillcolor="#a0a0a0" stroked="f"/>
        </w:pict>
      </w:r>
    </w:p>
    <w:p w:rsidR="00000000" w:rsidRDefault="004D26FD">
      <w:pPr>
        <w:divId w:val="1911966825"/>
        <w:rPr>
          <w:rFonts w:eastAsia="Times New Roman"/>
        </w:rPr>
      </w:pPr>
    </w:p>
    <w:p w:rsidR="00000000" w:rsidRDefault="004D26FD">
      <w:pPr>
        <w:ind w:firstLine="360"/>
        <w:jc w:val="both"/>
        <w:rPr>
          <w:rFonts w:eastAsia="Times New Roman"/>
        </w:rPr>
      </w:pPr>
      <w:r>
        <w:rPr>
          <w:rFonts w:eastAsia="Times New Roman"/>
          <w:color w:val="000000"/>
          <w:sz w:val="20"/>
          <w:szCs w:val="20"/>
        </w:rPr>
        <w:t>We have various tax returns under examination both in the U.S. and foreign jurisdictions. The most significant of these are in Denmark for the 2013 to 2015 tax years, South Korea for the 2011 to 201</w:t>
      </w:r>
      <w:r>
        <w:rPr>
          <w:rFonts w:eastAsia="Times New Roman"/>
          <w:color w:val="000000"/>
          <w:sz w:val="20"/>
          <w:szCs w:val="20"/>
        </w:rPr>
        <w:t>4 tax years, and the U.S. for the 2017 to 2018 tax years. In 2018, one of our subsidiaries in Denmark received an audit inquiry from the Danish tax authorities regarding transfer pricing and other related matters for the tax years 2013 to 2015. In the seco</w:t>
      </w:r>
      <w:r>
        <w:rPr>
          <w:rFonts w:eastAsia="Times New Roman"/>
          <w:color w:val="000000"/>
          <w:sz w:val="20"/>
          <w:szCs w:val="20"/>
        </w:rPr>
        <w:t>nd quarter 2019, it received a proposed tax adjustment of approximately $1.7 million (DKK 11.2 million) related to the 2013 tax year and on April 30, 2020, it received a proposed tax adjustment of approximately $1.3 million (DKK 8.6 million) related to the</w:t>
      </w:r>
      <w:r>
        <w:rPr>
          <w:rFonts w:eastAsia="Times New Roman"/>
          <w:color w:val="000000"/>
          <w:sz w:val="20"/>
          <w:szCs w:val="20"/>
        </w:rPr>
        <w:t xml:space="preserve"> 2014 tax year. We are responding to the proposed income adjustments and other information requests from the Danish tax authorities. In 2017, the Korean Branch of one of our subsidiaries received income tax assessment notices for $9.4 million (KRW 11.3 bil</w:t>
      </w:r>
      <w:r>
        <w:rPr>
          <w:rFonts w:eastAsia="Times New Roman"/>
          <w:color w:val="000000"/>
          <w:sz w:val="20"/>
          <w:szCs w:val="20"/>
        </w:rPr>
        <w:t>lion) from the South Korea tax authorities. We believe that these assessments are without merit and are currently appealing the actions. On March 11, 2020, the U.S. Internal Revenue Service began the audit of our 2017 and 2018 tax years, and we are current</w:t>
      </w:r>
      <w:r>
        <w:rPr>
          <w:rFonts w:eastAsia="Times New Roman"/>
          <w:color w:val="000000"/>
          <w:sz w:val="20"/>
          <w:szCs w:val="20"/>
        </w:rPr>
        <w:t>ly responding to their information requests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An unfavorable resolution of one or more of the above matters could have a material adverse effect on our result of operations or cash flows in the quarter or year in which the adjustments are recorded, or the</w:t>
      </w:r>
      <w:r>
        <w:rPr>
          <w:rFonts w:eastAsia="Times New Roman"/>
          <w:color w:val="000000"/>
          <w:sz w:val="20"/>
          <w:szCs w:val="20"/>
        </w:rPr>
        <w:t xml:space="preserve"> tax is due or paid. As examinations are still in process or have not yet reached the final stages of the appeals process, the timing of the ultimate resolution or payments that may be required cannot be determined at this time</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b/>
          <w:bCs/>
          <w:color w:val="000000"/>
          <w:sz w:val="20"/>
          <w:szCs w:val="20"/>
        </w:rPr>
        <w:t>9. Revenue from Contracts</w:t>
      </w:r>
      <w:r>
        <w:rPr>
          <w:rFonts w:eastAsia="Times New Roman"/>
          <w:b/>
          <w:bCs/>
          <w:color w:val="000000"/>
          <w:sz w:val="20"/>
          <w:szCs w:val="20"/>
        </w:rPr>
        <w:t xml:space="preserve"> with Customer</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jc w:val="both"/>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 </w:t>
      </w:r>
      <w:r>
        <w:rPr>
          <w:rFonts w:eastAsia="Times New Roman"/>
          <w:color w:val="000000"/>
          <w:sz w:val="20"/>
          <w:szCs w:val="20"/>
        </w:rPr>
        <w:t>Our contracts with customers primarily require us to deliver fuel and fuel-related products, while other arrangements require us to complete agreed-upon services. Revenue from the sale of fuel is recognized when our customers obta</w:t>
      </w:r>
      <w:r>
        <w:rPr>
          <w:rFonts w:eastAsia="Times New Roman"/>
          <w:color w:val="000000"/>
          <w:sz w:val="20"/>
          <w:szCs w:val="20"/>
        </w:rPr>
        <w:t xml:space="preserve">in control of the fuel, which is typically upon delivery of each promised gallon or barrel to an agreed-upon delivery point. We generally recognize revenue for services provided over the contract period when services have been performed based on our right </w:t>
      </w:r>
      <w:r>
        <w:rPr>
          <w:rFonts w:eastAsia="Times New Roman"/>
          <w:color w:val="000000"/>
          <w:sz w:val="20"/>
          <w:szCs w:val="20"/>
        </w:rPr>
        <w:t>to invoice for those services</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w:t>
      </w:r>
      <w:r>
        <w:rPr>
          <w:rFonts w:eastAsia="Times New Roman"/>
          <w:color w:val="000000"/>
          <w:sz w:val="20"/>
          <w:szCs w:val="20"/>
        </w:rPr>
        <w:t>Our contracts may contain fixed or variable pricing (such as market or index-based pricing) or some combination of those. Within our land and aviation segments, contracts with customers may include multi-year sales contracts, which are priced at market-bas</w:t>
      </w:r>
      <w:r>
        <w:rPr>
          <w:rFonts w:eastAsia="Times New Roman"/>
          <w:color w:val="000000"/>
          <w:sz w:val="20"/>
          <w:szCs w:val="20"/>
        </w:rPr>
        <w:t>ed indices and require minimum volume purchase commitments from our customers. The consideration expected from these contracts is considered variable due to the market-based pricing and the variability is not resolved until delivery is made to our customer</w:t>
      </w:r>
      <w:r>
        <w:rPr>
          <w:rFonts w:eastAsia="Times New Roman"/>
          <w:color w:val="000000"/>
          <w:sz w:val="20"/>
          <w:szCs w:val="20"/>
        </w:rPr>
        <w:t>s. We have elected to apply the optional exemption from estimating and disclosing the variable consideration from our remaining performance obligations under these contracts</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color w:val="000000"/>
          <w:sz w:val="20"/>
          <w:szCs w:val="20"/>
        </w:rPr>
        <w:t>        We also have fixed price fuel and fuel-related product sale contracts w</w:t>
      </w:r>
      <w:r>
        <w:rPr>
          <w:rFonts w:eastAsia="Times New Roman"/>
          <w:color w:val="000000"/>
          <w:sz w:val="20"/>
          <w:szCs w:val="20"/>
        </w:rPr>
        <w:t>ith a contract term of less than one year (typically one month). For these contracts, we apply the optional exemption to not disclose the amount of transaction price allocated to remaining performance obligations. We also apply this exemption to those cont</w:t>
      </w:r>
      <w:r>
        <w:rPr>
          <w:rFonts w:eastAsia="Times New Roman"/>
          <w:color w:val="000000"/>
          <w:sz w:val="20"/>
          <w:szCs w:val="20"/>
        </w:rPr>
        <w:t>racts in which the right to consideration corresponds directly with the value to the customer of the entity's performance to date. In limited cases, we may have multi-period fixed price contracts. Because our long-term supply arrangements that exceed one y</w:t>
      </w:r>
      <w:r>
        <w:rPr>
          <w:rFonts w:eastAsia="Times New Roman"/>
          <w:color w:val="000000"/>
          <w:sz w:val="20"/>
          <w:szCs w:val="20"/>
        </w:rPr>
        <w:t>ear are typically based on market index prices as previously discussed, the transaction price associated with remaining performance obligations under multi-year fixed price fuel sale contracts is not significant</w:t>
      </w:r>
      <w:r>
        <w:rPr>
          <w:rFonts w:eastAsia="Times New Roman"/>
          <w:color w:val="000000"/>
          <w:sz w:val="20"/>
          <w:szCs w:val="20"/>
        </w:rPr>
        <w:t>.</w:t>
      </w:r>
    </w:p>
    <w:p w:rsidR="00000000" w:rsidRDefault="004D26FD">
      <w:pPr>
        <w:jc w:val="both"/>
        <w:rPr>
          <w:rFonts w:eastAsia="Times New Roman"/>
        </w:rPr>
      </w:pPr>
    </w:p>
    <w:p w:rsidR="00000000" w:rsidRDefault="004D26FD">
      <w:pPr>
        <w:jc w:val="center"/>
        <w:divId w:val="1906064684"/>
        <w:rPr>
          <w:rFonts w:eastAsia="Times New Roman"/>
        </w:rPr>
      </w:pPr>
      <w:r>
        <w:rPr>
          <w:rFonts w:eastAsia="Times New Roman"/>
          <w:color w:val="000000"/>
          <w:sz w:val="20"/>
          <w:szCs w:val="20"/>
        </w:rPr>
        <w:t>1</w:t>
      </w:r>
      <w:r>
        <w:rPr>
          <w:rFonts w:eastAsia="Times New Roman"/>
          <w:color w:val="000000"/>
          <w:sz w:val="20"/>
          <w:szCs w:val="20"/>
        </w:rPr>
        <w:t>9</w:t>
      </w:r>
    </w:p>
    <w:p w:rsidR="00000000" w:rsidRDefault="004D26FD">
      <w:pPr>
        <w:rPr>
          <w:rFonts w:eastAsia="Times New Roman"/>
        </w:rPr>
      </w:pPr>
      <w:r>
        <w:rPr>
          <w:rFonts w:eastAsia="Times New Roman"/>
        </w:rPr>
        <w:pict>
          <v:rect id="_x0000_i1047" style="width:0;height:1.5pt" o:hralign="center" o:hrstd="t" o:hr="t" fillcolor="#a0a0a0" stroked="f"/>
        </w:pict>
      </w:r>
    </w:p>
    <w:p w:rsidR="00000000" w:rsidRDefault="004D26FD">
      <w:pPr>
        <w:divId w:val="1835603869"/>
        <w:rPr>
          <w:rFonts w:eastAsia="Times New Roman"/>
        </w:rPr>
      </w:pPr>
    </w:p>
    <w:p w:rsidR="00000000" w:rsidRDefault="004D26FD">
      <w:pPr>
        <w:ind w:firstLine="360"/>
        <w:jc w:val="both"/>
        <w:divId w:val="1417551933"/>
        <w:rPr>
          <w:rFonts w:eastAsia="Times New Roman"/>
        </w:rPr>
      </w:pPr>
      <w:r>
        <w:rPr>
          <w:rFonts w:eastAsia="Times New Roman"/>
          <w:color w:val="000000"/>
          <w:sz w:val="20"/>
          <w:szCs w:val="20"/>
        </w:rPr>
        <w:t>The following table presents our revenues from contracts with customers disaggregated by major geographic areas we conduct business in for the three and six months ended June 30, 2020 and</w:t>
      </w:r>
      <w:r>
        <w:rPr>
          <w:rFonts w:eastAsia="Times New Roman"/>
          <w:color w:val="000000"/>
          <w:sz w:val="20"/>
          <w:szCs w:val="20"/>
        </w:rPr>
        <w:t xml:space="preserve"> </w:t>
      </w:r>
      <w:r>
        <w:rPr>
          <w:rFonts w:eastAsia="Times New Roman"/>
          <w:color w:val="000000"/>
          <w:sz w:val="20"/>
          <w:szCs w:val="20"/>
          <w:shd w:val="clear" w:color="auto" w:fill="FFFFFF"/>
        </w:rPr>
        <w:t>201</w:t>
      </w:r>
      <w:r>
        <w:rPr>
          <w:rFonts w:eastAsia="Times New Roman"/>
          <w:color w:val="000000"/>
          <w:sz w:val="20"/>
          <w:szCs w:val="20"/>
          <w:shd w:val="clear" w:color="auto" w:fill="FFFFFF"/>
        </w:rPr>
        <w:t>9</w:t>
      </w:r>
      <w:r>
        <w:rPr>
          <w:rFonts w:eastAsia="Times New Roman"/>
          <w:color w:val="000000"/>
          <w:sz w:val="20"/>
          <w:szCs w:val="20"/>
        </w:rPr>
        <w:t xml:space="preserve">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3961"/>
        <w:gridCol w:w="50"/>
        <w:gridCol w:w="36"/>
        <w:gridCol w:w="36"/>
        <w:gridCol w:w="36"/>
        <w:gridCol w:w="115"/>
        <w:gridCol w:w="659"/>
        <w:gridCol w:w="75"/>
        <w:gridCol w:w="36"/>
        <w:gridCol w:w="36"/>
        <w:gridCol w:w="36"/>
        <w:gridCol w:w="115"/>
        <w:gridCol w:w="649"/>
        <w:gridCol w:w="75"/>
        <w:gridCol w:w="36"/>
        <w:gridCol w:w="36"/>
        <w:gridCol w:w="36"/>
        <w:gridCol w:w="115"/>
        <w:gridCol w:w="650"/>
        <w:gridCol w:w="75"/>
        <w:gridCol w:w="36"/>
        <w:gridCol w:w="36"/>
        <w:gridCol w:w="36"/>
        <w:gridCol w:w="115"/>
        <w:gridCol w:w="663"/>
        <w:gridCol w:w="75"/>
        <w:gridCol w:w="36"/>
        <w:gridCol w:w="36"/>
        <w:gridCol w:w="36"/>
        <w:gridCol w:w="36"/>
        <w:gridCol w:w="36"/>
        <w:gridCol w:w="36"/>
        <w:gridCol w:w="36"/>
        <w:gridCol w:w="36"/>
        <w:gridCol w:w="36"/>
        <w:gridCol w:w="36"/>
        <w:gridCol w:w="36"/>
        <w:gridCol w:w="36"/>
      </w:tblGrid>
      <w:tr w:rsidR="00000000">
        <w:trPr>
          <w:gridAfter w:val="12"/>
          <w:divId w:val="1974407694"/>
        </w:trPr>
        <w:tc>
          <w:tcPr>
            <w:tcW w:w="50" w:type="pct"/>
            <w:vAlign w:val="center"/>
            <w:hideMark/>
          </w:tcPr>
          <w:p w:rsidR="00000000" w:rsidRDefault="004D26FD">
            <w:pPr>
              <w:ind w:firstLine="360"/>
              <w:jc w:val="both"/>
              <w:rPr>
                <w:rFonts w:eastAsia="Times New Roman"/>
              </w:rPr>
            </w:pPr>
          </w:p>
        </w:tc>
        <w:tc>
          <w:tcPr>
            <w:tcW w:w="253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4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6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97440769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97440769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97440769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w:t>
            </w:r>
            <w:r>
              <w:rPr>
                <w:rFonts w:eastAsia="Times New Roman"/>
                <w:color w:val="000000"/>
                <w:sz w:val="16"/>
                <w:szCs w:val="16"/>
              </w:rPr>
              <w:t>n</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103.9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340.8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357.9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705.2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w:t>
            </w:r>
            <w:r>
              <w:rPr>
                <w:rFonts w:eastAsia="Times New Roman"/>
                <w:color w:val="000000"/>
                <w:sz w:val="16"/>
                <w:szCs w:val="16"/>
              </w:rPr>
              <w:t>d</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441.0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719.5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1,365.7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1,428.4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Asia Pacifi</w:t>
            </w:r>
            <w:r>
              <w:rPr>
                <w:rFonts w:eastAsia="Times New Roman"/>
                <w:color w:val="000000"/>
                <w:sz w:val="16"/>
                <w:szCs w:val="16"/>
              </w:rPr>
              <w:t>c</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545.8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1,064.5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1,729.1</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2,142.6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Height w:val="240"/>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157.8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1,008.8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796.6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1,727.9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w:t>
            </w:r>
            <w:r>
              <w:rPr>
                <w:rFonts w:eastAsia="Times New Roman"/>
                <w:color w:val="000000"/>
                <w:sz w:val="16"/>
                <w:szCs w:val="16"/>
              </w:rPr>
              <w:t>d</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569.7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932.1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1,210.2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285.0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736.3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896.2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1,391.1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EME</w:t>
            </w:r>
            <w:r>
              <w:rPr>
                <w:rFonts w:eastAsia="Times New Roman"/>
                <w:color w:val="000000"/>
                <w:sz w:val="16"/>
                <w:szCs w:val="16"/>
              </w:rPr>
              <w:t>A</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756.7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2,314.9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2,625.0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4,329.2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Height w:val="240"/>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w:t>
            </w:r>
            <w:r>
              <w:rPr>
                <w:rFonts w:eastAsia="Times New Roman"/>
                <w:color w:val="000000"/>
                <w:sz w:val="16"/>
                <w:szCs w:val="16"/>
              </w:rPr>
              <w:t>n</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614.6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656.7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1,160.3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w:t>
            </w:r>
            <w:r>
              <w:rPr>
                <w:rFonts w:eastAsia="Times New Roman"/>
                <w:color w:val="000000"/>
                <w:sz w:val="16"/>
                <w:szCs w:val="16"/>
              </w:rPr>
              <w:t>d</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76.4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149.6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w:t>
            </w:r>
            <w:r>
              <w:rPr>
                <w:rFonts w:eastAsia="Times New Roman"/>
                <w:color w:val="000000"/>
                <w:sz w:val="16"/>
                <w:szCs w:val="16"/>
              </w:rPr>
              <w:t>e</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83.1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143.4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LATA</w:t>
            </w:r>
            <w:r>
              <w:rPr>
                <w:rFonts w:eastAsia="Times New Roman"/>
                <w:color w:val="000000"/>
                <w:sz w:val="16"/>
                <w:szCs w:val="16"/>
              </w:rPr>
              <w:t>M</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236.7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907.6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1,179.9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1,783.7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Height w:val="240"/>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w:t>
            </w:r>
            <w:r>
              <w:rPr>
                <w:rFonts w:eastAsia="Times New Roman"/>
                <w:color w:val="000000"/>
                <w:sz w:val="16"/>
                <w:szCs w:val="16"/>
              </w:rPr>
              <w:t>n</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500.6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2,828.5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2,607.1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5,476.5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w:t>
            </w:r>
            <w:r>
              <w:rPr>
                <w:rFonts w:eastAsia="Times New Roman"/>
                <w:color w:val="000000"/>
                <w:sz w:val="16"/>
                <w:szCs w:val="16"/>
              </w:rPr>
              <w:t>d</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804.9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1,884.6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2,134.2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3,519.0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347.9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476.4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682.4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North Americ</w:t>
            </w:r>
            <w:r>
              <w:rPr>
                <w:rFonts w:eastAsia="Times New Roman"/>
                <w:color w:val="000000"/>
                <w:sz w:val="16"/>
                <w:szCs w:val="16"/>
              </w:rPr>
              <w:t>a</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1,439.7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5,061.0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5,217.7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9,677.9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Height w:val="240"/>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shd w:val="clear" w:color="auto" w:fill="CCEEFF"/>
            <w:tcMar>
              <w:top w:w="30" w:type="dxa"/>
              <w:left w:w="20" w:type="dxa"/>
              <w:bottom w:w="30" w:type="dxa"/>
              <w:right w:w="20" w:type="dxa"/>
            </w:tcMar>
            <w:vAlign w:val="bottom"/>
            <w:hideMark/>
          </w:tcPr>
          <w:p w:rsidR="00000000" w:rsidRDefault="004D26FD">
            <w:pPr>
              <w:divId w:val="1207521667"/>
              <w:rPr>
                <w:rFonts w:eastAsia="Times New Roman"/>
              </w:rPr>
            </w:pPr>
            <w:r>
              <w:rPr>
                <w:rFonts w:eastAsia="Times New Roman"/>
                <w:color w:val="000000"/>
                <w:sz w:val="16"/>
                <w:szCs w:val="16"/>
              </w:rPr>
              <w:t>Other revenues (excluded from ASC 606)</w:t>
            </w:r>
            <w:r>
              <w:rPr>
                <w:rFonts w:eastAsia="Times New Roman"/>
                <w:color w:val="000000"/>
                <w:sz w:val="16"/>
                <w:szCs w:val="16"/>
              </w:rPr>
              <w:t xml:space="preserve"> </w:t>
            </w:r>
            <w:r>
              <w:rPr>
                <w:rFonts w:eastAsia="Times New Roman"/>
                <w:color w:val="000000"/>
                <w:sz w:val="10"/>
                <w:szCs w:val="10"/>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179.6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421.9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Height w:val="240"/>
        </w:trPr>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974407694"/>
        </w:trPr>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3,158.3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9,459.4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11,173.5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18,138.2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jc w:val="both"/>
        <w:divId w:val="752746605"/>
        <w:rPr>
          <w:rFonts w:eastAsia="Times New Roman"/>
        </w:rPr>
      </w:pPr>
      <w:r>
        <w:rPr>
          <w:rFonts w:eastAsia="Times New Roman"/>
          <w:color w:val="000000"/>
          <w:sz w:val="16"/>
          <w:szCs w:val="16"/>
        </w:rPr>
        <w:t>       </w:t>
      </w:r>
      <w:r>
        <w:rPr>
          <w:rFonts w:eastAsia="Times New Roman"/>
          <w:color w:val="000000"/>
          <w:sz w:val="16"/>
          <w:szCs w:val="16"/>
        </w:rPr>
        <w:t> </w:t>
      </w:r>
      <w:r>
        <w:rPr>
          <w:rFonts w:eastAsia="Times New Roman"/>
          <w:color w:val="000000"/>
          <w:sz w:val="10"/>
          <w:szCs w:val="10"/>
          <w:vertAlign w:val="superscript"/>
        </w:rPr>
        <w:t>(1</w:t>
      </w:r>
      <w:r>
        <w:rPr>
          <w:rFonts w:eastAsia="Times New Roman"/>
          <w:color w:val="000000"/>
          <w:sz w:val="10"/>
          <w:szCs w:val="10"/>
          <w:vertAlign w:val="superscript"/>
        </w:rPr>
        <w:t>)</w:t>
      </w:r>
      <w:r>
        <w:rPr>
          <w:rFonts w:eastAsia="Times New Roman"/>
          <w:color w:val="000000"/>
          <w:sz w:val="16"/>
          <w:szCs w:val="16"/>
        </w:rPr>
        <w:t xml:space="preserve"> </w:t>
      </w:r>
      <w:r>
        <w:rPr>
          <w:rFonts w:eastAsia="Times New Roman"/>
          <w:color w:val="000000"/>
          <w:sz w:val="16"/>
          <w:szCs w:val="16"/>
        </w:rPr>
        <w:t>Includes revenue from leases and other transactions that we account for under separate guidance</w:t>
      </w:r>
      <w:r>
        <w:rPr>
          <w:rFonts w:eastAsia="Times New Roman"/>
          <w:color w:val="000000"/>
          <w:sz w:val="16"/>
          <w:szCs w:val="16"/>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The nature of the receivables related to revenue from contracts with customers and Other revenues (excluded from ASC 606) are substantially similar, as they </w:t>
      </w:r>
      <w:r>
        <w:rPr>
          <w:rFonts w:eastAsia="Times New Roman"/>
          <w:color w:val="000000"/>
          <w:sz w:val="20"/>
          <w:szCs w:val="20"/>
        </w:rPr>
        <w:t>are both generated from transactions with the same type of counterparties (e.g., separate fuel sales and storage lease with the same counterparty) and are entered into utilizing the same credit approval and monitoring procedures for all customers. As such,</w:t>
      </w:r>
      <w:r>
        <w:rPr>
          <w:rFonts w:eastAsia="Times New Roman"/>
          <w:color w:val="000000"/>
          <w:sz w:val="20"/>
          <w:szCs w:val="20"/>
        </w:rPr>
        <w:t xml:space="preserve"> we believe the risk associated with the cash flows from the different types of receivables is not meaningful to separately disaggregate the accounts receivable balance presented on our Consolidated Balance Sheet. Furthermore, as of June 30, 2020 and</w:t>
      </w:r>
      <w:r>
        <w:rPr>
          <w:rFonts w:eastAsia="Times New Roman"/>
          <w:color w:val="000000"/>
          <w:sz w:val="20"/>
          <w:szCs w:val="20"/>
        </w:rPr>
        <w:t xml:space="preserve"> </w:t>
      </w:r>
      <w:r>
        <w:rPr>
          <w:rFonts w:eastAsia="Times New Roman"/>
          <w:color w:val="000000"/>
          <w:sz w:val="20"/>
          <w:szCs w:val="20"/>
          <w:shd w:val="clear" w:color="auto" w:fill="FFFFFF"/>
        </w:rPr>
        <w:t>Decem</w:t>
      </w:r>
      <w:r>
        <w:rPr>
          <w:rFonts w:eastAsia="Times New Roman"/>
          <w:color w:val="000000"/>
          <w:sz w:val="20"/>
          <w:szCs w:val="20"/>
          <w:shd w:val="clear" w:color="auto" w:fill="FFFFFF"/>
        </w:rPr>
        <w:t>ber 31, 201</w:t>
      </w:r>
      <w:r>
        <w:rPr>
          <w:rFonts w:eastAsia="Times New Roman"/>
          <w:color w:val="000000"/>
          <w:sz w:val="20"/>
          <w:szCs w:val="20"/>
          <w:shd w:val="clear" w:color="auto" w:fill="FFFFFF"/>
        </w:rPr>
        <w:t>9</w:t>
      </w:r>
      <w:r>
        <w:rPr>
          <w:rFonts w:eastAsia="Times New Roman"/>
          <w:color w:val="000000"/>
          <w:sz w:val="20"/>
          <w:szCs w:val="20"/>
        </w:rPr>
        <w:t>, the contract assets and contract liabilities recognized by the Company were not material</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p>
    <w:p w:rsidR="00000000" w:rsidRDefault="004D26FD">
      <w:pPr>
        <w:divId w:val="1784223830"/>
        <w:rPr>
          <w:rFonts w:eastAsia="Times New Roman"/>
        </w:rPr>
      </w:pPr>
      <w:r>
        <w:rPr>
          <w:rFonts w:eastAsia="Times New Roman"/>
          <w:b/>
          <w:bCs/>
          <w:color w:val="000000"/>
          <w:sz w:val="20"/>
          <w:szCs w:val="20"/>
        </w:rPr>
        <w:t>10. Business Segment</w:t>
      </w:r>
      <w:r>
        <w:rPr>
          <w:rFonts w:eastAsia="Times New Roman"/>
          <w:b/>
          <w:bCs/>
          <w:color w:val="000000"/>
          <w:sz w:val="20"/>
          <w:szCs w:val="20"/>
        </w:rPr>
        <w:t>s</w:t>
      </w:r>
    </w:p>
    <w:p w:rsidR="00000000" w:rsidRDefault="004D26FD">
      <w:pPr>
        <w:ind w:firstLine="720"/>
        <w:divId w:val="898446077"/>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We operate in three reportable segments consisting of aviation, land and marine. Corporate expenses are allocated to the seg</w:t>
      </w:r>
      <w:r>
        <w:rPr>
          <w:rFonts w:eastAsia="Times New Roman"/>
          <w:color w:val="000000"/>
          <w:sz w:val="20"/>
          <w:szCs w:val="20"/>
        </w:rPr>
        <w:t xml:space="preserve">ments based on usage, where possible, or on other factors according to the nature of the activity. Our operating segments are determined based on the different markets in which we provide products and services, which are defined primarily by the customers </w:t>
      </w:r>
      <w:r>
        <w:rPr>
          <w:rFonts w:eastAsia="Times New Roman"/>
          <w:color w:val="000000"/>
          <w:sz w:val="20"/>
          <w:szCs w:val="20"/>
        </w:rPr>
        <w:t>and the products and services provided to those customers. Accordingly, our aviation, land and marine segments are organized based on the specific markets their functional business components serve, which are primarily businesses and governmental customers</w:t>
      </w:r>
      <w:r>
        <w:rPr>
          <w:rFonts w:eastAsia="Times New Roman"/>
          <w:color w:val="000000"/>
          <w:sz w:val="20"/>
          <w:szCs w:val="20"/>
        </w:rPr>
        <w:t xml:space="preserve"> operating in those respective markets</w:t>
      </w:r>
      <w:r>
        <w:rPr>
          <w:rFonts w:eastAsia="Times New Roman"/>
          <w:color w:val="000000"/>
          <w:sz w:val="20"/>
          <w:szCs w:val="20"/>
        </w:rPr>
        <w:t>.</w:t>
      </w:r>
    </w:p>
    <w:p w:rsidR="00000000" w:rsidRDefault="004D26FD">
      <w:pPr>
        <w:ind w:firstLine="720"/>
        <w:divId w:val="633602776"/>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In our aviation segment, we offer fuel and related products and services to major commercial airlines, second and third-tier airlines, cargo carriers, regional and low cost carriers, airports, fixed based operators, corporate fleets, fractional operators, </w:t>
      </w:r>
      <w:r>
        <w:rPr>
          <w:rFonts w:eastAsia="Times New Roman"/>
          <w:color w:val="000000"/>
          <w:sz w:val="20"/>
          <w:szCs w:val="20"/>
        </w:rPr>
        <w:t>private aircraft. In addition, we supply products and services to U.S. and foreign government, intergovernmental and military customers, such as the North Atlantic Treaty Organization (NATO) and the U.S. Defense Logistics Agency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812526610"/>
        <w:rPr>
          <w:rFonts w:eastAsia="Times New Roman"/>
        </w:rPr>
      </w:pPr>
      <w:r>
        <w:rPr>
          <w:rFonts w:eastAsia="Times New Roman"/>
          <w:color w:val="000000"/>
          <w:sz w:val="20"/>
          <w:szCs w:val="20"/>
        </w:rPr>
        <w:t>2</w:t>
      </w:r>
      <w:r>
        <w:rPr>
          <w:rFonts w:eastAsia="Times New Roman"/>
          <w:color w:val="000000"/>
          <w:sz w:val="20"/>
          <w:szCs w:val="20"/>
        </w:rPr>
        <w:t>0</w:t>
      </w:r>
    </w:p>
    <w:p w:rsidR="00000000" w:rsidRDefault="004D26FD">
      <w:pPr>
        <w:rPr>
          <w:rFonts w:eastAsia="Times New Roman"/>
        </w:rPr>
      </w:pPr>
      <w:r>
        <w:rPr>
          <w:rFonts w:eastAsia="Times New Roman"/>
        </w:rPr>
        <w:pict>
          <v:rect id="_x0000_i1048" style="width:0;height:1.5pt" o:hralign="center" o:hrstd="t" o:hr="t" fillcolor="#a0a0a0" stroked="f"/>
        </w:pict>
      </w:r>
    </w:p>
    <w:p w:rsidR="00000000" w:rsidRDefault="004D26FD">
      <w:pPr>
        <w:divId w:val="417753132"/>
        <w:rPr>
          <w:rFonts w:eastAsia="Times New Roman"/>
        </w:rPr>
      </w:pPr>
    </w:p>
    <w:p w:rsidR="00000000" w:rsidRDefault="004D26FD">
      <w:pPr>
        <w:ind w:firstLine="360"/>
        <w:jc w:val="both"/>
        <w:rPr>
          <w:rFonts w:eastAsia="Times New Roman"/>
        </w:rPr>
      </w:pPr>
      <w:r>
        <w:rPr>
          <w:rFonts w:eastAsia="Times New Roman"/>
          <w:color w:val="000000"/>
          <w:sz w:val="20"/>
          <w:szCs w:val="20"/>
        </w:rPr>
        <w:t>In our land segment, we offer fuel, lubricants, power and natural gas solutions through World Kinect global energy management brand, our energy management services platform, and related products and services to customers including petrole</w:t>
      </w:r>
      <w:r>
        <w:rPr>
          <w:rFonts w:eastAsia="Times New Roman"/>
          <w:color w:val="000000"/>
          <w:sz w:val="20"/>
          <w:szCs w:val="20"/>
        </w:rPr>
        <w:t>um distributors operating in the land transportation market, retail petroleum operators, and industrial, commercial, residential and government customers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Our marine segment product and service offerings include fuel, lubricants and related products and </w:t>
      </w:r>
      <w:r>
        <w:rPr>
          <w:rFonts w:eastAsia="Times New Roman"/>
          <w:color w:val="000000"/>
          <w:sz w:val="20"/>
          <w:szCs w:val="20"/>
        </w:rPr>
        <w:t>services to a broad base of customers, including international container and tanker fleets, commercial cruise lines, yachts and time charter operators, offshore rig owners and operators, the U.S. and foreign governments as well as other fuel suppliers.</w:t>
      </w:r>
      <w:r>
        <w:rPr>
          <w:rFonts w:eastAsia="Times New Roman"/>
          <w:color w:val="000000"/>
          <w:sz w:val="20"/>
          <w:szCs w:val="20"/>
        </w:rPr>
        <w:t xml:space="preserve"> </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Within each of our segments, we may enter into derivative contracts to mitigate the risk of market price fluctuations and also to offer our customers fuel pricing alternatives to meet their needs</w:t>
      </w:r>
      <w:r>
        <w:rPr>
          <w:rFonts w:eastAsia="Times New Roman"/>
          <w:color w:val="000000"/>
          <w:sz w:val="20"/>
          <w:szCs w:val="20"/>
        </w:rPr>
        <w:t>.</w:t>
      </w:r>
    </w:p>
    <w:p w:rsidR="00000000" w:rsidRDefault="004D26FD">
      <w:pPr>
        <w:ind w:firstLine="720"/>
        <w:divId w:val="1061515525"/>
        <w:rPr>
          <w:rFonts w:eastAsia="Times New Roman"/>
        </w:rPr>
      </w:pPr>
      <w:r>
        <w:rPr>
          <w:rFonts w:eastAsia="Times New Roman"/>
          <w:color w:val="000000"/>
          <w:sz w:val="20"/>
          <w:szCs w:val="20"/>
        </w:rPr>
        <w:t> </w:t>
      </w:r>
    </w:p>
    <w:p w:rsidR="00000000" w:rsidRDefault="004D26FD">
      <w:pPr>
        <w:ind w:firstLine="360"/>
        <w:jc w:val="both"/>
        <w:divId w:val="2038190494"/>
        <w:rPr>
          <w:rFonts w:eastAsia="Times New Roman"/>
        </w:rPr>
      </w:pPr>
      <w:r>
        <w:rPr>
          <w:rFonts w:eastAsia="Times New Roman"/>
          <w:color w:val="000000"/>
          <w:sz w:val="20"/>
          <w:szCs w:val="20"/>
        </w:rPr>
        <w:t>Information concerning our revenue, gross profit and inco</w:t>
      </w:r>
      <w:r>
        <w:rPr>
          <w:rFonts w:eastAsia="Times New Roman"/>
          <w:color w:val="000000"/>
          <w:sz w:val="20"/>
          <w:szCs w:val="20"/>
        </w:rPr>
        <w:t>me from operations by reportable segment is as follows for the three and six months ended June 30, 2020 and</w:t>
      </w:r>
      <w:r>
        <w:rPr>
          <w:rFonts w:eastAsia="Times New Roman"/>
          <w:color w:val="000000"/>
          <w:sz w:val="20"/>
          <w:szCs w:val="20"/>
        </w:rPr>
        <w:t xml:space="preserve"> </w:t>
      </w:r>
      <w:r>
        <w:rPr>
          <w:rFonts w:eastAsia="Times New Roman"/>
          <w:color w:val="000000"/>
          <w:sz w:val="20"/>
          <w:szCs w:val="20"/>
          <w:shd w:val="clear" w:color="auto" w:fill="FFFFFF"/>
        </w:rPr>
        <w:t>201</w:t>
      </w:r>
      <w:r>
        <w:rPr>
          <w:rFonts w:eastAsia="Times New Roman"/>
          <w:color w:val="000000"/>
          <w:sz w:val="20"/>
          <w:szCs w:val="20"/>
          <w:shd w:val="clear" w:color="auto" w:fill="FFFFFF"/>
        </w:rPr>
        <w:t>9</w:t>
      </w:r>
      <w:r>
        <w:rPr>
          <w:rFonts w:eastAsia="Times New Roman"/>
          <w:color w:val="000000"/>
          <w:sz w:val="20"/>
          <w:szCs w:val="20"/>
        </w:rPr>
        <w:t xml:space="preserve">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3995"/>
        <w:gridCol w:w="50"/>
        <w:gridCol w:w="36"/>
        <w:gridCol w:w="36"/>
        <w:gridCol w:w="36"/>
        <w:gridCol w:w="115"/>
        <w:gridCol w:w="659"/>
        <w:gridCol w:w="75"/>
        <w:gridCol w:w="36"/>
        <w:gridCol w:w="36"/>
        <w:gridCol w:w="36"/>
        <w:gridCol w:w="115"/>
        <w:gridCol w:w="649"/>
        <w:gridCol w:w="75"/>
        <w:gridCol w:w="36"/>
        <w:gridCol w:w="36"/>
        <w:gridCol w:w="36"/>
        <w:gridCol w:w="115"/>
        <w:gridCol w:w="639"/>
        <w:gridCol w:w="75"/>
        <w:gridCol w:w="36"/>
        <w:gridCol w:w="36"/>
        <w:gridCol w:w="36"/>
        <w:gridCol w:w="115"/>
        <w:gridCol w:w="640"/>
        <w:gridCol w:w="75"/>
        <w:gridCol w:w="36"/>
        <w:gridCol w:w="36"/>
        <w:gridCol w:w="36"/>
        <w:gridCol w:w="36"/>
        <w:gridCol w:w="36"/>
        <w:gridCol w:w="36"/>
        <w:gridCol w:w="36"/>
        <w:gridCol w:w="36"/>
        <w:gridCol w:w="36"/>
        <w:gridCol w:w="36"/>
        <w:gridCol w:w="36"/>
        <w:gridCol w:w="36"/>
      </w:tblGrid>
      <w:tr w:rsidR="00000000">
        <w:trPr>
          <w:gridAfter w:val="12"/>
          <w:divId w:val="1377119758"/>
        </w:trPr>
        <w:tc>
          <w:tcPr>
            <w:tcW w:w="50" w:type="pct"/>
            <w:vAlign w:val="center"/>
            <w:hideMark/>
          </w:tcPr>
          <w:p w:rsidR="00000000" w:rsidRDefault="004D26FD">
            <w:pPr>
              <w:ind w:firstLine="360"/>
              <w:jc w:val="both"/>
              <w:rPr>
                <w:rFonts w:eastAsia="Times New Roman"/>
              </w:rPr>
            </w:pPr>
          </w:p>
        </w:tc>
        <w:tc>
          <w:tcPr>
            <w:tcW w:w="255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4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4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4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37711975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377119758"/>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37711975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Revenue</w:t>
            </w:r>
            <w:r>
              <w:rPr>
                <w:rFonts w:eastAsia="Times New Roman"/>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1,020.6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4,785.0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4,784.8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9,037.7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1,197.6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2,663.0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3,303.6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5,156.6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2,011.4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3,085.2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3,943.9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3,158.3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9,459.4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11,173.5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18,138.2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Height w:val="30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Gross profit</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140.5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254.8</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96.6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213.9</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268.6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472.6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519.7</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Height w:val="30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Income from operations</w:t>
            </w:r>
            <w:r>
              <w:rPr>
                <w:rFonts w:eastAsia="Times New Roman"/>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73.5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129.1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95.4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120.6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Corporate overhead - unallocate</w:t>
            </w:r>
            <w:r>
              <w:rPr>
                <w:rFonts w:eastAsia="Times New Roman"/>
                <w:color w:val="000000"/>
                <w:sz w:val="16"/>
                <w:szCs w:val="16"/>
              </w:rPr>
              <w:t>d</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82.7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145.6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377119758"/>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divId w:val="1521166695"/>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Information concerning our accounts receivable, net and total assets by segment is as follows as of June 30, 2020 and</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xml:space="preserve">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7"/>
        <w:gridCol w:w="5245"/>
        <w:gridCol w:w="57"/>
        <w:gridCol w:w="36"/>
        <w:gridCol w:w="36"/>
        <w:gridCol w:w="36"/>
        <w:gridCol w:w="115"/>
        <w:gridCol w:w="1067"/>
        <w:gridCol w:w="75"/>
        <w:gridCol w:w="36"/>
        <w:gridCol w:w="36"/>
        <w:gridCol w:w="36"/>
        <w:gridCol w:w="116"/>
        <w:gridCol w:w="1054"/>
        <w:gridCol w:w="75"/>
        <w:gridCol w:w="36"/>
        <w:gridCol w:w="36"/>
        <w:gridCol w:w="36"/>
        <w:gridCol w:w="36"/>
        <w:gridCol w:w="36"/>
        <w:gridCol w:w="36"/>
      </w:tblGrid>
      <w:tr w:rsidR="00000000">
        <w:trPr>
          <w:gridAfter w:val="6"/>
          <w:divId w:val="1498039640"/>
        </w:trPr>
        <w:tc>
          <w:tcPr>
            <w:tcW w:w="50" w:type="pct"/>
            <w:vAlign w:val="center"/>
            <w:hideMark/>
          </w:tcPr>
          <w:p w:rsidR="00000000" w:rsidRDefault="004D26FD">
            <w:pPr>
              <w:ind w:firstLine="360"/>
              <w:jc w:val="both"/>
              <w:rPr>
                <w:rFonts w:eastAsia="Times New Roman"/>
              </w:rPr>
            </w:pPr>
          </w:p>
        </w:tc>
        <w:tc>
          <w:tcPr>
            <w:tcW w:w="326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498039640"/>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498039640"/>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December 3</w:t>
            </w:r>
            <w:r>
              <w:rPr>
                <w:rFonts w:eastAsia="Times New Roman"/>
                <w:b/>
                <w:bCs/>
                <w:color w:val="000000"/>
                <w:sz w:val="16"/>
                <w:szCs w:val="16"/>
              </w:rPr>
              <w:t>1</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Accounts receivable, net</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FFFFFF"/>
            <w:tcMar>
              <w:top w:w="30" w:type="dxa"/>
              <w:left w:w="20" w:type="dxa"/>
              <w:bottom w:w="30" w:type="dxa"/>
              <w:right w:w="20" w:type="dxa"/>
            </w:tcMar>
            <w:vAlign w:val="bottom"/>
            <w:hideMark/>
          </w:tcPr>
          <w:p w:rsidR="00000000" w:rsidRDefault="004D26FD">
            <w:pPr>
              <w:divId w:val="1770005418"/>
              <w:rPr>
                <w:rFonts w:eastAsia="Times New Roman"/>
              </w:rPr>
            </w:pPr>
            <w:r>
              <w:rPr>
                <w:rFonts w:eastAsia="Times New Roman"/>
                <w:color w:val="000000"/>
                <w:sz w:val="16"/>
                <w:szCs w:val="16"/>
              </w:rPr>
              <w:t>Aviation segment, net of allowance for credit losses of $33.0 and $14.6 as of June 30, 2020 and December 31, 2019, respectivel</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412.6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1,098.2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CCEEFF"/>
            <w:tcMar>
              <w:top w:w="30" w:type="dxa"/>
              <w:left w:w="20" w:type="dxa"/>
              <w:bottom w:w="30" w:type="dxa"/>
              <w:right w:w="20" w:type="dxa"/>
            </w:tcMar>
            <w:vAlign w:val="bottom"/>
            <w:hideMark/>
          </w:tcPr>
          <w:p w:rsidR="00000000" w:rsidRDefault="004D26FD">
            <w:pPr>
              <w:divId w:val="817574273"/>
              <w:rPr>
                <w:rFonts w:eastAsia="Times New Roman"/>
              </w:rPr>
            </w:pPr>
            <w:r>
              <w:rPr>
                <w:rFonts w:eastAsia="Times New Roman"/>
                <w:color w:val="000000"/>
                <w:sz w:val="16"/>
                <w:szCs w:val="16"/>
              </w:rPr>
              <w:t>Land segment, net of allowance for credit losses of $8.3 and $2.8 as of June 30, 2020 and December 31, 2019, respectivel</w:t>
            </w:r>
            <w:r>
              <w:rPr>
                <w:rFonts w:eastAsia="Times New Roman"/>
                <w:color w:val="000000"/>
                <w:sz w:val="16"/>
                <w:szCs w:val="16"/>
              </w:rPr>
              <w:t>y</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863.2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FFFFFF"/>
            <w:tcMar>
              <w:top w:w="30" w:type="dxa"/>
              <w:left w:w="20" w:type="dxa"/>
              <w:bottom w:w="30" w:type="dxa"/>
              <w:right w:w="20" w:type="dxa"/>
            </w:tcMar>
            <w:vAlign w:val="bottom"/>
            <w:hideMark/>
          </w:tcPr>
          <w:p w:rsidR="00000000" w:rsidRDefault="004D26FD">
            <w:pPr>
              <w:divId w:val="1182359702"/>
              <w:rPr>
                <w:rFonts w:eastAsia="Times New Roman"/>
              </w:rPr>
            </w:pPr>
            <w:r>
              <w:rPr>
                <w:rFonts w:eastAsia="Times New Roman"/>
                <w:color w:val="000000"/>
                <w:sz w:val="16"/>
                <w:szCs w:val="16"/>
              </w:rPr>
              <w:t>Marine segment, net of allowance for credit losses of $4.3 and $18.0 as of June 30, 2020 and December 31, 2019, respectivel</w:t>
            </w:r>
            <w:r>
              <w:rPr>
                <w:rFonts w:eastAsia="Times New Roman"/>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412.5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930.5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1,415.9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2,891.9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tcBorders>
              <w:top w:val="double" w:sz="6" w:space="0" w:color="000000"/>
            </w:tcBorders>
            <w:shd w:val="clear" w:color="auto" w:fill="FFFFFF"/>
            <w:tcMar>
              <w:top w:w="30" w:type="dxa"/>
              <w:left w:w="20" w:type="dxa"/>
              <w:bottom w:w="30" w:type="dxa"/>
              <w:right w:w="20" w:type="dxa"/>
            </w:tcMar>
            <w:vAlign w:val="center"/>
            <w:hideMark/>
          </w:tcPr>
          <w:p w:rsidR="00000000" w:rsidRDefault="004D26FD">
            <w:pPr>
              <w:rPr>
                <w:rFonts w:eastAsia="Times New Roman"/>
              </w:rPr>
            </w:pPr>
            <w:r>
              <w:rPr>
                <w:rFonts w:eastAsia="Times New Roman"/>
                <w:color w:val="000000"/>
                <w:sz w:val="16"/>
                <w:szCs w:val="16"/>
              </w:rPr>
              <w:t>Total assets</w:t>
            </w:r>
            <w:r>
              <w:rPr>
                <w:rFonts w:eastAsia="Times New Roman"/>
                <w:color w:val="000000"/>
                <w:sz w:val="16"/>
                <w:szCs w:val="16"/>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1,817.4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2,416.5</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1,881.6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2,089.4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812.6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1,189.7</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Corporat</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369.3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296.8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498039640"/>
        </w:trPr>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4,881.0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5,992.4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jc w:val="center"/>
        <w:divId w:val="1258782600"/>
        <w:rPr>
          <w:rFonts w:eastAsia="Times New Roman"/>
        </w:rPr>
      </w:pPr>
      <w:r>
        <w:rPr>
          <w:rFonts w:eastAsia="Times New Roman"/>
          <w:color w:val="000000"/>
          <w:sz w:val="20"/>
          <w:szCs w:val="20"/>
        </w:rPr>
        <w:t>2</w:t>
      </w:r>
      <w:r>
        <w:rPr>
          <w:rFonts w:eastAsia="Times New Roman"/>
          <w:color w:val="000000"/>
          <w:sz w:val="20"/>
          <w:szCs w:val="20"/>
        </w:rPr>
        <w:t>1</w:t>
      </w:r>
    </w:p>
    <w:p w:rsidR="00000000" w:rsidRDefault="004D26FD">
      <w:pPr>
        <w:rPr>
          <w:rFonts w:eastAsia="Times New Roman"/>
        </w:rPr>
      </w:pPr>
      <w:r>
        <w:rPr>
          <w:rFonts w:eastAsia="Times New Roman"/>
        </w:rPr>
        <w:pict>
          <v:rect id="_x0000_i1049" style="width:0;height:1.5pt" o:hralign="center" o:hrstd="t" o:hr="t" fillcolor="#a0a0a0" stroked="f"/>
        </w:pict>
      </w:r>
    </w:p>
    <w:p w:rsidR="00000000" w:rsidRDefault="004D26FD">
      <w:pPr>
        <w:divId w:val="610942025"/>
        <w:rPr>
          <w:rFonts w:eastAsia="Times New Roman"/>
        </w:rPr>
      </w:pPr>
    </w:p>
    <w:p w:rsidR="00000000" w:rsidRDefault="004D26FD">
      <w:pPr>
        <w:ind w:firstLine="720"/>
        <w:jc w:val="both"/>
        <w:rPr>
          <w:rFonts w:eastAsia="Times New Roman"/>
        </w:rPr>
      </w:pPr>
    </w:p>
    <w:p w:rsidR="00000000" w:rsidRDefault="004D26FD">
      <w:pPr>
        <w:jc w:val="both"/>
        <w:rPr>
          <w:rFonts w:eastAsia="Times New Roman"/>
        </w:rPr>
      </w:pPr>
      <w:r>
        <w:rPr>
          <w:rFonts w:eastAsia="Times New Roman"/>
          <w:color w:val="000000"/>
          <w:sz w:val="20"/>
          <w:szCs w:val="20"/>
        </w:rPr>
        <w:t>        During each of the periods presented on the Consolidated Statements of Income and Comprehensive Income, none of our customers accounted for more than 10% of total consolidated revenue. Sales to government cus</w:t>
      </w:r>
      <w:r>
        <w:rPr>
          <w:rFonts w:eastAsia="Times New Roman"/>
          <w:color w:val="000000"/>
          <w:sz w:val="20"/>
          <w:szCs w:val="20"/>
        </w:rPr>
        <w:t xml:space="preserve">tomers, which principally consist of sales to NATO in support of military operations in Afghanistan, have accounted for a material portion of our profitability in recent years. The profitability associated with our government business can be significantly </w:t>
      </w:r>
      <w:r>
        <w:rPr>
          <w:rFonts w:eastAsia="Times New Roman"/>
          <w:color w:val="000000"/>
          <w:sz w:val="20"/>
          <w:szCs w:val="20"/>
        </w:rPr>
        <w:t>impacted by supply disruptions, border closures, road blockages, hostility-related product losses, inventory shortages and other logistical difficulties that can arise when sourcing and delivering fuel in areas that are actively engaged in war or other mil</w:t>
      </w:r>
      <w:r>
        <w:rPr>
          <w:rFonts w:eastAsia="Times New Roman"/>
          <w:color w:val="000000"/>
          <w:sz w:val="20"/>
          <w:szCs w:val="20"/>
        </w:rPr>
        <w:t>itary conflicts. Our sales to government customers may fluctuate significantly from time to time as a result of the foregoing factors, as well as the level of troop deployments and related activity in a particular region or area or the commencement, extens</w:t>
      </w:r>
      <w:r>
        <w:rPr>
          <w:rFonts w:eastAsia="Times New Roman"/>
          <w:color w:val="000000"/>
          <w:sz w:val="20"/>
          <w:szCs w:val="20"/>
        </w:rPr>
        <w:t>ion, renewal or completion of existing and new government contracts. See Item 1A. Risk Factors of our 2019 10-K Report for more information</w:t>
      </w:r>
      <w:r>
        <w:rPr>
          <w:rFonts w:eastAsia="Times New Roman"/>
          <w:color w:val="000000"/>
          <w:sz w:val="20"/>
          <w:szCs w:val="20"/>
        </w:rPr>
        <w:t>.</w:t>
      </w:r>
    </w:p>
    <w:p w:rsidR="00000000" w:rsidRDefault="004D26FD">
      <w:pPr>
        <w:jc w:val="both"/>
        <w:rPr>
          <w:rFonts w:eastAsia="Times New Roman"/>
        </w:rPr>
      </w:pPr>
    </w:p>
    <w:p w:rsidR="00000000" w:rsidRDefault="004D26FD">
      <w:pPr>
        <w:ind w:firstLine="720"/>
        <w:jc w:val="both"/>
        <w:rPr>
          <w:rFonts w:eastAsia="Times New Roman"/>
        </w:rPr>
      </w:pPr>
    </w:p>
    <w:p w:rsidR="00000000" w:rsidRDefault="004D26FD">
      <w:pPr>
        <w:divId w:val="1809008486"/>
        <w:rPr>
          <w:rFonts w:eastAsia="Times New Roman"/>
        </w:rPr>
      </w:pPr>
      <w:r>
        <w:rPr>
          <w:rFonts w:eastAsia="Times New Roman"/>
          <w:b/>
          <w:bCs/>
          <w:color w:val="000000"/>
          <w:sz w:val="20"/>
          <w:szCs w:val="20"/>
        </w:rPr>
        <w:t>11. Earnings per Common Shar</w:t>
      </w:r>
      <w:r>
        <w:rPr>
          <w:rFonts w:eastAsia="Times New Roman"/>
          <w:b/>
          <w:bCs/>
          <w:color w:val="000000"/>
          <w:sz w:val="20"/>
          <w:szCs w:val="20"/>
        </w:rPr>
        <w:t>e</w:t>
      </w:r>
    </w:p>
    <w:p w:rsidR="00000000" w:rsidRDefault="004D26FD">
      <w:pPr>
        <w:ind w:firstLine="720"/>
        <w:divId w:val="986587278"/>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The following table sets forth the computation of basic and diluted earnings pe</w:t>
      </w:r>
      <w:r>
        <w:rPr>
          <w:rFonts w:eastAsia="Times New Roman"/>
          <w:color w:val="000000"/>
          <w:sz w:val="20"/>
          <w:szCs w:val="20"/>
        </w:rPr>
        <w:t>r common share for the periods presented (in millions, except per share amounts)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3766"/>
        <w:gridCol w:w="50"/>
        <w:gridCol w:w="36"/>
        <w:gridCol w:w="36"/>
        <w:gridCol w:w="36"/>
        <w:gridCol w:w="115"/>
        <w:gridCol w:w="715"/>
        <w:gridCol w:w="75"/>
        <w:gridCol w:w="36"/>
        <w:gridCol w:w="36"/>
        <w:gridCol w:w="36"/>
        <w:gridCol w:w="115"/>
        <w:gridCol w:w="707"/>
        <w:gridCol w:w="75"/>
        <w:gridCol w:w="36"/>
        <w:gridCol w:w="36"/>
        <w:gridCol w:w="36"/>
        <w:gridCol w:w="115"/>
        <w:gridCol w:w="696"/>
        <w:gridCol w:w="75"/>
        <w:gridCol w:w="36"/>
        <w:gridCol w:w="36"/>
        <w:gridCol w:w="36"/>
        <w:gridCol w:w="115"/>
        <w:gridCol w:w="698"/>
        <w:gridCol w:w="75"/>
        <w:gridCol w:w="36"/>
        <w:gridCol w:w="36"/>
        <w:gridCol w:w="36"/>
        <w:gridCol w:w="36"/>
        <w:gridCol w:w="36"/>
        <w:gridCol w:w="36"/>
        <w:gridCol w:w="36"/>
        <w:gridCol w:w="36"/>
        <w:gridCol w:w="36"/>
        <w:gridCol w:w="36"/>
        <w:gridCol w:w="36"/>
        <w:gridCol w:w="36"/>
      </w:tblGrid>
      <w:tr w:rsidR="00000000">
        <w:trPr>
          <w:gridAfter w:val="12"/>
          <w:divId w:val="177084039"/>
        </w:trPr>
        <w:tc>
          <w:tcPr>
            <w:tcW w:w="50" w:type="pct"/>
            <w:vAlign w:val="center"/>
            <w:hideMark/>
          </w:tcPr>
          <w:p w:rsidR="00000000" w:rsidRDefault="004D26FD">
            <w:pPr>
              <w:ind w:firstLine="360"/>
              <w:jc w:val="both"/>
              <w:rPr>
                <w:rFonts w:eastAsia="Times New Roman"/>
              </w:rPr>
            </w:pPr>
          </w:p>
        </w:tc>
        <w:tc>
          <w:tcPr>
            <w:tcW w:w="240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9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77084039"/>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77084039"/>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177084039"/>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Numerator</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income attributable to World Fue</w:t>
            </w:r>
            <w:r>
              <w:rPr>
                <w:rFonts w:eastAsia="Times New Roman"/>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74.2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Denominator</w:t>
            </w:r>
            <w:r>
              <w:rPr>
                <w:rFonts w:eastAsia="Times New Roman"/>
                <w:color w:val="000000"/>
                <w:sz w:val="16"/>
                <w:szCs w:val="16"/>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Weighted average common shares for basic earnings per common shar</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66.9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Effect of dilutive securitie</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tcBorders>
              <w:top w:val="single" w:sz="8" w:space="0" w:color="000000"/>
            </w:tcBorders>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Weighted average common shares for diluted earnings per common shar</w:t>
            </w:r>
            <w:r>
              <w:rPr>
                <w:rFonts w:eastAsia="Times New Roman"/>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67.0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67.2</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Height w:val="30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Weighted average securities which are not included in the calculation of diluted earnings per common share because their impact is anti-dilutive or their performance conditions have not been me</w:t>
            </w:r>
            <w:r>
              <w:rPr>
                <w:rFonts w:eastAsia="Times New Roman"/>
                <w:color w:val="000000"/>
                <w:sz w:val="16"/>
                <w:szCs w:val="16"/>
              </w:rPr>
              <w:t>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2.8</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Height w:val="24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Basic earnings per common shar</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(0.16</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Height w:val="240"/>
        </w:trPr>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77084039"/>
        </w:trPr>
        <w:tc>
          <w:tcPr>
            <w:tcW w:w="0" w:type="auto"/>
            <w:gridSpan w:val="3"/>
            <w:tcBorders>
              <w:bottom w:val="double" w:sz="6" w:space="0" w:color="000000"/>
            </w:tcBorders>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Diluted earnings per common shar</w:t>
            </w:r>
            <w:r>
              <w:rPr>
                <w:rFonts w:eastAsia="Times New Roman"/>
                <w:color w:val="000000"/>
                <w:sz w:val="16"/>
                <w:szCs w:val="16"/>
              </w:rPr>
              <w:t>e</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(0.16</w:t>
            </w: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0.55</w:t>
            </w:r>
            <w:r>
              <w:rPr>
                <w:rFonts w:eastAsia="Times New Roman"/>
                <w:color w:val="000000"/>
                <w:sz w:val="16"/>
                <w:szCs w:val="16"/>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0.48</w:t>
            </w:r>
            <w:r>
              <w:rPr>
                <w:rFonts w:eastAsia="Times New Roman"/>
                <w:color w:val="000000"/>
                <w:sz w:val="16"/>
                <w:szCs w:val="16"/>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1.10</w:t>
            </w:r>
            <w:r>
              <w:rPr>
                <w:rFonts w:eastAsia="Times New Roman"/>
                <w:color w:val="000000"/>
                <w:sz w:val="16"/>
                <w:szCs w:val="16"/>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divId w:val="1427993005"/>
        <w:rPr>
          <w:rFonts w:eastAsia="Times New Roman"/>
        </w:rPr>
      </w:pPr>
      <w:r>
        <w:rPr>
          <w:rFonts w:eastAsia="Times New Roman"/>
          <w:b/>
          <w:bCs/>
          <w:color w:val="000000"/>
          <w:sz w:val="20"/>
          <w:szCs w:val="20"/>
        </w:rPr>
        <w:t>12. Commitments and Contingencie</w:t>
      </w:r>
      <w:r>
        <w:rPr>
          <w:rFonts w:eastAsia="Times New Roman"/>
          <w:b/>
          <w:bCs/>
          <w:color w:val="000000"/>
          <w:sz w:val="20"/>
          <w:szCs w:val="20"/>
        </w:rPr>
        <w:t>s</w:t>
      </w:r>
    </w:p>
    <w:p w:rsidR="00000000" w:rsidRDefault="004D26FD">
      <w:pPr>
        <w:ind w:firstLine="720"/>
        <w:divId w:val="797379758"/>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b/>
          <w:bCs/>
          <w:color w:val="000000"/>
          <w:sz w:val="20"/>
          <w:szCs w:val="20"/>
        </w:rPr>
        <w:t>Tax Matter</w:t>
      </w:r>
      <w:r>
        <w:rPr>
          <w:rFonts w:eastAsia="Times New Roman"/>
          <w:b/>
          <w:bCs/>
          <w:color w:val="000000"/>
          <w:sz w:val="20"/>
          <w:szCs w:val="20"/>
        </w:rPr>
        <w:t>s</w:t>
      </w:r>
    </w:p>
    <w:p w:rsidR="00000000" w:rsidRDefault="004D26FD">
      <w:pPr>
        <w:ind w:firstLine="1080"/>
        <w:jc w:val="both"/>
        <w:rPr>
          <w:rFonts w:eastAsia="Times New Roman"/>
        </w:rPr>
      </w:pPr>
      <w:r>
        <w:rPr>
          <w:rFonts w:eastAsia="Times New Roman"/>
          <w:color w:val="000000"/>
          <w:sz w:val="20"/>
          <w:szCs w:val="20"/>
        </w:rPr>
        <w:t> </w:t>
      </w:r>
    </w:p>
    <w:p w:rsidR="00000000" w:rsidRDefault="004D26FD">
      <w:pPr>
        <w:jc w:val="both"/>
        <w:divId w:val="2015449003"/>
        <w:rPr>
          <w:rFonts w:eastAsia="Times New Roman"/>
        </w:rPr>
      </w:pPr>
      <w:r>
        <w:rPr>
          <w:rFonts w:eastAsia="Times New Roman"/>
          <w:color w:val="000000"/>
          <w:sz w:val="20"/>
          <w:szCs w:val="20"/>
        </w:rPr>
        <w:t>        From time to time, we are under review by various domestic and foreign tax authorities with regard to indirect tax matters and are involved in various challenges and lit</w:t>
      </w:r>
      <w:r>
        <w:rPr>
          <w:rFonts w:eastAsia="Times New Roman"/>
          <w:color w:val="000000"/>
          <w:sz w:val="20"/>
          <w:szCs w:val="20"/>
        </w:rPr>
        <w:t>igation in a number of countries, including, in particular, Brazil and South Korea, where the amounts under controversy may be material. We believe that these assessments are without merit and are currently appealing the actions</w:t>
      </w:r>
      <w:r>
        <w:rPr>
          <w:rFonts w:eastAsia="Times New Roman"/>
          <w:color w:val="000000"/>
          <w:sz w:val="20"/>
          <w:szCs w:val="20"/>
        </w:rPr>
        <w:t>.</w:t>
      </w:r>
    </w:p>
    <w:p w:rsidR="00000000" w:rsidRDefault="004D26FD">
      <w:pPr>
        <w:ind w:firstLine="360"/>
        <w:jc w:val="both"/>
        <w:divId w:val="1777674141"/>
        <w:rPr>
          <w:rFonts w:eastAsia="Times New Roman"/>
        </w:rPr>
      </w:pPr>
      <w:r>
        <w:rPr>
          <w:rFonts w:eastAsia="Times New Roman"/>
          <w:color w:val="000000"/>
          <w:sz w:val="20"/>
          <w:szCs w:val="20"/>
        </w:rPr>
        <w:t>During the quarter ended December 31, 2016, the Korean branch of one of our subsidiaries received assessments of approximately $9.4 million (KRW 11.3 billion) and during the quarter ended June 30, 2017, an assessment for an additional $16.8 million (KRW 20</w:t>
      </w:r>
      <w:r>
        <w:rPr>
          <w:rFonts w:eastAsia="Times New Roman"/>
          <w:color w:val="000000"/>
          <w:sz w:val="20"/>
          <w:szCs w:val="20"/>
        </w:rPr>
        <w:t>.1 billion) from the regional tax authorities of Seoul, South Korea. The assessments primarily consist of fines and penalties for allegedly failing to issue Value Added Tax ("VAT") invoices and report certain transactions during the period 2011-2014. These</w:t>
      </w:r>
      <w:r>
        <w:rPr>
          <w:rFonts w:eastAsia="Times New Roman"/>
          <w:color w:val="000000"/>
          <w:sz w:val="20"/>
          <w:szCs w:val="20"/>
        </w:rPr>
        <w:t xml:space="preserve"> assessments do not involve failure to pay or collect VAT. We believe that these assessments are without merit and are currently appealing the actions.</w:t>
      </w:r>
      <w:r>
        <w:rPr>
          <w:rFonts w:eastAsia="Times New Roman"/>
          <w:color w:val="000000"/>
          <w:sz w:val="20"/>
          <w:szCs w:val="20"/>
        </w:rPr>
        <w:t xml:space="preserve"> </w:t>
      </w:r>
    </w:p>
    <w:p w:rsidR="00000000" w:rsidRDefault="004D26FD">
      <w:pPr>
        <w:ind w:firstLine="360"/>
        <w:jc w:val="both"/>
        <w:divId w:val="988943781"/>
        <w:rPr>
          <w:rFonts w:eastAsia="Times New Roman"/>
        </w:rPr>
      </w:pPr>
      <w:r>
        <w:rPr>
          <w:rFonts w:eastAsia="Times New Roman"/>
          <w:color w:val="000000"/>
          <w:sz w:val="20"/>
          <w:szCs w:val="20"/>
        </w:rPr>
        <w:t>We are also involved in a number of tax disputes with federal, state and municipal tax authorities in B</w:t>
      </w:r>
      <w:r>
        <w:rPr>
          <w:rFonts w:eastAsia="Times New Roman"/>
          <w:color w:val="000000"/>
          <w:sz w:val="20"/>
          <w:szCs w:val="20"/>
        </w:rPr>
        <w:t>razil, relating primarily to a VAT tax known as ICMS. These disputes are at various stages of the legal process, including the administrative review phase and the collection action phase, and include assessments of fixed amounts of principal and penalties,</w:t>
      </w:r>
      <w:r>
        <w:rPr>
          <w:rFonts w:eastAsia="Times New Roman"/>
          <w:color w:val="000000"/>
          <w:sz w:val="20"/>
          <w:szCs w:val="20"/>
        </w:rPr>
        <w:t xml:space="preserve"> plus interest. One of our Brazilian subsidiaries is currently appealing an assessment of approximately $9.0 million (BRL 49.1 million) from the Brazilian tax authorities relating to the ICMS rate used for certain transactions.  The assessment primarily co</w:t>
      </w:r>
      <w:r>
        <w:rPr>
          <w:rFonts w:eastAsia="Times New Roman"/>
          <w:color w:val="000000"/>
          <w:sz w:val="20"/>
          <w:szCs w:val="20"/>
        </w:rPr>
        <w:t>nsists of</w:t>
      </w:r>
      <w:r>
        <w:rPr>
          <w:rFonts w:eastAsia="Times New Roman"/>
          <w:color w:val="000000"/>
          <w:sz w:val="20"/>
          <w:szCs w:val="20"/>
        </w:rPr>
        <w:t xml:space="preserve"> </w:t>
      </w:r>
    </w:p>
    <w:p w:rsidR="00000000" w:rsidRDefault="004D26FD">
      <w:pPr>
        <w:jc w:val="center"/>
        <w:divId w:val="1969779153"/>
        <w:rPr>
          <w:rFonts w:eastAsia="Times New Roman"/>
        </w:rPr>
      </w:pPr>
      <w:r>
        <w:rPr>
          <w:rFonts w:eastAsia="Times New Roman"/>
          <w:color w:val="000000"/>
          <w:sz w:val="20"/>
          <w:szCs w:val="20"/>
        </w:rPr>
        <w:t>2</w:t>
      </w:r>
      <w:r>
        <w:rPr>
          <w:rFonts w:eastAsia="Times New Roman"/>
          <w:color w:val="000000"/>
          <w:sz w:val="20"/>
          <w:szCs w:val="20"/>
        </w:rPr>
        <w:t>2</w:t>
      </w:r>
    </w:p>
    <w:p w:rsidR="00000000" w:rsidRDefault="004D26FD">
      <w:pPr>
        <w:rPr>
          <w:rFonts w:eastAsia="Times New Roman"/>
        </w:rPr>
      </w:pPr>
      <w:r>
        <w:rPr>
          <w:rFonts w:eastAsia="Times New Roman"/>
        </w:rPr>
        <w:pict>
          <v:rect id="_x0000_i1050" style="width:0;height:1.5pt" o:hralign="center" o:hrstd="t" o:hr="t" fillcolor="#a0a0a0" stroked="f"/>
        </w:pict>
      </w:r>
    </w:p>
    <w:p w:rsidR="00000000" w:rsidRDefault="004D26FD">
      <w:pPr>
        <w:divId w:val="1603488806"/>
        <w:rPr>
          <w:rFonts w:eastAsia="Times New Roman"/>
        </w:rPr>
      </w:pPr>
    </w:p>
    <w:p w:rsidR="00000000" w:rsidRDefault="004D26FD">
      <w:pPr>
        <w:jc w:val="both"/>
        <w:divId w:val="1196121584"/>
        <w:rPr>
          <w:rFonts w:eastAsia="Times New Roman"/>
        </w:rPr>
      </w:pPr>
      <w:r>
        <w:rPr>
          <w:rFonts w:eastAsia="Times New Roman"/>
          <w:color w:val="000000"/>
          <w:sz w:val="20"/>
          <w:szCs w:val="20"/>
        </w:rPr>
        <w:t>interest and penalties.  We believe that the assessment is without merit and are pursuing our remedies in the judicial court system</w:t>
      </w:r>
      <w:r>
        <w:rPr>
          <w:rFonts w:eastAsia="Times New Roman"/>
          <w:color w:val="000000"/>
          <w:sz w:val="20"/>
          <w:szCs w:val="20"/>
        </w:rPr>
        <w:t>.</w:t>
      </w:r>
    </w:p>
    <w:p w:rsidR="00000000" w:rsidRDefault="004D26FD">
      <w:pPr>
        <w:jc w:val="both"/>
        <w:rPr>
          <w:rFonts w:eastAsia="Times New Roman"/>
        </w:rPr>
      </w:pPr>
      <w:r>
        <w:rPr>
          <w:rFonts w:eastAsia="Times New Roman"/>
          <w:color w:val="000000"/>
          <w:sz w:val="20"/>
          <w:szCs w:val="20"/>
        </w:rPr>
        <w:t>        When we deem it appropriate and the amounts are reasonably esti</w:t>
      </w:r>
      <w:r>
        <w:rPr>
          <w:rFonts w:eastAsia="Times New Roman"/>
          <w:color w:val="000000"/>
          <w:sz w:val="20"/>
          <w:szCs w:val="20"/>
        </w:rPr>
        <w:t>mable, we establish reserves for potential adjustments to our provision for the accrual of indirect taxes that may result from examinations or other actions by tax authorities. If events occur which indicate payment of these amounts is unnecessary, the rev</w:t>
      </w:r>
      <w:r>
        <w:rPr>
          <w:rFonts w:eastAsia="Times New Roman"/>
          <w:color w:val="000000"/>
          <w:sz w:val="20"/>
          <w:szCs w:val="20"/>
        </w:rPr>
        <w:t>ersal of the liabilities will result in the recognition of benefits in the period we determine the liabilities are no longer necessary. If our estimates of any of our federal, state, and foreign indirect tax liabilities are less than the ultimate assessmen</w:t>
      </w:r>
      <w:r>
        <w:rPr>
          <w:rFonts w:eastAsia="Times New Roman"/>
          <w:color w:val="000000"/>
          <w:sz w:val="20"/>
          <w:szCs w:val="20"/>
        </w:rPr>
        <w:t xml:space="preserve">t, it could result in a further charge to expense. Except with respect to the matters described above, we believe that the final outcome of any pending examinations, agreements, administrative or judicial proceedings will not have a material effect on our </w:t>
      </w:r>
      <w:r>
        <w:rPr>
          <w:rFonts w:eastAsia="Times New Roman"/>
          <w:color w:val="000000"/>
          <w:sz w:val="20"/>
          <w:szCs w:val="20"/>
        </w:rPr>
        <w:t>results of operations or cash flows</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Other Matter</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jc w:val="both"/>
        <w:divId w:val="1729036674"/>
        <w:rPr>
          <w:rFonts w:eastAsia="Times New Roman"/>
        </w:rPr>
      </w:pPr>
      <w:r>
        <w:rPr>
          <w:rFonts w:eastAsia="Times New Roman"/>
          <w:color w:val="000000"/>
          <w:sz w:val="20"/>
          <w:szCs w:val="20"/>
        </w:rPr>
        <w:t>        We are also a party to various claims, complaints and proceedings arising in the ordinary course of our business including, but not limited to, environmental claims, commercial and governmental</w:t>
      </w:r>
      <w:r>
        <w:rPr>
          <w:rFonts w:eastAsia="Times New Roman"/>
          <w:color w:val="000000"/>
          <w:sz w:val="20"/>
          <w:szCs w:val="20"/>
        </w:rPr>
        <w:t xml:space="preserve"> contract claims, such as property damage, demurrage, personal injury, billing and fuel quality claims, as well as bankruptcy preference claims and tax and administrative claims. We have established loss provisions for these ordinary course claims as well </w:t>
      </w:r>
      <w:r>
        <w:rPr>
          <w:rFonts w:eastAsia="Times New Roman"/>
          <w:color w:val="000000"/>
          <w:sz w:val="20"/>
          <w:szCs w:val="20"/>
        </w:rPr>
        <w:t>as other matters in which losses are probable and can be reasonably estimated. As of June 30, 2020, we had recorded certain reserves that were not material. For those matters where a reserve has not been established and for which we believe a loss is reaso</w:t>
      </w:r>
      <w:r>
        <w:rPr>
          <w:rFonts w:eastAsia="Times New Roman"/>
          <w:color w:val="000000"/>
          <w:sz w:val="20"/>
          <w:szCs w:val="20"/>
        </w:rPr>
        <w:t>nably possible, as well as for matters where a reserve has been recorded but for which exposure to loss in excess of the amount accrued is reasonably possible, we believe that such losses will not have a material adverse effect on our Consolidated Financia</w:t>
      </w:r>
      <w:r>
        <w:rPr>
          <w:rFonts w:eastAsia="Times New Roman"/>
          <w:color w:val="000000"/>
          <w:sz w:val="20"/>
          <w:szCs w:val="20"/>
        </w:rPr>
        <w:t>l Statements. However, any adverse resolution of one or more such claims, complaints or proceedings during a particular period could have a material adverse effect on our Consolidated Financial Statements or disclosures for that period.</w:t>
      </w:r>
      <w:r>
        <w:rPr>
          <w:rFonts w:eastAsia="Times New Roman"/>
          <w:color w:val="000000"/>
          <w:sz w:val="20"/>
          <w:szCs w:val="20"/>
        </w:rPr>
        <w:t> </w:t>
      </w:r>
    </w:p>
    <w:p w:rsidR="00000000" w:rsidRDefault="004D26FD">
      <w:pPr>
        <w:jc w:val="both"/>
        <w:divId w:val="1484347800"/>
        <w:rPr>
          <w:rFonts w:eastAsia="Times New Roman"/>
        </w:rPr>
      </w:pPr>
      <w:r>
        <w:rPr>
          <w:rFonts w:eastAsia="Times New Roman"/>
          <w:color w:val="000000"/>
          <w:sz w:val="20"/>
          <w:szCs w:val="20"/>
        </w:rPr>
        <w:t>        Our estima</w:t>
      </w:r>
      <w:r>
        <w:rPr>
          <w:rFonts w:eastAsia="Times New Roman"/>
          <w:color w:val="000000"/>
          <w:sz w:val="20"/>
          <w:szCs w:val="20"/>
        </w:rPr>
        <w:t>tes regarding potential losses and materiality are based on our judgment and assessment of the claims utilizing currently available information. Although we will continue to reassess our reserves and estimates based on future developments, our objective as</w:t>
      </w:r>
      <w:r>
        <w:rPr>
          <w:rFonts w:eastAsia="Times New Roman"/>
          <w:color w:val="000000"/>
          <w:sz w:val="20"/>
          <w:szCs w:val="20"/>
        </w:rPr>
        <w:t>sessment of the legal merits of such claims may not always be predictive of the outcome and actual results may vary from our current estimates</w:t>
      </w:r>
      <w:r>
        <w:rPr>
          <w:rFonts w:eastAsia="Times New Roman"/>
          <w:color w:val="000000"/>
          <w:sz w:val="20"/>
          <w:szCs w:val="20"/>
        </w:rPr>
        <w:t>.</w:t>
      </w:r>
    </w:p>
    <w:p w:rsidR="00000000" w:rsidRDefault="004D26FD">
      <w:pPr>
        <w:jc w:val="both"/>
        <w:rPr>
          <w:rFonts w:eastAsia="Times New Roman"/>
        </w:rPr>
      </w:pPr>
    </w:p>
    <w:p w:rsidR="00000000" w:rsidRDefault="004D26FD">
      <w:pPr>
        <w:jc w:val="both"/>
        <w:divId w:val="764231031"/>
        <w:rPr>
          <w:rFonts w:eastAsia="Times New Roman"/>
        </w:rPr>
      </w:pPr>
      <w:r>
        <w:rPr>
          <w:rFonts w:eastAsia="Times New Roman"/>
          <w:b/>
          <w:bCs/>
          <w:color w:val="000000"/>
          <w:sz w:val="20"/>
          <w:szCs w:val="20"/>
        </w:rPr>
        <w:t>13. Restructurin</w:t>
      </w:r>
      <w:r>
        <w:rPr>
          <w:rFonts w:eastAsia="Times New Roman"/>
          <w:b/>
          <w:bCs/>
          <w:color w:val="000000"/>
          <w:sz w:val="20"/>
          <w:szCs w:val="20"/>
        </w:rPr>
        <w:t>g</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As a result of the continued review of our land business and changes in the overall econom</w:t>
      </w:r>
      <w:r>
        <w:rPr>
          <w:rFonts w:eastAsia="Times New Roman"/>
          <w:color w:val="000000"/>
          <w:sz w:val="20"/>
          <w:szCs w:val="20"/>
        </w:rPr>
        <w:t>ic landscape for all reportable segments as a result of the COVID-19 pandemic, we are implementing a restructuring initiative focused on further streamlining our operations and sharpening our deployment of resources in 2020.  While the company took several</w:t>
      </w:r>
      <w:r>
        <w:rPr>
          <w:rFonts w:eastAsia="Times New Roman"/>
          <w:color w:val="000000"/>
          <w:sz w:val="20"/>
          <w:szCs w:val="20"/>
        </w:rPr>
        <w:t xml:space="preserve"> actions during the second quarter of 2020, we continue to evaluate and define the overall restructuring plan as the full impact of COVID-19 on our business and our customers is unknown</w:t>
      </w:r>
      <w:r>
        <w:rPr>
          <w:rFonts w:eastAsia="Times New Roman"/>
          <w:color w:val="000000"/>
          <w:sz w:val="20"/>
          <w:szCs w:val="20"/>
        </w:rPr>
        <w:t>.</w:t>
      </w:r>
    </w:p>
    <w:p w:rsidR="00000000" w:rsidRDefault="004D26FD">
      <w:pPr>
        <w:divId w:val="234904428"/>
        <w:rPr>
          <w:rFonts w:eastAsia="Times New Roman"/>
        </w:rPr>
      </w:pPr>
    </w:p>
    <w:p w:rsidR="00000000" w:rsidRDefault="004D26FD">
      <w:pPr>
        <w:ind w:firstLine="360"/>
        <w:jc w:val="both"/>
        <w:divId w:val="1340959634"/>
        <w:rPr>
          <w:rFonts w:eastAsia="Times New Roman"/>
        </w:rPr>
      </w:pPr>
      <w:r>
        <w:rPr>
          <w:rFonts w:eastAsia="Times New Roman"/>
          <w:color w:val="000000"/>
          <w:sz w:val="20"/>
          <w:szCs w:val="20"/>
        </w:rPr>
        <w:t>For the six months ended June 30, 2020, we incurred $4.8 million in</w:t>
      </w:r>
      <w:r>
        <w:rPr>
          <w:rFonts w:eastAsia="Times New Roman"/>
          <w:color w:val="000000"/>
          <w:sz w:val="20"/>
          <w:szCs w:val="20"/>
        </w:rPr>
        <w:t xml:space="preserve"> restructuring costs, comprised principally of certain severance costs included in Restructuring charges in our Consolidated Statements of Income and Comprehensive Income. Our accrued restructuring charges as of June 30, 2020 are included in Accrued expens</w:t>
      </w:r>
      <w:r>
        <w:rPr>
          <w:rFonts w:eastAsia="Times New Roman"/>
          <w:color w:val="000000"/>
          <w:sz w:val="20"/>
          <w:szCs w:val="20"/>
        </w:rPr>
        <w:t>es and other current liabilities on our Consolidated Balance Sheet.</w:t>
      </w:r>
      <w:r>
        <w:rPr>
          <w:rFonts w:eastAsia="Times New Roman"/>
          <w:color w:val="000000"/>
          <w:sz w:val="20"/>
          <w:szCs w:val="20"/>
        </w:rPr>
        <w:t xml:space="preserve"> </w:t>
      </w:r>
    </w:p>
    <w:p w:rsidR="00000000" w:rsidRDefault="004D26FD">
      <w:pPr>
        <w:ind w:firstLine="360"/>
        <w:jc w:val="both"/>
        <w:divId w:val="1578974720"/>
        <w:rPr>
          <w:rFonts w:eastAsia="Times New Roman"/>
        </w:rPr>
      </w:pPr>
      <w:r>
        <w:rPr>
          <w:rFonts w:eastAsia="Times New Roman"/>
          <w:color w:val="000000"/>
          <w:sz w:val="20"/>
          <w:szCs w:val="20"/>
        </w:rPr>
        <w:t>The following table provides a summary of our restructuring activities during the six months ended June 30, 2020 (in millions)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3258"/>
        <w:gridCol w:w="69"/>
        <w:gridCol w:w="116"/>
        <w:gridCol w:w="791"/>
        <w:gridCol w:w="75"/>
        <w:gridCol w:w="115"/>
        <w:gridCol w:w="787"/>
        <w:gridCol w:w="75"/>
        <w:gridCol w:w="116"/>
        <w:gridCol w:w="787"/>
        <w:gridCol w:w="75"/>
        <w:gridCol w:w="116"/>
        <w:gridCol w:w="787"/>
        <w:gridCol w:w="75"/>
        <w:gridCol w:w="116"/>
        <w:gridCol w:w="787"/>
        <w:gridCol w:w="80"/>
      </w:tblGrid>
      <w:tr w:rsidR="00000000">
        <w:trPr>
          <w:divId w:val="549267083"/>
          <w:jc w:val="center"/>
        </w:trPr>
        <w:tc>
          <w:tcPr>
            <w:tcW w:w="50" w:type="pct"/>
            <w:vAlign w:val="center"/>
            <w:hideMark/>
          </w:tcPr>
          <w:p w:rsidR="00000000" w:rsidRDefault="004D26FD">
            <w:pPr>
              <w:ind w:firstLine="360"/>
              <w:jc w:val="both"/>
              <w:rPr>
                <w:rFonts w:eastAsia="Times New Roman"/>
              </w:rPr>
            </w:pPr>
          </w:p>
        </w:tc>
        <w:tc>
          <w:tcPr>
            <w:tcW w:w="197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549267083"/>
          <w:jc w:val="center"/>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Aviatio</w:t>
            </w:r>
            <w:r>
              <w:rPr>
                <w:rFonts w:eastAsia="Times New Roman"/>
                <w:b/>
                <w:bCs/>
                <w:color w:val="000000"/>
                <w:sz w:val="16"/>
                <w:szCs w:val="16"/>
              </w:rPr>
              <w:t>n</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Lan</w:t>
            </w:r>
            <w:r>
              <w:rPr>
                <w:rFonts w:eastAsia="Times New Roman"/>
                <w:b/>
                <w:bCs/>
                <w:color w:val="000000"/>
                <w:sz w:val="16"/>
                <w:szCs w:val="16"/>
              </w:rPr>
              <w:t>d</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Marin</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Corporat</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Consolidate</w:t>
            </w:r>
            <w:r>
              <w:rPr>
                <w:rFonts w:eastAsia="Times New Roman"/>
                <w:b/>
                <w:bCs/>
                <w:color w:val="000000"/>
                <w:sz w:val="16"/>
                <w:szCs w:val="16"/>
              </w:rPr>
              <w:t>d</w:t>
            </w:r>
          </w:p>
        </w:tc>
      </w:tr>
      <w:tr w:rsidR="00000000">
        <w:trPr>
          <w:divId w:val="54926708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Balance as of December 31, 201</w:t>
            </w:r>
            <w:r>
              <w:rPr>
                <w:rFonts w:eastAsia="Times New Roman"/>
                <w:color w:val="000000"/>
                <w:sz w:val="16"/>
                <w:szCs w:val="16"/>
              </w:rPr>
              <w:t>9</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0.2</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549267083"/>
          <w:jc w:val="center"/>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Severance cost</w:t>
            </w:r>
            <w:r>
              <w:rPr>
                <w:rFonts w:eastAsia="Times New Roman"/>
                <w:color w:val="000000"/>
                <w:sz w:val="16"/>
                <w:szCs w:val="16"/>
              </w:rPr>
              <w:t>s</w:t>
            </w: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2.7</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0.4</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549267083"/>
          <w:jc w:val="center"/>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Payment</w:t>
            </w:r>
            <w:r>
              <w:rPr>
                <w:rFonts w:eastAsia="Times New Roman"/>
                <w:color w:val="000000"/>
                <w:sz w:val="16"/>
                <w:szCs w:val="16"/>
              </w:rPr>
              <w:t>s</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(6.5</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549267083"/>
          <w:jc w:val="center"/>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Restructuring charges as of June 30, 202</w:t>
            </w:r>
            <w:r>
              <w:rPr>
                <w:rFonts w:eastAsia="Times New Roman"/>
                <w:color w:val="000000"/>
                <w:sz w:val="16"/>
                <w:szCs w:val="16"/>
              </w:rPr>
              <w:t>0</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5.7</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0.7</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0.8</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7.9</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bl>
    <w:p w:rsidR="00000000" w:rsidRDefault="004D26FD">
      <w:pPr>
        <w:ind w:firstLine="360"/>
        <w:jc w:val="both"/>
        <w:rPr>
          <w:rFonts w:eastAsia="Times New Roman"/>
        </w:rPr>
      </w:pPr>
      <w:r>
        <w:rPr>
          <w:rFonts w:eastAsia="Times New Roman"/>
          <w:color w:val="000000"/>
          <w:sz w:val="20"/>
          <w:szCs w:val="20"/>
        </w:rPr>
        <w:t>During the second quarter of 2020, we implemented a cost reduction initiative to rationalize our global office footprint and approved the abandonment of certain office leases, including the transition of select offices to smaller or more cost-effective loc</w:t>
      </w:r>
      <w:r>
        <w:rPr>
          <w:rFonts w:eastAsia="Times New Roman"/>
          <w:color w:val="000000"/>
          <w:sz w:val="20"/>
          <w:szCs w:val="20"/>
        </w:rPr>
        <w:t>ations. These asset groups, consisting mainly of right-of-use assets and leasehold improvements, were tested for impairment. We concluded that the carrying amounts of these asset groups were not recoverable and the fair value determined was concluded to be</w:t>
      </w:r>
      <w:r>
        <w:rPr>
          <w:rFonts w:eastAsia="Times New Roman"/>
          <w:color w:val="000000"/>
          <w:sz w:val="20"/>
          <w:szCs w:val="20"/>
        </w:rPr>
        <w:t xml:space="preserve"> nominal based on a discounted cash flow model. As a result, an $18.6 million impairment charge was recognized and is included within Asset impairments on our Consolidated Statements of Income and Comprehensive Income</w:t>
      </w:r>
      <w:r>
        <w:rPr>
          <w:rFonts w:eastAsia="Times New Roman"/>
          <w:color w:val="000000"/>
          <w:sz w:val="20"/>
          <w:szCs w:val="20"/>
        </w:rPr>
        <w:t>.</w:t>
      </w:r>
    </w:p>
    <w:p w:rsidR="00000000" w:rsidRDefault="004D26FD">
      <w:pPr>
        <w:jc w:val="center"/>
        <w:divId w:val="948007083"/>
        <w:rPr>
          <w:rFonts w:eastAsia="Times New Roman"/>
        </w:rPr>
      </w:pPr>
      <w:r>
        <w:rPr>
          <w:rFonts w:eastAsia="Times New Roman"/>
          <w:color w:val="000000"/>
          <w:sz w:val="20"/>
          <w:szCs w:val="20"/>
        </w:rPr>
        <w:t>2</w:t>
      </w:r>
      <w:r>
        <w:rPr>
          <w:rFonts w:eastAsia="Times New Roman"/>
          <w:color w:val="000000"/>
          <w:sz w:val="20"/>
          <w:szCs w:val="20"/>
        </w:rPr>
        <w:t>3</w:t>
      </w:r>
    </w:p>
    <w:p w:rsidR="00000000" w:rsidRDefault="004D26FD">
      <w:pPr>
        <w:rPr>
          <w:rFonts w:eastAsia="Times New Roman"/>
        </w:rPr>
      </w:pPr>
      <w:r>
        <w:rPr>
          <w:rFonts w:eastAsia="Times New Roman"/>
        </w:rPr>
        <w:pict>
          <v:rect id="_x0000_i1051" style="width:0;height:1.5pt" o:hralign="center" o:hrstd="t" o:hr="t" fillcolor="#a0a0a0" stroked="f"/>
        </w:pict>
      </w:r>
    </w:p>
    <w:p w:rsidR="00000000" w:rsidRDefault="004D26FD">
      <w:pPr>
        <w:divId w:val="41246474"/>
        <w:rPr>
          <w:rFonts w:eastAsia="Times New Roman"/>
        </w:rPr>
      </w:pPr>
    </w:p>
    <w:p w:rsidR="00000000" w:rsidRDefault="004D26FD">
      <w:pPr>
        <w:ind w:firstLine="360"/>
        <w:jc w:val="both"/>
        <w:rPr>
          <w:rFonts w:eastAsia="Times New Roman"/>
        </w:rPr>
      </w:pP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 provides a summary of this impairment by reportable business segment (in millions)</w:t>
      </w:r>
      <w:r>
        <w:rPr>
          <w:rFonts w:eastAsia="Times New Roman"/>
          <w:color w:val="000000"/>
          <w:sz w:val="20"/>
          <w:szCs w:val="20"/>
        </w:rPr>
        <w:t>:</w:t>
      </w:r>
    </w:p>
    <w:p w:rsidR="00000000" w:rsidRDefault="004D26FD">
      <w:pPr>
        <w:ind w:firstLine="360"/>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3258"/>
        <w:gridCol w:w="69"/>
        <w:gridCol w:w="116"/>
        <w:gridCol w:w="791"/>
        <w:gridCol w:w="75"/>
        <w:gridCol w:w="115"/>
        <w:gridCol w:w="787"/>
        <w:gridCol w:w="75"/>
        <w:gridCol w:w="116"/>
        <w:gridCol w:w="787"/>
        <w:gridCol w:w="75"/>
        <w:gridCol w:w="116"/>
        <w:gridCol w:w="787"/>
        <w:gridCol w:w="75"/>
        <w:gridCol w:w="116"/>
        <w:gridCol w:w="787"/>
        <w:gridCol w:w="80"/>
      </w:tblGrid>
      <w:tr w:rsidR="00000000">
        <w:trPr>
          <w:divId w:val="410614940"/>
        </w:trPr>
        <w:tc>
          <w:tcPr>
            <w:tcW w:w="50" w:type="pct"/>
            <w:vAlign w:val="center"/>
            <w:hideMark/>
          </w:tcPr>
          <w:p w:rsidR="00000000" w:rsidRDefault="004D26FD">
            <w:pPr>
              <w:ind w:firstLine="360"/>
              <w:jc w:val="both"/>
              <w:rPr>
                <w:rFonts w:eastAsia="Times New Roman"/>
              </w:rPr>
            </w:pPr>
          </w:p>
        </w:tc>
        <w:tc>
          <w:tcPr>
            <w:tcW w:w="197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410614940"/>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Aviatio</w:t>
            </w:r>
            <w:r>
              <w:rPr>
                <w:rFonts w:eastAsia="Times New Roman"/>
                <w:b/>
                <w:bCs/>
                <w:color w:val="000000"/>
                <w:sz w:val="16"/>
                <w:szCs w:val="16"/>
              </w:rPr>
              <w:t>n</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Lan</w:t>
            </w:r>
            <w:r>
              <w:rPr>
                <w:rFonts w:eastAsia="Times New Roman"/>
                <w:b/>
                <w:bCs/>
                <w:color w:val="000000"/>
                <w:sz w:val="16"/>
                <w:szCs w:val="16"/>
              </w:rPr>
              <w:t>d</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Marin</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Corporat</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4D26FD">
            <w:pPr>
              <w:jc w:val="right"/>
              <w:rPr>
                <w:rFonts w:eastAsia="Times New Roman"/>
              </w:rPr>
            </w:pPr>
            <w:r>
              <w:rPr>
                <w:rFonts w:eastAsia="Times New Roman"/>
                <w:b/>
                <w:bCs/>
                <w:color w:val="000000"/>
                <w:sz w:val="16"/>
                <w:szCs w:val="16"/>
              </w:rPr>
              <w:t>Consolidate</w:t>
            </w:r>
            <w:r>
              <w:rPr>
                <w:rFonts w:eastAsia="Times New Roman"/>
                <w:b/>
                <w:bCs/>
                <w:color w:val="000000"/>
                <w:sz w:val="16"/>
                <w:szCs w:val="16"/>
              </w:rPr>
              <w:t>d</w:t>
            </w:r>
          </w:p>
        </w:tc>
      </w:tr>
      <w:tr w:rsidR="00000000">
        <w:trPr>
          <w:divId w:val="410614940"/>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 impairment</w:t>
            </w:r>
            <w:r>
              <w:rPr>
                <w:rFonts w:eastAsia="Times New Roman"/>
                <w:color w:val="000000"/>
                <w:sz w:val="16"/>
                <w:szCs w:val="16"/>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bl>
    <w:p w:rsidR="00000000" w:rsidRDefault="004D26FD">
      <w:pPr>
        <w:divId w:val="438917163"/>
        <w:rPr>
          <w:rFonts w:eastAsia="Times New Roman"/>
        </w:rPr>
      </w:pPr>
    </w:p>
    <w:p w:rsidR="00000000" w:rsidRDefault="004D26FD">
      <w:pPr>
        <w:divId w:val="2110542316"/>
        <w:rPr>
          <w:rFonts w:eastAsia="Times New Roman"/>
        </w:rPr>
      </w:pPr>
      <w:r>
        <w:rPr>
          <w:rFonts w:eastAsia="Times New Roman"/>
          <w:b/>
          <w:bCs/>
          <w:color w:val="000000"/>
          <w:sz w:val="20"/>
          <w:szCs w:val="20"/>
        </w:rPr>
        <w:t>14. Subsequent Event</w:t>
      </w:r>
      <w:r>
        <w:rPr>
          <w:rFonts w:eastAsia="Times New Roman"/>
          <w:b/>
          <w:bCs/>
          <w:color w:val="000000"/>
          <w:sz w:val="20"/>
          <w:szCs w:val="20"/>
        </w:rPr>
        <w:t>s</w:t>
      </w:r>
    </w:p>
    <w:p w:rsidR="00000000" w:rsidRDefault="004D26FD">
      <w:pPr>
        <w:ind w:firstLine="720"/>
        <w:divId w:val="1579514546"/>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On July 30, 2020, we entered into a definitive agreement to sell our Multi Service payment solutions business. Subject to certain closing adjustments, we will receive a total of approximately $350.0 million in cash, consisting of approximately $275.0 milli</w:t>
      </w:r>
      <w:r>
        <w:rPr>
          <w:rFonts w:eastAsia="Times New Roman"/>
          <w:color w:val="000000"/>
          <w:sz w:val="20"/>
          <w:szCs w:val="20"/>
        </w:rPr>
        <w:t>on at closing and $75.0 million deferred for future payment, of which $50.0 million will be conditioned on MSTS' achievement of financial targets in 2021 and 2022. The closing is subject to customary conditions, including regulatory approvals. We expect th</w:t>
      </w:r>
      <w:r>
        <w:rPr>
          <w:rFonts w:eastAsia="Times New Roman"/>
          <w:color w:val="000000"/>
          <w:sz w:val="20"/>
          <w:szCs w:val="20"/>
        </w:rPr>
        <w:t>e sale to be completed within 90 days from the date of the agreement. Multi Service, which is mainly reported within the land segment, did not qualify as held for sale as of June 30, 2020 and will not meet the criteria to be reported as a discontinued oper</w:t>
      </w:r>
      <w:r>
        <w:rPr>
          <w:rFonts w:eastAsia="Times New Roman"/>
          <w:color w:val="000000"/>
          <w:sz w:val="20"/>
          <w:szCs w:val="20"/>
        </w:rPr>
        <w:t>ation. The net carrying amount of Multi Service as of June 30, 2020 was $222.5 million</w:t>
      </w:r>
      <w:r>
        <w:rPr>
          <w:rFonts w:eastAsia="Times New Roman"/>
          <w:color w:val="000000"/>
          <w:sz w:val="20"/>
          <w:szCs w:val="20"/>
        </w:rPr>
        <w:t>.</w:t>
      </w:r>
    </w:p>
    <w:p w:rsidR="00000000" w:rsidRDefault="004D26FD">
      <w:pPr>
        <w:jc w:val="center"/>
        <w:divId w:val="644428389"/>
        <w:rPr>
          <w:rFonts w:eastAsia="Times New Roman"/>
        </w:rPr>
      </w:pPr>
      <w:r>
        <w:rPr>
          <w:rFonts w:eastAsia="Times New Roman"/>
          <w:color w:val="000000"/>
          <w:sz w:val="20"/>
          <w:szCs w:val="20"/>
        </w:rPr>
        <w:t>2</w:t>
      </w:r>
      <w:r>
        <w:rPr>
          <w:rFonts w:eastAsia="Times New Roman"/>
          <w:color w:val="000000"/>
          <w:sz w:val="20"/>
          <w:szCs w:val="20"/>
        </w:rPr>
        <w:t>4</w:t>
      </w:r>
    </w:p>
    <w:p w:rsidR="00000000" w:rsidRDefault="004D26FD">
      <w:pPr>
        <w:rPr>
          <w:rFonts w:eastAsia="Times New Roman"/>
        </w:rPr>
      </w:pPr>
      <w:r>
        <w:rPr>
          <w:rFonts w:eastAsia="Times New Roman"/>
        </w:rPr>
        <w:pict>
          <v:rect id="_x0000_i1052" style="width:0;height:1.5pt" o:hralign="center" o:hrstd="t" o:hr="t" fillcolor="#a0a0a0" stroked="f"/>
        </w:pict>
      </w:r>
    </w:p>
    <w:p w:rsidR="00000000" w:rsidRDefault="004D26FD">
      <w:pPr>
        <w:divId w:val="1217089815"/>
        <w:rPr>
          <w:rFonts w:eastAsia="Times New Roman"/>
        </w:rPr>
      </w:pPr>
    </w:p>
    <w:p w:rsidR="00000000" w:rsidRDefault="004D26FD">
      <w:pPr>
        <w:ind w:hanging="1080"/>
        <w:divId w:val="516584770"/>
        <w:rPr>
          <w:rFonts w:eastAsia="Times New Roman"/>
        </w:rPr>
      </w:pPr>
      <w:r>
        <w:rPr>
          <w:rFonts w:eastAsia="Times New Roman"/>
          <w:b/>
          <w:bCs/>
          <w:color w:val="000000"/>
          <w:sz w:val="20"/>
          <w:szCs w:val="20"/>
        </w:rPr>
        <w:t>Item 2.  Management’s Discussion and Analysis of Financial Condition and Results of Operation</w:t>
      </w:r>
      <w:r>
        <w:rPr>
          <w:rFonts w:eastAsia="Times New Roman"/>
          <w:b/>
          <w:bCs/>
          <w:color w:val="000000"/>
          <w:sz w:val="20"/>
          <w:szCs w:val="20"/>
        </w:rPr>
        <w:t>s</w:t>
      </w:r>
    </w:p>
    <w:p w:rsidR="00000000" w:rsidRDefault="004D26FD">
      <w:pPr>
        <w:ind w:firstLine="720"/>
        <w:divId w:val="502865929"/>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The following discussion shou</w:t>
      </w:r>
      <w:r>
        <w:rPr>
          <w:rFonts w:eastAsia="Times New Roman"/>
          <w:color w:val="000000"/>
          <w:sz w:val="20"/>
          <w:szCs w:val="20"/>
        </w:rPr>
        <w:t>ld be read in conjunction with our 2019 10-K Report and the Consolidated Financial Statements and related notes in Item 1 — Financial Statements appearing elsewhere in this 10-Q Report. The following discussion may contain forward-looking statements, and o</w:t>
      </w:r>
      <w:r>
        <w:rPr>
          <w:rFonts w:eastAsia="Times New Roman"/>
          <w:color w:val="000000"/>
          <w:sz w:val="20"/>
          <w:szCs w:val="20"/>
        </w:rPr>
        <w:t>ur actual results may differ materially from the results suggested by these forward-looking statements. Some factors that may cause our results to differ are disclosed in Item 1A - Risk Factors of our 2019 10-K Report as updated and supplemented by Part II</w:t>
      </w:r>
      <w:r>
        <w:rPr>
          <w:rFonts w:eastAsia="Times New Roman"/>
          <w:color w:val="000000"/>
          <w:sz w:val="20"/>
          <w:szCs w:val="20"/>
        </w:rPr>
        <w:t xml:space="preserve"> - Item 1A of this 10-Q Report</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Forward-Looking Statement</w:t>
      </w:r>
      <w:r>
        <w:rPr>
          <w:rFonts w:eastAsia="Times New Roman"/>
          <w:b/>
          <w:bCs/>
          <w:color w:val="000000"/>
          <w:sz w:val="20"/>
          <w:szCs w:val="20"/>
        </w:rPr>
        <w:t>s</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divId w:val="131601456"/>
        <w:rPr>
          <w:rFonts w:eastAsia="Times New Roman"/>
        </w:rPr>
      </w:pPr>
      <w:r>
        <w:rPr>
          <w:rFonts w:eastAsia="Times New Roman"/>
          <w:color w:val="000000"/>
          <w:sz w:val="20"/>
          <w:szCs w:val="20"/>
        </w:rPr>
        <w:t>This 10-Q Report and the information incorporated by reference in it, or made by us in other reports, filings with the SEC, press releases, teleconferences, industry conferences or otherwise, c</w:t>
      </w:r>
      <w:r>
        <w:rPr>
          <w:rFonts w:eastAsia="Times New Roman"/>
          <w:color w:val="000000"/>
          <w:sz w:val="20"/>
          <w:szCs w:val="20"/>
        </w:rPr>
        <w:t>ontain “forward-looking statements” within the meaning of the Private Securities Litigation Reform Act of 1995. The forward-looking statements include, without limitation, any statement that may predict, forecast, indicate or imply future results, performa</w:t>
      </w:r>
      <w:r>
        <w:rPr>
          <w:rFonts w:eastAsia="Times New Roman"/>
          <w:color w:val="000000"/>
          <w:sz w:val="20"/>
          <w:szCs w:val="20"/>
        </w:rPr>
        <w:t>nce or achievements, and may contain the words “believe,” “anticipate,” “expect,” “estimate,” “project,” “could,” “would,” “will,” “will be,” “will continue,” “will likely result,” “plan,” or words or phrases of similar meaning. Specifically, this 10-Q Rep</w:t>
      </w:r>
      <w:r>
        <w:rPr>
          <w:rFonts w:eastAsia="Times New Roman"/>
          <w:color w:val="000000"/>
          <w:sz w:val="20"/>
          <w:szCs w:val="20"/>
        </w:rPr>
        <w:t xml:space="preserve">ort includes forward-looking statements about (i) the impact of COVID-19 on us and our customers, including our expectations about demand, volume, profitability and the impact of fuel prices, (ii) our expectations regarding the conditions in the aviation, </w:t>
      </w:r>
      <w:r>
        <w:rPr>
          <w:rFonts w:eastAsia="Times New Roman"/>
          <w:color w:val="000000"/>
          <w:sz w:val="20"/>
          <w:szCs w:val="20"/>
        </w:rPr>
        <w:t>land, and marine markets and their impact on our business, (iii) our expectations regarding government-related activity in Afghanistan with the North Atlantic Treaty Organization (NATO) and the impact of the U.S. troop withdrawal, as well as the related pr</w:t>
      </w:r>
      <w:r>
        <w:rPr>
          <w:rFonts w:eastAsia="Times New Roman"/>
          <w:color w:val="000000"/>
          <w:sz w:val="20"/>
          <w:szCs w:val="20"/>
        </w:rPr>
        <w:t>ofit contribution, (iv) our estimates regarding the expected benefits from our actions to reduce cost and our restructuring initiatives, including the rationalization of our global office footprint, (v) our expectations regarding our working capital, liqui</w:t>
      </w:r>
      <w:r>
        <w:rPr>
          <w:rFonts w:eastAsia="Times New Roman"/>
          <w:color w:val="000000"/>
          <w:sz w:val="20"/>
          <w:szCs w:val="20"/>
        </w:rPr>
        <w:t>dity, capital expenditure requirements, (vi) our expectations and estimates regarding certain tax, legal and accounting matters, including the impact on our financial statements, (vii) our expectations regarding the financial impact and other benefits of p</w:t>
      </w:r>
      <w:r>
        <w:rPr>
          <w:rFonts w:eastAsia="Times New Roman"/>
          <w:color w:val="000000"/>
          <w:sz w:val="20"/>
          <w:szCs w:val="20"/>
        </w:rPr>
        <w:t>revious acquisitions, including estimates of future expenses and our ability to realize estimated synergies, and (viii) estimates regarding the financial impact of our derivative contracts. These forward-looking statements are qualified in their entirety b</w:t>
      </w:r>
      <w:r>
        <w:rPr>
          <w:rFonts w:eastAsia="Times New Roman"/>
          <w:color w:val="000000"/>
          <w:sz w:val="20"/>
          <w:szCs w:val="20"/>
        </w:rPr>
        <w:t>y cautionary statements and risk factor disclosures contained in our SEC filings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divId w:val="2013486990"/>
        <w:rPr>
          <w:rFonts w:eastAsia="Times New Roman"/>
        </w:rPr>
      </w:pPr>
      <w:r>
        <w:rPr>
          <w:rFonts w:eastAsia="Times New Roman"/>
          <w:color w:val="000000"/>
          <w:sz w:val="20"/>
          <w:szCs w:val="20"/>
        </w:rPr>
        <w:t>These forward-looking statements are estimates and projections reflecting our best judgment and involve risks, uncertainties or other factors relating to our operations and</w:t>
      </w:r>
      <w:r>
        <w:rPr>
          <w:rFonts w:eastAsia="Times New Roman"/>
          <w:color w:val="000000"/>
          <w:sz w:val="20"/>
          <w:szCs w:val="20"/>
        </w:rPr>
        <w:t xml:space="preserve"> business environment, all of which are difficult to predict and many of which are beyond our control. Although we believe that the estimates and projections reflected in the forward-looking statements are reasonable, our expectations may prove to be incor</w:t>
      </w:r>
      <w:r>
        <w:rPr>
          <w:rFonts w:eastAsia="Times New Roman"/>
          <w:color w:val="000000"/>
          <w:sz w:val="20"/>
          <w:szCs w:val="20"/>
        </w:rPr>
        <w:t>rect. Our actual results may differ materially from the future results, performance or achievements expressed or implied by the forward-looking statements</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Important factors that could cause actual results to differ materially from the results and events anticipated or implied by such forward-looking statements include, but are not limited to</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hanging="360"/>
        <w:jc w:val="both"/>
        <w:divId w:val="2021351059"/>
        <w:rPr>
          <w:rFonts w:eastAsia="Times New Roman"/>
        </w:rPr>
      </w:pPr>
      <w:r>
        <w:rPr>
          <w:rFonts w:ascii="Arial" w:eastAsia="Times New Roman" w:hAnsi="Arial" w:cs="Arial"/>
          <w:color w:val="000000"/>
          <w:sz w:val="20"/>
          <w:szCs w:val="20"/>
        </w:rPr>
        <w:t>•</w:t>
      </w:r>
      <w:r>
        <w:rPr>
          <w:rFonts w:eastAsia="Times New Roman"/>
          <w:color w:val="000000"/>
          <w:sz w:val="20"/>
          <w:szCs w:val="20"/>
        </w:rPr>
        <w:t>customer and counterparty creditworthiness and our ability to c</w:t>
      </w:r>
      <w:r>
        <w:rPr>
          <w:rFonts w:eastAsia="Times New Roman"/>
          <w:color w:val="000000"/>
          <w:sz w:val="20"/>
          <w:szCs w:val="20"/>
        </w:rPr>
        <w:t>ollect accounts receivable and settle derivative contracts, particularly for those customers most significantly impacted by the COVID-19 pandemic</w:t>
      </w:r>
      <w:r>
        <w:rPr>
          <w:rFonts w:eastAsia="Times New Roman"/>
          <w:color w:val="000000"/>
          <w:sz w:val="20"/>
          <w:szCs w:val="20"/>
        </w:rPr>
        <w:t>;</w:t>
      </w:r>
    </w:p>
    <w:p w:rsidR="00000000" w:rsidRDefault="004D26FD">
      <w:pPr>
        <w:ind w:hanging="360"/>
        <w:jc w:val="both"/>
        <w:divId w:val="1649364195"/>
        <w:rPr>
          <w:rFonts w:eastAsia="Times New Roman"/>
        </w:rPr>
      </w:pPr>
      <w:r>
        <w:rPr>
          <w:rFonts w:eastAsia="Times New Roman"/>
          <w:color w:val="000000"/>
          <w:sz w:val="20"/>
          <w:szCs w:val="20"/>
        </w:rPr>
        <w:t>•</w:t>
      </w:r>
      <w:r>
        <w:rPr>
          <w:rFonts w:eastAsia="Times New Roman"/>
          <w:color w:val="000000"/>
          <w:sz w:val="20"/>
          <w:szCs w:val="20"/>
        </w:rPr>
        <w:t>the extent of the impact of the pandemic, including the duration, spread, severity and scope of related gove</w:t>
      </w:r>
      <w:r>
        <w:rPr>
          <w:rFonts w:eastAsia="Times New Roman"/>
          <w:color w:val="000000"/>
          <w:sz w:val="20"/>
          <w:szCs w:val="20"/>
        </w:rPr>
        <w:t>rnment orders and restrictions, on ours and our customers' sales, profitability, operations and supply chains;</w:t>
      </w:r>
      <w:r>
        <w:rPr>
          <w:rFonts w:eastAsia="Times New Roman"/>
          <w:color w:val="000000"/>
          <w:sz w:val="20"/>
          <w:szCs w:val="20"/>
        </w:rPr>
        <w:t xml:space="preserve"> </w:t>
      </w:r>
    </w:p>
    <w:p w:rsidR="00000000" w:rsidRDefault="004D26FD">
      <w:pPr>
        <w:ind w:hanging="360"/>
        <w:jc w:val="both"/>
        <w:divId w:val="882211974"/>
        <w:rPr>
          <w:rFonts w:eastAsia="Times New Roman"/>
        </w:rPr>
      </w:pPr>
      <w:r>
        <w:rPr>
          <w:rFonts w:eastAsia="Times New Roman"/>
          <w:color w:val="000000"/>
          <w:sz w:val="20"/>
          <w:szCs w:val="20"/>
        </w:rPr>
        <w:t>•</w:t>
      </w:r>
      <w:r>
        <w:rPr>
          <w:rFonts w:eastAsia="Times New Roman"/>
          <w:color w:val="000000"/>
          <w:sz w:val="20"/>
          <w:szCs w:val="20"/>
        </w:rPr>
        <w:t>loss of, or reduced sales to a significant government customer, such as NATO</w:t>
      </w:r>
      <w:r>
        <w:rPr>
          <w:rFonts w:eastAsia="Times New Roman"/>
          <w:color w:val="000000"/>
          <w:sz w:val="20"/>
          <w:szCs w:val="20"/>
        </w:rPr>
        <w:t>;</w:t>
      </w:r>
    </w:p>
    <w:p w:rsidR="00000000" w:rsidRDefault="004D26FD">
      <w:pPr>
        <w:ind w:hanging="360"/>
        <w:jc w:val="both"/>
        <w:divId w:val="1416784833"/>
        <w:rPr>
          <w:rFonts w:eastAsia="Times New Roman"/>
        </w:rPr>
      </w:pPr>
      <w:r>
        <w:rPr>
          <w:rFonts w:eastAsia="Times New Roman"/>
          <w:color w:val="000000"/>
          <w:sz w:val="20"/>
          <w:szCs w:val="20"/>
        </w:rPr>
        <w:t>•</w:t>
      </w:r>
      <w:r>
        <w:rPr>
          <w:rFonts w:eastAsia="Times New Roman"/>
          <w:color w:val="000000"/>
          <w:sz w:val="20"/>
          <w:szCs w:val="20"/>
        </w:rPr>
        <w:t>the availability of cash and sufficient liquidity to fund our wo</w:t>
      </w:r>
      <w:r>
        <w:rPr>
          <w:rFonts w:eastAsia="Times New Roman"/>
          <w:color w:val="000000"/>
          <w:sz w:val="20"/>
          <w:szCs w:val="20"/>
        </w:rPr>
        <w:t>rking capital and strategic investment needs, particularly in light of the impact of the pandemic on the financial markets</w:t>
      </w:r>
      <w:r>
        <w:rPr>
          <w:rFonts w:eastAsia="Times New Roman"/>
          <w:color w:val="000000"/>
          <w:sz w:val="20"/>
          <w:szCs w:val="20"/>
        </w:rPr>
        <w:t>;</w:t>
      </w:r>
    </w:p>
    <w:p w:rsidR="00000000" w:rsidRDefault="004D26FD">
      <w:pPr>
        <w:ind w:hanging="360"/>
        <w:jc w:val="both"/>
        <w:divId w:val="51344482"/>
        <w:rPr>
          <w:rFonts w:eastAsia="Times New Roman"/>
        </w:rPr>
      </w:pPr>
      <w:r>
        <w:rPr>
          <w:rFonts w:eastAsia="Times New Roman"/>
          <w:color w:val="000000"/>
          <w:sz w:val="20"/>
          <w:szCs w:val="20"/>
        </w:rPr>
        <w:t>•</w:t>
      </w:r>
      <w:r>
        <w:rPr>
          <w:rFonts w:eastAsia="Times New Roman"/>
          <w:color w:val="000000"/>
          <w:sz w:val="20"/>
          <w:szCs w:val="20"/>
        </w:rPr>
        <w:t xml:space="preserve">adverse conditions in the industries in which our customers operate such as the current global economic environment as a result of </w:t>
      </w:r>
      <w:r>
        <w:rPr>
          <w:rFonts w:eastAsia="Times New Roman"/>
          <w:color w:val="000000"/>
          <w:sz w:val="20"/>
          <w:szCs w:val="20"/>
        </w:rPr>
        <w:t>the coronavirus pandemic</w:t>
      </w:r>
      <w:r>
        <w:rPr>
          <w:rFonts w:eastAsia="Times New Roman"/>
          <w:color w:val="000000"/>
          <w:sz w:val="20"/>
          <w:szCs w:val="20"/>
        </w:rPr>
        <w:t>;</w:t>
      </w:r>
    </w:p>
    <w:p w:rsidR="00000000" w:rsidRDefault="004D26FD">
      <w:pPr>
        <w:ind w:hanging="360"/>
        <w:jc w:val="both"/>
        <w:divId w:val="2127574747"/>
        <w:rPr>
          <w:rFonts w:eastAsia="Times New Roman"/>
        </w:rPr>
      </w:pPr>
      <w:r>
        <w:rPr>
          <w:rFonts w:eastAsia="Times New Roman"/>
          <w:color w:val="000000"/>
          <w:sz w:val="20"/>
          <w:szCs w:val="20"/>
        </w:rPr>
        <w:t>•</w:t>
      </w:r>
      <w:r>
        <w:rPr>
          <w:rFonts w:eastAsia="Times New Roman"/>
          <w:color w:val="000000"/>
          <w:sz w:val="20"/>
          <w:szCs w:val="20"/>
        </w:rPr>
        <w:t xml:space="preserve">sudden changes in the market price of fuel or extremely high or low fuel prices that continue for an extended period of time, including as a result of disagreements between the OPEC members and other oil producing countries such </w:t>
      </w:r>
      <w:r>
        <w:rPr>
          <w:rFonts w:eastAsia="Times New Roman"/>
          <w:color w:val="000000"/>
          <w:sz w:val="20"/>
          <w:szCs w:val="20"/>
        </w:rPr>
        <w:t>as Russia and the impact of the pandemic on fuel demand</w:t>
      </w:r>
      <w:r>
        <w:rPr>
          <w:rFonts w:eastAsia="Times New Roman"/>
          <w:color w:val="000000"/>
          <w:sz w:val="20"/>
          <w:szCs w:val="20"/>
        </w:rPr>
        <w:t>;</w:t>
      </w:r>
    </w:p>
    <w:p w:rsidR="00000000" w:rsidRDefault="004D26FD">
      <w:pPr>
        <w:ind w:hanging="360"/>
        <w:jc w:val="both"/>
        <w:divId w:val="168259335"/>
        <w:rPr>
          <w:rFonts w:eastAsia="Times New Roman"/>
        </w:rPr>
      </w:pPr>
      <w:r>
        <w:rPr>
          <w:rFonts w:eastAsia="Times New Roman"/>
          <w:color w:val="000000"/>
          <w:sz w:val="20"/>
          <w:szCs w:val="20"/>
        </w:rPr>
        <w:t>•</w:t>
      </w:r>
      <w:r>
        <w:rPr>
          <w:rFonts w:eastAsia="Times New Roman"/>
          <w:color w:val="000000"/>
          <w:sz w:val="20"/>
          <w:szCs w:val="20"/>
        </w:rPr>
        <w:t>our failure to comply with restrictions and covenants in our senior revolving credit facility (“Credit Facility”) and our senior term loans (“Term Loans”), including our financial covenants</w:t>
      </w:r>
      <w:r>
        <w:rPr>
          <w:rFonts w:eastAsia="Times New Roman"/>
          <w:color w:val="000000"/>
          <w:sz w:val="20"/>
          <w:szCs w:val="20"/>
        </w:rPr>
        <w:t>;</w:t>
      </w:r>
    </w:p>
    <w:p w:rsidR="00000000" w:rsidRDefault="004D26FD">
      <w:pPr>
        <w:ind w:hanging="360"/>
        <w:jc w:val="both"/>
        <w:divId w:val="457601833"/>
        <w:rPr>
          <w:rFonts w:eastAsia="Times New Roman"/>
        </w:rPr>
      </w:pPr>
      <w:r>
        <w:rPr>
          <w:rFonts w:eastAsia="Times New Roman"/>
          <w:color w:val="000000"/>
          <w:sz w:val="20"/>
          <w:szCs w:val="20"/>
        </w:rPr>
        <w:t>•</w:t>
      </w:r>
      <w:r>
        <w:rPr>
          <w:rFonts w:eastAsia="Times New Roman"/>
          <w:color w:val="000000"/>
          <w:sz w:val="20"/>
          <w:szCs w:val="20"/>
        </w:rPr>
        <w:t>change</w:t>
      </w:r>
      <w:r>
        <w:rPr>
          <w:rFonts w:eastAsia="Times New Roman"/>
          <w:color w:val="000000"/>
          <w:sz w:val="20"/>
          <w:szCs w:val="20"/>
        </w:rPr>
        <w:t>s in the political, economic or regulatory environment generally and in the markets in which we operate, such as IMO 2020 (defined below)</w:t>
      </w:r>
      <w:r>
        <w:rPr>
          <w:rFonts w:eastAsia="Times New Roman"/>
          <w:color w:val="000000"/>
          <w:sz w:val="20"/>
          <w:szCs w:val="20"/>
        </w:rPr>
        <w:t>;</w:t>
      </w:r>
    </w:p>
    <w:p w:rsidR="00000000" w:rsidRDefault="004D26FD">
      <w:pPr>
        <w:ind w:hanging="360"/>
        <w:jc w:val="both"/>
        <w:divId w:val="59207335"/>
        <w:rPr>
          <w:rFonts w:eastAsia="Times New Roman"/>
        </w:rPr>
      </w:pPr>
      <w:r>
        <w:rPr>
          <w:rFonts w:eastAsia="Times New Roman"/>
          <w:color w:val="000000"/>
          <w:sz w:val="20"/>
          <w:szCs w:val="20"/>
        </w:rPr>
        <w:t>•</w:t>
      </w:r>
      <w:r>
        <w:rPr>
          <w:rFonts w:eastAsia="Times New Roman"/>
          <w:color w:val="000000"/>
          <w:sz w:val="20"/>
          <w:szCs w:val="20"/>
        </w:rPr>
        <w:t>our failure to effectively hedge certain financial risks and other risks associated with derivatives</w:t>
      </w:r>
      <w:r>
        <w:rPr>
          <w:rFonts w:eastAsia="Times New Roman"/>
          <w:color w:val="000000"/>
          <w:sz w:val="20"/>
          <w:szCs w:val="20"/>
        </w:rPr>
        <w:t>;</w:t>
      </w:r>
    </w:p>
    <w:p w:rsidR="00000000" w:rsidRDefault="004D26FD">
      <w:pPr>
        <w:ind w:hanging="360"/>
        <w:jc w:val="both"/>
        <w:divId w:val="664476725"/>
        <w:rPr>
          <w:rFonts w:eastAsia="Times New Roman"/>
        </w:rPr>
      </w:pPr>
      <w:r>
        <w:rPr>
          <w:rFonts w:eastAsia="Times New Roman"/>
          <w:color w:val="000000"/>
          <w:sz w:val="20"/>
          <w:szCs w:val="20"/>
        </w:rPr>
        <w:t>•</w:t>
      </w:r>
      <w:r>
        <w:rPr>
          <w:rFonts w:eastAsia="Times New Roman"/>
          <w:color w:val="000000"/>
          <w:sz w:val="20"/>
          <w:szCs w:val="20"/>
        </w:rPr>
        <w:t>changes in cr</w:t>
      </w:r>
      <w:r>
        <w:rPr>
          <w:rFonts w:eastAsia="Times New Roman"/>
          <w:color w:val="000000"/>
          <w:sz w:val="20"/>
          <w:szCs w:val="20"/>
        </w:rPr>
        <w:t>edit terms extended to us from our suppliers</w:t>
      </w:r>
      <w:r>
        <w:rPr>
          <w:rFonts w:eastAsia="Times New Roman"/>
          <w:color w:val="000000"/>
          <w:sz w:val="20"/>
          <w:szCs w:val="20"/>
        </w:rPr>
        <w:t>;</w:t>
      </w:r>
    </w:p>
    <w:p w:rsidR="00000000" w:rsidRDefault="004D26FD">
      <w:pPr>
        <w:ind w:hanging="360"/>
        <w:jc w:val="both"/>
        <w:divId w:val="856163359"/>
        <w:rPr>
          <w:rFonts w:eastAsia="Times New Roman"/>
        </w:rPr>
      </w:pPr>
      <w:r>
        <w:rPr>
          <w:rFonts w:eastAsia="Times New Roman"/>
          <w:color w:val="000000"/>
          <w:sz w:val="20"/>
          <w:szCs w:val="20"/>
        </w:rPr>
        <w:t>•</w:t>
      </w:r>
      <w:r>
        <w:rPr>
          <w:rFonts w:eastAsia="Times New Roman"/>
          <w:color w:val="000000"/>
          <w:sz w:val="20"/>
          <w:szCs w:val="20"/>
        </w:rPr>
        <w:t>non-performance of suppliers on their sale commitments and customers on their purchase commitments</w:t>
      </w:r>
      <w:r>
        <w:rPr>
          <w:rFonts w:eastAsia="Times New Roman"/>
          <w:color w:val="000000"/>
          <w:sz w:val="20"/>
          <w:szCs w:val="20"/>
        </w:rPr>
        <w:t>;</w:t>
      </w:r>
    </w:p>
    <w:p w:rsidR="00000000" w:rsidRDefault="004D26FD">
      <w:pPr>
        <w:ind w:hanging="360"/>
        <w:jc w:val="both"/>
        <w:divId w:val="368997623"/>
        <w:rPr>
          <w:rFonts w:eastAsia="Times New Roman"/>
        </w:rPr>
      </w:pPr>
      <w:r>
        <w:rPr>
          <w:rFonts w:eastAsia="Times New Roman"/>
          <w:color w:val="000000"/>
          <w:sz w:val="20"/>
          <w:szCs w:val="20"/>
        </w:rPr>
        <w:t>•</w:t>
      </w:r>
      <w:r>
        <w:rPr>
          <w:rFonts w:eastAsia="Times New Roman"/>
          <w:color w:val="000000"/>
          <w:sz w:val="20"/>
          <w:szCs w:val="20"/>
        </w:rPr>
        <w:t>non-performance of third-party service providers</w:t>
      </w:r>
      <w:r>
        <w:rPr>
          <w:rFonts w:eastAsia="Times New Roman"/>
          <w:color w:val="000000"/>
          <w:sz w:val="20"/>
          <w:szCs w:val="20"/>
        </w:rPr>
        <w:t>;</w:t>
      </w:r>
    </w:p>
    <w:p w:rsidR="00000000" w:rsidRDefault="004D26FD">
      <w:pPr>
        <w:jc w:val="center"/>
        <w:divId w:val="1335959455"/>
        <w:rPr>
          <w:rFonts w:eastAsia="Times New Roman"/>
        </w:rPr>
      </w:pPr>
      <w:r>
        <w:rPr>
          <w:rFonts w:eastAsia="Times New Roman"/>
          <w:color w:val="000000"/>
          <w:sz w:val="20"/>
          <w:szCs w:val="20"/>
        </w:rPr>
        <w:t>2</w:t>
      </w:r>
      <w:r>
        <w:rPr>
          <w:rFonts w:eastAsia="Times New Roman"/>
          <w:color w:val="000000"/>
          <w:sz w:val="20"/>
          <w:szCs w:val="20"/>
        </w:rPr>
        <w:t>5</w:t>
      </w:r>
    </w:p>
    <w:p w:rsidR="00000000" w:rsidRDefault="004D26FD">
      <w:pPr>
        <w:rPr>
          <w:rFonts w:eastAsia="Times New Roman"/>
        </w:rPr>
      </w:pPr>
      <w:r>
        <w:rPr>
          <w:rFonts w:eastAsia="Times New Roman"/>
        </w:rPr>
        <w:pict>
          <v:rect id="_x0000_i1053" style="width:0;height:1.5pt" o:hralign="center" o:hrstd="t" o:hr="t" fillcolor="#a0a0a0" stroked="f"/>
        </w:pict>
      </w:r>
    </w:p>
    <w:p w:rsidR="00000000" w:rsidRDefault="004D26FD">
      <w:pPr>
        <w:divId w:val="1761368002"/>
        <w:rPr>
          <w:rFonts w:eastAsia="Times New Roman"/>
        </w:rPr>
      </w:pPr>
    </w:p>
    <w:p w:rsidR="00000000" w:rsidRDefault="004D26FD">
      <w:pPr>
        <w:ind w:hanging="360"/>
        <w:jc w:val="both"/>
        <w:divId w:val="103620696"/>
        <w:rPr>
          <w:rFonts w:eastAsia="Times New Roman"/>
        </w:rPr>
      </w:pPr>
      <w:r>
        <w:rPr>
          <w:rFonts w:eastAsia="Times New Roman"/>
          <w:color w:val="000000"/>
          <w:sz w:val="20"/>
          <w:szCs w:val="20"/>
        </w:rPr>
        <w:t>•</w:t>
      </w:r>
      <w:r>
        <w:rPr>
          <w:rFonts w:eastAsia="Times New Roman"/>
          <w:color w:val="000000"/>
          <w:sz w:val="20"/>
          <w:szCs w:val="20"/>
        </w:rPr>
        <w:t xml:space="preserve">our ability to </w:t>
      </w:r>
      <w:r>
        <w:rPr>
          <w:rFonts w:eastAsia="Times New Roman"/>
          <w:color w:val="000000"/>
          <w:sz w:val="20"/>
          <w:szCs w:val="20"/>
        </w:rPr>
        <w:t>meet financial forecasts associated with our operating plan</w:t>
      </w:r>
      <w:r>
        <w:rPr>
          <w:rFonts w:eastAsia="Times New Roman"/>
          <w:color w:val="000000"/>
          <w:sz w:val="20"/>
          <w:szCs w:val="20"/>
        </w:rPr>
        <w:t>;</w:t>
      </w:r>
    </w:p>
    <w:p w:rsidR="00000000" w:rsidRDefault="004D26FD">
      <w:pPr>
        <w:ind w:hanging="360"/>
        <w:jc w:val="both"/>
        <w:divId w:val="1926718879"/>
        <w:rPr>
          <w:rFonts w:eastAsia="Times New Roman"/>
        </w:rPr>
      </w:pPr>
      <w:r>
        <w:rPr>
          <w:rFonts w:eastAsia="Times New Roman"/>
          <w:color w:val="000000"/>
          <w:sz w:val="20"/>
          <w:szCs w:val="20"/>
        </w:rPr>
        <w:t>•</w:t>
      </w:r>
      <w:r>
        <w:rPr>
          <w:rFonts w:eastAsia="Times New Roman"/>
          <w:color w:val="000000"/>
          <w:sz w:val="20"/>
          <w:szCs w:val="20"/>
        </w:rPr>
        <w:t>lower than expected valuations associated with our cash flows and revenues, which could impair our ability to realize the value of recorded intangible assets and goodwill</w:t>
      </w:r>
      <w:r>
        <w:rPr>
          <w:rFonts w:eastAsia="Times New Roman"/>
          <w:color w:val="000000"/>
          <w:sz w:val="20"/>
          <w:szCs w:val="20"/>
        </w:rPr>
        <w:t>;</w:t>
      </w:r>
    </w:p>
    <w:p w:rsidR="00000000" w:rsidRDefault="004D26FD">
      <w:pPr>
        <w:ind w:hanging="360"/>
        <w:jc w:val="both"/>
        <w:divId w:val="517429418"/>
        <w:rPr>
          <w:rFonts w:eastAsia="Times New Roman"/>
        </w:rPr>
      </w:pPr>
      <w:r>
        <w:rPr>
          <w:rFonts w:eastAsia="Times New Roman"/>
          <w:color w:val="000000"/>
          <w:sz w:val="20"/>
          <w:szCs w:val="20"/>
        </w:rPr>
        <w:t>•</w:t>
      </w:r>
      <w:r>
        <w:rPr>
          <w:rFonts w:eastAsia="Times New Roman"/>
          <w:color w:val="000000"/>
          <w:sz w:val="20"/>
          <w:szCs w:val="20"/>
        </w:rPr>
        <w:t>the impact of cyber a</w:t>
      </w:r>
      <w:r>
        <w:rPr>
          <w:rFonts w:eastAsia="Times New Roman"/>
          <w:color w:val="000000"/>
          <w:sz w:val="20"/>
          <w:szCs w:val="20"/>
        </w:rPr>
        <w:t>nd other information security-related incidents</w:t>
      </w:r>
      <w:r>
        <w:rPr>
          <w:rFonts w:eastAsia="Times New Roman"/>
          <w:color w:val="000000"/>
          <w:sz w:val="20"/>
          <w:szCs w:val="20"/>
        </w:rPr>
        <w:t>;</w:t>
      </w:r>
    </w:p>
    <w:p w:rsidR="00000000" w:rsidRDefault="004D26FD">
      <w:pPr>
        <w:ind w:hanging="360"/>
        <w:jc w:val="both"/>
        <w:divId w:val="355271513"/>
        <w:rPr>
          <w:rFonts w:eastAsia="Times New Roman"/>
        </w:rPr>
      </w:pPr>
      <w:r>
        <w:rPr>
          <w:rFonts w:eastAsia="Times New Roman"/>
          <w:color w:val="000000"/>
          <w:sz w:val="20"/>
          <w:szCs w:val="20"/>
        </w:rPr>
        <w:t>•</w:t>
      </w:r>
      <w:r>
        <w:rPr>
          <w:rFonts w:eastAsia="Times New Roman"/>
          <w:color w:val="000000"/>
          <w:sz w:val="20"/>
          <w:szCs w:val="20"/>
        </w:rPr>
        <w:t>currency exchange fluctuations and the impacts associated with Brexit</w:t>
      </w:r>
      <w:r>
        <w:rPr>
          <w:rFonts w:eastAsia="Times New Roman"/>
          <w:color w:val="000000"/>
          <w:sz w:val="20"/>
          <w:szCs w:val="20"/>
        </w:rPr>
        <w:t>;</w:t>
      </w:r>
    </w:p>
    <w:p w:rsidR="00000000" w:rsidRDefault="004D26FD">
      <w:pPr>
        <w:ind w:hanging="360"/>
        <w:jc w:val="both"/>
        <w:divId w:val="1727102885"/>
        <w:rPr>
          <w:rFonts w:eastAsia="Times New Roman"/>
        </w:rPr>
      </w:pPr>
      <w:r>
        <w:rPr>
          <w:rFonts w:eastAsia="Times New Roman"/>
          <w:color w:val="000000"/>
          <w:sz w:val="20"/>
          <w:szCs w:val="20"/>
        </w:rPr>
        <w:t>•</w:t>
      </w:r>
      <w:r>
        <w:rPr>
          <w:rFonts w:eastAsia="Times New Roman"/>
          <w:color w:val="000000"/>
          <w:sz w:val="20"/>
          <w:szCs w:val="20"/>
        </w:rPr>
        <w:t>ability to effectively leverage technology and operating systems and realize the anticipated benefits;</w:t>
      </w:r>
      <w:r>
        <w:rPr>
          <w:rFonts w:eastAsia="Times New Roman"/>
          <w:color w:val="000000"/>
          <w:sz w:val="20"/>
          <w:szCs w:val="20"/>
        </w:rPr>
        <w:t xml:space="preserve"> </w:t>
      </w:r>
    </w:p>
    <w:p w:rsidR="00000000" w:rsidRDefault="004D26FD">
      <w:pPr>
        <w:ind w:hanging="360"/>
        <w:jc w:val="both"/>
        <w:divId w:val="2040350034"/>
        <w:rPr>
          <w:rFonts w:eastAsia="Times New Roman"/>
        </w:rPr>
      </w:pPr>
      <w:r>
        <w:rPr>
          <w:rFonts w:eastAsia="Times New Roman"/>
          <w:color w:val="000000"/>
          <w:sz w:val="20"/>
          <w:szCs w:val="20"/>
        </w:rPr>
        <w:t>•</w:t>
      </w:r>
      <w:r>
        <w:rPr>
          <w:rFonts w:eastAsia="Times New Roman"/>
          <w:color w:val="000000"/>
          <w:sz w:val="20"/>
          <w:szCs w:val="20"/>
        </w:rPr>
        <w:t>failure of fuel and other pro</w:t>
      </w:r>
      <w:r>
        <w:rPr>
          <w:rFonts w:eastAsia="Times New Roman"/>
          <w:color w:val="000000"/>
          <w:sz w:val="20"/>
          <w:szCs w:val="20"/>
        </w:rPr>
        <w:t>ducts we sell to meet specifications</w:t>
      </w:r>
      <w:r>
        <w:rPr>
          <w:rFonts w:eastAsia="Times New Roman"/>
          <w:color w:val="000000"/>
          <w:sz w:val="20"/>
          <w:szCs w:val="20"/>
        </w:rPr>
        <w:t>;</w:t>
      </w:r>
    </w:p>
    <w:p w:rsidR="00000000" w:rsidRDefault="004D26FD">
      <w:pPr>
        <w:ind w:hanging="360"/>
        <w:jc w:val="both"/>
        <w:divId w:val="1812864288"/>
        <w:rPr>
          <w:rFonts w:eastAsia="Times New Roman"/>
        </w:rPr>
      </w:pPr>
      <w:r>
        <w:rPr>
          <w:rFonts w:eastAsia="Times New Roman"/>
          <w:color w:val="000000"/>
          <w:sz w:val="20"/>
          <w:szCs w:val="20"/>
        </w:rPr>
        <w:t>•</w:t>
      </w:r>
      <w:r>
        <w:rPr>
          <w:rFonts w:eastAsia="Times New Roman"/>
          <w:color w:val="000000"/>
          <w:sz w:val="20"/>
          <w:szCs w:val="20"/>
        </w:rPr>
        <w:t>our ability to effectively integrate and derive benefits from acquired businesses</w:t>
      </w:r>
      <w:r>
        <w:rPr>
          <w:rFonts w:eastAsia="Times New Roman"/>
          <w:color w:val="000000"/>
          <w:sz w:val="20"/>
          <w:szCs w:val="20"/>
        </w:rPr>
        <w:t>;</w:t>
      </w:r>
    </w:p>
    <w:p w:rsidR="00000000" w:rsidRDefault="004D26FD">
      <w:pPr>
        <w:ind w:hanging="360"/>
        <w:jc w:val="both"/>
        <w:divId w:val="1685085288"/>
        <w:rPr>
          <w:rFonts w:eastAsia="Times New Roman"/>
        </w:rPr>
      </w:pPr>
      <w:r>
        <w:rPr>
          <w:rFonts w:eastAsia="Times New Roman"/>
          <w:color w:val="000000"/>
          <w:sz w:val="20"/>
          <w:szCs w:val="20"/>
        </w:rPr>
        <w:t>•</w:t>
      </w:r>
      <w:r>
        <w:rPr>
          <w:rFonts w:eastAsia="Times New Roman"/>
          <w:color w:val="000000"/>
          <w:sz w:val="20"/>
          <w:szCs w:val="20"/>
        </w:rPr>
        <w:t>our ability to achieve the expected level of benefit from our restructuring activities and cost reduction initiatives</w:t>
      </w:r>
      <w:r>
        <w:rPr>
          <w:rFonts w:eastAsia="Times New Roman"/>
          <w:color w:val="000000"/>
          <w:sz w:val="20"/>
          <w:szCs w:val="20"/>
        </w:rPr>
        <w:t>;</w:t>
      </w:r>
    </w:p>
    <w:p w:rsidR="00000000" w:rsidRDefault="004D26FD">
      <w:pPr>
        <w:jc w:val="both"/>
        <w:divId w:val="903030927"/>
        <w:rPr>
          <w:rFonts w:eastAsia="Times New Roman"/>
        </w:rPr>
      </w:pPr>
      <w:r>
        <w:rPr>
          <w:rFonts w:eastAsia="Times New Roman"/>
          <w:color w:val="000000"/>
          <w:sz w:val="20"/>
          <w:szCs w:val="20"/>
        </w:rPr>
        <w:t>•</w:t>
      </w:r>
      <w:r>
        <w:rPr>
          <w:rFonts w:eastAsia="Times New Roman"/>
          <w:color w:val="000000"/>
          <w:sz w:val="20"/>
          <w:szCs w:val="20"/>
        </w:rPr>
        <w:t>environmental</w:t>
      </w:r>
      <w:r>
        <w:rPr>
          <w:rFonts w:eastAsia="Times New Roman"/>
          <w:color w:val="000000"/>
          <w:sz w:val="20"/>
          <w:szCs w:val="20"/>
        </w:rPr>
        <w:t xml:space="preserve"> and other risks associated with the storage, transportation and delivery of petroleum products</w:t>
      </w:r>
      <w:r>
        <w:rPr>
          <w:rFonts w:eastAsia="Times New Roman"/>
          <w:color w:val="000000"/>
          <w:sz w:val="20"/>
          <w:szCs w:val="20"/>
        </w:rPr>
        <w:t>;</w:t>
      </w:r>
    </w:p>
    <w:p w:rsidR="00000000" w:rsidRDefault="004D26FD">
      <w:pPr>
        <w:ind w:hanging="360"/>
        <w:jc w:val="both"/>
        <w:divId w:val="2034767725"/>
        <w:rPr>
          <w:rFonts w:eastAsia="Times New Roman"/>
        </w:rPr>
      </w:pPr>
      <w:r>
        <w:rPr>
          <w:rFonts w:eastAsia="Times New Roman"/>
          <w:color w:val="000000"/>
          <w:sz w:val="20"/>
          <w:szCs w:val="20"/>
        </w:rPr>
        <w:t>•</w:t>
      </w:r>
      <w:r>
        <w:rPr>
          <w:rFonts w:eastAsia="Times New Roman"/>
          <w:color w:val="000000"/>
          <w:sz w:val="20"/>
          <w:szCs w:val="20"/>
        </w:rPr>
        <w:t>risks associated with operating in high-risk locations, including supply disruptions, border closures and other logistical difficulties that arise when working in these areas</w:t>
      </w:r>
      <w:r>
        <w:rPr>
          <w:rFonts w:eastAsia="Times New Roman"/>
          <w:color w:val="000000"/>
          <w:sz w:val="20"/>
          <w:szCs w:val="20"/>
        </w:rPr>
        <w:t>;</w:t>
      </w:r>
    </w:p>
    <w:p w:rsidR="00000000" w:rsidRDefault="004D26FD">
      <w:pPr>
        <w:ind w:hanging="360"/>
        <w:jc w:val="both"/>
        <w:divId w:val="1013142796"/>
        <w:rPr>
          <w:rFonts w:eastAsia="Times New Roman"/>
        </w:rPr>
      </w:pPr>
      <w:r>
        <w:rPr>
          <w:rFonts w:eastAsia="Times New Roman"/>
          <w:color w:val="000000"/>
          <w:sz w:val="20"/>
          <w:szCs w:val="20"/>
        </w:rPr>
        <w:t>•</w:t>
      </w:r>
      <w:r>
        <w:rPr>
          <w:rFonts w:eastAsia="Times New Roman"/>
          <w:color w:val="000000"/>
          <w:sz w:val="20"/>
          <w:szCs w:val="20"/>
        </w:rPr>
        <w:t>uninsured losses</w:t>
      </w:r>
      <w:r>
        <w:rPr>
          <w:rFonts w:eastAsia="Times New Roman"/>
          <w:color w:val="000000"/>
          <w:sz w:val="20"/>
          <w:szCs w:val="20"/>
        </w:rPr>
        <w:t>;</w:t>
      </w:r>
    </w:p>
    <w:p w:rsidR="00000000" w:rsidRDefault="004D26FD">
      <w:pPr>
        <w:ind w:hanging="360"/>
        <w:jc w:val="both"/>
        <w:divId w:val="1211842017"/>
        <w:rPr>
          <w:rFonts w:eastAsia="Times New Roman"/>
        </w:rPr>
      </w:pPr>
      <w:r>
        <w:rPr>
          <w:rFonts w:eastAsia="Times New Roman"/>
          <w:color w:val="000000"/>
          <w:sz w:val="20"/>
          <w:szCs w:val="20"/>
        </w:rPr>
        <w:t>•</w:t>
      </w:r>
      <w:r>
        <w:rPr>
          <w:rFonts w:eastAsia="Times New Roman"/>
          <w:color w:val="000000"/>
          <w:sz w:val="20"/>
          <w:szCs w:val="20"/>
        </w:rPr>
        <w:t>the impact of natural disasters, such as earthquakes and hurricanes</w:t>
      </w:r>
      <w:r>
        <w:rPr>
          <w:rFonts w:eastAsia="Times New Roman"/>
          <w:color w:val="000000"/>
          <w:sz w:val="20"/>
          <w:szCs w:val="20"/>
        </w:rPr>
        <w:t>;</w:t>
      </w:r>
    </w:p>
    <w:p w:rsidR="00000000" w:rsidRDefault="004D26FD">
      <w:pPr>
        <w:ind w:hanging="360"/>
        <w:jc w:val="both"/>
        <w:divId w:val="36319708"/>
        <w:rPr>
          <w:rFonts w:eastAsia="Times New Roman"/>
        </w:rPr>
      </w:pPr>
      <w:r>
        <w:rPr>
          <w:rFonts w:eastAsia="Times New Roman"/>
          <w:color w:val="000000"/>
          <w:sz w:val="20"/>
          <w:szCs w:val="20"/>
        </w:rPr>
        <w:t>•</w:t>
      </w:r>
      <w:r>
        <w:rPr>
          <w:rFonts w:eastAsia="Times New Roman"/>
          <w:color w:val="000000"/>
          <w:sz w:val="20"/>
          <w:szCs w:val="20"/>
        </w:rPr>
        <w:t>seasonal variability that adversely affects our revenues and operating results</w:t>
      </w:r>
      <w:r>
        <w:rPr>
          <w:rFonts w:eastAsia="Times New Roman"/>
          <w:color w:val="000000"/>
          <w:sz w:val="20"/>
          <w:szCs w:val="20"/>
        </w:rPr>
        <w:t>;</w:t>
      </w:r>
    </w:p>
    <w:p w:rsidR="00000000" w:rsidRDefault="004D26FD">
      <w:pPr>
        <w:ind w:hanging="360"/>
        <w:jc w:val="both"/>
        <w:divId w:val="1287657440"/>
        <w:rPr>
          <w:rFonts w:eastAsia="Times New Roman"/>
        </w:rPr>
      </w:pPr>
      <w:r>
        <w:rPr>
          <w:rFonts w:eastAsia="Times New Roman"/>
          <w:color w:val="000000"/>
          <w:sz w:val="20"/>
          <w:szCs w:val="20"/>
        </w:rPr>
        <w:t>•</w:t>
      </w:r>
      <w:r>
        <w:rPr>
          <w:rFonts w:eastAsia="Times New Roman"/>
          <w:color w:val="000000"/>
          <w:sz w:val="20"/>
          <w:szCs w:val="20"/>
        </w:rPr>
        <w:t>declines in the value and liquidity of cash equivalents and investments</w:t>
      </w:r>
      <w:r>
        <w:rPr>
          <w:rFonts w:eastAsia="Times New Roman"/>
          <w:color w:val="000000"/>
          <w:sz w:val="20"/>
          <w:szCs w:val="20"/>
        </w:rPr>
        <w:t>;</w:t>
      </w:r>
    </w:p>
    <w:p w:rsidR="00000000" w:rsidRDefault="004D26FD">
      <w:pPr>
        <w:ind w:hanging="360"/>
        <w:jc w:val="both"/>
        <w:divId w:val="1858616683"/>
        <w:rPr>
          <w:rFonts w:eastAsia="Times New Roman"/>
        </w:rPr>
      </w:pPr>
      <w:r>
        <w:rPr>
          <w:rFonts w:eastAsia="Times New Roman"/>
          <w:color w:val="000000"/>
          <w:sz w:val="20"/>
          <w:szCs w:val="20"/>
        </w:rPr>
        <w:t>•</w:t>
      </w:r>
      <w:r>
        <w:rPr>
          <w:rFonts w:eastAsia="Times New Roman"/>
          <w:color w:val="000000"/>
          <w:sz w:val="20"/>
          <w:szCs w:val="20"/>
        </w:rPr>
        <w:t>our ability to retain and attra</w:t>
      </w:r>
      <w:r>
        <w:rPr>
          <w:rFonts w:eastAsia="Times New Roman"/>
          <w:color w:val="000000"/>
          <w:sz w:val="20"/>
          <w:szCs w:val="20"/>
        </w:rPr>
        <w:t>ct senior management and other key employees</w:t>
      </w:r>
      <w:r>
        <w:rPr>
          <w:rFonts w:eastAsia="Times New Roman"/>
          <w:color w:val="000000"/>
          <w:sz w:val="20"/>
          <w:szCs w:val="20"/>
        </w:rPr>
        <w:t>;</w:t>
      </w:r>
    </w:p>
    <w:p w:rsidR="00000000" w:rsidRDefault="004D26FD">
      <w:pPr>
        <w:ind w:hanging="360"/>
        <w:jc w:val="both"/>
        <w:divId w:val="1107651825"/>
        <w:rPr>
          <w:rFonts w:eastAsia="Times New Roman"/>
        </w:rPr>
      </w:pPr>
      <w:r>
        <w:rPr>
          <w:rFonts w:eastAsia="Times New Roman"/>
          <w:color w:val="000000"/>
          <w:sz w:val="20"/>
          <w:szCs w:val="20"/>
        </w:rPr>
        <w:t>•</w:t>
      </w:r>
      <w:r>
        <w:rPr>
          <w:rFonts w:eastAsia="Times New Roman"/>
          <w:color w:val="000000"/>
          <w:sz w:val="20"/>
          <w:szCs w:val="20"/>
        </w:rPr>
        <w:t>changes in U.S. or foreign tax laws (including the Tax Cuts and Jobs Act), interpretations of such laws, changes in the mix of taxable income among different tax jurisdictions, or adverse results of tax audits</w:t>
      </w:r>
      <w:r>
        <w:rPr>
          <w:rFonts w:eastAsia="Times New Roman"/>
          <w:color w:val="000000"/>
          <w:sz w:val="20"/>
          <w:szCs w:val="20"/>
        </w:rPr>
        <w:t>, assessments, or disputes</w:t>
      </w:r>
      <w:r>
        <w:rPr>
          <w:rFonts w:eastAsia="Times New Roman"/>
          <w:color w:val="000000"/>
          <w:sz w:val="20"/>
          <w:szCs w:val="20"/>
        </w:rPr>
        <w:t>;</w:t>
      </w:r>
    </w:p>
    <w:p w:rsidR="00000000" w:rsidRDefault="004D26FD">
      <w:pPr>
        <w:ind w:hanging="360"/>
        <w:jc w:val="both"/>
        <w:divId w:val="151531544"/>
        <w:rPr>
          <w:rFonts w:eastAsia="Times New Roman"/>
        </w:rPr>
      </w:pPr>
      <w:r>
        <w:rPr>
          <w:rFonts w:eastAsia="Times New Roman"/>
          <w:color w:val="000000"/>
          <w:sz w:val="20"/>
          <w:szCs w:val="20"/>
        </w:rPr>
        <w:t>•</w:t>
      </w:r>
      <w:r>
        <w:rPr>
          <w:rFonts w:eastAsia="Times New Roman"/>
          <w:color w:val="000000"/>
          <w:sz w:val="20"/>
          <w:szCs w:val="20"/>
        </w:rPr>
        <w:t>our failure to generate sufficient future taxable income in jurisdictions with material deferred tax assets and net operating loss carryforwards</w:t>
      </w:r>
      <w:r>
        <w:rPr>
          <w:rFonts w:eastAsia="Times New Roman"/>
          <w:color w:val="000000"/>
          <w:sz w:val="20"/>
          <w:szCs w:val="20"/>
        </w:rPr>
        <w:t>;</w:t>
      </w:r>
    </w:p>
    <w:p w:rsidR="00000000" w:rsidRDefault="004D26FD">
      <w:pPr>
        <w:ind w:hanging="360"/>
        <w:jc w:val="both"/>
        <w:divId w:val="501508325"/>
        <w:rPr>
          <w:rFonts w:eastAsia="Times New Roman"/>
        </w:rPr>
      </w:pPr>
      <w:r>
        <w:rPr>
          <w:rFonts w:eastAsia="Times New Roman"/>
          <w:color w:val="000000"/>
          <w:sz w:val="20"/>
          <w:szCs w:val="20"/>
        </w:rPr>
        <w:t>•</w:t>
      </w:r>
      <w:r>
        <w:rPr>
          <w:rFonts w:eastAsia="Times New Roman"/>
          <w:color w:val="000000"/>
          <w:sz w:val="20"/>
          <w:szCs w:val="20"/>
        </w:rPr>
        <w:t>the impact of the U.K.’s exit from the European Union, known as Brexit, on our b</w:t>
      </w:r>
      <w:r>
        <w:rPr>
          <w:rFonts w:eastAsia="Times New Roman"/>
          <w:color w:val="000000"/>
          <w:sz w:val="20"/>
          <w:szCs w:val="20"/>
        </w:rPr>
        <w:t>usiness, operations and financial condition</w:t>
      </w:r>
      <w:r>
        <w:rPr>
          <w:rFonts w:eastAsia="Times New Roman"/>
          <w:color w:val="000000"/>
          <w:sz w:val="20"/>
          <w:szCs w:val="20"/>
        </w:rPr>
        <w:t>;</w:t>
      </w:r>
    </w:p>
    <w:p w:rsidR="00000000" w:rsidRDefault="004D26FD">
      <w:pPr>
        <w:ind w:hanging="360"/>
        <w:jc w:val="both"/>
        <w:divId w:val="1320692710"/>
        <w:rPr>
          <w:rFonts w:eastAsia="Times New Roman"/>
        </w:rPr>
      </w:pPr>
      <w:r>
        <w:rPr>
          <w:rFonts w:eastAsia="Times New Roman"/>
          <w:color w:val="000000"/>
          <w:sz w:val="20"/>
          <w:szCs w:val="20"/>
        </w:rPr>
        <w:t>•</w:t>
      </w:r>
      <w:r>
        <w:rPr>
          <w:rFonts w:eastAsia="Times New Roman"/>
          <w:color w:val="000000"/>
          <w:sz w:val="20"/>
          <w:szCs w:val="20"/>
        </w:rPr>
        <w:t>our ability to comply with U.S. and international laws and regulations including those related to anti-corruption, economic sanction programs and environmental matters</w:t>
      </w:r>
      <w:r>
        <w:rPr>
          <w:rFonts w:eastAsia="Times New Roman"/>
          <w:color w:val="000000"/>
          <w:sz w:val="20"/>
          <w:szCs w:val="20"/>
        </w:rPr>
        <w:t>;</w:t>
      </w:r>
    </w:p>
    <w:p w:rsidR="00000000" w:rsidRDefault="004D26FD">
      <w:pPr>
        <w:ind w:hanging="360"/>
        <w:jc w:val="both"/>
        <w:divId w:val="440875576"/>
        <w:rPr>
          <w:rFonts w:eastAsia="Times New Roman"/>
        </w:rPr>
      </w:pPr>
      <w:r>
        <w:rPr>
          <w:rFonts w:eastAsia="Times New Roman"/>
          <w:color w:val="000000"/>
          <w:sz w:val="20"/>
          <w:szCs w:val="20"/>
        </w:rPr>
        <w:t>•</w:t>
      </w:r>
      <w:r>
        <w:rPr>
          <w:rFonts w:eastAsia="Times New Roman"/>
          <w:color w:val="000000"/>
          <w:sz w:val="20"/>
          <w:szCs w:val="20"/>
        </w:rPr>
        <w:t>the outcome of litigation and other proc</w:t>
      </w:r>
      <w:r>
        <w:rPr>
          <w:rFonts w:eastAsia="Times New Roman"/>
          <w:color w:val="000000"/>
          <w:sz w:val="20"/>
          <w:szCs w:val="20"/>
        </w:rPr>
        <w:t>eedings, including the costs associated in defending any actions</w:t>
      </w:r>
      <w:r>
        <w:rPr>
          <w:rFonts w:eastAsia="Times New Roman"/>
          <w:color w:val="000000"/>
          <w:sz w:val="20"/>
          <w:szCs w:val="20"/>
        </w:rPr>
        <w:t>;</w:t>
      </w:r>
    </w:p>
    <w:p w:rsidR="00000000" w:rsidRDefault="004D26FD">
      <w:pPr>
        <w:ind w:hanging="360"/>
        <w:jc w:val="both"/>
        <w:divId w:val="266158378"/>
        <w:rPr>
          <w:rFonts w:eastAsia="Times New Roman"/>
        </w:rPr>
      </w:pPr>
      <w:r>
        <w:rPr>
          <w:rFonts w:eastAsia="Times New Roman"/>
          <w:color w:val="000000"/>
          <w:sz w:val="20"/>
          <w:szCs w:val="20"/>
        </w:rPr>
        <w:t>•</w:t>
      </w:r>
      <w:r>
        <w:rPr>
          <w:rFonts w:eastAsia="Times New Roman"/>
          <w:color w:val="000000"/>
          <w:sz w:val="20"/>
          <w:szCs w:val="20"/>
        </w:rPr>
        <w:t>increases in interest rates; an</w:t>
      </w:r>
      <w:r>
        <w:rPr>
          <w:rFonts w:eastAsia="Times New Roman"/>
          <w:color w:val="000000"/>
          <w:sz w:val="20"/>
          <w:szCs w:val="20"/>
        </w:rPr>
        <w:t>d</w:t>
      </w:r>
    </w:p>
    <w:p w:rsidR="00000000" w:rsidRDefault="004D26FD">
      <w:pPr>
        <w:ind w:hanging="360"/>
        <w:divId w:val="146242928"/>
        <w:rPr>
          <w:rFonts w:eastAsia="Times New Roman"/>
        </w:rPr>
      </w:pPr>
      <w:r>
        <w:rPr>
          <w:rFonts w:eastAsia="Times New Roman"/>
          <w:color w:val="000000"/>
          <w:sz w:val="20"/>
          <w:szCs w:val="20"/>
        </w:rPr>
        <w:t>•</w:t>
      </w:r>
      <w:r>
        <w:rPr>
          <w:rFonts w:eastAsia="Times New Roman"/>
          <w:color w:val="000000"/>
          <w:sz w:val="20"/>
          <w:szCs w:val="20"/>
        </w:rPr>
        <w:t xml:space="preserve">other risks, including those described in Item 1A - Risk Factors in our 2019 10-K Report, Part II, Item 1A of this 10-Q Report, as well as those described </w:t>
      </w:r>
      <w:r>
        <w:rPr>
          <w:rFonts w:eastAsia="Times New Roman"/>
          <w:color w:val="000000"/>
          <w:sz w:val="20"/>
          <w:szCs w:val="20"/>
        </w:rPr>
        <w:t>from time to time in our other filings with the SEC</w:t>
      </w:r>
      <w:r>
        <w:rPr>
          <w:rFonts w:eastAsia="Times New Roman"/>
          <w:color w:val="000000"/>
          <w:sz w:val="20"/>
          <w:szCs w:val="20"/>
        </w:rPr>
        <w:t>.</w:t>
      </w:r>
    </w:p>
    <w:p w:rsidR="00000000" w:rsidRDefault="004D26FD">
      <w:pPr>
        <w:ind w:firstLine="72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We operate in a very competitive and rapidly changing environment. New risks emerge from time to time. It is not possible for us to predict all of those risks, nor can we assess the impact of all of th</w:t>
      </w:r>
      <w:r>
        <w:rPr>
          <w:rFonts w:eastAsia="Times New Roman"/>
          <w:color w:val="000000"/>
          <w:sz w:val="20"/>
          <w:szCs w:val="20"/>
        </w:rPr>
        <w:t>ose risks on our business or the extent to which any factor may cause actual results to differ materially from those contained in any forward-looking statement. Further, forward-looking statements speak only as of the date they are made, and unless require</w:t>
      </w:r>
      <w:r>
        <w:rPr>
          <w:rFonts w:eastAsia="Times New Roman"/>
          <w:color w:val="000000"/>
          <w:sz w:val="20"/>
          <w:szCs w:val="20"/>
        </w:rPr>
        <w:t>d by law, we expressly disclaim any obligation or undertaking to publicly update any of them in light of new information, future events, or otherwise. Any public statements or disclosures by us following this report that modify or impact any of the forward</w:t>
      </w:r>
      <w:r>
        <w:rPr>
          <w:rFonts w:eastAsia="Times New Roman"/>
          <w:color w:val="000000"/>
          <w:sz w:val="20"/>
          <w:szCs w:val="20"/>
        </w:rPr>
        <w:t>-looking statements contained in or accompanying this 10-Q Report will be deemed to modify or supersede such forward-looking statements</w:t>
      </w:r>
      <w:r>
        <w:rPr>
          <w:rFonts w:eastAsia="Times New Roman"/>
          <w:color w:val="000000"/>
          <w:sz w:val="20"/>
          <w:szCs w:val="20"/>
        </w:rPr>
        <w:t>.</w:t>
      </w:r>
    </w:p>
    <w:p w:rsidR="00000000" w:rsidRDefault="004D26FD">
      <w:pPr>
        <w:ind w:firstLine="108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 xml:space="preserve">For these statements, we claim the protection of the safe harbor for forward-looking statements contained in Section </w:t>
      </w:r>
      <w:r>
        <w:rPr>
          <w:rFonts w:eastAsia="Times New Roman"/>
          <w:color w:val="000000"/>
          <w:sz w:val="20"/>
          <w:szCs w:val="20"/>
        </w:rPr>
        <w:t>27A of the Securities Act of 1933, as amended, and Section 21E of the Securities Exchange Act, as amended (the “Exchange Act”).</w:t>
      </w: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jc w:val="center"/>
        <w:divId w:val="1824543157"/>
        <w:rPr>
          <w:rFonts w:eastAsia="Times New Roman"/>
        </w:rPr>
      </w:pPr>
      <w:r>
        <w:rPr>
          <w:rFonts w:eastAsia="Times New Roman"/>
          <w:color w:val="000000"/>
          <w:sz w:val="20"/>
          <w:szCs w:val="20"/>
        </w:rPr>
        <w:t>2</w:t>
      </w:r>
      <w:r>
        <w:rPr>
          <w:rFonts w:eastAsia="Times New Roman"/>
          <w:color w:val="000000"/>
          <w:sz w:val="20"/>
          <w:szCs w:val="20"/>
        </w:rPr>
        <w:t>6</w:t>
      </w:r>
    </w:p>
    <w:p w:rsidR="00000000" w:rsidRDefault="004D26FD">
      <w:pPr>
        <w:rPr>
          <w:rFonts w:eastAsia="Times New Roman"/>
        </w:rPr>
      </w:pPr>
      <w:r>
        <w:rPr>
          <w:rFonts w:eastAsia="Times New Roman"/>
        </w:rPr>
        <w:pict>
          <v:rect id="_x0000_i1054" style="width:0;height:1.5pt" o:hralign="center" o:hrstd="t" o:hr="t" fillcolor="#a0a0a0" stroked="f"/>
        </w:pict>
      </w:r>
    </w:p>
    <w:p w:rsidR="00000000" w:rsidRDefault="004D26FD">
      <w:pPr>
        <w:divId w:val="561910838"/>
        <w:rPr>
          <w:rFonts w:eastAsia="Times New Roman"/>
        </w:rPr>
      </w:pPr>
    </w:p>
    <w:p w:rsidR="00000000" w:rsidRDefault="004D26FD">
      <w:pPr>
        <w:ind w:firstLine="360"/>
        <w:jc w:val="both"/>
        <w:rPr>
          <w:rFonts w:eastAsia="Times New Roman"/>
        </w:rPr>
      </w:pPr>
      <w:r>
        <w:rPr>
          <w:rFonts w:eastAsia="Times New Roman"/>
          <w:b/>
          <w:bCs/>
          <w:color w:val="000000"/>
          <w:sz w:val="20"/>
          <w:szCs w:val="20"/>
        </w:rPr>
        <w:t>Business Overvie</w:t>
      </w:r>
      <w:r>
        <w:rPr>
          <w:rFonts w:eastAsia="Times New Roman"/>
          <w:b/>
          <w:bCs/>
          <w:color w:val="000000"/>
          <w:sz w:val="20"/>
          <w:szCs w:val="20"/>
        </w:rPr>
        <w:t>w</w:t>
      </w:r>
    </w:p>
    <w:p w:rsidR="00000000" w:rsidRDefault="004D26FD">
      <w:pPr>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We are a leading global fuel services company, principally engaged in the distribution of fuel and related products and services in the aviation, land and marine transportation industries. In recent years, we have expanded our product and service offerings</w:t>
      </w:r>
      <w:r>
        <w:rPr>
          <w:rFonts w:eastAsia="Times New Roman"/>
          <w:color w:val="000000"/>
          <w:sz w:val="20"/>
          <w:szCs w:val="20"/>
        </w:rPr>
        <w:t xml:space="preserve"> to include energy advisory services and supply fulfillment for natural gas and power and transaction and payment management solutions to commercial and industrial customers. Our intention is to become a leading global energy management company offering a </w:t>
      </w:r>
      <w:r>
        <w:rPr>
          <w:rFonts w:eastAsia="Times New Roman"/>
          <w:color w:val="000000"/>
          <w:sz w:val="20"/>
          <w:szCs w:val="20"/>
        </w:rPr>
        <w:t>full suite of energy advisory, management and fulfillment services, technology solutions, as well as sustainability products and services across the energy product spectrum. We also offer payment management solutions to commercial and industrial customers,</w:t>
      </w:r>
      <w:r>
        <w:rPr>
          <w:rFonts w:eastAsia="Times New Roman"/>
          <w:color w:val="000000"/>
          <w:sz w:val="20"/>
          <w:szCs w:val="20"/>
        </w:rPr>
        <w:t xml:space="preserve"> principally in the aviation, land and marine transportation industries. We will continue to focus on enhancing the portfolio of products and services we provide based on changes in customer demand, including sustainability offerings and renewable fuel pro</w:t>
      </w:r>
      <w:r>
        <w:rPr>
          <w:rFonts w:eastAsia="Times New Roman"/>
          <w:color w:val="000000"/>
          <w:sz w:val="20"/>
          <w:szCs w:val="20"/>
        </w:rPr>
        <w:t>ducts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COVID-1</w:t>
      </w:r>
      <w:r>
        <w:rPr>
          <w:rFonts w:eastAsia="Times New Roman"/>
          <w:b/>
          <w:bCs/>
          <w:color w:val="000000"/>
          <w:sz w:val="20"/>
          <w:szCs w:val="20"/>
        </w:rPr>
        <w:t>9</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Beginning in the first quarter of 2020 and through the date of this filing, the aviation, marine and land transportation industries, along with global economic conditions, have been significantly impacted by the COVID-19 pandemic. A lar</w:t>
      </w:r>
      <w:r>
        <w:rPr>
          <w:rFonts w:eastAsia="Times New Roman"/>
          <w:color w:val="000000"/>
          <w:sz w:val="20"/>
          <w:szCs w:val="20"/>
        </w:rPr>
        <w:t>ge number of our customers in these industries have experienced substantial reductions in their operations, especially commercial airlines and cruise lines, which have been particularly impacted by the travel restrictions and stay-at-home orders. Customers</w:t>
      </w:r>
      <w:r>
        <w:rPr>
          <w:rFonts w:eastAsia="Times New Roman"/>
          <w:color w:val="000000"/>
          <w:sz w:val="20"/>
          <w:szCs w:val="20"/>
        </w:rPr>
        <w:t xml:space="preserve"> in our marine and land segments have also been adversely affected by these restrictions, as well as the extended shutdown of various businesses in affected regions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While the pandemic and associated impacts on economic activity had a limited adverse eff</w:t>
      </w:r>
      <w:r>
        <w:rPr>
          <w:rFonts w:eastAsia="Times New Roman"/>
          <w:color w:val="000000"/>
          <w:sz w:val="20"/>
          <w:szCs w:val="20"/>
        </w:rPr>
        <w:t>ect on our results of operations and financial condition for the first quarter of 2020, we have since seen a sharp decline in demand and related sales as large sectors of the global economy have been adversely impacted by the crisis. Accordingly, our resul</w:t>
      </w:r>
      <w:r>
        <w:rPr>
          <w:rFonts w:eastAsia="Times New Roman"/>
          <w:color w:val="000000"/>
          <w:sz w:val="20"/>
          <w:szCs w:val="20"/>
        </w:rPr>
        <w:t>ts of operations during the second quarter of 2020 were significantly impacted as a result of the effects of the pandemic as described in greater detail below. Since the level of activity in our business and that of our customers has historically been driv</w:t>
      </w:r>
      <w:r>
        <w:rPr>
          <w:rFonts w:eastAsia="Times New Roman"/>
          <w:color w:val="000000"/>
          <w:sz w:val="20"/>
          <w:szCs w:val="20"/>
        </w:rPr>
        <w:t>en by the level of economic activity globally, we generally expect these negative impacts to continue through the third quarter as the recent increases in COVID-19 cases have further delayed the reopening of various economies around the world</w:t>
      </w:r>
      <w:r>
        <w:rPr>
          <w:rFonts w:eastAsia="Times New Roman"/>
          <w:color w:val="000000"/>
          <w:sz w:val="20"/>
          <w:szCs w:val="20"/>
        </w:rPr>
        <w:t>.</w:t>
      </w:r>
    </w:p>
    <w:p w:rsidR="00000000" w:rsidRDefault="004D26FD">
      <w:pPr>
        <w:ind w:firstLine="360"/>
        <w:jc w:val="both"/>
        <w:rPr>
          <w:rFonts w:eastAsia="Times New Roman"/>
        </w:rPr>
      </w:pPr>
      <w:r>
        <w:rPr>
          <w:rFonts w:eastAsia="Times New Roman"/>
          <w:b/>
          <w:bCs/>
          <w:color w:val="000000"/>
          <w:sz w:val="20"/>
          <w:szCs w:val="20"/>
        </w:rPr>
        <w:t>Aviation Seg</w:t>
      </w:r>
      <w:r>
        <w:rPr>
          <w:rFonts w:eastAsia="Times New Roman"/>
          <w:b/>
          <w:bCs/>
          <w:color w:val="000000"/>
          <w:sz w:val="20"/>
          <w:szCs w:val="20"/>
        </w:rPr>
        <w:t>men</w:t>
      </w:r>
      <w:r>
        <w:rPr>
          <w:rFonts w:eastAsia="Times New Roman"/>
          <w:b/>
          <w:bCs/>
          <w:color w:val="000000"/>
          <w:sz w:val="20"/>
          <w:szCs w:val="20"/>
        </w:rPr>
        <w:t>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aviation segment has benefited from growth in our fuel and related services offerings, as well as our improving logistics capability and the impact of our expanded aviation fueling operations footprint into additional international airport locat</w:t>
      </w:r>
      <w:r>
        <w:rPr>
          <w:rFonts w:eastAsia="Times New Roman"/>
          <w:color w:val="000000"/>
          <w:sz w:val="20"/>
          <w:szCs w:val="20"/>
        </w:rPr>
        <w:t>ions. However, as a result of COVID-19, the overall aviation market, principally commercial passenger airlines, has been significantly impacted by the travel restrictions and a sharp decrease in demand for air travel. Accordingly, during the second quarter</w:t>
      </w:r>
      <w:r>
        <w:rPr>
          <w:rFonts w:eastAsia="Times New Roman"/>
          <w:color w:val="000000"/>
          <w:sz w:val="20"/>
          <w:szCs w:val="20"/>
        </w:rPr>
        <w:t xml:space="preserve"> of 2020, we experienced a material volume decline in our commercial aviation business and, to a somewhat lesser extent, a significant reduction in our business and general aviation activities. Our results of operations in these lines of business for the b</w:t>
      </w:r>
      <w:r>
        <w:rPr>
          <w:rFonts w:eastAsia="Times New Roman"/>
          <w:color w:val="000000"/>
          <w:sz w:val="20"/>
          <w:szCs w:val="20"/>
        </w:rPr>
        <w:t>alance of 2020 will be highly contingent on the timing and extent to which the restrictions on air travel are lifted and the global economy begins to recover from the effects of the current crisis.</w:t>
      </w:r>
      <w:r>
        <w:rPr>
          <w:rFonts w:eastAsia="Times New Roman"/>
          <w:color w:val="000000"/>
          <w:sz w:val="20"/>
          <w:szCs w:val="20"/>
        </w:rPr>
        <w:t xml:space="preserve"> </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Furthermore, our aviation segment has benefited from si</w:t>
      </w:r>
      <w:r>
        <w:rPr>
          <w:rFonts w:eastAsia="Times New Roman"/>
          <w:color w:val="000000"/>
          <w:sz w:val="20"/>
          <w:szCs w:val="20"/>
        </w:rPr>
        <w:t>gnificant sales to NATO in Afghanistan, which accounts for a material portion of our aviation segment's profitability. The current contract for these sales to NATO has been renewed through December 2020 and has two additional one-year renewal options at NA</w:t>
      </w:r>
      <w:r>
        <w:rPr>
          <w:rFonts w:eastAsia="Times New Roman"/>
          <w:color w:val="000000"/>
          <w:sz w:val="20"/>
          <w:szCs w:val="20"/>
        </w:rPr>
        <w:t>TO's discretion. Global events and military-related activities, as well as the level of troop deployments, can cause our government customer sales to vary significantly from period to period and materially impact our results of operations. The U.S. governm</w:t>
      </w:r>
      <w:r>
        <w:rPr>
          <w:rFonts w:eastAsia="Times New Roman"/>
          <w:color w:val="000000"/>
          <w:sz w:val="20"/>
          <w:szCs w:val="20"/>
        </w:rPr>
        <w:t>ent has announced its intention to significantly reduce the level of U.S. troops in the Middle East, including the troops supporting NATO in Afghanistan. In connection therewith, in the early part of 2020, the U.S. entered into an agreement with the Taliba</w:t>
      </w:r>
      <w:r>
        <w:rPr>
          <w:rFonts w:eastAsia="Times New Roman"/>
          <w:color w:val="000000"/>
          <w:sz w:val="20"/>
          <w:szCs w:val="20"/>
        </w:rPr>
        <w:t>n where it agreed to reduce the level of troops and negotiate a full withdrawal by 2021, subject to various conditions including a peace agreement being reached between the government of Afghanistan and the Taliban. In June 2020, the U.S. government public</w:t>
      </w:r>
      <w:r>
        <w:rPr>
          <w:rFonts w:eastAsia="Times New Roman"/>
          <w:color w:val="000000"/>
          <w:sz w:val="20"/>
          <w:szCs w:val="20"/>
        </w:rPr>
        <w:t xml:space="preserve">ly confirmed that it had completed the initial reduction in the level of troops in accordance with the terms of the agreement. While the exact timing and full impact of the troop withdrawal remains uncertain, we began to see a decline in demand at the end </w:t>
      </w:r>
      <w:r>
        <w:rPr>
          <w:rFonts w:eastAsia="Times New Roman"/>
          <w:color w:val="000000"/>
          <w:sz w:val="20"/>
          <w:szCs w:val="20"/>
        </w:rPr>
        <w:t>of the first quarter of 2020, which continued in the second quarter, and expect to experience additional material reductions in demand over the balance of the year and into 2021.</w:t>
      </w:r>
      <w:r>
        <w:rPr>
          <w:rFonts w:eastAsia="Times New Roman"/>
          <w:color w:val="000000"/>
          <w:sz w:val="20"/>
          <w:szCs w:val="20"/>
        </w:rPr>
        <w:t xml:space="preserve"> </w:t>
      </w:r>
    </w:p>
    <w:p w:rsidR="00000000" w:rsidRDefault="004D26FD">
      <w:pPr>
        <w:ind w:firstLine="360"/>
        <w:jc w:val="both"/>
        <w:rPr>
          <w:rFonts w:eastAsia="Times New Roman"/>
        </w:rPr>
      </w:pPr>
    </w:p>
    <w:p w:rsidR="00000000" w:rsidRDefault="004D26FD">
      <w:pPr>
        <w:jc w:val="center"/>
        <w:divId w:val="1983002014"/>
        <w:rPr>
          <w:rFonts w:eastAsia="Times New Roman"/>
        </w:rPr>
      </w:pPr>
      <w:r>
        <w:rPr>
          <w:rFonts w:eastAsia="Times New Roman"/>
          <w:color w:val="000000"/>
          <w:sz w:val="20"/>
          <w:szCs w:val="20"/>
        </w:rPr>
        <w:t>2</w:t>
      </w:r>
      <w:r>
        <w:rPr>
          <w:rFonts w:eastAsia="Times New Roman"/>
          <w:color w:val="000000"/>
          <w:sz w:val="20"/>
          <w:szCs w:val="20"/>
        </w:rPr>
        <w:t>7</w:t>
      </w:r>
    </w:p>
    <w:p w:rsidR="00000000" w:rsidRDefault="004D26FD">
      <w:pPr>
        <w:rPr>
          <w:rFonts w:eastAsia="Times New Roman"/>
        </w:rPr>
      </w:pPr>
      <w:r>
        <w:rPr>
          <w:rFonts w:eastAsia="Times New Roman"/>
        </w:rPr>
        <w:pict>
          <v:rect id="_x0000_i1055" style="width:0;height:1.5pt" o:hralign="center" o:hrstd="t" o:hr="t" fillcolor="#a0a0a0" stroked="f"/>
        </w:pict>
      </w:r>
    </w:p>
    <w:p w:rsidR="00000000" w:rsidRDefault="004D26FD">
      <w:pPr>
        <w:divId w:val="917060820"/>
        <w:rPr>
          <w:rFonts w:eastAsia="Times New Roman"/>
        </w:rPr>
      </w:pPr>
    </w:p>
    <w:p w:rsidR="00000000" w:rsidRDefault="004D26FD">
      <w:pPr>
        <w:ind w:firstLine="360"/>
        <w:jc w:val="both"/>
        <w:rPr>
          <w:rFonts w:eastAsia="Times New Roman"/>
        </w:rPr>
      </w:pPr>
      <w:r>
        <w:rPr>
          <w:rFonts w:eastAsia="Times New Roman"/>
          <w:b/>
          <w:bCs/>
          <w:color w:val="000000"/>
          <w:sz w:val="20"/>
          <w:szCs w:val="20"/>
        </w:rPr>
        <w:t>Land Segmen</w:t>
      </w:r>
      <w:r>
        <w:rPr>
          <w:rFonts w:eastAsia="Times New Roman"/>
          <w:b/>
          <w:bCs/>
          <w:color w:val="000000"/>
          <w:sz w:val="20"/>
          <w:szCs w:val="20"/>
        </w:rPr>
        <w:t>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Our land segment </w:t>
      </w:r>
      <w:r>
        <w:rPr>
          <w:rFonts w:eastAsia="Times New Roman"/>
          <w:color w:val="000000"/>
          <w:sz w:val="20"/>
          <w:szCs w:val="20"/>
        </w:rPr>
        <w:t>primarily consists of land fuel distribution in the U.S. and the U.K., further complemented by our expansion into energy advisory, brokerage and fulfillment solutions with respect to power, natural gas and other energy products. We also offer sustainabilit</w:t>
      </w:r>
      <w:r>
        <w:rPr>
          <w:rFonts w:eastAsia="Times New Roman"/>
          <w:color w:val="000000"/>
          <w:sz w:val="20"/>
          <w:szCs w:val="20"/>
        </w:rPr>
        <w:t xml:space="preserve">y consulting, renewable fuel products, and carbon management and renewable energy solutions through our World Kinect global energy management brand. Due to the diverse portfolio of customers, businesses and activities within our land segment, the COVID-19 </w:t>
      </w:r>
      <w:r>
        <w:rPr>
          <w:rFonts w:eastAsia="Times New Roman"/>
          <w:color w:val="000000"/>
          <w:sz w:val="20"/>
          <w:szCs w:val="20"/>
        </w:rPr>
        <w:t>related impacts are more difficult to predict. For example, during the second quarter of 2020, our operating results in our land segment benefited from improvements in the U.K. However, this increase was largely offset by a decline in profitability in Nort</w:t>
      </w:r>
      <w:r>
        <w:rPr>
          <w:rFonts w:eastAsia="Times New Roman"/>
          <w:color w:val="000000"/>
          <w:sz w:val="20"/>
          <w:szCs w:val="20"/>
        </w:rPr>
        <w:t>h America, primarily due to a material decrease in sales to retail, commercial and industrial customers in connection with the continued negative impacts of the pandemic, particularly throughout much of the U.S. The extent of any improvements in these acti</w:t>
      </w:r>
      <w:r>
        <w:rPr>
          <w:rFonts w:eastAsia="Times New Roman"/>
          <w:color w:val="000000"/>
          <w:sz w:val="20"/>
          <w:szCs w:val="20"/>
        </w:rPr>
        <w:t>vities will continue to be dependent on the timing and extent to which quarantine restrictions are lifted and local business activity resumes. Furthermore, for the same reasons as those described above, we experienced a decline in government-related activi</w:t>
      </w:r>
      <w:r>
        <w:rPr>
          <w:rFonts w:eastAsia="Times New Roman"/>
          <w:color w:val="000000"/>
          <w:sz w:val="20"/>
          <w:szCs w:val="20"/>
        </w:rPr>
        <w:t>ty in Afghanistan during the second quarter of 2020 and expect to continue to see a decline in this activity through the balance of 2020 and into 2021</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Marine Segmen</w:t>
      </w:r>
      <w:r>
        <w:rPr>
          <w:rFonts w:eastAsia="Times New Roman"/>
          <w:b/>
          <w:bCs/>
          <w:color w:val="000000"/>
          <w:sz w:val="20"/>
          <w:szCs w:val="20"/>
        </w:rPr>
        <w:t>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Our marine segment has posted strong quarterly comparative results in recent periods </w:t>
      </w:r>
      <w:r>
        <w:rPr>
          <w:rFonts w:eastAsia="Times New Roman"/>
          <w:color w:val="000000"/>
          <w:sz w:val="20"/>
          <w:szCs w:val="20"/>
        </w:rPr>
        <w:t>despite challenging conditions within the global shipping and offshore exploration markets. Overall, throughout 2019 and into early 2020, higher average fuel prices, combined with our focus on reshaping our portfolio and cost management, improved profitabi</w:t>
      </w:r>
      <w:r>
        <w:rPr>
          <w:rFonts w:eastAsia="Times New Roman"/>
          <w:color w:val="000000"/>
          <w:sz w:val="20"/>
          <w:szCs w:val="20"/>
        </w:rPr>
        <w:t>lity. In addition, the implementation of the IMO 2020 mandatory low sulfur regulations that went into effect on January 1, 2020 resulted in certain supply imbalances and price volatility in late 2019 and through much of the first quarter of 2020 that posit</w:t>
      </w:r>
      <w:r>
        <w:rPr>
          <w:rFonts w:eastAsia="Times New Roman"/>
          <w:color w:val="000000"/>
          <w:sz w:val="20"/>
          <w:szCs w:val="20"/>
        </w:rPr>
        <w:t>ively impacted our operating results in those periods. However, in the latter part of the first quarter of 2020, we began to experience a decline in volume and profitability due to the effects of the pandemic coupled with the significant decline in fuel pr</w:t>
      </w:r>
      <w:r>
        <w:rPr>
          <w:rFonts w:eastAsia="Times New Roman"/>
          <w:color w:val="000000"/>
          <w:sz w:val="20"/>
          <w:szCs w:val="20"/>
        </w:rPr>
        <w:t>ices, which continued into the second quarter. We expect our marine segment’s volume and profitability to continue to be negatively impacted by the effects of the pandemic for the balance of the year, particularly with respect to cruise lines and certain s</w:t>
      </w:r>
      <w:r>
        <w:rPr>
          <w:rFonts w:eastAsia="Times New Roman"/>
          <w:color w:val="000000"/>
          <w:sz w:val="20"/>
          <w:szCs w:val="20"/>
        </w:rPr>
        <w:t>ectors of the shipping industry, as well as lower fuel prices. However, we still expect our results for the third quarter of 2020 to be generally consistent with the third quarter of 2019</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Other Action</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With respect to our own operations, we have imple</w:t>
      </w:r>
      <w:r>
        <w:rPr>
          <w:rFonts w:eastAsia="Times New Roman"/>
          <w:color w:val="000000"/>
          <w:sz w:val="20"/>
          <w:szCs w:val="20"/>
        </w:rPr>
        <w:t>mented our business continuity and emergency response plans in alignment with mandates from local authorities. To ensure the safety of our employees who are continuing to work, we have provided instructions on how to work safely in light of the pandemic an</w:t>
      </w:r>
      <w:r>
        <w:rPr>
          <w:rFonts w:eastAsia="Times New Roman"/>
          <w:color w:val="000000"/>
          <w:sz w:val="20"/>
          <w:szCs w:val="20"/>
        </w:rPr>
        <w:t>d elevated our cleaning protocols for our offices, facilities and equipment. We are maximizing remote work throughout our global offices and our employees are collaborating virtually with our customers, suppliers and each other using the information sharin</w:t>
      </w:r>
      <w:r>
        <w:rPr>
          <w:rFonts w:eastAsia="Times New Roman"/>
          <w:color w:val="000000"/>
          <w:sz w:val="20"/>
          <w:szCs w:val="20"/>
        </w:rPr>
        <w:t>g tools and technology that we have invested in during the last several years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Due to the ongoing and expected adverse impacts of the COVID-19 crisis, we immediately made cost-related decisions as the pandemic began impacting our business activities. For example, we immediately instituted a hiring freeze and implemented travel restri</w:t>
      </w:r>
      <w:r>
        <w:rPr>
          <w:rFonts w:eastAsia="Times New Roman"/>
          <w:color w:val="000000"/>
          <w:sz w:val="20"/>
          <w:szCs w:val="20"/>
        </w:rPr>
        <w:t>ctions for our employees across the organization, postponed or eliminated all non-essential capital expenditures and other projects and initiatives, significantly reduced or deferred professional fees, marketing expenses and other similar costs. In additio</w:t>
      </w:r>
      <w:r>
        <w:rPr>
          <w:rFonts w:eastAsia="Times New Roman"/>
          <w:color w:val="000000"/>
          <w:sz w:val="20"/>
          <w:szCs w:val="20"/>
        </w:rPr>
        <w:t>n, while we have continued to focus on improving operating efficiencies and returns, we have also concentrated on lowering our operating costs, including those of our land segment, which has historically had a higher expense ratio than other parts of our b</w:t>
      </w:r>
      <w:r>
        <w:rPr>
          <w:rFonts w:eastAsia="Times New Roman"/>
          <w:color w:val="000000"/>
          <w:sz w:val="20"/>
          <w:szCs w:val="20"/>
        </w:rPr>
        <w:t>usiness. Accordingly, during the first quarter of 2020, we commenced a restructuring initiative focused on further streamlining our operations and sharpening our deployment of resources, not only in our land segment but also in our other segments due to th</w:t>
      </w:r>
      <w:r>
        <w:rPr>
          <w:rFonts w:eastAsia="Times New Roman"/>
          <w:color w:val="000000"/>
          <w:sz w:val="20"/>
          <w:szCs w:val="20"/>
        </w:rPr>
        <w:t>e adverse impacts of the pandemic. During the second quarter of 2020, we expanded this restructuring to include the rationalization of our global office footprint and approved the abandonment of certain office leases, including the transition of select off</w:t>
      </w:r>
      <w:r>
        <w:rPr>
          <w:rFonts w:eastAsia="Times New Roman"/>
          <w:color w:val="000000"/>
          <w:sz w:val="20"/>
          <w:szCs w:val="20"/>
        </w:rPr>
        <w:t>ices to smaller or more cost-effective locations. See note 13 of the financial statements included in Part I of this 10-Q Report for additional information regarding this restructuring</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ultimate duration and impact of the COVID-19 pandemic on our bus</w:t>
      </w:r>
      <w:r>
        <w:rPr>
          <w:rFonts w:eastAsia="Times New Roman"/>
          <w:color w:val="000000"/>
          <w:sz w:val="20"/>
          <w:szCs w:val="20"/>
        </w:rPr>
        <w:t>iness and our customers' operations continue to be unclear. Furthermore, the extent to which we or our customers will ultimately be impacted by the pandemic is not fully ascertainable as it is closely related to the timing and extent to which the global ec</w:t>
      </w:r>
      <w:r>
        <w:rPr>
          <w:rFonts w:eastAsia="Times New Roman"/>
          <w:color w:val="000000"/>
          <w:sz w:val="20"/>
          <w:szCs w:val="20"/>
        </w:rPr>
        <w:t>onomy, and the aviation land and marine transportation industries, in particular, recover from the crisis. For additional discussion on the risks relating to the pandemic, see Item 1A. Risk Factors in Part II of this 10-Q Report</w:t>
      </w:r>
      <w:r>
        <w:rPr>
          <w:rFonts w:eastAsia="Times New Roman"/>
          <w:color w:val="000000"/>
          <w:sz w:val="20"/>
          <w:szCs w:val="20"/>
        </w:rPr>
        <w:t>.</w:t>
      </w:r>
    </w:p>
    <w:p w:rsidR="00000000" w:rsidRDefault="004D26FD">
      <w:pPr>
        <w:jc w:val="both"/>
        <w:rPr>
          <w:rFonts w:eastAsia="Times New Roman"/>
        </w:rPr>
      </w:pPr>
    </w:p>
    <w:p w:rsidR="00000000" w:rsidRDefault="004D26FD">
      <w:pPr>
        <w:jc w:val="center"/>
        <w:divId w:val="1589462611"/>
        <w:rPr>
          <w:rFonts w:eastAsia="Times New Roman"/>
        </w:rPr>
      </w:pPr>
      <w:r>
        <w:rPr>
          <w:rFonts w:eastAsia="Times New Roman"/>
          <w:color w:val="000000"/>
          <w:sz w:val="20"/>
          <w:szCs w:val="20"/>
        </w:rPr>
        <w:t>2</w:t>
      </w:r>
      <w:r>
        <w:rPr>
          <w:rFonts w:eastAsia="Times New Roman"/>
          <w:color w:val="000000"/>
          <w:sz w:val="20"/>
          <w:szCs w:val="20"/>
        </w:rPr>
        <w:t>8</w:t>
      </w:r>
    </w:p>
    <w:p w:rsidR="00000000" w:rsidRDefault="004D26FD">
      <w:pPr>
        <w:rPr>
          <w:rFonts w:eastAsia="Times New Roman"/>
        </w:rPr>
      </w:pPr>
      <w:r>
        <w:rPr>
          <w:rFonts w:eastAsia="Times New Roman"/>
        </w:rPr>
        <w:pict>
          <v:rect id="_x0000_i1056" style="width:0;height:1.5pt" o:hralign="center" o:hrstd="t" o:hr="t" fillcolor="#a0a0a0" stroked="f"/>
        </w:pict>
      </w:r>
    </w:p>
    <w:p w:rsidR="00000000" w:rsidRDefault="004D26FD">
      <w:pPr>
        <w:divId w:val="1373336602"/>
        <w:rPr>
          <w:rFonts w:eastAsia="Times New Roman"/>
        </w:rPr>
      </w:pPr>
    </w:p>
    <w:p w:rsidR="00000000" w:rsidRDefault="004D26FD">
      <w:pPr>
        <w:ind w:firstLine="360"/>
        <w:jc w:val="both"/>
        <w:rPr>
          <w:rFonts w:eastAsia="Times New Roman"/>
        </w:rPr>
      </w:pPr>
      <w:r>
        <w:rPr>
          <w:rFonts w:eastAsia="Times New Roman"/>
          <w:b/>
          <w:bCs/>
          <w:color w:val="000000"/>
          <w:sz w:val="20"/>
          <w:szCs w:val="20"/>
        </w:rPr>
        <w:t>Reportable Segment</w:t>
      </w:r>
      <w:r>
        <w:rPr>
          <w:rFonts w:eastAsia="Times New Roman"/>
          <w:b/>
          <w:bCs/>
          <w:color w:val="000000"/>
          <w:sz w:val="20"/>
          <w:szCs w:val="20"/>
        </w:rPr>
        <w:t>s</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divId w:val="1019965207"/>
        <w:rPr>
          <w:rFonts w:eastAsia="Times New Roman"/>
        </w:rPr>
      </w:pPr>
      <w:r>
        <w:rPr>
          <w:rFonts w:eastAsia="Times New Roman"/>
          <w:color w:val="000000"/>
          <w:sz w:val="20"/>
          <w:szCs w:val="20"/>
        </w:rPr>
        <w:t>We operate in three reportable segments consisting of aviation, land and marine, where we offer fuel and related products and services to commercial and industrial customers in each of these transportation industries. Within each of our segments, we may en</w:t>
      </w:r>
      <w:r>
        <w:rPr>
          <w:rFonts w:eastAsia="Times New Roman"/>
          <w:color w:val="000000"/>
          <w:sz w:val="20"/>
          <w:szCs w:val="20"/>
        </w:rPr>
        <w:t>ter into derivative contracts to mitigate the risk of market price fluctuations and also to offer our customers fuel pricing alternatives to meet their needs</w:t>
      </w:r>
      <w:r>
        <w:rPr>
          <w:rFonts w:eastAsia="Times New Roman"/>
          <w:color w:val="000000"/>
          <w:sz w:val="20"/>
          <w:szCs w:val="20"/>
        </w:rPr>
        <w:t>.</w:t>
      </w:r>
    </w:p>
    <w:p w:rsidR="00000000" w:rsidRDefault="004D26FD">
      <w:pPr>
        <w:ind w:firstLine="360"/>
        <w:jc w:val="both"/>
        <w:divId w:val="1568805738"/>
        <w:rPr>
          <w:rFonts w:eastAsia="Times New Roman"/>
        </w:rPr>
      </w:pPr>
      <w:r>
        <w:rPr>
          <w:rFonts w:eastAsia="Times New Roman"/>
          <w:color w:val="000000"/>
          <w:sz w:val="20"/>
          <w:szCs w:val="20"/>
        </w:rPr>
        <w:t>In our aviation and land segments, we primarily purchase and resell fuel and other products. Prof</w:t>
      </w:r>
      <w:r>
        <w:rPr>
          <w:rFonts w:eastAsia="Times New Roman"/>
          <w:color w:val="000000"/>
          <w:sz w:val="20"/>
          <w:szCs w:val="20"/>
        </w:rPr>
        <w:t xml:space="preserve">it from our aviation and land segments is primarily determined by the volume and the gross profit achieved on fuel sales and related services. In our marine segment, we primarily purchase and resell fuel and also act as brokers for others. Profit from our </w:t>
      </w:r>
      <w:r>
        <w:rPr>
          <w:rFonts w:eastAsia="Times New Roman"/>
          <w:color w:val="000000"/>
          <w:sz w:val="20"/>
          <w:szCs w:val="20"/>
        </w:rPr>
        <w:t>marine segment is determined mostly by the volume and gross profit achieved on fuel resales and by the volume and commission rate of the brokering business. Profitability in our segments also depends on our operating expenses, which may be materially affec</w:t>
      </w:r>
      <w:r>
        <w:rPr>
          <w:rFonts w:eastAsia="Times New Roman"/>
          <w:color w:val="000000"/>
          <w:sz w:val="20"/>
          <w:szCs w:val="20"/>
        </w:rPr>
        <w:t>ted to the extent that we are required to provide for potential bad debt.</w:t>
      </w:r>
      <w:r>
        <w:rPr>
          <w:rFonts w:eastAsia="Times New Roman"/>
          <w:color w:val="000000"/>
          <w:sz w:val="20"/>
          <w:szCs w:val="20"/>
        </w:rPr>
        <w:t xml:space="preserve"> </w:t>
      </w:r>
    </w:p>
    <w:p w:rsidR="00000000" w:rsidRDefault="004D26FD">
      <w:pPr>
        <w:ind w:firstLine="360"/>
        <w:jc w:val="both"/>
        <w:divId w:val="1417628832"/>
        <w:rPr>
          <w:rFonts w:eastAsia="Times New Roman"/>
        </w:rPr>
      </w:pPr>
      <w:r>
        <w:rPr>
          <w:rFonts w:eastAsia="Times New Roman"/>
          <w:color w:val="000000"/>
          <w:sz w:val="20"/>
          <w:szCs w:val="20"/>
        </w:rPr>
        <w:t>Corporate expenses are allocated to each segment based on usage, where possible, or other factors according to the nature of the activity. We evaluate and manage our business segmen</w:t>
      </w:r>
      <w:r>
        <w:rPr>
          <w:rFonts w:eastAsia="Times New Roman"/>
          <w:color w:val="000000"/>
          <w:sz w:val="20"/>
          <w:szCs w:val="20"/>
        </w:rPr>
        <w:t>ts using the performance measurement of income from operations. Selected financial information with respect to our business segments is provided in Note</w:t>
      </w:r>
      <w:r>
        <w:rPr>
          <w:rFonts w:eastAsia="Times New Roman"/>
          <w:color w:val="000000"/>
          <w:sz w:val="20"/>
          <w:szCs w:val="20"/>
        </w:rPr>
        <w:t> </w:t>
      </w:r>
      <w:hyperlink w:anchor="i38eac0cef5ef4c4591dad908159e1e8d_79" w:history="1">
        <w:r>
          <w:rPr>
            <w:rStyle w:val="a3"/>
            <w:rFonts w:eastAsia="Times New Roman"/>
            <w:color w:val="000000"/>
            <w:sz w:val="20"/>
            <w:szCs w:val="20"/>
            <w:u w:val="none"/>
          </w:rPr>
          <w:t>10</w:t>
        </w:r>
      </w:hyperlink>
      <w:r>
        <w:rPr>
          <w:rFonts w:eastAsia="Times New Roman"/>
          <w:color w:val="000000"/>
          <w:sz w:val="20"/>
          <w:szCs w:val="20"/>
        </w:rPr>
        <w:t>. Business Segments accompanying the Conso</w:t>
      </w:r>
      <w:r>
        <w:rPr>
          <w:rFonts w:eastAsia="Times New Roman"/>
          <w:color w:val="000000"/>
          <w:sz w:val="20"/>
          <w:szCs w:val="20"/>
        </w:rPr>
        <w:t>lidated Financial Statements included in this 10-Q Report</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1047803410"/>
        <w:rPr>
          <w:rFonts w:eastAsia="Times New Roman"/>
        </w:rPr>
      </w:pPr>
      <w:r>
        <w:rPr>
          <w:rFonts w:eastAsia="Times New Roman"/>
          <w:color w:val="000000"/>
          <w:sz w:val="20"/>
          <w:szCs w:val="20"/>
        </w:rPr>
        <w:t>2</w:t>
      </w:r>
      <w:r>
        <w:rPr>
          <w:rFonts w:eastAsia="Times New Roman"/>
          <w:color w:val="000000"/>
          <w:sz w:val="20"/>
          <w:szCs w:val="20"/>
        </w:rPr>
        <w:t>9</w:t>
      </w:r>
    </w:p>
    <w:p w:rsidR="00000000" w:rsidRDefault="004D26FD">
      <w:pPr>
        <w:rPr>
          <w:rFonts w:eastAsia="Times New Roman"/>
        </w:rPr>
      </w:pPr>
      <w:r>
        <w:rPr>
          <w:rFonts w:eastAsia="Times New Roman"/>
        </w:rPr>
        <w:pict>
          <v:rect id="_x0000_i1057" style="width:0;height:1.5pt" o:hralign="center" o:hrstd="t" o:hr="t" fillcolor="#a0a0a0" stroked="f"/>
        </w:pict>
      </w:r>
    </w:p>
    <w:p w:rsidR="00000000" w:rsidRDefault="004D26FD">
      <w:pPr>
        <w:divId w:val="347105479"/>
        <w:rPr>
          <w:rFonts w:eastAsia="Times New Roman"/>
        </w:rPr>
      </w:pPr>
    </w:p>
    <w:p w:rsidR="00000000" w:rsidRDefault="004D26FD">
      <w:pPr>
        <w:ind w:firstLine="360"/>
        <w:jc w:val="both"/>
        <w:divId w:val="1005135438"/>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4D26FD">
      <w:pPr>
        <w:ind w:firstLine="360"/>
        <w:jc w:val="both"/>
        <w:rPr>
          <w:rFonts w:eastAsia="Times New Roman"/>
        </w:rPr>
      </w:pPr>
      <w:r>
        <w:rPr>
          <w:rFonts w:eastAsia="Times New Roman"/>
          <w:b/>
          <w:bCs/>
          <w:color w:val="000000"/>
          <w:sz w:val="20"/>
          <w:szCs w:val="20"/>
        </w:rPr>
        <w:t>Three Months Ended June 30, 2020 Compared to Three Months Ended June 30, 2019</w:t>
      </w:r>
      <w:r>
        <w:rPr>
          <w:rFonts w:eastAsia="Times New Roman"/>
          <w:b/>
          <w:bCs/>
          <w:color w:val="000000"/>
          <w:sz w:val="20"/>
          <w:szCs w:val="20"/>
        </w:rPr>
        <w:t xml:space="preserve"> </w:t>
      </w:r>
    </w:p>
    <w:p w:rsidR="00000000" w:rsidRDefault="004D26FD">
      <w:pPr>
        <w:ind w:firstLine="360"/>
        <w:jc w:val="both"/>
        <w:rPr>
          <w:rFonts w:eastAsia="Times New Roman"/>
        </w:rPr>
      </w:pPr>
    </w:p>
    <w:p w:rsidR="00000000" w:rsidRDefault="004D26FD">
      <w:pPr>
        <w:ind w:firstLine="360"/>
        <w:jc w:val="both"/>
        <w:divId w:val="94788142"/>
        <w:rPr>
          <w:rFonts w:eastAsia="Times New Roman"/>
        </w:rPr>
      </w:pPr>
      <w:r>
        <w:rPr>
          <w:rFonts w:eastAsia="Times New Roman"/>
          <w:i/>
          <w:iCs/>
          <w:color w:val="000000"/>
          <w:sz w:val="20"/>
          <w:szCs w:val="20"/>
        </w:rPr>
        <w:t>Revenue.</w:t>
      </w:r>
      <w:r>
        <w:rPr>
          <w:rFonts w:eastAsia="Times New Roman"/>
          <w:i/>
          <w:iCs/>
          <w:color w:val="000000"/>
          <w:sz w:val="20"/>
          <w:szCs w:val="20"/>
        </w:rPr>
        <w:t> </w:t>
      </w:r>
      <w:r>
        <w:rPr>
          <w:rFonts w:eastAsia="Times New Roman"/>
          <w:color w:val="000000"/>
          <w:sz w:val="20"/>
          <w:szCs w:val="20"/>
        </w:rPr>
        <w:t>Our revenue for the second quarter of 2020</w:t>
      </w:r>
      <w:r>
        <w:rPr>
          <w:rFonts w:eastAsia="Times New Roman"/>
          <w:color w:val="000000"/>
          <w:sz w:val="20"/>
          <w:szCs w:val="20"/>
        </w:rPr>
        <w:t xml:space="preserve"> was $3.2 billion, a decrease of $6.3 billion, or 67%, as compared to the second quarter of 2019. Our revenue during these periods was attributable to the following segments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4936"/>
        <w:gridCol w:w="55"/>
        <w:gridCol w:w="36"/>
        <w:gridCol w:w="36"/>
        <w:gridCol w:w="36"/>
        <w:gridCol w:w="115"/>
        <w:gridCol w:w="729"/>
        <w:gridCol w:w="75"/>
        <w:gridCol w:w="36"/>
        <w:gridCol w:w="36"/>
        <w:gridCol w:w="36"/>
        <w:gridCol w:w="115"/>
        <w:gridCol w:w="716"/>
        <w:gridCol w:w="75"/>
        <w:gridCol w:w="36"/>
        <w:gridCol w:w="36"/>
        <w:gridCol w:w="36"/>
        <w:gridCol w:w="115"/>
        <w:gridCol w:w="680"/>
        <w:gridCol w:w="75"/>
        <w:gridCol w:w="36"/>
        <w:gridCol w:w="36"/>
        <w:gridCol w:w="36"/>
        <w:gridCol w:w="36"/>
        <w:gridCol w:w="36"/>
        <w:gridCol w:w="36"/>
      </w:tblGrid>
      <w:tr w:rsidR="00000000">
        <w:trPr>
          <w:gridAfter w:val="6"/>
          <w:divId w:val="214202515"/>
        </w:trPr>
        <w:tc>
          <w:tcPr>
            <w:tcW w:w="50" w:type="pct"/>
            <w:vAlign w:val="center"/>
            <w:hideMark/>
          </w:tcPr>
          <w:p w:rsidR="00000000" w:rsidRDefault="004D26FD">
            <w:pPr>
              <w:ind w:firstLine="360"/>
              <w:jc w:val="both"/>
              <w:rPr>
                <w:rFonts w:eastAsia="Times New Roman"/>
              </w:rPr>
            </w:pPr>
          </w:p>
        </w:tc>
        <w:tc>
          <w:tcPr>
            <w:tcW w:w="307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214202515"/>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214202515"/>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214202515"/>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420251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1,020.6</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4,785.0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(3,764.4</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420251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1,197.6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2,663.0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(1,465.4</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420251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940.2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2,011.4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(1,071.2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14202515"/>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3,158.3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9,459.4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(6,301.0</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divId w:val="1466850252"/>
        <w:rPr>
          <w:rFonts w:eastAsia="Times New Roman"/>
        </w:rPr>
      </w:pPr>
      <w:r>
        <w:rPr>
          <w:rFonts w:eastAsia="Times New Roman"/>
          <w:color w:val="000000"/>
          <w:sz w:val="20"/>
          <w:szCs w:val="20"/>
        </w:rPr>
        <w:t>Revenues in our aviation segment were $1.0 billion for the second quarter of 2020, a decrease of $3.8 billion, or 79% as compared to the second quarter of 20</w:t>
      </w:r>
      <w:r>
        <w:rPr>
          <w:rFonts w:eastAsia="Times New Roman"/>
          <w:color w:val="000000"/>
          <w:sz w:val="20"/>
          <w:szCs w:val="20"/>
        </w:rPr>
        <w:t>19. Lower average jet fuel prices drove much of the decrease in aviation revenue in the second quarter of 2020, where the average price per gallon sold was $1.04, as compared to $2.10 in the second quarter of 2019. Additionally, as compared to the prior-ye</w:t>
      </w:r>
      <w:r>
        <w:rPr>
          <w:rFonts w:eastAsia="Times New Roman"/>
          <w:color w:val="000000"/>
          <w:sz w:val="20"/>
          <w:szCs w:val="20"/>
        </w:rPr>
        <w:t xml:space="preserve">ar period, total aviation volumes for the second quarter of 2020 decreased by 1.5 billion or 68% to 688.1 million gallons. The volume reduction was due to the significant decline in activity in our commercial aviation business as a result of the impact of </w:t>
      </w:r>
      <w:r>
        <w:rPr>
          <w:rFonts w:eastAsia="Times New Roman"/>
          <w:color w:val="000000"/>
          <w:sz w:val="20"/>
          <w:szCs w:val="20"/>
        </w:rPr>
        <w:t>the COVID-19 pandemic on air travel</w:t>
      </w:r>
      <w:r>
        <w:rPr>
          <w:rFonts w:eastAsia="Times New Roman"/>
          <w:color w:val="000000"/>
          <w:sz w:val="20"/>
          <w:szCs w:val="20"/>
        </w:rPr>
        <w:t>.</w:t>
      </w:r>
    </w:p>
    <w:p w:rsidR="00000000" w:rsidRDefault="004D26FD">
      <w:pPr>
        <w:ind w:firstLine="360"/>
        <w:divId w:val="880556526"/>
        <w:rPr>
          <w:rFonts w:eastAsia="Times New Roman"/>
        </w:rPr>
      </w:pPr>
    </w:p>
    <w:p w:rsidR="00000000" w:rsidRDefault="004D26FD">
      <w:pPr>
        <w:ind w:firstLine="360"/>
        <w:jc w:val="both"/>
        <w:rPr>
          <w:rFonts w:eastAsia="Times New Roman"/>
        </w:rPr>
      </w:pPr>
      <w:r>
        <w:rPr>
          <w:rFonts w:eastAsia="Times New Roman"/>
          <w:color w:val="000000"/>
          <w:sz w:val="20"/>
          <w:szCs w:val="20"/>
        </w:rPr>
        <w:t>Revenues in our land segment were $1.2 billion for the second quarter of 2020, a decrease of $1.5 billion, or 55%, as compared to the second quarter of 2019. The decrease in revenue was due to lower average fuel price</w:t>
      </w:r>
      <w:r>
        <w:rPr>
          <w:rFonts w:eastAsia="Times New Roman"/>
          <w:color w:val="000000"/>
          <w:sz w:val="20"/>
          <w:szCs w:val="20"/>
        </w:rPr>
        <w:t>s in the second quarter of 2020, as compared to the second quarter of 2019, where the average price per gallon or gallon equivalent sold was $1.01 in 2020, as compared to $1.99 in 2019. Volumes in our land segment for the second quarter of 2020 decreased b</w:t>
      </w:r>
      <w:r>
        <w:rPr>
          <w:rFonts w:eastAsia="Times New Roman"/>
          <w:color w:val="000000"/>
          <w:sz w:val="20"/>
          <w:szCs w:val="20"/>
        </w:rPr>
        <w:t>y 161.2 million or 12.1% to 1.2 billion gallons as a result of stay-at-home restrictions and other pandemic-related impacts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Revenues in our marine segment were $940.2 million for the second quarter of 2020, a decrease of $1.1 billion, or 53%, as compared to the second quarter of 2019.  The decrease in revenues was mainly attributable to a 40% decrease in the average price per m</w:t>
      </w:r>
      <w:r>
        <w:rPr>
          <w:rFonts w:eastAsia="Times New Roman"/>
          <w:color w:val="000000"/>
          <w:sz w:val="20"/>
          <w:szCs w:val="20"/>
        </w:rPr>
        <w:t>etric ton of bunker fuel sold to $234.9 in the second quarter of 2020 as compared to $393.6 in the second quarter of 2019. Volumes in our marine segment declined by 1.1 million metric tons, or 22% to 4.0 million metric tons in the second quarter of 2020, a</w:t>
      </w:r>
      <w:r>
        <w:rPr>
          <w:rFonts w:eastAsia="Times New Roman"/>
          <w:color w:val="000000"/>
          <w:sz w:val="20"/>
          <w:szCs w:val="20"/>
        </w:rPr>
        <w:t>s compared to 2019. The volume decline was a result of the effects of the pandemic on demand, combined with a continuing effort to exit activities that generate a low economic return, particularly in light of the elevated credit risk environment in the wak</w:t>
      </w:r>
      <w:r>
        <w:rPr>
          <w:rFonts w:eastAsia="Times New Roman"/>
          <w:color w:val="000000"/>
          <w:sz w:val="20"/>
          <w:szCs w:val="20"/>
        </w:rPr>
        <w:t>e of the pandemic</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Gross Profit.</w:t>
      </w:r>
      <w:r>
        <w:rPr>
          <w:rFonts w:eastAsia="Times New Roman"/>
          <w:i/>
          <w:iCs/>
          <w:color w:val="000000"/>
          <w:sz w:val="20"/>
          <w:szCs w:val="20"/>
        </w:rPr>
        <w:t> </w:t>
      </w:r>
      <w:r>
        <w:rPr>
          <w:rFonts w:eastAsia="Times New Roman"/>
          <w:color w:val="000000"/>
          <w:sz w:val="20"/>
          <w:szCs w:val="20"/>
        </w:rPr>
        <w:t>Our gross profit for the second quarter of 2020 was $213.9 million, a decrease of $54.7 million, or 20%, as compared to the second quarter of 2019.</w:t>
      </w:r>
      <w:r>
        <w:rPr>
          <w:rFonts w:eastAsia="Times New Roman"/>
          <w:color w:val="000000"/>
          <w:sz w:val="20"/>
          <w:szCs w:val="20"/>
        </w:rPr>
        <w:t xml:space="preserve"> </w:t>
      </w:r>
    </w:p>
    <w:p w:rsidR="00000000" w:rsidRDefault="004D26FD">
      <w:pPr>
        <w:ind w:firstLine="360"/>
        <w:jc w:val="both"/>
        <w:rPr>
          <w:rFonts w:eastAsia="Times New Roman"/>
        </w:rPr>
      </w:pPr>
      <w:r>
        <w:rPr>
          <w:rFonts w:eastAsia="Times New Roman"/>
          <w:color w:val="000000"/>
          <w:sz w:val="20"/>
          <w:szCs w:val="20"/>
        </w:rPr>
        <w:t xml:space="preserve">Our gross profit during these periods was attributable to the following </w:t>
      </w:r>
      <w:r>
        <w:rPr>
          <w:rFonts w:eastAsia="Times New Roman"/>
          <w:color w:val="000000"/>
          <w:sz w:val="20"/>
          <w:szCs w:val="20"/>
        </w:rPr>
        <w:t>segments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4936"/>
        <w:gridCol w:w="55"/>
        <w:gridCol w:w="36"/>
        <w:gridCol w:w="36"/>
        <w:gridCol w:w="36"/>
        <w:gridCol w:w="115"/>
        <w:gridCol w:w="729"/>
        <w:gridCol w:w="75"/>
        <w:gridCol w:w="36"/>
        <w:gridCol w:w="36"/>
        <w:gridCol w:w="36"/>
        <w:gridCol w:w="115"/>
        <w:gridCol w:w="715"/>
        <w:gridCol w:w="75"/>
        <w:gridCol w:w="36"/>
        <w:gridCol w:w="36"/>
        <w:gridCol w:w="36"/>
        <w:gridCol w:w="116"/>
        <w:gridCol w:w="680"/>
        <w:gridCol w:w="75"/>
        <w:gridCol w:w="36"/>
        <w:gridCol w:w="36"/>
        <w:gridCol w:w="36"/>
        <w:gridCol w:w="36"/>
        <w:gridCol w:w="36"/>
        <w:gridCol w:w="36"/>
      </w:tblGrid>
      <w:tr w:rsidR="00000000">
        <w:trPr>
          <w:gridAfter w:val="6"/>
          <w:divId w:val="1843352797"/>
        </w:trPr>
        <w:tc>
          <w:tcPr>
            <w:tcW w:w="50" w:type="pct"/>
            <w:vAlign w:val="center"/>
            <w:hideMark/>
          </w:tcPr>
          <w:p w:rsidR="00000000" w:rsidRDefault="004D26FD">
            <w:pPr>
              <w:ind w:firstLine="360"/>
              <w:jc w:val="both"/>
              <w:rPr>
                <w:rFonts w:eastAsia="Times New Roman"/>
              </w:rPr>
            </w:pPr>
          </w:p>
        </w:tc>
        <w:tc>
          <w:tcPr>
            <w:tcW w:w="307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84335279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84335279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84335279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4335279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140.5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(48.6</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4335279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4335279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36.4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43352797"/>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213.9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268.6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(54.7</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720"/>
        <w:divId w:val="1181620966"/>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 xml:space="preserve">Our aviation segment gross profit for the second quarter of 2020 was $91.9 million, a decrease of $48.6 million, or 35%, as compared to the second quarter </w:t>
      </w:r>
      <w:r>
        <w:rPr>
          <w:rFonts w:eastAsia="Times New Roman"/>
          <w:color w:val="000000"/>
          <w:sz w:val="20"/>
          <w:szCs w:val="20"/>
        </w:rPr>
        <w:t xml:space="preserve">of 2019. The decrease in aviation gross profit was primarily due to a 68% decline in volume as a consequence of the significant decline in air travel due to the COVID-19 pandemic, together with a reduction in our government-related activity in Afghanistan </w:t>
      </w:r>
      <w:r>
        <w:rPr>
          <w:rFonts w:eastAsia="Times New Roman"/>
          <w:color w:val="000000"/>
          <w:sz w:val="20"/>
          <w:szCs w:val="20"/>
        </w:rPr>
        <w:t>as a result of the ongoing drawdown of troops. Partially offsetting the volume-related impact on gross profit were certain situation-specific, nontraditional activity arising from the pandemic, such as repatriation flights and the repositioning of aircraft</w:t>
      </w:r>
      <w:r>
        <w:rPr>
          <w:rFonts w:eastAsia="Times New Roman"/>
          <w:color w:val="000000"/>
          <w:sz w:val="20"/>
          <w:szCs w:val="20"/>
        </w:rPr>
        <w:t>, as well as physical supply gains associated with the historic volatility in jet fuel prices during the second quarter</w:t>
      </w:r>
      <w:r>
        <w:rPr>
          <w:rFonts w:eastAsia="Times New Roman"/>
          <w:color w:val="000000"/>
          <w:sz w:val="20"/>
          <w:szCs w:val="20"/>
        </w:rPr>
        <w:t>.</w:t>
      </w:r>
    </w:p>
    <w:p w:rsidR="00000000" w:rsidRDefault="004D26FD">
      <w:pPr>
        <w:divId w:val="1910071270"/>
        <w:rPr>
          <w:rFonts w:eastAsia="Times New Roman"/>
        </w:rPr>
      </w:pPr>
    </w:p>
    <w:p w:rsidR="00000000" w:rsidRDefault="004D26FD">
      <w:pPr>
        <w:jc w:val="center"/>
        <w:divId w:val="553663873"/>
        <w:rPr>
          <w:rFonts w:eastAsia="Times New Roman"/>
        </w:rPr>
      </w:pPr>
      <w:r>
        <w:rPr>
          <w:rFonts w:eastAsia="Times New Roman"/>
          <w:color w:val="000000"/>
          <w:sz w:val="20"/>
          <w:szCs w:val="20"/>
        </w:rPr>
        <w:t>3</w:t>
      </w:r>
      <w:r>
        <w:rPr>
          <w:rFonts w:eastAsia="Times New Roman"/>
          <w:color w:val="000000"/>
          <w:sz w:val="20"/>
          <w:szCs w:val="20"/>
        </w:rPr>
        <w:t>0</w:t>
      </w:r>
    </w:p>
    <w:p w:rsidR="00000000" w:rsidRDefault="004D26FD">
      <w:pPr>
        <w:rPr>
          <w:rFonts w:eastAsia="Times New Roman"/>
        </w:rPr>
      </w:pPr>
      <w:r>
        <w:rPr>
          <w:rFonts w:eastAsia="Times New Roman"/>
        </w:rPr>
        <w:pict>
          <v:rect id="_x0000_i1058" style="width:0;height:1.5pt" o:hralign="center" o:hrstd="t" o:hr="t" fillcolor="#a0a0a0" stroked="f"/>
        </w:pict>
      </w:r>
    </w:p>
    <w:p w:rsidR="00000000" w:rsidRDefault="004D26FD">
      <w:pPr>
        <w:divId w:val="1352335450"/>
        <w:rPr>
          <w:rFonts w:eastAsia="Times New Roman"/>
        </w:rPr>
      </w:pPr>
    </w:p>
    <w:p w:rsidR="00000000" w:rsidRDefault="004D26FD">
      <w:pPr>
        <w:ind w:firstLine="360"/>
        <w:jc w:val="both"/>
        <w:rPr>
          <w:rFonts w:eastAsia="Times New Roman"/>
        </w:rPr>
      </w:pPr>
      <w:r>
        <w:rPr>
          <w:rFonts w:eastAsia="Times New Roman"/>
          <w:color w:val="000000"/>
          <w:sz w:val="20"/>
          <w:szCs w:val="20"/>
        </w:rPr>
        <w:t>Our land segment gross profit for the second quarter of 2020 was $84.8 million, a decrease of $7.0 million, or 8%, as compared to the second quarter of 2019. The decrease in land segment gross profit was primarily attr</w:t>
      </w:r>
      <w:r>
        <w:rPr>
          <w:rFonts w:eastAsia="Times New Roman"/>
          <w:color w:val="000000"/>
          <w:sz w:val="20"/>
          <w:szCs w:val="20"/>
        </w:rPr>
        <w:t>ibutable to lower volumes as a result of the pandemic, particularly in our retail, commercial and industrial activities in North America and our government-related activities in Afghanistan, partly offset by continued strength in the U.K.</w:t>
      </w:r>
      <w:r>
        <w:rPr>
          <w:rFonts w:eastAsia="Times New Roman"/>
          <w:color w:val="000000"/>
          <w:sz w:val="20"/>
          <w:szCs w:val="20"/>
        </w:rPr>
        <w:t xml:space="preserve"> </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marine seg</w:t>
      </w:r>
      <w:r>
        <w:rPr>
          <w:rFonts w:eastAsia="Times New Roman"/>
          <w:color w:val="000000"/>
          <w:sz w:val="20"/>
          <w:szCs w:val="20"/>
        </w:rPr>
        <w:t>ment gross profit for the second quarter of 2020 was $37.2 million, an increase of $0.9 million, or 2%, as compared to the second quarter of 2019. The gross profit increase was related to improved performance in our core resale business, offset by signific</w:t>
      </w:r>
      <w:r>
        <w:rPr>
          <w:rFonts w:eastAsia="Times New Roman"/>
          <w:color w:val="000000"/>
          <w:sz w:val="20"/>
          <w:szCs w:val="20"/>
        </w:rPr>
        <w:t>antly lower volume due to a decline in activity in connection with the pandemic</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divId w:val="1905410920"/>
        <w:rPr>
          <w:rFonts w:eastAsia="Times New Roman"/>
        </w:rPr>
      </w:pPr>
      <w:r>
        <w:rPr>
          <w:rFonts w:eastAsia="Times New Roman"/>
          <w:i/>
          <w:iCs/>
          <w:color w:val="000000"/>
          <w:sz w:val="20"/>
          <w:szCs w:val="20"/>
        </w:rPr>
        <w:t>Operating Expenses</w:t>
      </w:r>
      <w:r>
        <w:rPr>
          <w:rFonts w:eastAsia="Times New Roman"/>
          <w:i/>
          <w:iCs/>
          <w:color w:val="000000"/>
          <w:sz w:val="20"/>
          <w:szCs w:val="20"/>
        </w:rPr>
        <w:t>.</w:t>
      </w:r>
      <w:r>
        <w:rPr>
          <w:rFonts w:eastAsia="Times New Roman"/>
          <w:color w:val="000000"/>
          <w:sz w:val="20"/>
          <w:szCs w:val="20"/>
        </w:rPr>
        <w:t xml:space="preserve"> Total operating expenses for the second quarter of 2020 were $202.0 million, an increase of $8.6 million, or 4%, as compared to the second quarter of 201</w:t>
      </w:r>
      <w:r>
        <w:rPr>
          <w:rFonts w:eastAsia="Times New Roman"/>
          <w:color w:val="000000"/>
          <w:sz w:val="20"/>
          <w:szCs w:val="20"/>
        </w:rPr>
        <w:t>9. As part of our cost-reduction initiatives, we significantly reduced certain general and administrative expenses during the second quarter of 2020, which were effectively offset by a higher provision for bad debt, principally due to the effects of the pa</w:t>
      </w:r>
      <w:r>
        <w:rPr>
          <w:rFonts w:eastAsia="Times New Roman"/>
          <w:color w:val="000000"/>
          <w:sz w:val="20"/>
          <w:szCs w:val="20"/>
        </w:rPr>
        <w:t>ndemic on the aviation industry. Furthermore, despite lower compensation costs, including lower incentive compensation, total operating expenses were higher as a result of an impairment charge of $18.6 million during the second quarter of 2020 associated w</w:t>
      </w:r>
      <w:r>
        <w:rPr>
          <w:rFonts w:eastAsia="Times New Roman"/>
          <w:color w:val="000000"/>
          <w:sz w:val="20"/>
          <w:szCs w:val="20"/>
        </w:rPr>
        <w:t>ith our decision to rationalize our global office footprint. The following table sets forth our expense categories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4936"/>
        <w:gridCol w:w="55"/>
        <w:gridCol w:w="36"/>
        <w:gridCol w:w="36"/>
        <w:gridCol w:w="36"/>
        <w:gridCol w:w="115"/>
        <w:gridCol w:w="729"/>
        <w:gridCol w:w="75"/>
        <w:gridCol w:w="36"/>
        <w:gridCol w:w="36"/>
        <w:gridCol w:w="36"/>
        <w:gridCol w:w="115"/>
        <w:gridCol w:w="715"/>
        <w:gridCol w:w="75"/>
        <w:gridCol w:w="36"/>
        <w:gridCol w:w="36"/>
        <w:gridCol w:w="36"/>
        <w:gridCol w:w="116"/>
        <w:gridCol w:w="680"/>
        <w:gridCol w:w="75"/>
        <w:gridCol w:w="36"/>
        <w:gridCol w:w="36"/>
        <w:gridCol w:w="36"/>
        <w:gridCol w:w="36"/>
        <w:gridCol w:w="36"/>
        <w:gridCol w:w="36"/>
      </w:tblGrid>
      <w:tr w:rsidR="00000000">
        <w:trPr>
          <w:gridAfter w:val="6"/>
          <w:divId w:val="1812483094"/>
        </w:trPr>
        <w:tc>
          <w:tcPr>
            <w:tcW w:w="50" w:type="pct"/>
            <w:vAlign w:val="center"/>
            <w:hideMark/>
          </w:tcPr>
          <w:p w:rsidR="00000000" w:rsidRDefault="004D26FD">
            <w:pPr>
              <w:ind w:firstLine="360"/>
              <w:jc w:val="both"/>
              <w:rPr>
                <w:rFonts w:eastAsia="Times New Roman"/>
              </w:rPr>
            </w:pPr>
          </w:p>
        </w:tc>
        <w:tc>
          <w:tcPr>
            <w:tcW w:w="307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81248309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81248309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81248309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124830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Compensation and employee benefit</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95.9</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112.0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(16.1</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124830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General and administrativ</w:t>
            </w:r>
            <w:r>
              <w:rPr>
                <w:rFonts w:eastAsia="Times New Roman"/>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84.4</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79.5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1248309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 impairment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1248309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Restructuring charge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12483094"/>
        </w:trPr>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202.0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193.4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divId w:val="366418741"/>
        <w:rPr>
          <w:rFonts w:eastAsia="Times New Roman"/>
        </w:rPr>
      </w:pPr>
      <w:r>
        <w:rPr>
          <w:rFonts w:eastAsia="Times New Roman"/>
          <w:i/>
          <w:iCs/>
          <w:color w:val="000000"/>
          <w:sz w:val="20"/>
          <w:szCs w:val="20"/>
        </w:rPr>
        <w:t>Income from Operation</w:t>
      </w:r>
      <w:r>
        <w:rPr>
          <w:rFonts w:eastAsia="Times New Roman"/>
          <w:i/>
          <w:iCs/>
          <w:color w:val="000000"/>
          <w:sz w:val="20"/>
          <w:szCs w:val="20"/>
        </w:rPr>
        <w:t>s</w:t>
      </w:r>
      <w:r>
        <w:rPr>
          <w:rFonts w:eastAsia="Times New Roman"/>
          <w:color w:val="000000"/>
          <w:sz w:val="20"/>
          <w:szCs w:val="20"/>
        </w:rPr>
        <w:t>. Income from operations during these periods was attributable to the following segments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5"/>
        <w:gridCol w:w="4936"/>
        <w:gridCol w:w="55"/>
        <w:gridCol w:w="36"/>
        <w:gridCol w:w="36"/>
        <w:gridCol w:w="36"/>
        <w:gridCol w:w="115"/>
        <w:gridCol w:w="729"/>
        <w:gridCol w:w="75"/>
        <w:gridCol w:w="36"/>
        <w:gridCol w:w="36"/>
        <w:gridCol w:w="36"/>
        <w:gridCol w:w="115"/>
        <w:gridCol w:w="715"/>
        <w:gridCol w:w="75"/>
        <w:gridCol w:w="36"/>
        <w:gridCol w:w="36"/>
        <w:gridCol w:w="36"/>
        <w:gridCol w:w="116"/>
        <w:gridCol w:w="680"/>
        <w:gridCol w:w="75"/>
        <w:gridCol w:w="36"/>
        <w:gridCol w:w="36"/>
        <w:gridCol w:w="36"/>
        <w:gridCol w:w="36"/>
        <w:gridCol w:w="36"/>
        <w:gridCol w:w="36"/>
      </w:tblGrid>
      <w:tr w:rsidR="00000000">
        <w:trPr>
          <w:gridAfter w:val="6"/>
          <w:divId w:val="1296258196"/>
        </w:trPr>
        <w:tc>
          <w:tcPr>
            <w:tcW w:w="50" w:type="pct"/>
            <w:vAlign w:val="center"/>
            <w:hideMark/>
          </w:tcPr>
          <w:p w:rsidR="00000000" w:rsidRDefault="004D26FD">
            <w:pPr>
              <w:ind w:firstLine="360"/>
              <w:jc w:val="both"/>
              <w:rPr>
                <w:rFonts w:eastAsia="Times New Roman"/>
              </w:rPr>
            </w:pPr>
          </w:p>
        </w:tc>
        <w:tc>
          <w:tcPr>
            <w:tcW w:w="307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296258196"/>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Three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296258196"/>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296258196"/>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962581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73.5</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(64.5</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96258196"/>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(2.1</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96258196"/>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13.3</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96258196"/>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32.0</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95.4</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(63.4</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96258196"/>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Corporate overhead - unallocate</w:t>
            </w:r>
            <w:r>
              <w:rPr>
                <w:rFonts w:eastAsia="Times New Roman"/>
                <w:color w:val="000000"/>
                <w:sz w:val="16"/>
                <w:szCs w:val="16"/>
              </w:rPr>
              <w:t>d</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(20.1</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(20.2</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0.1</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96258196"/>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(63.3</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divId w:val="1369259932"/>
        <w:rPr>
          <w:rFonts w:eastAsia="Times New Roman"/>
        </w:rPr>
      </w:pPr>
      <w:r>
        <w:rPr>
          <w:rFonts w:eastAsia="Times New Roman"/>
          <w:color w:val="000000"/>
          <w:sz w:val="20"/>
          <w:szCs w:val="20"/>
        </w:rPr>
        <w:t>Our income from operations for the second quarter of 2020 was $11.9 million, a decrease of $63.3 million, or 84%, as compared to the second quarter of 2019. Results in our aviation segment primarily</w:t>
      </w:r>
      <w:r>
        <w:rPr>
          <w:rFonts w:eastAsia="Times New Roman"/>
          <w:color w:val="000000"/>
          <w:sz w:val="20"/>
          <w:szCs w:val="20"/>
        </w:rPr>
        <w:t xml:space="preserve"> drove the decrease in operating income</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Income from operations in our aviation segment for the second quarter of 2020 was $9.0 million, a decrease of $64.5 million, or 88% as compared to the second quarter of 2019. Our aviation segment was principally i</w:t>
      </w:r>
      <w:r>
        <w:rPr>
          <w:rFonts w:eastAsia="Times New Roman"/>
          <w:color w:val="000000"/>
          <w:sz w:val="20"/>
          <w:szCs w:val="20"/>
        </w:rPr>
        <w:t xml:space="preserve">mpacted by lower volumes and the correspondingly reduced profit contribution as a consequence of the significant decline in air travel due to the COVID-19 pandemic, together with a reduction in our government-related activity in Afghanistan as a result of </w:t>
      </w:r>
      <w:r>
        <w:rPr>
          <w:rFonts w:eastAsia="Times New Roman"/>
          <w:color w:val="000000"/>
          <w:sz w:val="20"/>
          <w:szCs w:val="20"/>
        </w:rPr>
        <w:t>the ongoing drawdown of troops. Aviation segment operating income was also reduced by increased expenses resulting from a higher provision for bad debt principally due to the effects of the pandemic on the aviation industry, as well as the global office fo</w:t>
      </w:r>
      <w:r>
        <w:rPr>
          <w:rFonts w:eastAsia="Times New Roman"/>
          <w:color w:val="000000"/>
          <w:sz w:val="20"/>
          <w:szCs w:val="20"/>
        </w:rPr>
        <w:t>otprint rationalization impairment charge</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In our land segment, income from operations for the second quarter of 2020 was $9.7 million, a decrease of $2.1 million, or 18% as compared to the second quarter of 2019. The decrease in land segment operating p</w:t>
      </w:r>
      <w:r>
        <w:rPr>
          <w:rFonts w:eastAsia="Times New Roman"/>
          <w:color w:val="000000"/>
          <w:sz w:val="20"/>
          <w:szCs w:val="20"/>
        </w:rPr>
        <w:t>rofit was primarily attributable to lower volumes as a result of the pandemic, particularly in our retail, commercial and industrial activities in North America, and our government-related activities in Afghanistan, as well as the global office footprint r</w:t>
      </w:r>
      <w:r>
        <w:rPr>
          <w:rFonts w:eastAsia="Times New Roman"/>
          <w:color w:val="000000"/>
          <w:sz w:val="20"/>
          <w:szCs w:val="20"/>
        </w:rPr>
        <w:t>ationalization impairment charge. The decreases were partly offset by continued strength in the U.K and lower general and administrative expenses and compensation costs during the second quarter</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1529637787"/>
        <w:rPr>
          <w:rFonts w:eastAsia="Times New Roman"/>
        </w:rPr>
      </w:pPr>
      <w:r>
        <w:rPr>
          <w:rFonts w:eastAsia="Times New Roman"/>
          <w:color w:val="000000"/>
          <w:sz w:val="20"/>
          <w:szCs w:val="20"/>
        </w:rPr>
        <w:t>3</w:t>
      </w:r>
      <w:r>
        <w:rPr>
          <w:rFonts w:eastAsia="Times New Roman"/>
          <w:color w:val="000000"/>
          <w:sz w:val="20"/>
          <w:szCs w:val="20"/>
        </w:rPr>
        <w:t>1</w:t>
      </w:r>
    </w:p>
    <w:p w:rsidR="00000000" w:rsidRDefault="004D26FD">
      <w:pPr>
        <w:rPr>
          <w:rFonts w:eastAsia="Times New Roman"/>
        </w:rPr>
      </w:pPr>
      <w:r>
        <w:rPr>
          <w:rFonts w:eastAsia="Times New Roman"/>
        </w:rPr>
        <w:pict>
          <v:rect id="_x0000_i1059" style="width:0;height:1.5pt" o:hralign="center" o:hrstd="t" o:hr="t" fillcolor="#a0a0a0" stroked="f"/>
        </w:pict>
      </w:r>
    </w:p>
    <w:p w:rsidR="00000000" w:rsidRDefault="004D26FD">
      <w:pPr>
        <w:divId w:val="2000303207"/>
        <w:rPr>
          <w:rFonts w:eastAsia="Times New Roman"/>
        </w:rPr>
      </w:pPr>
    </w:p>
    <w:p w:rsidR="00000000" w:rsidRDefault="004D26FD">
      <w:pPr>
        <w:ind w:firstLine="360"/>
        <w:jc w:val="both"/>
        <w:rPr>
          <w:rFonts w:eastAsia="Times New Roman"/>
        </w:rPr>
      </w:pPr>
      <w:r>
        <w:rPr>
          <w:rFonts w:eastAsia="Times New Roman"/>
          <w:color w:val="000000"/>
          <w:sz w:val="20"/>
          <w:szCs w:val="20"/>
        </w:rPr>
        <w:t>Our marine segme</w:t>
      </w:r>
      <w:r>
        <w:rPr>
          <w:rFonts w:eastAsia="Times New Roman"/>
          <w:color w:val="000000"/>
          <w:sz w:val="20"/>
          <w:szCs w:val="20"/>
        </w:rPr>
        <w:t>nt income from operations for the second quarter of 2020 was $13.3 million, an increase of $3.2 million, or 32% as compared to the second quarter of 2019. The increase in operating income was primarily related to improved performance in our core resale bus</w:t>
      </w:r>
      <w:r>
        <w:rPr>
          <w:rFonts w:eastAsia="Times New Roman"/>
          <w:color w:val="000000"/>
          <w:sz w:val="20"/>
          <w:szCs w:val="20"/>
        </w:rPr>
        <w:t>iness as well as decreases in compensation costs, partially offset by the global office footprint rationalization impairment charge</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Corporate overhead costs not charged to the business segments for the second quarter of 2020 were $20.1 million, a decrea</w:t>
      </w:r>
      <w:r>
        <w:rPr>
          <w:rFonts w:eastAsia="Times New Roman"/>
          <w:color w:val="000000"/>
          <w:sz w:val="20"/>
          <w:szCs w:val="20"/>
        </w:rPr>
        <w:t>se of $0.1 million, or 0.5%, as compared to the second quarter of 2019, primarily attributable to a decrease in compensation costs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Non-Operating Expenses, net</w:t>
      </w:r>
      <w:r>
        <w:rPr>
          <w:rFonts w:eastAsia="Times New Roman"/>
          <w:i/>
          <w:iCs/>
          <w:color w:val="000000"/>
          <w:sz w:val="20"/>
          <w:szCs w:val="20"/>
        </w:rPr>
        <w:t>.</w:t>
      </w:r>
      <w:r>
        <w:rPr>
          <w:rFonts w:eastAsia="Times New Roman"/>
          <w:color w:val="000000"/>
          <w:sz w:val="20"/>
          <w:szCs w:val="20"/>
        </w:rPr>
        <w:t xml:space="preserve"> For the second quarter of 2020, we had non-operating expenses of $14.9 million, a decrease of</w:t>
      </w:r>
      <w:r>
        <w:rPr>
          <w:rFonts w:eastAsia="Times New Roman"/>
          <w:color w:val="000000"/>
          <w:sz w:val="20"/>
          <w:szCs w:val="20"/>
        </w:rPr>
        <w:t xml:space="preserve"> $2.7 million as compared to the second quarter of 2019, driven principally by a reduction in interest expenses and fees associated with our receivable purchase programs partly offset by foreign currency transaction loss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Income Taxe</w:t>
      </w:r>
      <w:r>
        <w:rPr>
          <w:rFonts w:eastAsia="Times New Roman"/>
          <w:i/>
          <w:iCs/>
          <w:color w:val="000000"/>
          <w:sz w:val="20"/>
          <w:szCs w:val="20"/>
        </w:rPr>
        <w:t>s</w:t>
      </w:r>
      <w:r>
        <w:rPr>
          <w:rFonts w:eastAsia="Times New Roman"/>
          <w:color w:val="000000"/>
          <w:sz w:val="20"/>
          <w:szCs w:val="20"/>
        </w:rPr>
        <w:t>. For the second qua</w:t>
      </w:r>
      <w:r>
        <w:rPr>
          <w:rFonts w:eastAsia="Times New Roman"/>
          <w:color w:val="000000"/>
          <w:sz w:val="20"/>
          <w:szCs w:val="20"/>
        </w:rPr>
        <w:t>rter of 2020, our income tax provision was $7.7 million and our effective income tax rate was (258%), as compared to an income tax provision of</w:t>
      </w:r>
      <w:r>
        <w:rPr>
          <w:rFonts w:eastAsia="Times New Roman"/>
          <w:color w:val="000000"/>
          <w:sz w:val="20"/>
          <w:szCs w:val="20"/>
        </w:rPr>
        <w:t xml:space="preserve"> </w:t>
      </w:r>
      <w:r>
        <w:rPr>
          <w:rFonts w:eastAsia="Times New Roman"/>
          <w:color w:val="000000"/>
          <w:sz w:val="20"/>
          <w:szCs w:val="20"/>
          <w:shd w:val="clear" w:color="auto" w:fill="FFFFFF"/>
        </w:rPr>
        <w:t>$20.0 millio</w:t>
      </w:r>
      <w:r>
        <w:rPr>
          <w:rFonts w:eastAsia="Times New Roman"/>
          <w:color w:val="000000"/>
          <w:sz w:val="20"/>
          <w:szCs w:val="20"/>
          <w:shd w:val="clear" w:color="auto" w:fill="FFFFFF"/>
        </w:rPr>
        <w:t>n</w:t>
      </w:r>
      <w:r>
        <w:rPr>
          <w:rFonts w:eastAsia="Times New Roman"/>
          <w:color w:val="000000"/>
          <w:sz w:val="20"/>
          <w:szCs w:val="20"/>
        </w:rPr>
        <w:t xml:space="preserve"> </w:t>
      </w:r>
      <w:r>
        <w:rPr>
          <w:rFonts w:eastAsia="Times New Roman"/>
          <w:color w:val="000000"/>
          <w:sz w:val="20"/>
          <w:szCs w:val="20"/>
        </w:rPr>
        <w:t>and an effective income tax rate of 35% for the second quarter of 2019. The lower tax provision was a result of lower income before income taxes while the higher effective income tax rate was primarily related to differences in the results of our subsidiar</w:t>
      </w:r>
      <w:r>
        <w:rPr>
          <w:rFonts w:eastAsia="Times New Roman"/>
          <w:color w:val="000000"/>
          <w:sz w:val="20"/>
          <w:szCs w:val="20"/>
        </w:rPr>
        <w:t>ies in tax jurisdictions with different tax rates and certain one-time discrete items. See Note 8. Income Taxes within this 10-Q Report for additional information</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Net Income Attributable to Noncontrolling Interes</w:t>
      </w:r>
      <w:r>
        <w:rPr>
          <w:rFonts w:eastAsia="Times New Roman"/>
          <w:i/>
          <w:iCs/>
          <w:color w:val="000000"/>
          <w:sz w:val="20"/>
          <w:szCs w:val="20"/>
        </w:rPr>
        <w:t>t</w:t>
      </w:r>
      <w:r>
        <w:rPr>
          <w:rFonts w:eastAsia="Times New Roman"/>
          <w:color w:val="000000"/>
          <w:sz w:val="20"/>
          <w:szCs w:val="20"/>
        </w:rPr>
        <w:t>. For the second quarter of 2020, net lo</w:t>
      </w:r>
      <w:r>
        <w:rPr>
          <w:rFonts w:eastAsia="Times New Roman"/>
          <w:color w:val="000000"/>
          <w:sz w:val="20"/>
          <w:szCs w:val="20"/>
        </w:rPr>
        <w:t>ss attributable to noncontrolling interest was $0.4 million compared to net income of $0.6 million for the second quarter of 2019</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Net Income Attributable to World Fuel and Diluted Earnings per Common Shar</w:t>
      </w:r>
      <w:r>
        <w:rPr>
          <w:rFonts w:eastAsia="Times New Roman"/>
          <w:i/>
          <w:iCs/>
          <w:color w:val="000000"/>
          <w:sz w:val="20"/>
          <w:szCs w:val="20"/>
        </w:rPr>
        <w:t>e</w:t>
      </w:r>
      <w:r>
        <w:rPr>
          <w:rFonts w:eastAsia="Times New Roman"/>
          <w:color w:val="000000"/>
          <w:sz w:val="20"/>
          <w:szCs w:val="20"/>
        </w:rPr>
        <w:t>. For the second quarter of 2020, we had a net l</w:t>
      </w:r>
      <w:r>
        <w:rPr>
          <w:rFonts w:eastAsia="Times New Roman"/>
          <w:color w:val="000000"/>
          <w:sz w:val="20"/>
          <w:szCs w:val="20"/>
        </w:rPr>
        <w:t>oss attributable to World Fuel of $10.2 million and diluted loss per common share of $0.16 as compared to net income attributable to World Fuel of $37.0 million and diluted earnings per common share of $0.55 for the second quarter of 2019</w:t>
      </w:r>
      <w:r>
        <w:rPr>
          <w:rFonts w:eastAsia="Times New Roman"/>
          <w:color w:val="000000"/>
          <w:sz w:val="20"/>
          <w:szCs w:val="20"/>
        </w:rPr>
        <w:t>.</w:t>
      </w:r>
    </w:p>
    <w:p w:rsidR="00000000" w:rsidRDefault="004D26FD">
      <w:pPr>
        <w:jc w:val="center"/>
        <w:divId w:val="112798291"/>
        <w:rPr>
          <w:rFonts w:eastAsia="Times New Roman"/>
        </w:rPr>
      </w:pPr>
      <w:r>
        <w:rPr>
          <w:rFonts w:eastAsia="Times New Roman"/>
          <w:color w:val="000000"/>
          <w:sz w:val="20"/>
          <w:szCs w:val="20"/>
        </w:rPr>
        <w:t>3</w:t>
      </w:r>
      <w:r>
        <w:rPr>
          <w:rFonts w:eastAsia="Times New Roman"/>
          <w:color w:val="000000"/>
          <w:sz w:val="20"/>
          <w:szCs w:val="20"/>
        </w:rPr>
        <w:t>2</w:t>
      </w:r>
    </w:p>
    <w:p w:rsidR="00000000" w:rsidRDefault="004D26FD">
      <w:pPr>
        <w:rPr>
          <w:rFonts w:eastAsia="Times New Roman"/>
        </w:rPr>
      </w:pPr>
      <w:r>
        <w:rPr>
          <w:rFonts w:eastAsia="Times New Roman"/>
        </w:rPr>
        <w:pict>
          <v:rect id="_x0000_i1060" style="width:0;height:1.5pt" o:hralign="center" o:hrstd="t" o:hr="t" fillcolor="#a0a0a0" stroked="f"/>
        </w:pict>
      </w:r>
    </w:p>
    <w:p w:rsidR="00000000" w:rsidRDefault="004D26FD">
      <w:pPr>
        <w:divId w:val="1381662200"/>
        <w:rPr>
          <w:rFonts w:eastAsia="Times New Roman"/>
        </w:rPr>
      </w:pPr>
    </w:p>
    <w:p w:rsidR="00000000" w:rsidRDefault="004D26FD">
      <w:pPr>
        <w:ind w:firstLine="360"/>
        <w:divId w:val="95712373"/>
        <w:rPr>
          <w:rFonts w:eastAsia="Times New Roman"/>
        </w:rPr>
      </w:pPr>
      <w:r>
        <w:rPr>
          <w:rFonts w:eastAsia="Times New Roman"/>
          <w:b/>
          <w:bCs/>
          <w:color w:val="000000"/>
          <w:sz w:val="20"/>
          <w:szCs w:val="20"/>
        </w:rPr>
        <w:t>Six Months Ended June 30, 2020 Compared to Six Months Ended June 30, 201</w:t>
      </w:r>
      <w:r>
        <w:rPr>
          <w:rFonts w:eastAsia="Times New Roman"/>
          <w:b/>
          <w:bCs/>
          <w:color w:val="000000"/>
          <w:sz w:val="20"/>
          <w:szCs w:val="20"/>
        </w:rPr>
        <w:t>9</w:t>
      </w:r>
    </w:p>
    <w:p w:rsidR="00000000" w:rsidRDefault="004D26FD">
      <w:pPr>
        <w:ind w:firstLine="360"/>
        <w:divId w:val="1579247523"/>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i/>
          <w:iCs/>
          <w:color w:val="000000"/>
          <w:sz w:val="20"/>
          <w:szCs w:val="20"/>
        </w:rPr>
        <w:t>Revenue</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Our revenue for the first six months of 2020 was $11.2 billion, a decrease of $7.0 billion, or 38%, as compared to the first six months of 2019. Our revenue during these periods was attributable to the following segments (in millions)</w:t>
      </w:r>
      <w:r>
        <w:rPr>
          <w:rFonts w:eastAsia="Times New Roman"/>
          <w:color w:val="000000"/>
          <w:sz w:val="20"/>
          <w:szCs w:val="20"/>
        </w:rPr>
        <w:t>:</w:t>
      </w:r>
    </w:p>
    <w:p w:rsidR="00000000" w:rsidRDefault="004D26FD">
      <w:pPr>
        <w:ind w:firstLine="720"/>
        <w:divId w:val="1834103233"/>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55"/>
        <w:gridCol w:w="4959"/>
        <w:gridCol w:w="55"/>
        <w:gridCol w:w="36"/>
        <w:gridCol w:w="36"/>
        <w:gridCol w:w="36"/>
        <w:gridCol w:w="115"/>
        <w:gridCol w:w="729"/>
        <w:gridCol w:w="75"/>
        <w:gridCol w:w="36"/>
        <w:gridCol w:w="36"/>
        <w:gridCol w:w="36"/>
        <w:gridCol w:w="115"/>
        <w:gridCol w:w="716"/>
        <w:gridCol w:w="75"/>
        <w:gridCol w:w="36"/>
        <w:gridCol w:w="36"/>
        <w:gridCol w:w="36"/>
        <w:gridCol w:w="115"/>
        <w:gridCol w:w="682"/>
        <w:gridCol w:w="75"/>
        <w:gridCol w:w="36"/>
        <w:gridCol w:w="36"/>
        <w:gridCol w:w="36"/>
        <w:gridCol w:w="36"/>
        <w:gridCol w:w="36"/>
        <w:gridCol w:w="36"/>
      </w:tblGrid>
      <w:tr w:rsidR="00000000">
        <w:trPr>
          <w:gridAfter w:val="6"/>
          <w:divId w:val="1544752315"/>
        </w:trPr>
        <w:tc>
          <w:tcPr>
            <w:tcW w:w="50" w:type="pct"/>
            <w:vAlign w:val="center"/>
            <w:hideMark/>
          </w:tcPr>
          <w:p w:rsidR="00000000" w:rsidRDefault="004D26FD">
            <w:pPr>
              <w:ind w:firstLine="720"/>
              <w:rPr>
                <w:rFonts w:eastAsia="Times New Roman"/>
              </w:rPr>
            </w:pPr>
          </w:p>
        </w:tc>
        <w:tc>
          <w:tcPr>
            <w:tcW w:w="30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544752315"/>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544752315"/>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544752315"/>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54475231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4,784.8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9,037.7</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(4,253.0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544752315"/>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3,303.6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5,156.6</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(1,853.0</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544752315"/>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3,085.2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3,943.9</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(858.7</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544752315"/>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11,173.5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18,138.2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(6,964.7</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108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Revenues in our aviation segment were $4.8 billion for the first six months of 2020, a decrease of $4.3 billion, or 47%, as compared to the first six month</w:t>
      </w:r>
      <w:r>
        <w:rPr>
          <w:rFonts w:eastAsia="Times New Roman"/>
          <w:color w:val="000000"/>
          <w:sz w:val="20"/>
          <w:szCs w:val="20"/>
        </w:rPr>
        <w:t>s of 2019. Lower average jet fuel prices, combined with a significant volume decline associated with the COVID-19 pandemic, drove the decrease in aviation revenue in the first six months of 2020. Specifically, the average price per gallon sold during the f</w:t>
      </w:r>
      <w:r>
        <w:rPr>
          <w:rFonts w:eastAsia="Times New Roman"/>
          <w:color w:val="000000"/>
          <w:sz w:val="20"/>
          <w:szCs w:val="20"/>
        </w:rPr>
        <w:t>irst six months of 2020 was $1.5</w:t>
      </w:r>
      <w:r>
        <w:rPr>
          <w:rFonts w:eastAsia="Times New Roman"/>
          <w:color w:val="000000"/>
          <w:sz w:val="20"/>
          <w:szCs w:val="20"/>
        </w:rPr>
        <w:t>9</w:t>
      </w:r>
      <w:r>
        <w:rPr>
          <w:rFonts w:eastAsia="Times New Roman"/>
          <w:color w:val="0000FF"/>
          <w:sz w:val="20"/>
          <w:szCs w:val="20"/>
          <w:u w:val="single"/>
        </w:rPr>
        <w:t>,</w:t>
      </w:r>
      <w:r>
        <w:rPr>
          <w:rFonts w:eastAsia="Times New Roman"/>
          <w:color w:val="000000"/>
          <w:sz w:val="20"/>
          <w:szCs w:val="20"/>
        </w:rPr>
        <w:t xml:space="preserve"> as compared to $2.08 for the comparable period in 2019. Total volumes for the first six months of 2020 were 2.5 billion gallons, a decrease of 38%, as compared to the comparable prior-year period. The decline in volumes w</w:t>
      </w:r>
      <w:r>
        <w:rPr>
          <w:rFonts w:eastAsia="Times New Roman"/>
          <w:color w:val="000000"/>
          <w:sz w:val="20"/>
          <w:szCs w:val="20"/>
        </w:rPr>
        <w:t>as attributable to a significant decrease in activity in our commercial aviation business, resulting from the impact of the COVID-19 pandemic on air travel</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 xml:space="preserve">Revenues in our land segment were $3.3 billion for the first six months of 2020, a decrease of $1.9 billion, or 36%, as compared to the first six months of 2019. The overall decrease in revenue was influenced by lower average fuel price per gallon sold in </w:t>
      </w:r>
      <w:r>
        <w:rPr>
          <w:rFonts w:eastAsia="Times New Roman"/>
          <w:color w:val="000000"/>
          <w:sz w:val="20"/>
          <w:szCs w:val="20"/>
        </w:rPr>
        <w:t>the first six months of 2020, where the average price per gallon or gallon equivalent sold was $1.28, as compared to $1.91 in the first six months of 2019. Volumes in our land segment declined moderately to 2.5 billion, a 5% decrease in the first six month</w:t>
      </w:r>
      <w:r>
        <w:rPr>
          <w:rFonts w:eastAsia="Times New Roman"/>
          <w:color w:val="000000"/>
          <w:sz w:val="20"/>
          <w:szCs w:val="20"/>
        </w:rPr>
        <w:t>s of 2020, as compared to the first six months of 2019</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Revenues in our marine segment were $3.1 billion for the first six months of 2020, a decrease of $858.7 million, or 22%, as compared to the first six months of 2019. The decrease in revenues was pri</w:t>
      </w:r>
      <w:r>
        <w:rPr>
          <w:rFonts w:eastAsia="Times New Roman"/>
          <w:color w:val="000000"/>
          <w:sz w:val="20"/>
          <w:szCs w:val="20"/>
        </w:rPr>
        <w:t>marily attributable to a decrease in the average price per metric ton of bunker fuel sold from $382.6 in the first six months of 2019 to $346.9 in the first half of 2020. Revenues also fell as a result of a 14% volume decrease, from 10.3 to 8.9 million met</w:t>
      </w:r>
      <w:r>
        <w:rPr>
          <w:rFonts w:eastAsia="Times New Roman"/>
          <w:color w:val="000000"/>
          <w:sz w:val="20"/>
          <w:szCs w:val="20"/>
        </w:rPr>
        <w:t>ric tons in the first six months of 2019 as compared to the first six months of 2020. The volume decline was a result of the effects of the pandemic on demand, combined with a continuing effort to exit activities that generate a low economic return, partic</w:t>
      </w:r>
      <w:r>
        <w:rPr>
          <w:rFonts w:eastAsia="Times New Roman"/>
          <w:color w:val="000000"/>
          <w:sz w:val="20"/>
          <w:szCs w:val="20"/>
        </w:rPr>
        <w:t>ularly in light of the elevated credit risk environment in the wake of the pandemic</w:t>
      </w:r>
      <w:r>
        <w:rPr>
          <w:rFonts w:eastAsia="Times New Roman"/>
          <w:color w:val="000000"/>
          <w:sz w:val="20"/>
          <w:szCs w:val="20"/>
        </w:rPr>
        <w:t>.</w:t>
      </w:r>
    </w:p>
    <w:p w:rsidR="00000000" w:rsidRDefault="004D26FD">
      <w:pPr>
        <w:divId w:val="1856386648"/>
        <w:rPr>
          <w:rFonts w:eastAsia="Times New Roman"/>
        </w:rPr>
      </w:pPr>
    </w:p>
    <w:p w:rsidR="00000000" w:rsidRDefault="004D26FD">
      <w:pPr>
        <w:ind w:firstLine="360"/>
        <w:jc w:val="both"/>
        <w:rPr>
          <w:rFonts w:eastAsia="Times New Roman"/>
        </w:rPr>
      </w:pPr>
      <w:r>
        <w:rPr>
          <w:rFonts w:eastAsia="Times New Roman"/>
          <w:i/>
          <w:iCs/>
          <w:color w:val="000000"/>
          <w:sz w:val="20"/>
          <w:szCs w:val="20"/>
        </w:rPr>
        <w:t>Gross Profit.</w:t>
      </w:r>
      <w:r>
        <w:rPr>
          <w:rFonts w:eastAsia="Times New Roman"/>
          <w:i/>
          <w:iCs/>
          <w:color w:val="000000"/>
          <w:sz w:val="20"/>
          <w:szCs w:val="20"/>
        </w:rPr>
        <w:t> </w:t>
      </w:r>
      <w:r>
        <w:rPr>
          <w:rFonts w:eastAsia="Times New Roman"/>
          <w:color w:val="000000"/>
          <w:sz w:val="20"/>
          <w:szCs w:val="20"/>
        </w:rPr>
        <w:t>Our gross profit for the first six months of 2020 was $472.6 million, a decrease of $47.0 million, or </w:t>
      </w:r>
      <w:r>
        <w:rPr>
          <w:rFonts w:eastAsia="Times New Roman"/>
          <w:color w:val="000000"/>
          <w:sz w:val="20"/>
          <w:szCs w:val="20"/>
        </w:rPr>
        <w:t>9%, as compared to the first six months of 2019. </w:t>
      </w:r>
      <w:r>
        <w:rPr>
          <w:rFonts w:eastAsia="Times New Roman"/>
          <w:color w:val="000000"/>
          <w:sz w:val="20"/>
          <w:szCs w:val="20"/>
        </w:rPr>
        <w:t> </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gross profit during these periods was attributable to the following segments (in millions):</w:t>
      </w:r>
      <w:r>
        <w:rPr>
          <w:rFonts w:eastAsia="Times New Roman"/>
          <w:color w:val="000000"/>
          <w:sz w:val="20"/>
          <w:szCs w:val="20"/>
        </w:rPr>
        <w:t> </w:t>
      </w:r>
    </w:p>
    <w:p w:rsidR="00000000" w:rsidRDefault="004D26FD">
      <w:pPr>
        <w:ind w:firstLine="1080"/>
        <w:jc w:val="both"/>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55"/>
        <w:gridCol w:w="4959"/>
        <w:gridCol w:w="55"/>
        <w:gridCol w:w="36"/>
        <w:gridCol w:w="36"/>
        <w:gridCol w:w="36"/>
        <w:gridCol w:w="115"/>
        <w:gridCol w:w="729"/>
        <w:gridCol w:w="75"/>
        <w:gridCol w:w="36"/>
        <w:gridCol w:w="36"/>
        <w:gridCol w:w="36"/>
        <w:gridCol w:w="115"/>
        <w:gridCol w:w="715"/>
        <w:gridCol w:w="75"/>
        <w:gridCol w:w="36"/>
        <w:gridCol w:w="36"/>
        <w:gridCol w:w="36"/>
        <w:gridCol w:w="116"/>
        <w:gridCol w:w="682"/>
        <w:gridCol w:w="75"/>
        <w:gridCol w:w="36"/>
        <w:gridCol w:w="36"/>
        <w:gridCol w:w="36"/>
        <w:gridCol w:w="36"/>
        <w:gridCol w:w="36"/>
        <w:gridCol w:w="36"/>
      </w:tblGrid>
      <w:tr w:rsidR="00000000">
        <w:trPr>
          <w:gridAfter w:val="6"/>
          <w:divId w:val="1195076499"/>
        </w:trPr>
        <w:tc>
          <w:tcPr>
            <w:tcW w:w="50" w:type="pct"/>
            <w:vAlign w:val="center"/>
            <w:hideMark/>
          </w:tcPr>
          <w:p w:rsidR="00000000" w:rsidRDefault="004D26FD">
            <w:pPr>
              <w:ind w:firstLine="1080"/>
              <w:jc w:val="both"/>
              <w:rPr>
                <w:rFonts w:eastAsia="Times New Roman"/>
              </w:rPr>
            </w:pPr>
          </w:p>
        </w:tc>
        <w:tc>
          <w:tcPr>
            <w:tcW w:w="30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195076499"/>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195076499"/>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195076499"/>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195076499"/>
        </w:trPr>
        <w:tc>
          <w:tcPr>
            <w:tcW w:w="0" w:type="auto"/>
            <w:gridSpan w:val="3"/>
            <w:tcBorders>
              <w:top w:val="single" w:sz="8" w:space="0" w:color="000000"/>
            </w:tcBorders>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185.0</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254.8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(69.8</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195076499"/>
        </w:trPr>
        <w:tc>
          <w:tcPr>
            <w:tcW w:w="0" w:type="auto"/>
            <w:gridSpan w:val="3"/>
            <w:shd w:val="clear" w:color="auto" w:fill="FFFF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191.0</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193.2</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w:t>
            </w:r>
            <w:r>
              <w:rPr>
                <w:rFonts w:eastAsia="Times New Roman"/>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195076499"/>
        </w:trPr>
        <w:tc>
          <w:tcPr>
            <w:tcW w:w="0" w:type="auto"/>
            <w:gridSpan w:val="3"/>
            <w:shd w:val="clear" w:color="auto" w:fill="CCEEFF"/>
            <w:tcMar>
              <w:top w:w="30" w:type="dxa"/>
              <w:left w:w="135"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96.6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71.6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195076499"/>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472.6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519.7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(47.0</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108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Our aviation segment gross profit for the first six months of 2020 was $185.0 million, a decrease of $69.8 million, or 27%, as compared to the</w:t>
      </w:r>
      <w:r>
        <w:rPr>
          <w:rFonts w:eastAsia="Times New Roman"/>
          <w:color w:val="000000"/>
          <w:sz w:val="20"/>
          <w:szCs w:val="20"/>
        </w:rPr>
        <w:t xml:space="preserve"> first six months of 2019. The decrease in aviation gross profit was primarily due to a 38% decline in volume as a consequence of the significant decline passenger air travel due to the pandemic, together with a reduction in our government-related activity</w:t>
      </w:r>
      <w:r>
        <w:rPr>
          <w:rFonts w:eastAsia="Times New Roman"/>
          <w:color w:val="000000"/>
          <w:sz w:val="20"/>
          <w:szCs w:val="20"/>
        </w:rPr>
        <w:t xml:space="preserve"> in Afghanistan as a result of the ongoing drawdown of troops. Partially offsetting the volume-related impact on gross profit were certain situation-specific, nontraditional activity arising from the pandemic, such as repatriation flights and the repositio</w:t>
      </w:r>
      <w:r>
        <w:rPr>
          <w:rFonts w:eastAsia="Times New Roman"/>
          <w:color w:val="000000"/>
          <w:sz w:val="20"/>
          <w:szCs w:val="20"/>
        </w:rPr>
        <w:t>ning of aircraft, as well as physical supply gains associated with the historic volatility in jet fuel prices during the period.</w:t>
      </w:r>
      <w:r>
        <w:rPr>
          <w:rFonts w:eastAsia="Times New Roman"/>
          <w:color w:val="000000"/>
          <w:sz w:val="20"/>
          <w:szCs w:val="20"/>
        </w:rPr>
        <w:t xml:space="preserve"> </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divId w:val="427892058"/>
        <w:rPr>
          <w:rFonts w:eastAsia="Times New Roman"/>
        </w:rPr>
      </w:pPr>
    </w:p>
    <w:p w:rsidR="00000000" w:rsidRDefault="004D26FD">
      <w:pPr>
        <w:rPr>
          <w:rFonts w:eastAsia="Times New Roman"/>
        </w:rPr>
      </w:pPr>
      <w:r>
        <w:rPr>
          <w:rFonts w:eastAsia="Times New Roman"/>
        </w:rPr>
        <w:pict>
          <v:rect id="_x0000_i1061" style="width:0;height:1.5pt" o:hralign="center" o:hrstd="t" o:hr="t" fillcolor="#a0a0a0" stroked="f"/>
        </w:pict>
      </w:r>
    </w:p>
    <w:p w:rsidR="00000000" w:rsidRDefault="004D26FD">
      <w:pPr>
        <w:divId w:val="848636125"/>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Our land segment gross profit for the first six months of 2020 was $191.0 million, a decrease of $2.2 million, or 1%, as compared to the first six months of 2019. The decrease in land segment gross profit is primarily </w:t>
      </w:r>
      <w:r>
        <w:rPr>
          <w:rFonts w:eastAsia="Times New Roman"/>
          <w:color w:val="000000"/>
          <w:sz w:val="20"/>
          <w:szCs w:val="20"/>
        </w:rPr>
        <w:t>attributable to a decline in profitability in our retail, commercial and industrial activities in North America primarily attributable to lower volumes due to the pandemic, as well as a decrease in our government-related activities in Afghanistan. These de</w:t>
      </w:r>
      <w:r>
        <w:rPr>
          <w:rFonts w:eastAsia="Times New Roman"/>
          <w:color w:val="000000"/>
          <w:sz w:val="20"/>
          <w:szCs w:val="20"/>
        </w:rPr>
        <w:t>creases were partly offset by higher profitability in the U.K. and growth in our World Kinect global energy management brand.</w:t>
      </w:r>
      <w:r>
        <w:rPr>
          <w:rFonts w:eastAsia="Times New Roman"/>
          <w:color w:val="000000"/>
          <w:sz w:val="20"/>
          <w:szCs w:val="20"/>
        </w:rPr>
        <w:t xml:space="preserve"> </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Our marine segment gross profit for the first six months of 2020 was $96.6 million, an increase of $25.0 million, or 35%, as co</w:t>
      </w:r>
      <w:r>
        <w:rPr>
          <w:rFonts w:eastAsia="Times New Roman"/>
          <w:color w:val="000000"/>
          <w:sz w:val="20"/>
          <w:szCs w:val="20"/>
        </w:rPr>
        <w:t>mpared to the first six months of 2019. The gross profit increase was attributable to improved performance in our core resale business, principally driven by higher average fuel prices during the first two months of 2020 resulting from the shift to very lo</w:t>
      </w:r>
      <w:r>
        <w:rPr>
          <w:rFonts w:eastAsia="Times New Roman"/>
          <w:color w:val="000000"/>
          <w:sz w:val="20"/>
          <w:szCs w:val="20"/>
        </w:rPr>
        <w:t>w-sulfur fuel oil as mandated by the IMO 2020 regulations that went into effect on January 1, 2020.</w:t>
      </w:r>
      <w:r>
        <w:rPr>
          <w:rFonts w:eastAsia="Times New Roman"/>
          <w:color w:val="000000"/>
          <w:sz w:val="20"/>
          <w:szCs w:val="20"/>
        </w:rPr>
        <w:t xml:space="preserve"> </w:t>
      </w:r>
    </w:p>
    <w:p w:rsidR="00000000" w:rsidRDefault="004D26FD">
      <w:pPr>
        <w:divId w:val="116802048"/>
        <w:rPr>
          <w:rFonts w:eastAsia="Times New Roman"/>
        </w:rPr>
      </w:pPr>
    </w:p>
    <w:p w:rsidR="00000000" w:rsidRDefault="004D26FD">
      <w:pPr>
        <w:ind w:firstLine="360"/>
        <w:jc w:val="both"/>
        <w:rPr>
          <w:rFonts w:eastAsia="Times New Roman"/>
        </w:rPr>
      </w:pPr>
      <w:r>
        <w:rPr>
          <w:rFonts w:eastAsia="Times New Roman"/>
          <w:i/>
          <w:iCs/>
          <w:color w:val="000000"/>
          <w:sz w:val="20"/>
          <w:szCs w:val="20"/>
        </w:rPr>
        <w:t>Operating Expenses</w:t>
      </w:r>
      <w:r>
        <w:rPr>
          <w:rFonts w:eastAsia="Times New Roman"/>
          <w:i/>
          <w:iCs/>
          <w:color w:val="000000"/>
          <w:sz w:val="20"/>
          <w:szCs w:val="20"/>
        </w:rPr>
        <w:t>.</w:t>
      </w:r>
      <w:r>
        <w:rPr>
          <w:rFonts w:eastAsia="Times New Roman"/>
          <w:color w:val="000000"/>
          <w:sz w:val="20"/>
          <w:szCs w:val="20"/>
        </w:rPr>
        <w:t xml:space="preserve"> Total operating expenses for the first six months of 2020 was $389.9 million, an increase of $15.8 million, or 4%, as compared to the</w:t>
      </w:r>
      <w:r>
        <w:rPr>
          <w:rFonts w:eastAsia="Times New Roman"/>
          <w:color w:val="000000"/>
          <w:sz w:val="20"/>
          <w:szCs w:val="20"/>
        </w:rPr>
        <w:t xml:space="preserve"> first six months of 2019. As part of our cost-reduction initiatives, we significantly reduced certain general and administrative expenses during the first six months of 2020, which were effectively offset by a higher provision for bad debt, principally du</w:t>
      </w:r>
      <w:r>
        <w:rPr>
          <w:rFonts w:eastAsia="Times New Roman"/>
          <w:color w:val="000000"/>
          <w:sz w:val="20"/>
          <w:szCs w:val="20"/>
        </w:rPr>
        <w:t>e to the effects of the pandemic on the aviation industry. Furthermore, despite lower compensation costs, including lower incentive compensation, total operating expenses were higher as a result of an impairment charge of $18.6 million during the second qu</w:t>
      </w:r>
      <w:r>
        <w:rPr>
          <w:rFonts w:eastAsia="Times New Roman"/>
          <w:color w:val="000000"/>
          <w:sz w:val="20"/>
          <w:szCs w:val="20"/>
        </w:rPr>
        <w:t>arter of 2020, associated with our decision to rationalize our global office footprint. The following table sets forth our expense categories (in millions):</w:t>
      </w:r>
      <w:r>
        <w:rPr>
          <w:rFonts w:eastAsia="Times New Roman"/>
          <w:color w:val="000000"/>
          <w:sz w:val="20"/>
          <w:szCs w:val="20"/>
        </w:rPr>
        <w:t xml:space="preserve"> </w:t>
      </w:r>
    </w:p>
    <w:p w:rsidR="00000000" w:rsidRDefault="004D26FD">
      <w:pPr>
        <w:ind w:firstLine="1080"/>
        <w:jc w:val="both"/>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55"/>
        <w:gridCol w:w="4959"/>
        <w:gridCol w:w="55"/>
        <w:gridCol w:w="36"/>
        <w:gridCol w:w="36"/>
        <w:gridCol w:w="36"/>
        <w:gridCol w:w="115"/>
        <w:gridCol w:w="729"/>
        <w:gridCol w:w="75"/>
        <w:gridCol w:w="36"/>
        <w:gridCol w:w="36"/>
        <w:gridCol w:w="36"/>
        <w:gridCol w:w="115"/>
        <w:gridCol w:w="715"/>
        <w:gridCol w:w="75"/>
        <w:gridCol w:w="36"/>
        <w:gridCol w:w="36"/>
        <w:gridCol w:w="36"/>
        <w:gridCol w:w="116"/>
        <w:gridCol w:w="682"/>
        <w:gridCol w:w="75"/>
        <w:gridCol w:w="36"/>
        <w:gridCol w:w="36"/>
        <w:gridCol w:w="36"/>
        <w:gridCol w:w="36"/>
        <w:gridCol w:w="36"/>
        <w:gridCol w:w="36"/>
      </w:tblGrid>
      <w:tr w:rsidR="00000000">
        <w:trPr>
          <w:gridAfter w:val="6"/>
          <w:divId w:val="205652974"/>
        </w:trPr>
        <w:tc>
          <w:tcPr>
            <w:tcW w:w="50" w:type="pct"/>
            <w:vAlign w:val="center"/>
            <w:hideMark/>
          </w:tcPr>
          <w:p w:rsidR="00000000" w:rsidRDefault="004D26FD">
            <w:pPr>
              <w:ind w:firstLine="1080"/>
              <w:jc w:val="both"/>
              <w:rPr>
                <w:rFonts w:eastAsia="Times New Roman"/>
              </w:rPr>
            </w:pPr>
          </w:p>
        </w:tc>
        <w:tc>
          <w:tcPr>
            <w:tcW w:w="307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7"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20565297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20565297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20565297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Compensation and employee benefit</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198.3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220.3</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(22.0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General and administrativ</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168.2</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150.1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18.1</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Asset impairment</w:t>
            </w:r>
            <w:r>
              <w:rPr>
                <w:rFonts w:eastAsia="Times New Roman"/>
                <w:color w:val="000000"/>
                <w:sz w:val="16"/>
                <w:szCs w:val="16"/>
              </w:rPr>
              <w:t>s</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Restructuring charge</w:t>
            </w:r>
            <w:r>
              <w:rPr>
                <w:rFonts w:eastAsia="Times New Roman"/>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1.1</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389.9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374.1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15.8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vAlign w:val="center"/>
            <w:hideMark/>
          </w:tcPr>
          <w:p w:rsidR="00000000" w:rsidRDefault="004D26FD">
            <w:pPr>
              <w:jc w:val="right"/>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205652974"/>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Income from Operation</w:t>
      </w:r>
      <w:r>
        <w:rPr>
          <w:rFonts w:eastAsia="Times New Roman"/>
          <w:i/>
          <w:iCs/>
          <w:color w:val="000000"/>
          <w:sz w:val="20"/>
          <w:szCs w:val="20"/>
        </w:rPr>
        <w:t>s</w:t>
      </w:r>
      <w:r>
        <w:rPr>
          <w:rFonts w:eastAsia="Times New Roman"/>
          <w:color w:val="000000"/>
          <w:sz w:val="20"/>
          <w:szCs w:val="20"/>
        </w:rPr>
        <w:t>.  </w:t>
      </w:r>
      <w:r>
        <w:rPr>
          <w:rFonts w:eastAsia="Times New Roman"/>
          <w:color w:val="000000"/>
          <w:sz w:val="20"/>
          <w:szCs w:val="20"/>
        </w:rPr>
        <w:t>Income from operations during these periods was attributable to the following segments (in millions):</w:t>
      </w: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55"/>
        <w:gridCol w:w="4937"/>
        <w:gridCol w:w="55"/>
        <w:gridCol w:w="36"/>
        <w:gridCol w:w="36"/>
        <w:gridCol w:w="36"/>
        <w:gridCol w:w="115"/>
        <w:gridCol w:w="741"/>
        <w:gridCol w:w="75"/>
        <w:gridCol w:w="36"/>
        <w:gridCol w:w="36"/>
        <w:gridCol w:w="36"/>
        <w:gridCol w:w="115"/>
        <w:gridCol w:w="715"/>
        <w:gridCol w:w="75"/>
        <w:gridCol w:w="36"/>
        <w:gridCol w:w="36"/>
        <w:gridCol w:w="36"/>
        <w:gridCol w:w="116"/>
        <w:gridCol w:w="679"/>
        <w:gridCol w:w="75"/>
        <w:gridCol w:w="36"/>
        <w:gridCol w:w="36"/>
        <w:gridCol w:w="36"/>
        <w:gridCol w:w="36"/>
        <w:gridCol w:w="36"/>
        <w:gridCol w:w="36"/>
      </w:tblGrid>
      <w:tr w:rsidR="00000000">
        <w:trPr>
          <w:gridAfter w:val="6"/>
          <w:divId w:val="1896044007"/>
        </w:trPr>
        <w:tc>
          <w:tcPr>
            <w:tcW w:w="50" w:type="pct"/>
            <w:vAlign w:val="center"/>
            <w:hideMark/>
          </w:tcPr>
          <w:p w:rsidR="00000000" w:rsidRDefault="004D26FD">
            <w:pPr>
              <w:ind w:firstLine="360"/>
              <w:jc w:val="both"/>
              <w:rPr>
                <w:rFonts w:eastAsia="Times New Roman"/>
              </w:rPr>
            </w:pPr>
          </w:p>
        </w:tc>
        <w:tc>
          <w:tcPr>
            <w:tcW w:w="306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8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78"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56"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89604400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89604400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896044007"/>
        </w:trPr>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960440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Aviation segmen</w:t>
            </w:r>
            <w:r>
              <w:rPr>
                <w:rFonts w:eastAsia="Times New Roman"/>
                <w:color w:val="000000"/>
                <w:sz w:val="16"/>
                <w:szCs w:val="16"/>
              </w:rPr>
              <w:t>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38.1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129.1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(91.0</w:t>
            </w: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96044007"/>
        </w:trPr>
        <w:tc>
          <w:tcPr>
            <w:tcW w:w="0" w:type="auto"/>
            <w:gridSpan w:val="3"/>
            <w:shd w:val="clear" w:color="auto" w:fill="FFFF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Land segmen</w:t>
            </w:r>
            <w:r>
              <w:rPr>
                <w:rFonts w:eastAsia="Times New Roman"/>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35.3</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32.8</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w:t>
            </w:r>
            <w:r>
              <w:rPr>
                <w:rFonts w:eastAsia="Times New Roman"/>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9604400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Marine Segmen</w:t>
            </w:r>
            <w:r>
              <w:rPr>
                <w:rFonts w:eastAsia="Times New Roman"/>
                <w:color w:val="000000"/>
                <w:sz w:val="16"/>
                <w:szCs w:val="16"/>
              </w:rPr>
              <w:t>t</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47.2</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23.6</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96044007"/>
        </w:trPr>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120.6</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185.5</w:t>
            </w:r>
            <w:r>
              <w:rPr>
                <w:rFonts w:eastAsia="Times New Roman"/>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(64.9</w:t>
            </w:r>
            <w:r>
              <w:rPr>
                <w:rFonts w:eastAsia="Times New Roman"/>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96044007"/>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Corporate overhead - unallocate</w:t>
            </w:r>
            <w:r>
              <w:rPr>
                <w:rFonts w:eastAsia="Times New Roman"/>
                <w:color w:val="000000"/>
                <w:sz w:val="16"/>
                <w:szCs w:val="16"/>
              </w:rPr>
              <w:t>d</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(37.9</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(40.0</w:t>
            </w:r>
            <w:r>
              <w:rPr>
                <w:rFonts w:eastAsia="Times New Roman"/>
                <w:color w:val="000000"/>
                <w:sz w:val="16"/>
                <w:szCs w:val="16"/>
              </w:rPr>
              <w:t>)</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2.0</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896044007"/>
        </w:trPr>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82.7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145.6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(62.9</w:t>
            </w: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270"/>
        <w:jc w:val="both"/>
        <w:rPr>
          <w:rFonts w:eastAsia="Times New Roman"/>
        </w:rPr>
      </w:pPr>
      <w:r>
        <w:rPr>
          <w:rFonts w:eastAsia="Times New Roman"/>
          <w:color w:val="000000"/>
          <w:sz w:val="20"/>
          <w:szCs w:val="20"/>
        </w:rPr>
        <w:t> </w:t>
      </w:r>
    </w:p>
    <w:p w:rsidR="00000000" w:rsidRDefault="004D26FD">
      <w:pPr>
        <w:ind w:firstLine="270"/>
        <w:jc w:val="both"/>
        <w:rPr>
          <w:rFonts w:eastAsia="Times New Roman"/>
        </w:rPr>
      </w:pPr>
      <w:r>
        <w:rPr>
          <w:rFonts w:eastAsia="Times New Roman"/>
          <w:color w:val="000000"/>
          <w:sz w:val="20"/>
          <w:szCs w:val="20"/>
        </w:rPr>
        <w:t>Our income from operations for the first six months of 2020 was $82.7 million, a decrease of $62.9 million, or 43%, as compared to the first six months of 2019.  The decrease was primarily attribu</w:t>
      </w:r>
      <w:r>
        <w:rPr>
          <w:rFonts w:eastAsia="Times New Roman"/>
          <w:color w:val="000000"/>
          <w:sz w:val="20"/>
          <w:szCs w:val="20"/>
        </w:rPr>
        <w:t>table to our aviation segment.</w:t>
      </w:r>
      <w:r>
        <w:rPr>
          <w:rFonts w:eastAsia="Times New Roman"/>
          <w:color w:val="000000"/>
          <w:sz w:val="20"/>
          <w:szCs w:val="20"/>
        </w:rPr>
        <w:t xml:space="preserve"> </w:t>
      </w:r>
    </w:p>
    <w:p w:rsidR="00000000" w:rsidRDefault="004D26FD">
      <w:pPr>
        <w:ind w:firstLine="270"/>
        <w:jc w:val="both"/>
        <w:rPr>
          <w:rFonts w:eastAsia="Times New Roman"/>
        </w:rPr>
      </w:pPr>
    </w:p>
    <w:p w:rsidR="00000000" w:rsidRDefault="004D26FD">
      <w:pPr>
        <w:ind w:firstLine="270"/>
        <w:jc w:val="both"/>
        <w:rPr>
          <w:rFonts w:eastAsia="Times New Roman"/>
        </w:rPr>
      </w:pPr>
      <w:r>
        <w:rPr>
          <w:rFonts w:eastAsia="Times New Roman"/>
          <w:color w:val="000000"/>
          <w:sz w:val="20"/>
          <w:szCs w:val="20"/>
        </w:rPr>
        <w:t>Our aviation segment income from operations for the first six months of 2020 was $38.1 million, a decrease of $91.0 million, as compared to the first six months of 2019. Aviation operating income for the first six months o</w:t>
      </w:r>
      <w:r>
        <w:rPr>
          <w:rFonts w:eastAsia="Times New Roman"/>
          <w:color w:val="000000"/>
          <w:sz w:val="20"/>
          <w:szCs w:val="20"/>
        </w:rPr>
        <w:t>f 2020 was principally impacted by lower volumes and the correspondingly reduced profit contribution from our commercial aviation operations as a result of the pandemic, as well as a reduction in government-related activity in Afghanistan. Aviation segment</w:t>
      </w:r>
      <w:r>
        <w:rPr>
          <w:rFonts w:eastAsia="Times New Roman"/>
          <w:color w:val="000000"/>
          <w:sz w:val="20"/>
          <w:szCs w:val="20"/>
        </w:rPr>
        <w:t xml:space="preserve"> operating income was also reduced by increased expenses resulting from a higher provision for bad debt as a consequence of the impact of the pandemic on the aviation industry, as well as the global office footprint rationalization impairment charge</w:t>
      </w:r>
      <w:r>
        <w:rPr>
          <w:rFonts w:eastAsia="Times New Roman"/>
          <w:color w:val="000000"/>
          <w:sz w:val="20"/>
          <w:szCs w:val="20"/>
        </w:rPr>
        <w:t>.</w:t>
      </w:r>
    </w:p>
    <w:p w:rsidR="00000000" w:rsidRDefault="004D26FD">
      <w:pPr>
        <w:ind w:firstLine="360"/>
        <w:jc w:val="both"/>
        <w:rPr>
          <w:rFonts w:eastAsia="Times New Roman"/>
        </w:rPr>
      </w:pPr>
    </w:p>
    <w:p w:rsidR="00000000" w:rsidRDefault="004D26FD">
      <w:pPr>
        <w:divId w:val="635644564"/>
        <w:rPr>
          <w:rFonts w:eastAsia="Times New Roman"/>
        </w:rPr>
      </w:pPr>
    </w:p>
    <w:p w:rsidR="00000000" w:rsidRDefault="004D26FD">
      <w:pPr>
        <w:rPr>
          <w:rFonts w:eastAsia="Times New Roman"/>
        </w:rPr>
      </w:pPr>
      <w:r>
        <w:rPr>
          <w:rFonts w:eastAsia="Times New Roman"/>
        </w:rPr>
        <w:pict>
          <v:rect id="_x0000_i1062" style="width:0;height:1.5pt" o:hralign="center" o:hrstd="t" o:hr="t" fillcolor="#a0a0a0" stroked="f"/>
        </w:pict>
      </w:r>
    </w:p>
    <w:p w:rsidR="00000000" w:rsidRDefault="004D26FD">
      <w:pPr>
        <w:divId w:val="1898856654"/>
        <w:rPr>
          <w:rFonts w:eastAsia="Times New Roman"/>
        </w:rPr>
      </w:pPr>
    </w:p>
    <w:p w:rsidR="00000000" w:rsidRDefault="004D26FD">
      <w:pPr>
        <w:ind w:firstLine="270"/>
        <w:jc w:val="both"/>
        <w:rPr>
          <w:rFonts w:eastAsia="Times New Roman"/>
        </w:rPr>
      </w:pPr>
      <w:r>
        <w:rPr>
          <w:rFonts w:eastAsia="Times New Roman"/>
          <w:color w:val="000000"/>
          <w:sz w:val="20"/>
          <w:szCs w:val="20"/>
        </w:rPr>
        <w:t xml:space="preserve">Our land segment income from operations for the first six months of 2020 was 35.3, an increase of 2.5, as compared to the first six months of 2019. Within our land segment, we experienced higher profitability primarily attributable to improved performance </w:t>
      </w:r>
      <w:r>
        <w:rPr>
          <w:rFonts w:eastAsia="Times New Roman"/>
          <w:color w:val="000000"/>
          <w:sz w:val="20"/>
          <w:szCs w:val="20"/>
        </w:rPr>
        <w:t>in the U.K. together with growth in our World Kinect global energy management brand, offset by lower volumes as a result of the pandemic, particularly in our retail, commercial and industrial activities in North America, as well as a decrease in our govern</w:t>
      </w:r>
      <w:r>
        <w:rPr>
          <w:rFonts w:eastAsia="Times New Roman"/>
          <w:color w:val="000000"/>
          <w:sz w:val="20"/>
          <w:szCs w:val="20"/>
        </w:rPr>
        <w:t>ment-related activities in Afghanistan. Land segment operating income also benefited from a reduction in compensation costs and general and administrative expenses, partly offset by the global office footprint rationalization impairment charge.</w:t>
      </w:r>
      <w:r>
        <w:rPr>
          <w:rFonts w:eastAsia="Times New Roman"/>
          <w:color w:val="000000"/>
          <w:sz w:val="20"/>
          <w:szCs w:val="20"/>
        </w:rPr>
        <w:t xml:space="preserve"> </w:t>
      </w:r>
    </w:p>
    <w:p w:rsidR="00000000" w:rsidRDefault="004D26FD">
      <w:pPr>
        <w:ind w:firstLine="270"/>
        <w:jc w:val="both"/>
        <w:rPr>
          <w:rFonts w:eastAsia="Times New Roman"/>
        </w:rPr>
      </w:pPr>
    </w:p>
    <w:p w:rsidR="00000000" w:rsidRDefault="004D26FD">
      <w:pPr>
        <w:ind w:firstLine="270"/>
        <w:jc w:val="both"/>
        <w:rPr>
          <w:rFonts w:eastAsia="Times New Roman"/>
        </w:rPr>
      </w:pPr>
      <w:r>
        <w:rPr>
          <w:rFonts w:eastAsia="Times New Roman"/>
          <w:color w:val="000000"/>
          <w:sz w:val="20"/>
          <w:szCs w:val="20"/>
        </w:rPr>
        <w:t>Our mari</w:t>
      </w:r>
      <w:r>
        <w:rPr>
          <w:rFonts w:eastAsia="Times New Roman"/>
          <w:color w:val="000000"/>
          <w:sz w:val="20"/>
          <w:szCs w:val="20"/>
        </w:rPr>
        <w:t>ne segment income from operations for the first six months of 2020 was $47.2 million, an increase of $23.6 million, as compared to the first six months of 2019. The increase in marine segment operating income was related to higher profitability in our core</w:t>
      </w:r>
      <w:r>
        <w:rPr>
          <w:rFonts w:eastAsia="Times New Roman"/>
          <w:color w:val="000000"/>
          <w:sz w:val="20"/>
          <w:szCs w:val="20"/>
        </w:rPr>
        <w:t xml:space="preserve"> resale business, principally driven by higher fuel prices during the first two months of 2020 resulting from the shift to very low sulfur fuel oil, as mandated by the IMO 2020 regulations that went into effect on January 1, 2020. The increase in profitabi</w:t>
      </w:r>
      <w:r>
        <w:rPr>
          <w:rFonts w:eastAsia="Times New Roman"/>
          <w:color w:val="000000"/>
          <w:sz w:val="20"/>
          <w:szCs w:val="20"/>
        </w:rPr>
        <w:t>lity was partially offset by the global office footprint rationalization impairment charge, as well as a higher provision for bad debt, as compared to 2019</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270"/>
        <w:jc w:val="both"/>
        <w:rPr>
          <w:rFonts w:eastAsia="Times New Roman"/>
        </w:rPr>
      </w:pPr>
      <w:r>
        <w:rPr>
          <w:rFonts w:eastAsia="Times New Roman"/>
          <w:color w:val="000000"/>
          <w:sz w:val="20"/>
          <w:szCs w:val="20"/>
        </w:rPr>
        <w:t>Corporate overhead costs not charged to the business segments for the first six months of 2020 we</w:t>
      </w:r>
      <w:r>
        <w:rPr>
          <w:rFonts w:eastAsia="Times New Roman"/>
          <w:color w:val="000000"/>
          <w:sz w:val="20"/>
          <w:szCs w:val="20"/>
        </w:rPr>
        <w:t>re $37.9 million, a decrease of $2.0 million, or 5%, as compared to the first six months of 2019, primarily attributable to a reduction in compensation costs</w:t>
      </w:r>
      <w:r>
        <w:rPr>
          <w:rFonts w:eastAsia="Times New Roman"/>
          <w:color w:val="000000"/>
          <w:sz w:val="20"/>
          <w:szCs w:val="20"/>
        </w:rPr>
        <w:t>.</w:t>
      </w:r>
    </w:p>
    <w:p w:rsidR="00000000" w:rsidRDefault="004D26FD">
      <w:pPr>
        <w:ind w:firstLine="270"/>
        <w:jc w:val="both"/>
        <w:rPr>
          <w:rFonts w:eastAsia="Times New Roman"/>
        </w:rPr>
      </w:pPr>
      <w:r>
        <w:rPr>
          <w:rFonts w:eastAsia="Times New Roman"/>
          <w:color w:val="000000"/>
          <w:sz w:val="20"/>
          <w:szCs w:val="20"/>
        </w:rPr>
        <w:t> </w:t>
      </w:r>
    </w:p>
    <w:p w:rsidR="00000000" w:rsidRDefault="004D26FD">
      <w:pPr>
        <w:ind w:firstLine="270"/>
        <w:jc w:val="both"/>
        <w:rPr>
          <w:rFonts w:eastAsia="Times New Roman"/>
        </w:rPr>
      </w:pPr>
      <w:r>
        <w:rPr>
          <w:rFonts w:eastAsia="Times New Roman"/>
          <w:i/>
          <w:iCs/>
          <w:color w:val="000000"/>
          <w:sz w:val="20"/>
          <w:szCs w:val="20"/>
        </w:rPr>
        <w:t>Non-Operating Expenses, net</w:t>
      </w:r>
      <w:r>
        <w:rPr>
          <w:rFonts w:eastAsia="Times New Roman"/>
          <w:i/>
          <w:iCs/>
          <w:color w:val="000000"/>
          <w:sz w:val="20"/>
          <w:szCs w:val="20"/>
        </w:rPr>
        <w:t>.</w:t>
      </w:r>
      <w:r>
        <w:rPr>
          <w:rFonts w:eastAsia="Times New Roman"/>
          <w:color w:val="000000"/>
          <w:sz w:val="20"/>
          <w:szCs w:val="20"/>
        </w:rPr>
        <w:t> For the first six months of 2020, we had non-operating expenses, n</w:t>
      </w:r>
      <w:r>
        <w:rPr>
          <w:rFonts w:eastAsia="Times New Roman"/>
          <w:color w:val="000000"/>
          <w:sz w:val="20"/>
          <w:szCs w:val="20"/>
        </w:rPr>
        <w:t>et of $28.1 million, a decrease of $8.5 million as compared to the first six months of 2019 driven principally by a reduction in interest expenses and fees associated with our receivable purchase programs partly offset by foreign currency transaction loss.</w:t>
      </w:r>
      <w:r>
        <w:rPr>
          <w:rFonts w:eastAsia="Times New Roman"/>
          <w:color w:val="000000"/>
          <w:sz w:val="20"/>
          <w:szCs w:val="20"/>
        </w:rPr>
        <w:t xml:space="preserve"> </w:t>
      </w:r>
    </w:p>
    <w:p w:rsidR="00000000" w:rsidRDefault="004D26FD">
      <w:pPr>
        <w:ind w:firstLine="270"/>
        <w:jc w:val="both"/>
        <w:rPr>
          <w:rFonts w:eastAsia="Times New Roman"/>
        </w:rPr>
      </w:pPr>
      <w:r>
        <w:rPr>
          <w:rFonts w:eastAsia="Times New Roman"/>
          <w:color w:val="000000"/>
          <w:sz w:val="20"/>
          <w:szCs w:val="20"/>
        </w:rPr>
        <w:t> </w:t>
      </w:r>
    </w:p>
    <w:p w:rsidR="00000000" w:rsidRDefault="004D26FD">
      <w:pPr>
        <w:ind w:firstLine="270"/>
        <w:jc w:val="both"/>
        <w:rPr>
          <w:rFonts w:eastAsia="Times New Roman"/>
        </w:rPr>
      </w:pPr>
      <w:r>
        <w:rPr>
          <w:rFonts w:eastAsia="Times New Roman"/>
          <w:i/>
          <w:iCs/>
          <w:color w:val="000000"/>
          <w:sz w:val="20"/>
          <w:szCs w:val="20"/>
        </w:rPr>
        <w:t>Income Taxe</w:t>
      </w:r>
      <w:r>
        <w:rPr>
          <w:rFonts w:eastAsia="Times New Roman"/>
          <w:i/>
          <w:iCs/>
          <w:color w:val="000000"/>
          <w:sz w:val="20"/>
          <w:szCs w:val="20"/>
        </w:rPr>
        <w:t>s</w:t>
      </w:r>
      <w:r>
        <w:rPr>
          <w:rFonts w:eastAsia="Times New Roman"/>
          <w:color w:val="000000"/>
          <w:sz w:val="20"/>
          <w:szCs w:val="20"/>
        </w:rPr>
        <w:t>.  For the first six months of 2020, our income tax provision was $23.7 million and our effective income tax rate was 43%, as compared to an income tax provision of $34.0 million and an effective income tax rate of 31% for the first six mon</w:t>
      </w:r>
      <w:r>
        <w:rPr>
          <w:rFonts w:eastAsia="Times New Roman"/>
          <w:color w:val="000000"/>
          <w:sz w:val="20"/>
          <w:szCs w:val="20"/>
        </w:rPr>
        <w:t>ths of 2019. The lower tax provision was a result of our lower income before income taxes, while the higher effective income tax rate was primarily related to differences in certain one-time discrete items and the results of our subsidiaries in tax jurisdi</w:t>
      </w:r>
      <w:r>
        <w:rPr>
          <w:rFonts w:eastAsia="Times New Roman"/>
          <w:color w:val="000000"/>
          <w:sz w:val="20"/>
          <w:szCs w:val="20"/>
        </w:rPr>
        <w:t>ctions with different tax rates.</w:t>
      </w:r>
      <w:r>
        <w:rPr>
          <w:rFonts w:eastAsia="Times New Roman"/>
          <w:color w:val="000000"/>
          <w:sz w:val="20"/>
          <w:szCs w:val="20"/>
        </w:rPr>
        <w:t xml:space="preserve"> </w:t>
      </w:r>
    </w:p>
    <w:p w:rsidR="00000000" w:rsidRDefault="004D26FD">
      <w:pPr>
        <w:ind w:firstLine="270"/>
        <w:jc w:val="both"/>
        <w:rPr>
          <w:rFonts w:eastAsia="Times New Roman"/>
        </w:rPr>
      </w:pPr>
      <w:r>
        <w:rPr>
          <w:rFonts w:eastAsia="Times New Roman"/>
          <w:color w:val="000000"/>
          <w:sz w:val="20"/>
          <w:szCs w:val="20"/>
        </w:rPr>
        <w:t> </w:t>
      </w:r>
    </w:p>
    <w:p w:rsidR="00000000" w:rsidRDefault="004D26FD">
      <w:pPr>
        <w:ind w:firstLine="270"/>
        <w:jc w:val="both"/>
        <w:rPr>
          <w:rFonts w:eastAsia="Times New Roman"/>
        </w:rPr>
      </w:pPr>
      <w:r>
        <w:rPr>
          <w:rFonts w:eastAsia="Times New Roman"/>
          <w:i/>
          <w:iCs/>
          <w:color w:val="000000"/>
          <w:sz w:val="20"/>
          <w:szCs w:val="20"/>
        </w:rPr>
        <w:t>Net Income Attributable to Noncontrolling Interes</w:t>
      </w:r>
      <w:r>
        <w:rPr>
          <w:rFonts w:eastAsia="Times New Roman"/>
          <w:i/>
          <w:iCs/>
          <w:color w:val="000000"/>
          <w:sz w:val="20"/>
          <w:szCs w:val="20"/>
        </w:rPr>
        <w:t>t</w:t>
      </w:r>
      <w:r>
        <w:rPr>
          <w:rFonts w:eastAsia="Times New Roman"/>
          <w:color w:val="000000"/>
          <w:sz w:val="20"/>
          <w:szCs w:val="20"/>
        </w:rPr>
        <w:t>.  For the first six months of 2020, net loss attributable to noncontrolling interest was $0.2 million, compared to net income of $0.7 million for the first six months of</w:t>
      </w:r>
      <w:r>
        <w:rPr>
          <w:rFonts w:eastAsia="Times New Roman"/>
          <w:color w:val="000000"/>
          <w:sz w:val="20"/>
          <w:szCs w:val="20"/>
        </w:rPr>
        <w:t xml:space="preserve"> 2019</w:t>
      </w:r>
      <w:r>
        <w:rPr>
          <w:rFonts w:eastAsia="Times New Roman"/>
          <w:color w:val="000000"/>
          <w:sz w:val="20"/>
          <w:szCs w:val="20"/>
        </w:rPr>
        <w:t>.</w:t>
      </w:r>
    </w:p>
    <w:p w:rsidR="00000000" w:rsidRDefault="004D26FD">
      <w:pPr>
        <w:ind w:firstLine="270"/>
        <w:jc w:val="both"/>
        <w:rPr>
          <w:rFonts w:eastAsia="Times New Roman"/>
        </w:rPr>
      </w:pPr>
      <w:r>
        <w:rPr>
          <w:rFonts w:eastAsia="Times New Roman"/>
          <w:color w:val="000000"/>
          <w:sz w:val="20"/>
          <w:szCs w:val="20"/>
        </w:rPr>
        <w:t> </w:t>
      </w:r>
    </w:p>
    <w:p w:rsidR="00000000" w:rsidRDefault="004D26FD">
      <w:pPr>
        <w:ind w:firstLine="270"/>
        <w:jc w:val="both"/>
        <w:rPr>
          <w:rFonts w:eastAsia="Times New Roman"/>
        </w:rPr>
      </w:pPr>
      <w:r>
        <w:rPr>
          <w:rFonts w:eastAsia="Times New Roman"/>
          <w:i/>
          <w:iCs/>
          <w:color w:val="000000"/>
          <w:sz w:val="20"/>
          <w:szCs w:val="20"/>
        </w:rPr>
        <w:t>Net Income Attributable to World Fuel and Diluted Earnings per Common Shar</w:t>
      </w:r>
      <w:r>
        <w:rPr>
          <w:rFonts w:eastAsia="Times New Roman"/>
          <w:i/>
          <w:iCs/>
          <w:color w:val="000000"/>
          <w:sz w:val="20"/>
          <w:szCs w:val="20"/>
        </w:rPr>
        <w:t>e</w:t>
      </w:r>
      <w:r>
        <w:rPr>
          <w:rFonts w:eastAsia="Times New Roman"/>
          <w:color w:val="000000"/>
          <w:sz w:val="20"/>
          <w:szCs w:val="20"/>
        </w:rPr>
        <w:t>.  For the first six months of 2020, we had a net income of $31.2 million and diluted earnings per common share of $0.48 as compared to net income of $74.2 million and dilu</w:t>
      </w:r>
      <w:r>
        <w:rPr>
          <w:rFonts w:eastAsia="Times New Roman"/>
          <w:color w:val="000000"/>
          <w:sz w:val="20"/>
          <w:szCs w:val="20"/>
        </w:rPr>
        <w:t>ted earnings per common share of $1.10 for the first six months of 2019.</w:t>
      </w:r>
      <w:r>
        <w:rPr>
          <w:rFonts w:eastAsia="Times New Roman"/>
          <w:color w:val="000000"/>
          <w:sz w:val="20"/>
          <w:szCs w:val="20"/>
        </w:rPr>
        <w:t xml:space="preserve"> </w:t>
      </w:r>
    </w:p>
    <w:p w:rsidR="00000000" w:rsidRDefault="004D26FD">
      <w:pPr>
        <w:divId w:val="1746104798"/>
        <w:rPr>
          <w:rFonts w:eastAsia="Times New Roman"/>
        </w:rPr>
      </w:pPr>
    </w:p>
    <w:p w:rsidR="00000000" w:rsidRDefault="004D26FD">
      <w:pPr>
        <w:divId w:val="24252918"/>
        <w:rPr>
          <w:rFonts w:eastAsia="Times New Roman"/>
        </w:rPr>
      </w:pPr>
    </w:p>
    <w:p w:rsidR="00000000" w:rsidRDefault="004D26FD">
      <w:pPr>
        <w:rPr>
          <w:rFonts w:eastAsia="Times New Roman"/>
        </w:rPr>
      </w:pPr>
      <w:r>
        <w:rPr>
          <w:rFonts w:eastAsia="Times New Roman"/>
        </w:rPr>
        <w:pict>
          <v:rect id="_x0000_i1063" style="width:0;height:1.5pt" o:hralign="center" o:hrstd="t" o:hr="t" fillcolor="#a0a0a0" stroked="f"/>
        </w:pict>
      </w:r>
    </w:p>
    <w:p w:rsidR="00000000" w:rsidRDefault="004D26FD">
      <w:pPr>
        <w:divId w:val="2133740272"/>
        <w:rPr>
          <w:rFonts w:eastAsia="Times New Roman"/>
        </w:rPr>
      </w:pPr>
    </w:p>
    <w:p w:rsidR="00000000" w:rsidRDefault="004D26FD">
      <w:pPr>
        <w:ind w:firstLine="360"/>
        <w:divId w:val="954219420"/>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4D26FD">
      <w:pPr>
        <w:ind w:firstLine="360"/>
        <w:divId w:val="1641568292"/>
        <w:rPr>
          <w:rFonts w:eastAsia="Times New Roman"/>
        </w:rPr>
      </w:pPr>
    </w:p>
    <w:p w:rsidR="00000000" w:rsidRDefault="004D26FD">
      <w:pPr>
        <w:ind w:firstLine="360"/>
        <w:jc w:val="both"/>
        <w:divId w:val="1959070832"/>
        <w:rPr>
          <w:rFonts w:eastAsia="Times New Roman"/>
        </w:rPr>
      </w:pPr>
      <w:r>
        <w:rPr>
          <w:rFonts w:eastAsia="Times New Roman"/>
          <w:color w:val="000000"/>
          <w:sz w:val="20"/>
          <w:szCs w:val="20"/>
        </w:rPr>
        <w:t>Our liquidity, consisting of cash, cash equivalents and availability under the Credit Facility fluctuates based on a number of factors, including the timing of receipts from our customers, payments to our suppliers, changes in fuel prices, as well as our f</w:t>
      </w:r>
      <w:r>
        <w:rPr>
          <w:rFonts w:eastAsia="Times New Roman"/>
          <w:color w:val="000000"/>
          <w:sz w:val="20"/>
          <w:szCs w:val="20"/>
        </w:rPr>
        <w:t>inancial performance, which drives availability under our Credit Facility. Our availability under our Credit Facility, for example, is limited by, among other things, our consolidated total leverage ratio, which is defined in the Credit Facility and is bas</w:t>
      </w:r>
      <w:r>
        <w:rPr>
          <w:rFonts w:eastAsia="Times New Roman"/>
          <w:color w:val="000000"/>
          <w:sz w:val="20"/>
          <w:szCs w:val="20"/>
        </w:rPr>
        <w:t>ed in part on our adjusted consolidated earnings before interest, taxes, depreciation and amortization (“Adjusted EBITDA”) for the four immediately preceding fiscal quarters. Accordingly, significant fluctuations in our Adjusted EBITDA for a particular qua</w:t>
      </w:r>
      <w:r>
        <w:rPr>
          <w:rFonts w:eastAsia="Times New Roman"/>
          <w:color w:val="000000"/>
          <w:sz w:val="20"/>
          <w:szCs w:val="20"/>
        </w:rPr>
        <w:t>rter can impact our availability to the extent it significantly alters our Adjusted EBITDA for the applicable preceding four quarters. See Item 1A. Risk Factors in Part II of this 10-Q Report for additional information</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Cash and liquidity are significant p</w:t>
      </w:r>
      <w:r>
        <w:rPr>
          <w:rFonts w:eastAsia="Times New Roman"/>
          <w:color w:val="000000"/>
          <w:sz w:val="20"/>
          <w:szCs w:val="20"/>
        </w:rPr>
        <w:t>riorities for us and our primary use of cash and liquidity is to fund working capital and strategic investments. Increases in fuel prices can negatively affect liquidity by increasing the amount of cash required to fund fuel purchases. In addition, while w</w:t>
      </w:r>
      <w:r>
        <w:rPr>
          <w:rFonts w:eastAsia="Times New Roman"/>
          <w:color w:val="000000"/>
          <w:sz w:val="20"/>
          <w:szCs w:val="20"/>
        </w:rPr>
        <w:t xml:space="preserve">e are usually extended unsecured trade credit from our suppliers for our fuel purchases, higher fuel prices may reduce the amount of fuel which we can purchase on an unsecured basis, and in certain cases, we may be required to prepay fuel purchases, which </w:t>
      </w:r>
      <w:r>
        <w:rPr>
          <w:rFonts w:eastAsia="Times New Roman"/>
          <w:color w:val="000000"/>
          <w:sz w:val="20"/>
          <w:szCs w:val="20"/>
        </w:rPr>
        <w:t>would negatively impact our liquidity. Fuel price increases may also negatively impact our customers, in that they may not be able to purchase as much fuel from us because of their credit limits with us and the resulting adverse impact on their business co</w:t>
      </w:r>
      <w:r>
        <w:rPr>
          <w:rFonts w:eastAsia="Times New Roman"/>
          <w:color w:val="000000"/>
          <w:sz w:val="20"/>
          <w:szCs w:val="20"/>
        </w:rPr>
        <w:t>uld cause them to be unable to make payments owed to us for fuel purchased on credit. They may also choose to reduce the amount of fuel they consume in their operations to reduce costs. In any such event, the volume of orders from our customers may thereaf</w:t>
      </w:r>
      <w:r>
        <w:rPr>
          <w:rFonts w:eastAsia="Times New Roman"/>
          <w:color w:val="000000"/>
          <w:sz w:val="20"/>
          <w:szCs w:val="20"/>
        </w:rPr>
        <w:t>ter decrease and we may not be able to replace lost volumes with new or existing customers</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As described in greater detail above, the COVID-19 pandemic is expected to continue to have an adverse impact on our customers, and therefore our own operating re</w:t>
      </w:r>
      <w:r>
        <w:rPr>
          <w:rFonts w:eastAsia="Times New Roman"/>
          <w:color w:val="000000"/>
          <w:sz w:val="20"/>
          <w:szCs w:val="20"/>
        </w:rPr>
        <w:t>sults for the balance of 2020, which could have a negative impact on our liquidity. However, based on the information currently available, we believe that our cash and cash equivalents as of June 30, 2020 and available funds from our Credit Facility, toget</w:t>
      </w:r>
      <w:r>
        <w:rPr>
          <w:rFonts w:eastAsia="Times New Roman"/>
          <w:color w:val="000000"/>
          <w:sz w:val="20"/>
          <w:szCs w:val="20"/>
        </w:rPr>
        <w:t>her with cash flows generated by operations, are sufficient to fund our working capital and capital expenditure requirements for at least the next twelve months. We may choose to raise additional funds to further enhance our liquidity profile, which may be</w:t>
      </w:r>
      <w:r>
        <w:rPr>
          <w:rFonts w:eastAsia="Times New Roman"/>
          <w:color w:val="000000"/>
          <w:sz w:val="20"/>
          <w:szCs w:val="20"/>
        </w:rPr>
        <w:t xml:space="preserve"> used for working capital, capital expenditures or other strategic investments. Our opinions concerning liquidity are based on currently available information and if circumstances change significantly, whether as a result of the COVID-19 pandemic or otherw</w:t>
      </w:r>
      <w:r>
        <w:rPr>
          <w:rFonts w:eastAsia="Times New Roman"/>
          <w:color w:val="000000"/>
          <w:sz w:val="20"/>
          <w:szCs w:val="20"/>
        </w:rPr>
        <w:t>ise, the future availability of trade credit or other sources of financing may be reduced, and our liquidity would be adversely affected. Factors that may affect the availability of trade credit or other forms of financing include our financial performance</w:t>
      </w:r>
      <w:r>
        <w:rPr>
          <w:rFonts w:eastAsia="Times New Roman"/>
          <w:color w:val="000000"/>
          <w:sz w:val="20"/>
          <w:szCs w:val="20"/>
        </w:rPr>
        <w:t xml:space="preserve"> (as measured by various factors, including cash provided by operating activities), the state of worldwide credit markets, and our levels of outstanding debt. Depending on the severity and direct impact of these factors on us, financing may be limited or u</w:t>
      </w:r>
      <w:r>
        <w:rPr>
          <w:rFonts w:eastAsia="Times New Roman"/>
          <w:color w:val="000000"/>
          <w:sz w:val="20"/>
          <w:szCs w:val="20"/>
        </w:rPr>
        <w:t>navailable on terms favorable to us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divId w:val="498272783"/>
        <w:rPr>
          <w:rFonts w:eastAsia="Times New Roman"/>
        </w:rPr>
      </w:pPr>
      <w:r>
        <w:rPr>
          <w:rFonts w:eastAsia="Times New Roman"/>
          <w:b/>
          <w:bCs/>
          <w:color w:val="000000"/>
          <w:sz w:val="20"/>
          <w:szCs w:val="20"/>
        </w:rPr>
        <w:t>Cash Flow</w:t>
      </w:r>
      <w:r>
        <w:rPr>
          <w:rFonts w:eastAsia="Times New Roman"/>
          <w:b/>
          <w:bCs/>
          <w:color w:val="000000"/>
          <w:sz w:val="20"/>
          <w:szCs w:val="20"/>
        </w:rPr>
        <w:t>s</w:t>
      </w:r>
    </w:p>
    <w:p w:rsidR="00000000" w:rsidRDefault="004D26FD">
      <w:pPr>
        <w:ind w:firstLine="360"/>
        <w:divId w:val="1498035552"/>
        <w:rPr>
          <w:rFonts w:eastAsia="Times New Roman"/>
        </w:rPr>
      </w:pPr>
    </w:p>
    <w:p w:rsidR="00000000" w:rsidRDefault="004D26FD">
      <w:pPr>
        <w:ind w:firstLine="360"/>
        <w:jc w:val="both"/>
        <w:divId w:val="1310014216"/>
        <w:rPr>
          <w:rFonts w:eastAsia="Times New Roman"/>
        </w:rPr>
      </w:pPr>
      <w:r>
        <w:rPr>
          <w:rFonts w:eastAsia="Times New Roman"/>
          <w:color w:val="000000"/>
          <w:sz w:val="20"/>
          <w:szCs w:val="20"/>
        </w:rPr>
        <w:t xml:space="preserve">The following table reflects the major categories of cash flows for the six months ended June 30, 2020 and 2019 (in millions). For additional details, please see the Consolidated Statements of Cash Flows </w:t>
      </w:r>
      <w:r>
        <w:rPr>
          <w:rFonts w:eastAsia="Times New Roman"/>
          <w:color w:val="000000"/>
          <w:sz w:val="20"/>
          <w:szCs w:val="20"/>
        </w:rPr>
        <w:t>in this Quarterly Report on Form 10-Q</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7"/>
        <w:gridCol w:w="5245"/>
        <w:gridCol w:w="58"/>
        <w:gridCol w:w="36"/>
        <w:gridCol w:w="36"/>
        <w:gridCol w:w="36"/>
        <w:gridCol w:w="115"/>
        <w:gridCol w:w="1067"/>
        <w:gridCol w:w="75"/>
        <w:gridCol w:w="36"/>
        <w:gridCol w:w="36"/>
        <w:gridCol w:w="36"/>
        <w:gridCol w:w="115"/>
        <w:gridCol w:w="1054"/>
        <w:gridCol w:w="75"/>
        <w:gridCol w:w="36"/>
        <w:gridCol w:w="36"/>
        <w:gridCol w:w="36"/>
        <w:gridCol w:w="36"/>
        <w:gridCol w:w="36"/>
        <w:gridCol w:w="36"/>
      </w:tblGrid>
      <w:tr w:rsidR="00000000">
        <w:trPr>
          <w:gridAfter w:val="6"/>
          <w:divId w:val="784887047"/>
        </w:trPr>
        <w:tc>
          <w:tcPr>
            <w:tcW w:w="50" w:type="pct"/>
            <w:vAlign w:val="center"/>
            <w:hideMark/>
          </w:tcPr>
          <w:p w:rsidR="00000000" w:rsidRDefault="004D26FD">
            <w:pPr>
              <w:ind w:firstLine="360"/>
              <w:jc w:val="both"/>
              <w:rPr>
                <w:rFonts w:eastAsia="Times New Roman"/>
              </w:rPr>
            </w:pPr>
          </w:p>
        </w:tc>
        <w:tc>
          <w:tcPr>
            <w:tcW w:w="326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6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78488704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For the Six Months Ende</w:t>
            </w:r>
            <w:r>
              <w:rPr>
                <w:rFonts w:eastAsia="Times New Roman"/>
                <w:b/>
                <w:bCs/>
                <w:color w:val="000000"/>
                <w:sz w:val="16"/>
                <w:szCs w:val="16"/>
              </w:rPr>
              <w:t>d</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78488704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4D26FD">
            <w:pPr>
              <w:jc w:val="center"/>
              <w:rPr>
                <w:rFonts w:eastAsia="Times New Roman"/>
              </w:rPr>
            </w:pPr>
          </w:p>
        </w:tc>
        <w:tc>
          <w:tcPr>
            <w:tcW w:w="0" w:type="auto"/>
            <w:gridSpan w:val="3"/>
            <w:vAlign w:val="center"/>
            <w:hideMark/>
          </w:tcPr>
          <w:p w:rsidR="00000000" w:rsidRDefault="004D26FD">
            <w:pPr>
              <w:rPr>
                <w:rFonts w:eastAsia="Times New Roman"/>
                <w:sz w:val="20"/>
                <w:szCs w:val="20"/>
              </w:rPr>
            </w:pPr>
          </w:p>
        </w:tc>
      </w:tr>
      <w:tr w:rsidR="00000000">
        <w:trPr>
          <w:divId w:val="784887047"/>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848870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cash provided by operating activitie</w:t>
            </w:r>
            <w:r>
              <w:rPr>
                <w:rFonts w:eastAsia="Times New Roman"/>
                <w:color w:val="000000"/>
                <w:sz w:val="16"/>
                <w:szCs w:val="16"/>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245.1</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135.8</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84887047"/>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cash used in investing activitie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(168.7</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(33.6</w:t>
            </w:r>
            <w:r>
              <w:rPr>
                <w:rFonts w:eastAsia="Times New Roman"/>
                <w:color w:val="000000"/>
                <w:sz w:val="16"/>
                <w:szCs w:val="16"/>
              </w:rPr>
              <w:t>)</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784887047"/>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Net cash provided by (used in) financing activitie</w:t>
            </w:r>
            <w:r>
              <w:rPr>
                <w:rFonts w:eastAsia="Times New Roman"/>
                <w:color w:val="000000"/>
                <w:sz w:val="16"/>
                <w:szCs w:val="16"/>
              </w:rPr>
              <w:t>s</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394.9</w:t>
            </w:r>
            <w:r>
              <w:rPr>
                <w:rFonts w:eastAsia="Times New Roman"/>
                <w:color w:val="000000"/>
                <w:sz w:val="16"/>
                <w:szCs w:val="16"/>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(97.1</w:t>
            </w:r>
            <w:r>
              <w:rPr>
                <w:rFonts w:eastAsia="Times New Roman"/>
                <w:color w:val="000000"/>
                <w:sz w:val="16"/>
                <w:szCs w:val="16"/>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Operating Activities</w:t>
      </w:r>
      <w:r>
        <w:rPr>
          <w:rFonts w:eastAsia="Times New Roman"/>
          <w:i/>
          <w:iCs/>
          <w:color w:val="000000"/>
          <w:sz w:val="20"/>
          <w:szCs w:val="20"/>
        </w:rPr>
        <w:t>.</w:t>
      </w:r>
      <w:r>
        <w:rPr>
          <w:rFonts w:eastAsia="Times New Roman"/>
          <w:color w:val="000000"/>
          <w:sz w:val="20"/>
          <w:szCs w:val="20"/>
        </w:rPr>
        <w:t> </w:t>
      </w:r>
      <w:r>
        <w:rPr>
          <w:rFonts w:eastAsia="Times New Roman"/>
          <w:color w:val="000000"/>
          <w:sz w:val="20"/>
          <w:szCs w:val="20"/>
        </w:rPr>
        <w:t>For the first six months of 2020, net cash provided by operating activities was $245.1 million as compared to net cash provided by operating activities of</w:t>
      </w:r>
      <w:r>
        <w:rPr>
          <w:rFonts w:eastAsia="Times New Roman"/>
          <w:color w:val="000000"/>
          <w:sz w:val="20"/>
          <w:szCs w:val="20"/>
        </w:rPr>
        <w:t xml:space="preserve"> </w:t>
      </w:r>
      <w:r>
        <w:rPr>
          <w:rFonts w:eastAsia="Times New Roman"/>
          <w:color w:val="000000"/>
          <w:sz w:val="20"/>
          <w:szCs w:val="20"/>
          <w:shd w:val="clear" w:color="auto" w:fill="FFFFFF"/>
        </w:rPr>
        <w:t>$135.8 millio</w:t>
      </w:r>
      <w:r>
        <w:rPr>
          <w:rFonts w:eastAsia="Times New Roman"/>
          <w:color w:val="000000"/>
          <w:sz w:val="20"/>
          <w:szCs w:val="20"/>
          <w:shd w:val="clear" w:color="auto" w:fill="FFFFFF"/>
        </w:rPr>
        <w:t>n</w:t>
      </w:r>
      <w:r>
        <w:rPr>
          <w:rFonts w:eastAsia="Times New Roman"/>
          <w:color w:val="000000"/>
          <w:sz w:val="20"/>
          <w:szCs w:val="20"/>
        </w:rPr>
        <w:t xml:space="preserve"> for the first six months of 2019.  The $109.3 million change in operating cash flows w</w:t>
      </w:r>
      <w:r>
        <w:rPr>
          <w:rFonts w:eastAsia="Times New Roman"/>
          <w:color w:val="000000"/>
          <w:sz w:val="20"/>
          <w:szCs w:val="20"/>
        </w:rPr>
        <w:t>as principally due to favorable year-over-year changes in working capital of $97.3 million, excluding cash, and net other long term assets and liabilities of $41.9 million, offset by a $44.0 million decrease in net income. The changes in working capital, e</w:t>
      </w:r>
      <w:r>
        <w:rPr>
          <w:rFonts w:eastAsia="Times New Roman"/>
          <w:color w:val="000000"/>
          <w:sz w:val="20"/>
          <w:szCs w:val="20"/>
        </w:rPr>
        <w:t xml:space="preserve">xcluding cash, reflect a $1.6 billion net decrease in accounts receivable, inventories, and short-term derivatives, offset by a $1.5 billion net decrease in accounts payable, customer deposits and accrued expenses and other current liabilities. Changes in </w:t>
      </w:r>
      <w:r>
        <w:rPr>
          <w:rFonts w:eastAsia="Times New Roman"/>
          <w:color w:val="000000"/>
          <w:sz w:val="20"/>
          <w:szCs w:val="20"/>
        </w:rPr>
        <w:t>non-cash items were principally associated with higher provision for bad debt, offset by changes in share-based payment amortization and deferred taxes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Investing Activities</w:t>
      </w:r>
      <w:r>
        <w:rPr>
          <w:rFonts w:eastAsia="Times New Roman"/>
          <w:i/>
          <w:iCs/>
          <w:color w:val="000000"/>
          <w:sz w:val="20"/>
          <w:szCs w:val="20"/>
        </w:rPr>
        <w:t>.</w:t>
      </w:r>
      <w:r>
        <w:rPr>
          <w:rFonts w:eastAsia="Times New Roman"/>
          <w:color w:val="000000"/>
          <w:sz w:val="20"/>
          <w:szCs w:val="20"/>
        </w:rPr>
        <w:t> For the first six months of 2020, net cash used in investing activities was $16</w:t>
      </w:r>
      <w:r>
        <w:rPr>
          <w:rFonts w:eastAsia="Times New Roman"/>
          <w:color w:val="000000"/>
          <w:sz w:val="20"/>
          <w:szCs w:val="20"/>
        </w:rPr>
        <w:t>8.7 million as compared to net cash used in investing activities of</w:t>
      </w:r>
      <w:r>
        <w:rPr>
          <w:rFonts w:eastAsia="Times New Roman"/>
          <w:color w:val="000000"/>
          <w:sz w:val="20"/>
          <w:szCs w:val="20"/>
        </w:rPr>
        <w:t xml:space="preserve"> </w:t>
      </w:r>
      <w:r>
        <w:rPr>
          <w:rFonts w:eastAsia="Times New Roman"/>
          <w:color w:val="000000"/>
          <w:sz w:val="20"/>
          <w:szCs w:val="20"/>
          <w:shd w:val="clear" w:color="auto" w:fill="FFFFFF"/>
        </w:rPr>
        <w:t>$33.6 millio</w:t>
      </w:r>
      <w:r>
        <w:rPr>
          <w:rFonts w:eastAsia="Times New Roman"/>
          <w:color w:val="000000"/>
          <w:sz w:val="20"/>
          <w:szCs w:val="20"/>
          <w:shd w:val="clear" w:color="auto" w:fill="FFFFFF"/>
        </w:rPr>
        <w:t>n</w:t>
      </w:r>
      <w:r>
        <w:rPr>
          <w:rFonts w:eastAsia="Times New Roman"/>
          <w:color w:val="000000"/>
          <w:sz w:val="20"/>
          <w:szCs w:val="20"/>
        </w:rPr>
        <w:t xml:space="preserve"> for the first six months of 2019. The $135.2 million change in investing activities cash flows was principally due to the acquisition of a business</w:t>
      </w:r>
      <w:r>
        <w:rPr>
          <w:rFonts w:eastAsia="Times New Roman"/>
          <w:color w:val="000000"/>
          <w:sz w:val="20"/>
          <w:szCs w:val="20"/>
        </w:rPr>
        <w:t>.</w:t>
      </w:r>
    </w:p>
    <w:p w:rsidR="00000000" w:rsidRDefault="004D26FD">
      <w:pPr>
        <w:jc w:val="center"/>
        <w:divId w:val="1412236542"/>
        <w:rPr>
          <w:rFonts w:eastAsia="Times New Roman"/>
        </w:rPr>
      </w:pPr>
      <w:r>
        <w:rPr>
          <w:rFonts w:eastAsia="Times New Roman"/>
          <w:color w:val="000000"/>
          <w:sz w:val="20"/>
          <w:szCs w:val="20"/>
        </w:rPr>
        <w:t>3</w:t>
      </w:r>
      <w:r>
        <w:rPr>
          <w:rFonts w:eastAsia="Times New Roman"/>
          <w:color w:val="000000"/>
          <w:sz w:val="20"/>
          <w:szCs w:val="20"/>
        </w:rPr>
        <w:t>6</w:t>
      </w:r>
    </w:p>
    <w:p w:rsidR="00000000" w:rsidRDefault="004D26FD">
      <w:pPr>
        <w:rPr>
          <w:rFonts w:eastAsia="Times New Roman"/>
        </w:rPr>
      </w:pPr>
      <w:r>
        <w:rPr>
          <w:rFonts w:eastAsia="Times New Roman"/>
        </w:rPr>
        <w:pict>
          <v:rect id="_x0000_i1064" style="width:0;height:1.5pt" o:hralign="center" o:hrstd="t" o:hr="t" fillcolor="#a0a0a0" stroked="f"/>
        </w:pict>
      </w:r>
    </w:p>
    <w:p w:rsidR="00000000" w:rsidRDefault="004D26FD">
      <w:pPr>
        <w:divId w:val="1913005068"/>
        <w:rPr>
          <w:rFonts w:eastAsia="Times New Roman"/>
        </w:rPr>
      </w:pP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Financing Activities</w:t>
      </w:r>
      <w:r>
        <w:rPr>
          <w:rFonts w:eastAsia="Times New Roman"/>
          <w:i/>
          <w:iCs/>
          <w:color w:val="000000"/>
          <w:sz w:val="20"/>
          <w:szCs w:val="20"/>
        </w:rPr>
        <w:t>.</w:t>
      </w:r>
      <w:r>
        <w:rPr>
          <w:rFonts w:eastAsia="Times New Roman"/>
          <w:color w:val="000000"/>
          <w:sz w:val="20"/>
          <w:szCs w:val="20"/>
        </w:rPr>
        <w:t> For the first six months of 2020, net cash provided by financing activities was $394.9 million as compared to net cash used in financing activities of</w:t>
      </w:r>
      <w:r>
        <w:rPr>
          <w:rFonts w:eastAsia="Times New Roman"/>
          <w:color w:val="000000"/>
          <w:sz w:val="20"/>
          <w:szCs w:val="20"/>
        </w:rPr>
        <w:t xml:space="preserve"> </w:t>
      </w:r>
      <w:r>
        <w:rPr>
          <w:rFonts w:eastAsia="Times New Roman"/>
          <w:color w:val="000000"/>
          <w:sz w:val="20"/>
          <w:szCs w:val="20"/>
          <w:shd w:val="clear" w:color="auto" w:fill="FFFFFF"/>
        </w:rPr>
        <w:t>$97.1 millio</w:t>
      </w:r>
      <w:r>
        <w:rPr>
          <w:rFonts w:eastAsia="Times New Roman"/>
          <w:color w:val="000000"/>
          <w:sz w:val="20"/>
          <w:szCs w:val="20"/>
          <w:shd w:val="clear" w:color="auto" w:fill="FFFFFF"/>
        </w:rPr>
        <w:t>n</w:t>
      </w:r>
      <w:r>
        <w:rPr>
          <w:rFonts w:eastAsia="Times New Roman"/>
          <w:color w:val="000000"/>
          <w:sz w:val="20"/>
          <w:szCs w:val="20"/>
        </w:rPr>
        <w:t xml:space="preserve"> for the first six months of 2</w:t>
      </w:r>
      <w:r>
        <w:rPr>
          <w:rFonts w:eastAsia="Times New Roman"/>
          <w:color w:val="000000"/>
          <w:sz w:val="20"/>
          <w:szCs w:val="20"/>
        </w:rPr>
        <w:t>019. The $492.0 million change was principally due to $487.4 million in net borrowings of debt under our credit facility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Other Liquidity Measure</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divId w:val="111436298"/>
        <w:rPr>
          <w:rFonts w:eastAsia="Times New Roman"/>
        </w:rPr>
      </w:pPr>
      <w:r>
        <w:rPr>
          <w:rFonts w:eastAsia="Times New Roman"/>
          <w:i/>
          <w:iCs/>
          <w:color w:val="000000"/>
          <w:sz w:val="20"/>
          <w:szCs w:val="20"/>
        </w:rPr>
        <w:t>Cash and Cash Equivalents.</w:t>
      </w:r>
      <w:r>
        <w:rPr>
          <w:rFonts w:eastAsia="Times New Roman"/>
          <w:i/>
          <w:iCs/>
          <w:color w:val="000000"/>
          <w:sz w:val="20"/>
          <w:szCs w:val="20"/>
        </w:rPr>
        <w:t> </w:t>
      </w:r>
      <w:r>
        <w:rPr>
          <w:rFonts w:eastAsia="Times New Roman"/>
          <w:color w:val="000000"/>
          <w:sz w:val="20"/>
          <w:szCs w:val="20"/>
        </w:rPr>
        <w:t>As of June 30, 2020 and</w:t>
      </w:r>
      <w:r>
        <w:rPr>
          <w:rFonts w:eastAsia="Times New Roman"/>
          <w:color w:val="000000"/>
          <w:sz w:val="20"/>
          <w:szCs w:val="20"/>
        </w:rPr>
        <w:t xml:space="preserve"> </w:t>
      </w:r>
      <w:r>
        <w:rPr>
          <w:rFonts w:eastAsia="Times New Roman"/>
          <w:color w:val="000000"/>
          <w:sz w:val="20"/>
          <w:szCs w:val="20"/>
          <w:shd w:val="clear" w:color="auto" w:fill="FFFFFF"/>
        </w:rPr>
        <w:t>December 31, 201</w:t>
      </w:r>
      <w:r>
        <w:rPr>
          <w:rFonts w:eastAsia="Times New Roman"/>
          <w:color w:val="000000"/>
          <w:sz w:val="20"/>
          <w:szCs w:val="20"/>
          <w:shd w:val="clear" w:color="auto" w:fill="FFFFFF"/>
        </w:rPr>
        <w:t>9</w:t>
      </w:r>
      <w:r>
        <w:rPr>
          <w:rFonts w:eastAsia="Times New Roman"/>
          <w:color w:val="000000"/>
          <w:sz w:val="20"/>
          <w:szCs w:val="20"/>
        </w:rPr>
        <w:t>, we had cash and cash equivalents of</w:t>
      </w:r>
      <w:r>
        <w:rPr>
          <w:rFonts w:eastAsia="Times New Roman"/>
          <w:color w:val="000000"/>
          <w:sz w:val="20"/>
          <w:szCs w:val="20"/>
        </w:rPr>
        <w:t xml:space="preserve"> $645.7 million and</w:t>
      </w:r>
      <w:r>
        <w:rPr>
          <w:rFonts w:eastAsia="Times New Roman"/>
          <w:color w:val="000000"/>
          <w:sz w:val="20"/>
          <w:szCs w:val="20"/>
        </w:rPr>
        <w:t xml:space="preserve"> </w:t>
      </w:r>
      <w:r>
        <w:rPr>
          <w:rFonts w:eastAsia="Times New Roman"/>
          <w:color w:val="000000"/>
          <w:sz w:val="20"/>
          <w:szCs w:val="20"/>
          <w:shd w:val="clear" w:color="auto" w:fill="FFFFFF"/>
        </w:rPr>
        <w:t>$186.1 millio</w:t>
      </w:r>
      <w:r>
        <w:rPr>
          <w:rFonts w:eastAsia="Times New Roman"/>
          <w:color w:val="000000"/>
          <w:sz w:val="20"/>
          <w:szCs w:val="20"/>
          <w:shd w:val="clear" w:color="auto" w:fill="FFFFFF"/>
        </w:rPr>
        <w:t>n</w:t>
      </w:r>
      <w:r>
        <w:rPr>
          <w:rFonts w:eastAsia="Times New Roman"/>
          <w:color w:val="000000"/>
          <w:sz w:val="20"/>
          <w:szCs w:val="20"/>
        </w:rPr>
        <w:t>, respectively.</w:t>
      </w:r>
      <w:r>
        <w:rPr>
          <w:rFonts w:eastAsia="Times New Roman"/>
          <w:color w:val="000000"/>
          <w:sz w:val="20"/>
          <w:szCs w:val="20"/>
        </w:rPr>
        <w:t xml:space="preserve"> </w:t>
      </w:r>
    </w:p>
    <w:p w:rsidR="00000000" w:rsidRDefault="004D26FD">
      <w:pPr>
        <w:ind w:firstLine="360"/>
        <w:jc w:val="both"/>
        <w:divId w:val="1121610322"/>
        <w:rPr>
          <w:rFonts w:eastAsia="Times New Roman"/>
        </w:rPr>
      </w:pPr>
      <w:r>
        <w:rPr>
          <w:rFonts w:eastAsia="Times New Roman"/>
          <w:i/>
          <w:iCs/>
          <w:color w:val="000000"/>
          <w:sz w:val="20"/>
          <w:szCs w:val="20"/>
        </w:rPr>
        <w:t>Credit Facility and Term Loans</w:t>
      </w:r>
      <w:r>
        <w:rPr>
          <w:rFonts w:eastAsia="Times New Roman"/>
          <w:i/>
          <w:iCs/>
          <w:color w:val="000000"/>
          <w:sz w:val="20"/>
          <w:szCs w:val="20"/>
        </w:rPr>
        <w:t>.</w:t>
      </w:r>
      <w:r>
        <w:rPr>
          <w:rFonts w:eastAsia="Times New Roman"/>
          <w:color w:val="000000"/>
          <w:sz w:val="20"/>
          <w:szCs w:val="20"/>
        </w:rPr>
        <w:t xml:space="preserve"> We had $509.5 million and</w:t>
      </w:r>
      <w:r>
        <w:rPr>
          <w:rFonts w:eastAsia="Times New Roman"/>
          <w:color w:val="000000"/>
          <w:sz w:val="20"/>
          <w:szCs w:val="20"/>
        </w:rPr>
        <w:t xml:space="preserve"> </w:t>
      </w:r>
      <w:r>
        <w:rPr>
          <w:rFonts w:eastAsia="Times New Roman"/>
          <w:color w:val="000000"/>
          <w:sz w:val="20"/>
          <w:szCs w:val="20"/>
          <w:shd w:val="clear" w:color="auto" w:fill="FFFFFF"/>
        </w:rPr>
        <w:t>$515.6 millio</w:t>
      </w:r>
      <w:r>
        <w:rPr>
          <w:rFonts w:eastAsia="Times New Roman"/>
          <w:color w:val="000000"/>
          <w:sz w:val="20"/>
          <w:szCs w:val="20"/>
          <w:shd w:val="clear" w:color="auto" w:fill="FFFFFF"/>
        </w:rPr>
        <w:t>n</w:t>
      </w:r>
      <w:r>
        <w:rPr>
          <w:rFonts w:eastAsia="Times New Roman"/>
          <w:color w:val="000000"/>
          <w:sz w:val="20"/>
          <w:szCs w:val="20"/>
        </w:rPr>
        <w:t xml:space="preserve"> in Term Loans outstanding as of June 30, 2020 and December 31, 2019, respectively. Our Credit Agreement, as amended through June 30,</w:t>
      </w:r>
      <w:r>
        <w:rPr>
          <w:rFonts w:eastAsia="Times New Roman"/>
          <w:color w:val="000000"/>
          <w:sz w:val="20"/>
          <w:szCs w:val="20"/>
        </w:rPr>
        <w:t xml:space="preserve"> 2020, consists of a revolving loan under which up to $1.3 billion aggregate principal amount could be borrowed, repaid and redrawn, based upon specific financial ratios and subject to the satisfaction of other customary conditions to borrowing. Our Credit</w:t>
      </w:r>
      <w:r>
        <w:rPr>
          <w:rFonts w:eastAsia="Times New Roman"/>
          <w:color w:val="000000"/>
          <w:sz w:val="20"/>
          <w:szCs w:val="20"/>
        </w:rPr>
        <w:t xml:space="preserve"> Facility includes a sublimit of $400.0 million for the issuance of letters of credit and bankers' acceptances. Under the Credit Facility, we have the right to request increases in available borrowings up to an additional $400.0 million, subject to the sat</w:t>
      </w:r>
      <w:r>
        <w:rPr>
          <w:rFonts w:eastAsia="Times New Roman"/>
          <w:color w:val="000000"/>
          <w:sz w:val="20"/>
          <w:szCs w:val="20"/>
        </w:rPr>
        <w:t>isfaction of certain conditions and we have the right to request increases in available borrowings up to an additional $200.0 million, subject to the satisfaction of certain conditions. The credit facility matures July 2024</w:t>
      </w:r>
      <w:r>
        <w:rPr>
          <w:rFonts w:eastAsia="Times New Roman"/>
          <w:color w:val="000000"/>
          <w:sz w:val="20"/>
          <w:szCs w:val="20"/>
        </w:rPr>
        <w:t>.</w:t>
      </w:r>
    </w:p>
    <w:p w:rsidR="00000000" w:rsidRDefault="004D26FD">
      <w:pPr>
        <w:ind w:firstLine="360"/>
        <w:jc w:val="both"/>
        <w:divId w:val="1908614648"/>
        <w:rPr>
          <w:rFonts w:eastAsia="Times New Roman"/>
        </w:rPr>
      </w:pPr>
      <w:r>
        <w:rPr>
          <w:rFonts w:eastAsia="Times New Roman"/>
          <w:color w:val="000000"/>
          <w:sz w:val="20"/>
          <w:szCs w:val="20"/>
        </w:rPr>
        <w:t>As of June 30, 2020 and Decembe</w:t>
      </w:r>
      <w:r>
        <w:rPr>
          <w:rFonts w:eastAsia="Times New Roman"/>
          <w:color w:val="000000"/>
          <w:sz w:val="20"/>
          <w:szCs w:val="20"/>
        </w:rPr>
        <w:t>r 31, 2019, we had outstanding borrowings under our Credit Facility totaling $530.0 million and</w:t>
      </w:r>
      <w:r>
        <w:rPr>
          <w:rFonts w:eastAsia="Times New Roman"/>
          <w:color w:val="000000"/>
          <w:sz w:val="20"/>
          <w:szCs w:val="20"/>
        </w:rPr>
        <w:t xml:space="preserve"> </w:t>
      </w:r>
      <w:r>
        <w:rPr>
          <w:rFonts w:eastAsia="Times New Roman"/>
          <w:color w:val="000000"/>
          <w:sz w:val="20"/>
          <w:szCs w:val="20"/>
          <w:shd w:val="clear" w:color="auto" w:fill="FFFFFF"/>
        </w:rPr>
        <w:t>$55.0 millio</w:t>
      </w:r>
      <w:r>
        <w:rPr>
          <w:rFonts w:eastAsia="Times New Roman"/>
          <w:color w:val="000000"/>
          <w:sz w:val="20"/>
          <w:szCs w:val="20"/>
          <w:shd w:val="clear" w:color="auto" w:fill="FFFFFF"/>
        </w:rPr>
        <w:t>n</w:t>
      </w:r>
      <w:r>
        <w:rPr>
          <w:rFonts w:eastAsia="Times New Roman"/>
          <w:color w:val="000000"/>
          <w:sz w:val="20"/>
          <w:szCs w:val="20"/>
        </w:rPr>
        <w:t>, respectively. Our issued letters of credit under the Credit Facility totaled $6.7 million and</w:t>
      </w:r>
      <w:r>
        <w:rPr>
          <w:rFonts w:eastAsia="Times New Roman"/>
          <w:color w:val="000000"/>
          <w:sz w:val="20"/>
          <w:szCs w:val="20"/>
        </w:rPr>
        <w:t xml:space="preserve"> </w:t>
      </w:r>
      <w:r>
        <w:rPr>
          <w:rFonts w:eastAsia="Times New Roman"/>
          <w:color w:val="000000"/>
          <w:sz w:val="20"/>
          <w:szCs w:val="20"/>
          <w:shd w:val="clear" w:color="auto" w:fill="FFFFFF"/>
        </w:rPr>
        <w:t>$4.3 millio</w:t>
      </w:r>
      <w:r>
        <w:rPr>
          <w:rFonts w:eastAsia="Times New Roman"/>
          <w:color w:val="000000"/>
          <w:sz w:val="20"/>
          <w:szCs w:val="20"/>
          <w:shd w:val="clear" w:color="auto" w:fill="FFFFFF"/>
        </w:rPr>
        <w:t>n</w:t>
      </w:r>
      <w:r>
        <w:rPr>
          <w:rFonts w:eastAsia="Times New Roman"/>
          <w:color w:val="000000"/>
          <w:sz w:val="20"/>
          <w:szCs w:val="20"/>
        </w:rPr>
        <w:t xml:space="preserve"> as of June 30, 2020 and December 31, 2019, respectively. As of June 30, 2020 and December 31, 2019, the unused portion of our Credit Facility was $</w:t>
      </w:r>
      <w:r>
        <w:rPr>
          <w:rFonts w:eastAsia="Times New Roman"/>
          <w:color w:val="000000"/>
          <w:sz w:val="20"/>
          <w:szCs w:val="20"/>
        </w:rPr>
        <w:t>738.3 million and</w:t>
      </w:r>
      <w:r>
        <w:rPr>
          <w:rFonts w:eastAsia="Times New Roman"/>
          <w:color w:val="000000"/>
          <w:sz w:val="20"/>
          <w:szCs w:val="20"/>
        </w:rPr>
        <w:t xml:space="preserve"> </w:t>
      </w:r>
      <w:r>
        <w:rPr>
          <w:rFonts w:eastAsia="Times New Roman"/>
          <w:color w:val="000000"/>
          <w:sz w:val="20"/>
          <w:szCs w:val="20"/>
          <w:shd w:val="clear" w:color="auto" w:fill="FFFFFF"/>
        </w:rPr>
        <w:t>$1.2 billio</w:t>
      </w:r>
      <w:r>
        <w:rPr>
          <w:rFonts w:eastAsia="Times New Roman"/>
          <w:color w:val="000000"/>
          <w:sz w:val="20"/>
          <w:szCs w:val="20"/>
          <w:shd w:val="clear" w:color="auto" w:fill="FFFFFF"/>
        </w:rPr>
        <w:t>n</w:t>
      </w:r>
      <w:r>
        <w:rPr>
          <w:rFonts w:eastAsia="Times New Roman"/>
          <w:color w:val="000000"/>
          <w:sz w:val="20"/>
          <w:szCs w:val="20"/>
        </w:rPr>
        <w:t>. The unused portion of our Credit Facility is limited by, among other things, our financial leverage ratio, which limits the total amount of indebtedness we may incur, and may, therefore, fluctuate from period to period</w:t>
      </w:r>
      <w:r>
        <w:rPr>
          <w:rFonts w:eastAsia="Times New Roman"/>
          <w:color w:val="000000"/>
          <w:sz w:val="20"/>
          <w:szCs w:val="20"/>
        </w:rPr>
        <w:t>.</w:t>
      </w:r>
    </w:p>
    <w:p w:rsidR="00000000" w:rsidRDefault="004D26FD">
      <w:pPr>
        <w:jc w:val="both"/>
        <w:rPr>
          <w:rFonts w:eastAsia="Times New Roman"/>
        </w:rPr>
      </w:pPr>
      <w:r>
        <w:rPr>
          <w:rFonts w:eastAsia="Times New Roman"/>
          <w:color w:val="000000"/>
          <w:sz w:val="20"/>
          <w:szCs w:val="20"/>
        </w:rPr>
        <w:t>    </w:t>
      </w:r>
      <w:r>
        <w:rPr>
          <w:rFonts w:eastAsia="Times New Roman"/>
          <w:color w:val="000000"/>
          <w:sz w:val="20"/>
          <w:szCs w:val="20"/>
        </w:rPr>
        <w:t xml:space="preserve">    Our Credit Facility and Term Loans contain certain financial and other covenants with which we are required to comply. Our failure to comply with the covenants contained in our Credit Facility and our Term Loans could result in an event of default. An </w:t>
      </w:r>
      <w:r>
        <w:rPr>
          <w:rFonts w:eastAsia="Times New Roman"/>
          <w:color w:val="000000"/>
          <w:sz w:val="20"/>
          <w:szCs w:val="20"/>
        </w:rPr>
        <w:t>event of default, if not cured or waived, would permit acceleration of any outstanding indebtedness under the Credit Facility and our Term Loans, trigger cross-defaults under certain other agreements to which we are a party and impair our ability to obtain</w:t>
      </w:r>
      <w:r>
        <w:rPr>
          <w:rFonts w:eastAsia="Times New Roman"/>
          <w:color w:val="000000"/>
          <w:sz w:val="20"/>
          <w:szCs w:val="20"/>
        </w:rPr>
        <w:t xml:space="preserve"> working capital advances and issue letters of credit, which would have a material, adverse effect on our business, financial condition, results of operations and cash flows. As of June 30, 2020, we were in compliance with all financial covenants contained</w:t>
      </w:r>
      <w:r>
        <w:rPr>
          <w:rFonts w:eastAsia="Times New Roman"/>
          <w:color w:val="000000"/>
          <w:sz w:val="20"/>
          <w:szCs w:val="20"/>
        </w:rPr>
        <w:t xml:space="preserve"> in our Credit Facility and our Term Loans</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Other Agreement</w:t>
      </w:r>
      <w:r>
        <w:rPr>
          <w:rFonts w:eastAsia="Times New Roman"/>
          <w:i/>
          <w:iCs/>
          <w:color w:val="000000"/>
          <w:sz w:val="20"/>
          <w:szCs w:val="20"/>
        </w:rPr>
        <w:t>s</w:t>
      </w:r>
      <w:r>
        <w:rPr>
          <w:rFonts w:eastAsia="Times New Roman"/>
          <w:color w:val="000000"/>
          <w:sz w:val="20"/>
          <w:szCs w:val="20"/>
        </w:rPr>
        <w:t>. Additionally, we have other uncommitted credit lines primarily for the issuance of letters of credit, bank guarantees and bankers’ acceptances. These credit lines are renewable on an annual ba</w:t>
      </w:r>
      <w:r>
        <w:rPr>
          <w:rFonts w:eastAsia="Times New Roman"/>
          <w:color w:val="000000"/>
          <w:sz w:val="20"/>
          <w:szCs w:val="20"/>
        </w:rPr>
        <w:t>sis and are subject to fees at market rates. As of June 30, 2020 and December 31, 2019, our outstanding letters of credit and bank guarantees under these credit lines totaled $334.8 million and</w:t>
      </w:r>
      <w:r>
        <w:rPr>
          <w:rFonts w:eastAsia="Times New Roman"/>
          <w:color w:val="000000"/>
          <w:sz w:val="20"/>
          <w:szCs w:val="20"/>
        </w:rPr>
        <w:t xml:space="preserve"> </w:t>
      </w:r>
      <w:r>
        <w:rPr>
          <w:rFonts w:eastAsia="Times New Roman"/>
          <w:color w:val="000000"/>
          <w:sz w:val="20"/>
          <w:szCs w:val="20"/>
          <w:shd w:val="clear" w:color="auto" w:fill="FFFFFF"/>
        </w:rPr>
        <w:t>$375.2 millio</w:t>
      </w:r>
      <w:r>
        <w:rPr>
          <w:rFonts w:eastAsia="Times New Roman"/>
          <w:color w:val="000000"/>
          <w:sz w:val="20"/>
          <w:szCs w:val="20"/>
          <w:shd w:val="clear" w:color="auto" w:fill="FFFFFF"/>
        </w:rPr>
        <w:t>n</w:t>
      </w:r>
      <w:r>
        <w:rPr>
          <w:rFonts w:eastAsia="Times New Roman"/>
          <w:color w:val="000000"/>
          <w:sz w:val="20"/>
          <w:szCs w:val="20"/>
        </w:rPr>
        <w:t>, respectively</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We also have accounts receivab</w:t>
      </w:r>
      <w:r>
        <w:rPr>
          <w:rFonts w:eastAsia="Times New Roman"/>
          <w:color w:val="000000"/>
          <w:sz w:val="20"/>
          <w:szCs w:val="20"/>
        </w:rPr>
        <w:t>le financing programs under receivables purchase agreements (“RPAs”) with Wells Fargo Bank, N.A. and Citibank, N.A. that allow for the sale of our accounts receivable in an amount up to 100% of our outstanding qualifying accounts receivable balances and re</w:t>
      </w:r>
      <w:r>
        <w:rPr>
          <w:rFonts w:eastAsia="Times New Roman"/>
          <w:color w:val="000000"/>
          <w:sz w:val="20"/>
          <w:szCs w:val="20"/>
        </w:rPr>
        <w:t>ceive cash consideration equal to the total balance, less a discount margin equal to LIBOR plus 1% to 3%. The RPA agreements provide the banks with the ability to add or remove customers from these programs based on, among other things, the level of risk e</w:t>
      </w:r>
      <w:r>
        <w:rPr>
          <w:rFonts w:eastAsia="Times New Roman"/>
          <w:color w:val="000000"/>
          <w:sz w:val="20"/>
          <w:szCs w:val="20"/>
        </w:rPr>
        <w:t>xposure the bank is willing to accept with respect to any customer. The fees the banks charge us to purchase the receivables from these customers can also be impacted for these reasons. Under the RPAs, accounts receivable sold, which remained outstanding a</w:t>
      </w:r>
      <w:r>
        <w:rPr>
          <w:rFonts w:eastAsia="Times New Roman"/>
          <w:color w:val="000000"/>
          <w:sz w:val="20"/>
          <w:szCs w:val="20"/>
        </w:rPr>
        <w:t>t June 30, 2020 and December 31, 2019 were $92.6 million and</w:t>
      </w:r>
      <w:r>
        <w:rPr>
          <w:rFonts w:eastAsia="Times New Roman"/>
          <w:color w:val="000000"/>
          <w:sz w:val="20"/>
          <w:szCs w:val="20"/>
        </w:rPr>
        <w:t xml:space="preserve"> </w:t>
      </w:r>
      <w:r>
        <w:rPr>
          <w:rFonts w:eastAsia="Times New Roman"/>
          <w:color w:val="000000"/>
          <w:sz w:val="20"/>
          <w:szCs w:val="20"/>
          <w:shd w:val="clear" w:color="auto" w:fill="FFFFFF"/>
        </w:rPr>
        <w:t>$405.9 millio</w:t>
      </w:r>
      <w:r>
        <w:rPr>
          <w:rFonts w:eastAsia="Times New Roman"/>
          <w:color w:val="000000"/>
          <w:sz w:val="20"/>
          <w:szCs w:val="20"/>
          <w:shd w:val="clear" w:color="auto" w:fill="FFFFFF"/>
        </w:rPr>
        <w:t>n</w:t>
      </w:r>
      <w:r>
        <w:rPr>
          <w:rFonts w:eastAsia="Times New Roman"/>
          <w:color w:val="000000"/>
          <w:sz w:val="20"/>
          <w:szCs w:val="20"/>
        </w:rPr>
        <w:t>, respectively. The reduction in accounts receivable sold for the second quarter of 2020 was driven primaril</w:t>
      </w:r>
      <w:r>
        <w:rPr>
          <w:rFonts w:eastAsia="Times New Roman"/>
          <w:color w:val="000000"/>
          <w:sz w:val="20"/>
          <w:szCs w:val="20"/>
        </w:rPr>
        <w:t>y</w:t>
      </w:r>
      <w:r>
        <w:rPr>
          <w:rFonts w:eastAsia="Times New Roman"/>
          <w:color w:val="000000"/>
          <w:sz w:val="22"/>
          <w:szCs w:val="22"/>
        </w:rPr>
        <w:t xml:space="preserve"> </w:t>
      </w:r>
      <w:r>
        <w:rPr>
          <w:rFonts w:eastAsia="Times New Roman"/>
          <w:color w:val="000000"/>
          <w:sz w:val="20"/>
          <w:szCs w:val="20"/>
        </w:rPr>
        <w:t>by lower fuel prices and the decline in activity in our commercial avia</w:t>
      </w:r>
      <w:r>
        <w:rPr>
          <w:rFonts w:eastAsia="Times New Roman"/>
          <w:color w:val="000000"/>
          <w:sz w:val="20"/>
          <w:szCs w:val="20"/>
        </w:rPr>
        <w:t>tion and marine businesses as a result of the impact of the pandemic on airlines and cruise lines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Short-Term Deb</w:t>
      </w:r>
      <w:r>
        <w:rPr>
          <w:rFonts w:eastAsia="Times New Roman"/>
          <w:i/>
          <w:iCs/>
          <w:color w:val="000000"/>
          <w:sz w:val="20"/>
          <w:szCs w:val="20"/>
        </w:rPr>
        <w:t>t</w:t>
      </w:r>
      <w:r>
        <w:rPr>
          <w:rFonts w:eastAsia="Times New Roman"/>
          <w:color w:val="000000"/>
          <w:sz w:val="20"/>
          <w:szCs w:val="20"/>
        </w:rPr>
        <w:t>. As of June 30, 2020, our short-term debt of $53.8 million primarily represents the current maturities (within the next twelve months) of T</w:t>
      </w:r>
      <w:r>
        <w:rPr>
          <w:rFonts w:eastAsia="Times New Roman"/>
          <w:color w:val="000000"/>
          <w:sz w:val="20"/>
          <w:szCs w:val="20"/>
        </w:rPr>
        <w:t>erm Loan borrowings, finance lease obligations and a secured borrowing associated with the transfer of tax receivables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jc w:val="center"/>
        <w:divId w:val="986936086"/>
        <w:rPr>
          <w:rFonts w:eastAsia="Times New Roman"/>
        </w:rPr>
      </w:pPr>
      <w:r>
        <w:rPr>
          <w:rFonts w:eastAsia="Times New Roman"/>
          <w:color w:val="000000"/>
          <w:sz w:val="20"/>
          <w:szCs w:val="20"/>
        </w:rPr>
        <w:t>3</w:t>
      </w:r>
      <w:r>
        <w:rPr>
          <w:rFonts w:eastAsia="Times New Roman"/>
          <w:color w:val="000000"/>
          <w:sz w:val="20"/>
          <w:szCs w:val="20"/>
        </w:rPr>
        <w:t>7</w:t>
      </w:r>
    </w:p>
    <w:p w:rsidR="00000000" w:rsidRDefault="004D26FD">
      <w:pPr>
        <w:rPr>
          <w:rFonts w:eastAsia="Times New Roman"/>
        </w:rPr>
      </w:pPr>
      <w:r>
        <w:rPr>
          <w:rFonts w:eastAsia="Times New Roman"/>
        </w:rPr>
        <w:pict>
          <v:rect id="_x0000_i1065" style="width:0;height:1.5pt" o:hralign="center" o:hrstd="t" o:hr="t" fillcolor="#a0a0a0" stroked="f"/>
        </w:pict>
      </w:r>
    </w:p>
    <w:p w:rsidR="00000000" w:rsidRDefault="004D26FD">
      <w:pPr>
        <w:divId w:val="547500420"/>
        <w:rPr>
          <w:rFonts w:eastAsia="Times New Roman"/>
        </w:rPr>
      </w:pPr>
    </w:p>
    <w:p w:rsidR="00000000" w:rsidRDefault="004D26FD">
      <w:pPr>
        <w:ind w:firstLine="360"/>
        <w:jc w:val="both"/>
        <w:rPr>
          <w:rFonts w:eastAsia="Times New Roman"/>
        </w:rPr>
      </w:pPr>
      <w:r>
        <w:rPr>
          <w:rFonts w:eastAsia="Times New Roman"/>
          <w:b/>
          <w:bCs/>
          <w:color w:val="000000"/>
          <w:sz w:val="20"/>
          <w:szCs w:val="20"/>
        </w:rPr>
        <w:t>Contractual Obligations and Off-Balance Sheet Arrangement</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Except for changes in the contr</w:t>
      </w:r>
      <w:r>
        <w:rPr>
          <w:rFonts w:eastAsia="Times New Roman"/>
          <w:color w:val="000000"/>
          <w:sz w:val="20"/>
          <w:szCs w:val="20"/>
        </w:rPr>
        <w:t>actual obligations and off-balance sheet arrangements described below, there were no other material changes from December 31, 2019 to June 30, 2020.  For a discussion of these matters, refer to Item 7. Contractual Obligations and Off-Balance Sheet Arrangem</w:t>
      </w:r>
      <w:r>
        <w:rPr>
          <w:rFonts w:eastAsia="Times New Roman"/>
          <w:color w:val="000000"/>
          <w:sz w:val="20"/>
          <w:szCs w:val="20"/>
        </w:rPr>
        <w:t>ents of our 2019 Form 10-K Report</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Contractual Obligation</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Derivative Obligations</w:t>
      </w:r>
      <w:r>
        <w:rPr>
          <w:rFonts w:eastAsia="Times New Roman"/>
          <w:i/>
          <w:iCs/>
          <w:color w:val="000000"/>
          <w:sz w:val="20"/>
          <w:szCs w:val="20"/>
        </w:rPr>
        <w:t>.</w:t>
      </w:r>
      <w:r>
        <w:rPr>
          <w:rFonts w:eastAsia="Times New Roman"/>
          <w:color w:val="000000"/>
          <w:sz w:val="20"/>
          <w:szCs w:val="20"/>
        </w:rPr>
        <w:t xml:space="preserve"> As of June </w:t>
      </w:r>
      <w:r>
        <w:rPr>
          <w:rFonts w:eastAsia="Times New Roman"/>
          <w:color w:val="000000"/>
          <w:sz w:val="20"/>
          <w:szCs w:val="20"/>
        </w:rPr>
        <w:t>30, 2020, our net derivative obligations were $111.4 million, principally due within one year</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Purchase Commitment Obligations</w:t>
      </w:r>
      <w:r>
        <w:rPr>
          <w:rFonts w:eastAsia="Times New Roman"/>
          <w:i/>
          <w:iCs/>
          <w:color w:val="000000"/>
          <w:sz w:val="20"/>
          <w:szCs w:val="20"/>
        </w:rPr>
        <w:t>.</w:t>
      </w:r>
      <w:r>
        <w:rPr>
          <w:rFonts w:eastAsia="Times New Roman"/>
          <w:color w:val="000000"/>
          <w:sz w:val="20"/>
          <w:szCs w:val="20"/>
        </w:rPr>
        <w:t xml:space="preserve"> As of June 30, 2020, fixed purchase commitments under our derivative programs amounted to $83.7 million, principally due withi</w:t>
      </w:r>
      <w:r>
        <w:rPr>
          <w:rFonts w:eastAsia="Times New Roman"/>
          <w:color w:val="000000"/>
          <w:sz w:val="20"/>
          <w:szCs w:val="20"/>
        </w:rPr>
        <w:t>n one year</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i/>
          <w:iCs/>
          <w:color w:val="000000"/>
          <w:sz w:val="20"/>
          <w:szCs w:val="20"/>
        </w:rPr>
        <w:t>Letters of Credit and Bank Guarantees</w:t>
      </w:r>
      <w:r>
        <w:rPr>
          <w:rFonts w:eastAsia="Times New Roman"/>
          <w:i/>
          <w:iCs/>
          <w:color w:val="000000"/>
          <w:sz w:val="20"/>
          <w:szCs w:val="20"/>
        </w:rPr>
        <w:t>.</w:t>
      </w:r>
      <w:r>
        <w:rPr>
          <w:rFonts w:eastAsia="Times New Roman"/>
          <w:color w:val="000000"/>
          <w:sz w:val="20"/>
          <w:szCs w:val="20"/>
        </w:rPr>
        <w:t xml:space="preserve"> In the normal course of business, we are required to provide letters of credit to certain suppliers. A majority of these letters of credit expire within one year from the</w:t>
      </w:r>
      <w:r>
        <w:rPr>
          <w:rFonts w:eastAsia="Times New Roman"/>
          <w:color w:val="000000"/>
          <w:sz w:val="20"/>
          <w:szCs w:val="20"/>
        </w:rPr>
        <w:t>ir issuance, and expired letters of credit are renewed as needed. As of June 30, 2020, we had issued letters of credit and bank guarantees totaling $341.5 million under our Credit Facility and other uncommitted credit lines. For additional information on o</w:t>
      </w:r>
      <w:r>
        <w:rPr>
          <w:rFonts w:eastAsia="Times New Roman"/>
          <w:color w:val="000000"/>
          <w:sz w:val="20"/>
          <w:szCs w:val="20"/>
        </w:rPr>
        <w:t>ur Credit Facility and other credit lines, see the discussion in Liquidity and Capital Resources above</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divId w:val="1260791455"/>
        <w:rPr>
          <w:rFonts w:eastAsia="Times New Roman"/>
        </w:rPr>
      </w:pPr>
      <w:r>
        <w:rPr>
          <w:rFonts w:eastAsia="Times New Roman"/>
          <w:b/>
          <w:bCs/>
          <w:color w:val="000000"/>
          <w:sz w:val="20"/>
          <w:szCs w:val="20"/>
        </w:rPr>
        <w:t>Recent Accounting Pronouncement</w:t>
      </w:r>
      <w:r>
        <w:rPr>
          <w:rFonts w:eastAsia="Times New Roman"/>
          <w:b/>
          <w:bCs/>
          <w:color w:val="000000"/>
          <w:sz w:val="20"/>
          <w:szCs w:val="20"/>
        </w:rPr>
        <w:t>s</w:t>
      </w: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Information regarding new accounting pronouncements is included in Note 1. Basis of Presentation and Significant Acc</w:t>
      </w:r>
      <w:r>
        <w:rPr>
          <w:rFonts w:eastAsia="Times New Roman"/>
          <w:color w:val="000000"/>
          <w:sz w:val="20"/>
          <w:szCs w:val="20"/>
        </w:rPr>
        <w:t>ounting Policies accompanying the Consolidated Financial Statements in this 10-Q Report</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hanging="1080"/>
        <w:divId w:val="680620301"/>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4D26FD">
      <w:pPr>
        <w:ind w:firstLine="720"/>
        <w:divId w:val="900989350"/>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b/>
          <w:bCs/>
          <w:color w:val="000000"/>
          <w:sz w:val="20"/>
          <w:szCs w:val="20"/>
        </w:rPr>
        <w:t>Derivative Instrument</w:t>
      </w:r>
      <w:r>
        <w:rPr>
          <w:rFonts w:eastAsia="Times New Roman"/>
          <w:b/>
          <w:bCs/>
          <w:color w:val="000000"/>
          <w:sz w:val="20"/>
          <w:szCs w:val="20"/>
        </w:rPr>
        <w:t>s</w:t>
      </w:r>
    </w:p>
    <w:p w:rsidR="00000000" w:rsidRDefault="004D26FD">
      <w:pPr>
        <w:ind w:firstLine="108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In March 2020, we entered into a $300 million, one-month LIBOR, floatin</w:t>
      </w:r>
      <w:r>
        <w:rPr>
          <w:rFonts w:eastAsia="Times New Roman"/>
          <w:color w:val="000000"/>
          <w:sz w:val="20"/>
          <w:szCs w:val="20"/>
        </w:rPr>
        <w:t xml:space="preserve">g-for-fixed interest rate non-amortizing swap with a maturity date in March 2025. The swap agreement effectively locks in the variable interest cash flows we will pay for a portion of our Eurodollar rate loans at 0.55%. The fair value of the interest rate </w:t>
      </w:r>
      <w:r>
        <w:rPr>
          <w:rFonts w:eastAsia="Times New Roman"/>
          <w:color w:val="000000"/>
          <w:sz w:val="20"/>
          <w:szCs w:val="20"/>
        </w:rPr>
        <w:t>swap contract as of June 30, 2020, was a liability of $4.9 million</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There have been no material changes to our exposures to commodity price or foreign currency risk since December 31, 2019. Please refer to our 2019 10-K Report for a complete discussion o</w:t>
      </w:r>
      <w:r>
        <w:rPr>
          <w:rFonts w:eastAsia="Times New Roman"/>
          <w:color w:val="000000"/>
          <w:sz w:val="20"/>
          <w:szCs w:val="20"/>
        </w:rPr>
        <w:t>f our exposure to these risks</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For information about our derivative instruments at their respective fair value positions as of June 30, 2020, see Note 4. Derivative Instruments accompanying the Consolidated Financial Statements within this 10-Q report</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hanging="1080"/>
        <w:divId w:val="1152335531"/>
        <w:rPr>
          <w:rFonts w:eastAsia="Times New Roman"/>
        </w:rPr>
      </w:pPr>
      <w:r>
        <w:rPr>
          <w:rFonts w:eastAsia="Times New Roman"/>
          <w:b/>
          <w:bCs/>
          <w:color w:val="000000"/>
          <w:sz w:val="20"/>
          <w:szCs w:val="20"/>
        </w:rPr>
        <w:t>Item 4. Controls and Procedure</w:t>
      </w:r>
      <w:r>
        <w:rPr>
          <w:rFonts w:eastAsia="Times New Roman"/>
          <w:b/>
          <w:bCs/>
          <w:color w:val="000000"/>
          <w:sz w:val="20"/>
          <w:szCs w:val="20"/>
        </w:rPr>
        <w:t>s</w:t>
      </w:r>
    </w:p>
    <w:p w:rsidR="00000000" w:rsidRDefault="004D26FD">
      <w:pPr>
        <w:ind w:hanging="1080"/>
        <w:divId w:val="1041133552"/>
        <w:rPr>
          <w:rFonts w:eastAsia="Times New Roman"/>
        </w:rPr>
      </w:pPr>
      <w:r>
        <w:rPr>
          <w:rFonts w:eastAsia="Times New Roman"/>
          <w:b/>
          <w:bCs/>
          <w:color w:val="000000"/>
          <w:sz w:val="20"/>
          <w:szCs w:val="20"/>
        </w:rPr>
        <w:t> </w:t>
      </w:r>
    </w:p>
    <w:p w:rsidR="00000000" w:rsidRDefault="004D26FD">
      <w:pPr>
        <w:ind w:firstLine="360"/>
        <w:jc w:val="both"/>
        <w:rPr>
          <w:rFonts w:eastAsia="Times New Roman"/>
        </w:rPr>
      </w:pPr>
      <w:r>
        <w:rPr>
          <w:rFonts w:eastAsia="Times New Roman"/>
          <w:b/>
          <w:bCs/>
          <w:color w:val="000000"/>
          <w:sz w:val="20"/>
          <w:szCs w:val="20"/>
        </w:rPr>
        <w:t>Management’s Evaluation of Disclosure Controls and Procedure</w:t>
      </w:r>
      <w:r>
        <w:rPr>
          <w:rFonts w:eastAsia="Times New Roman"/>
          <w:b/>
          <w:bCs/>
          <w:color w:val="000000"/>
          <w:sz w:val="20"/>
          <w:szCs w:val="20"/>
        </w:rPr>
        <w:t>s</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We maintain disclosure controls and procedures that are designed to ensure that information required to be disclosed in the reports that we file or submit under the Exchange Act is recorded, processed, summarized and reported within the time periods specif</w:t>
      </w:r>
      <w:r>
        <w:rPr>
          <w:rFonts w:eastAsia="Times New Roman"/>
          <w:color w:val="000000"/>
          <w:sz w:val="20"/>
          <w:szCs w:val="20"/>
        </w:rPr>
        <w:t>ied in the SEC’s rules and forms, and that such information is accumulated and communicated to our management, including our Chief Executive Officer (“CEO”) and our Chief Financial Officer (“CFO”), as appropriate, to allow timely decisions regarding requir</w:t>
      </w:r>
      <w:r>
        <w:rPr>
          <w:rFonts w:eastAsia="Times New Roman"/>
          <w:color w:val="000000"/>
          <w:sz w:val="20"/>
          <w:szCs w:val="20"/>
        </w:rPr>
        <w:t>ed financial disclosure</w:t>
      </w:r>
      <w:r>
        <w:rPr>
          <w:rFonts w:eastAsia="Times New Roman"/>
          <w:color w:val="000000"/>
          <w:sz w:val="20"/>
          <w:szCs w:val="20"/>
        </w:rPr>
        <w:t>.</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As of the end of the period covered by this 10-Q Report, we evaluated, under the supervision and with the participation of our CEO and CFO, the effectiveness of the design and operation of our disclosure controls and procedures pursuant to Exchange Act Rul</w:t>
      </w:r>
      <w:r>
        <w:rPr>
          <w:rFonts w:eastAsia="Times New Roman"/>
          <w:color w:val="000000"/>
          <w:sz w:val="20"/>
          <w:szCs w:val="20"/>
        </w:rPr>
        <w:t>e 13a-15(e). Based upon this evaluation, the CEO and CFO concluded that our disclosure controls and procedures were effective at a reasonable assurance level as of June 30, 2020</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jc w:val="center"/>
        <w:divId w:val="57175572"/>
        <w:rPr>
          <w:rFonts w:eastAsia="Times New Roman"/>
        </w:rPr>
      </w:pPr>
      <w:r>
        <w:rPr>
          <w:rFonts w:eastAsia="Times New Roman"/>
          <w:color w:val="000000"/>
          <w:sz w:val="20"/>
          <w:szCs w:val="20"/>
        </w:rPr>
        <w:t>3</w:t>
      </w:r>
      <w:r>
        <w:rPr>
          <w:rFonts w:eastAsia="Times New Roman"/>
          <w:color w:val="000000"/>
          <w:sz w:val="20"/>
          <w:szCs w:val="20"/>
        </w:rPr>
        <w:t>8</w:t>
      </w:r>
    </w:p>
    <w:p w:rsidR="00000000" w:rsidRDefault="004D26FD">
      <w:pPr>
        <w:rPr>
          <w:rFonts w:eastAsia="Times New Roman"/>
        </w:rPr>
      </w:pPr>
      <w:r>
        <w:rPr>
          <w:rFonts w:eastAsia="Times New Roman"/>
        </w:rPr>
        <w:pict>
          <v:rect id="_x0000_i1066" style="width:0;height:1.5pt" o:hralign="center" o:hrstd="t" o:hr="t" fillcolor="#a0a0a0" stroked="f"/>
        </w:pict>
      </w:r>
    </w:p>
    <w:p w:rsidR="00000000" w:rsidRDefault="004D26FD">
      <w:pPr>
        <w:divId w:val="2014338120"/>
        <w:rPr>
          <w:rFonts w:eastAsia="Times New Roman"/>
        </w:rPr>
      </w:pPr>
    </w:p>
    <w:p w:rsidR="00000000" w:rsidRDefault="004D26FD">
      <w:pPr>
        <w:ind w:firstLine="360"/>
        <w:jc w:val="both"/>
        <w:rPr>
          <w:rFonts w:eastAsia="Times New Roman"/>
        </w:rPr>
      </w:pPr>
      <w:r>
        <w:rPr>
          <w:rFonts w:eastAsia="Times New Roman"/>
          <w:b/>
          <w:bCs/>
          <w:color w:val="000000"/>
          <w:sz w:val="20"/>
          <w:szCs w:val="20"/>
        </w:rPr>
        <w:t>Changes in Internal Control over F</w:t>
      </w:r>
      <w:r>
        <w:rPr>
          <w:rFonts w:eastAsia="Times New Roman"/>
          <w:b/>
          <w:bCs/>
          <w:color w:val="000000"/>
          <w:sz w:val="20"/>
          <w:szCs w:val="20"/>
        </w:rPr>
        <w:t>inancial Reportin</w:t>
      </w:r>
      <w:r>
        <w:rPr>
          <w:rFonts w:eastAsia="Times New Roman"/>
          <w:b/>
          <w:bCs/>
          <w:color w:val="000000"/>
          <w:sz w:val="20"/>
          <w:szCs w:val="20"/>
        </w:rPr>
        <w:t>g</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There were no changes in our internal control over financial reporting that materially affected, or are reasonably likely to materially affect, our internal control over financial reporting during the three months ended June 30, 2020</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It should be noted that any system of controls, however well designed and operated, can provide only reasonable, and not absolute, assurance that the objectives of the system will be met. In addition, the design of any control system is based in part upo</w:t>
      </w:r>
      <w:r>
        <w:rPr>
          <w:rFonts w:eastAsia="Times New Roman"/>
          <w:color w:val="000000"/>
          <w:sz w:val="20"/>
          <w:szCs w:val="20"/>
        </w:rPr>
        <w:t>n certain assumptions about the likelihood of future events. Because of these and other inherent limitations of control systems, there is only the reasonable assurance that our controls will succeed in achieving their goals under all potential future condi</w:t>
      </w:r>
      <w:r>
        <w:rPr>
          <w:rFonts w:eastAsia="Times New Roman"/>
          <w:color w:val="000000"/>
          <w:sz w:val="20"/>
          <w:szCs w:val="20"/>
        </w:rPr>
        <w:t>tions</w:t>
      </w:r>
      <w:r>
        <w:rPr>
          <w:rFonts w:eastAsia="Times New Roman"/>
          <w:color w:val="000000"/>
          <w:sz w:val="20"/>
          <w:szCs w:val="20"/>
        </w:rPr>
        <w:t>.</w:t>
      </w:r>
    </w:p>
    <w:p w:rsidR="00000000" w:rsidRDefault="004D26FD">
      <w:pPr>
        <w:ind w:firstLine="360"/>
        <w:divId w:val="1832484247"/>
        <w:rPr>
          <w:rFonts w:eastAsia="Times New Roman"/>
        </w:rPr>
      </w:pPr>
    </w:p>
    <w:p w:rsidR="00000000" w:rsidRDefault="004D26FD">
      <w:pPr>
        <w:divId w:val="647244568"/>
        <w:rPr>
          <w:rFonts w:eastAsia="Times New Roman"/>
        </w:rPr>
      </w:pPr>
      <w:r>
        <w:rPr>
          <w:rFonts w:eastAsia="Times New Roman"/>
          <w:b/>
          <w:bCs/>
          <w:color w:val="000000"/>
          <w:sz w:val="20"/>
          <w:szCs w:val="20"/>
        </w:rPr>
        <w:t>Part II — Other Informatio</w:t>
      </w:r>
      <w:r>
        <w:rPr>
          <w:rFonts w:eastAsia="Times New Roman"/>
          <w:b/>
          <w:bCs/>
          <w:color w:val="000000"/>
          <w:sz w:val="20"/>
          <w:szCs w:val="20"/>
        </w:rPr>
        <w:t>n</w:t>
      </w:r>
    </w:p>
    <w:p w:rsidR="00000000" w:rsidRDefault="004D26FD">
      <w:pPr>
        <w:jc w:val="center"/>
        <w:rPr>
          <w:rFonts w:eastAsia="Times New Roman"/>
        </w:rPr>
      </w:pPr>
    </w:p>
    <w:p w:rsidR="00000000" w:rsidRDefault="004D26FD">
      <w:pPr>
        <w:ind w:hanging="1080"/>
        <w:divId w:val="1050688726"/>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4D26FD">
      <w:pPr>
        <w:ind w:firstLine="720"/>
        <w:jc w:val="both"/>
        <w:rPr>
          <w:rFonts w:eastAsia="Times New Roman"/>
        </w:rPr>
      </w:pPr>
      <w:r>
        <w:rPr>
          <w:rFonts w:eastAsia="Times New Roman"/>
          <w:color w:val="000000"/>
          <w:sz w:val="20"/>
          <w:szCs w:val="20"/>
        </w:rPr>
        <w:t> </w:t>
      </w:r>
    </w:p>
    <w:p w:rsidR="00000000" w:rsidRDefault="004D26FD">
      <w:pPr>
        <w:jc w:val="both"/>
        <w:divId w:val="1821456517"/>
        <w:rPr>
          <w:rFonts w:eastAsia="Times New Roman"/>
        </w:rPr>
      </w:pPr>
      <w:r>
        <w:rPr>
          <w:rFonts w:eastAsia="Times New Roman"/>
          <w:color w:val="000000"/>
          <w:sz w:val="20"/>
          <w:szCs w:val="20"/>
        </w:rPr>
        <w:t>        From time to time, we are under review by the IRS and various other domestic and foreign tax authorities with regards to income tax and indirect tax matters and are involved in var</w:t>
      </w:r>
      <w:r>
        <w:rPr>
          <w:rFonts w:eastAsia="Times New Roman"/>
          <w:color w:val="000000"/>
          <w:sz w:val="20"/>
          <w:szCs w:val="20"/>
        </w:rPr>
        <w:t>ious inquiries, audits, challenges and litigation in a number of countries, including, in particular, Brazil, Denmark, South Korea and the U.S. where the amounts under controversy may be material. See Note 8. Income Taxes and Note 12. Commitments and Conti</w:t>
      </w:r>
      <w:r>
        <w:rPr>
          <w:rFonts w:eastAsia="Times New Roman"/>
          <w:color w:val="000000"/>
          <w:sz w:val="20"/>
          <w:szCs w:val="20"/>
        </w:rPr>
        <w:t>ngencies within this 10-Q Report as well as refer to Note 9. Commitments and Contingencies and Note 11. Income Taxes within Part IV. Item 15. Notes to the Consolidated Financial Statements included in our 2019 10-K Report for additional details regarding c</w:t>
      </w:r>
      <w:r>
        <w:rPr>
          <w:rFonts w:eastAsia="Times New Roman"/>
          <w:color w:val="000000"/>
          <w:sz w:val="20"/>
          <w:szCs w:val="20"/>
        </w:rPr>
        <w:t>ertain tax matters</w:t>
      </w:r>
      <w:r>
        <w:rPr>
          <w:rFonts w:eastAsia="Times New Roman"/>
          <w:color w:val="000000"/>
          <w:sz w:val="20"/>
          <w:szCs w:val="20"/>
        </w:rPr>
        <w:t>.</w:t>
      </w:r>
    </w:p>
    <w:p w:rsidR="00000000" w:rsidRDefault="004D26FD">
      <w:pPr>
        <w:jc w:val="both"/>
        <w:divId w:val="1381202148"/>
        <w:rPr>
          <w:rFonts w:eastAsia="Times New Roman"/>
        </w:rPr>
      </w:pPr>
      <w:r>
        <w:rPr>
          <w:rFonts w:eastAsia="Times New Roman"/>
          <w:color w:val="000000"/>
          <w:sz w:val="20"/>
          <w:szCs w:val="20"/>
        </w:rPr>
        <w:t xml:space="preserve">        We are also a party to various claims, complaints and proceedings arising in the ordinary course of our business including, but not limited to, environmental claims, commercial and governmental contract claims, such as property </w:t>
      </w:r>
      <w:r>
        <w:rPr>
          <w:rFonts w:eastAsia="Times New Roman"/>
          <w:color w:val="000000"/>
          <w:sz w:val="20"/>
          <w:szCs w:val="20"/>
        </w:rPr>
        <w:t>damage, demurrage, personal injury, billing and fuel quality claims, as well as bankruptcy preference claims and administrative claims. We are not currently a party to any such claim, complaint or proceeding that we expect to have a material adverse effect</w:t>
      </w:r>
      <w:r>
        <w:rPr>
          <w:rFonts w:eastAsia="Times New Roman"/>
          <w:color w:val="000000"/>
          <w:sz w:val="20"/>
          <w:szCs w:val="20"/>
        </w:rPr>
        <w:t xml:space="preserve"> on our business or financial condition. However, any adverse resolution of one or more such claims, complaints or proceedings during a particular reporting period could have a material adverse effect on our Consolidated Financial Statements or disclosures</w:t>
      </w:r>
      <w:r>
        <w:rPr>
          <w:rFonts w:eastAsia="Times New Roman"/>
          <w:color w:val="000000"/>
          <w:sz w:val="20"/>
          <w:szCs w:val="20"/>
        </w:rPr>
        <w:t xml:space="preserve"> for that period</w:t>
      </w:r>
      <w:r>
        <w:rPr>
          <w:rFonts w:eastAsia="Times New Roman"/>
          <w:color w:val="000000"/>
          <w:sz w:val="20"/>
          <w:szCs w:val="20"/>
        </w:rPr>
        <w:t>.</w:t>
      </w:r>
    </w:p>
    <w:p w:rsidR="00000000" w:rsidRDefault="004D26FD">
      <w:pPr>
        <w:ind w:hanging="1080"/>
        <w:divId w:val="2099591973"/>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4D26FD">
      <w:pPr>
        <w:ind w:firstLine="720"/>
        <w:jc w:val="both"/>
        <w:rPr>
          <w:rFonts w:eastAsia="Times New Roman"/>
        </w:rPr>
      </w:pPr>
      <w:r>
        <w:rPr>
          <w:rFonts w:eastAsia="Times New Roman"/>
          <w:b/>
          <w:bCs/>
          <w:color w:val="000000"/>
          <w:sz w:val="20"/>
          <w:szCs w:val="20"/>
        </w:rPr>
        <w:t> </w:t>
      </w:r>
    </w:p>
    <w:p w:rsidR="00000000" w:rsidRDefault="004D26FD">
      <w:pPr>
        <w:ind w:firstLine="360"/>
        <w:jc w:val="both"/>
        <w:rPr>
          <w:rFonts w:eastAsia="Times New Roman"/>
        </w:rPr>
      </w:pPr>
      <w:r>
        <w:rPr>
          <w:rFonts w:eastAsia="Times New Roman"/>
          <w:color w:val="000000"/>
          <w:sz w:val="20"/>
          <w:szCs w:val="20"/>
        </w:rPr>
        <w:t>We are supplementing the risk factors described under Part I, Item 1A, Risk Factors of our 2019 10-K Report (the “2019 10-K Risk Factors”) with the additional information and risk factor set forth below, which sup</w:t>
      </w:r>
      <w:r>
        <w:rPr>
          <w:rFonts w:eastAsia="Times New Roman"/>
          <w:color w:val="000000"/>
          <w:sz w:val="20"/>
          <w:szCs w:val="20"/>
        </w:rPr>
        <w:t>plements, and to the extent inconsistent, supersedes the 2019 10-K Risk Factors. The following should be read in conjunction with the 2019 10-K Risk Factors and the information contained in this 10-Q Report, as well as our other reports filed with the SEC.</w:t>
      </w:r>
      <w:r>
        <w:rPr>
          <w:rFonts w:eastAsia="Times New Roman"/>
          <w:color w:val="000000"/>
          <w:sz w:val="20"/>
          <w:szCs w:val="20"/>
        </w:rPr>
        <w:t xml:space="preserve"> The developments relating to the COVID-19 pandemic described below have heightened, and in certain cases, may exacerbate the risks disclosed in the 2019 10-K Risk Factors, and such risk factors are further qualified by the information relating to the pand</w:t>
      </w:r>
      <w:r>
        <w:rPr>
          <w:rFonts w:eastAsia="Times New Roman"/>
          <w:color w:val="000000"/>
          <w:sz w:val="20"/>
          <w:szCs w:val="20"/>
        </w:rPr>
        <w:t>emic that is described in this 10-Q Report. Except as updated herein, there have been no material changes with respect to the 2019 10-K Risk Factors and they are incorporated by reference herein</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b/>
          <w:bCs/>
          <w:color w:val="000000"/>
          <w:sz w:val="20"/>
          <w:szCs w:val="20"/>
        </w:rPr>
        <w:t>Adverse conditions or events affecting the aviation, marin</w:t>
      </w:r>
      <w:r>
        <w:rPr>
          <w:rFonts w:eastAsia="Times New Roman"/>
          <w:b/>
          <w:bCs/>
          <w:color w:val="000000"/>
          <w:sz w:val="20"/>
          <w:szCs w:val="20"/>
        </w:rPr>
        <w:t>e and land transportation industries may have a material adverse effect on our business</w:t>
      </w:r>
      <w:r>
        <w:rPr>
          <w:rFonts w:eastAsia="Times New Roman"/>
          <w:b/>
          <w:bCs/>
          <w:color w:val="000000"/>
          <w:sz w:val="20"/>
          <w:szCs w:val="20"/>
        </w:rPr>
        <w:t>.</w:t>
      </w:r>
    </w:p>
    <w:p w:rsidR="00000000" w:rsidRDefault="004D26FD">
      <w:pPr>
        <w:ind w:firstLine="72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Our business is focused on the marketing of fuel and other related products an</w:t>
      </w:r>
      <w:r>
        <w:rPr>
          <w:rFonts w:eastAsia="Times New Roman"/>
          <w:color w:val="000000"/>
          <w:sz w:val="20"/>
          <w:szCs w:val="20"/>
        </w:rPr>
        <w:t>d services primarily to the aviation, marine and land transportation industries, which are generally affected by economic cycles. Therefore, weak economic conditions can have a negative impact on the business of our customers which may, in turn, have an ad</w:t>
      </w:r>
      <w:r>
        <w:rPr>
          <w:rFonts w:eastAsia="Times New Roman"/>
          <w:color w:val="000000"/>
          <w:sz w:val="20"/>
          <w:szCs w:val="20"/>
        </w:rPr>
        <w:t>verse effect on our business. For example, the current coronavirus (COVID-19) pandemic has had a significant impact on the global economy generally, as well as the aviation, land and marine transportation industries, where companies operating in these sect</w:t>
      </w:r>
      <w:r>
        <w:rPr>
          <w:rFonts w:eastAsia="Times New Roman"/>
          <w:color w:val="000000"/>
          <w:sz w:val="20"/>
          <w:szCs w:val="20"/>
        </w:rPr>
        <w:t>ors have been experiencing sharp declines in demand arising from the various measures enacted by governments around the world to contain the spread of the virus. Commercial passenger airlines and cruise lines have been particularly impacted by the travel r</w:t>
      </w:r>
      <w:r>
        <w:rPr>
          <w:rFonts w:eastAsia="Times New Roman"/>
          <w:color w:val="000000"/>
          <w:sz w:val="20"/>
          <w:szCs w:val="20"/>
        </w:rPr>
        <w:t xml:space="preserve">estrictions and stay-at-home orders, and various other customers in each of our segments have also been adversely affected by such restrictions, as well as the extended shutdown of various businesses in affected regions. As a result, we have experienced a </w:t>
      </w:r>
      <w:r>
        <w:rPr>
          <w:rFonts w:eastAsia="Times New Roman"/>
          <w:color w:val="000000"/>
          <w:sz w:val="20"/>
          <w:szCs w:val="20"/>
        </w:rPr>
        <w:t>decline in sales volume and profitability across our aviation, land and marine segments. Furthermore, if the pandemic continues for an extended period of time, the financial condition of our customers may further deteriorate such that there is a greater ri</w:t>
      </w:r>
      <w:r>
        <w:rPr>
          <w:rFonts w:eastAsia="Times New Roman"/>
          <w:color w:val="000000"/>
          <w:sz w:val="20"/>
          <w:szCs w:val="20"/>
        </w:rPr>
        <w:t>sk of customer bankruptcies and credit losses, either of which could lead to significant increases in our bad debt expense. For example, during the second quarter of 2020, our provision for bad debt was materially higher, principally in the aviation segmen</w:t>
      </w:r>
      <w:r>
        <w:rPr>
          <w:rFonts w:eastAsia="Times New Roman"/>
          <w:color w:val="000000"/>
          <w:sz w:val="20"/>
          <w:szCs w:val="20"/>
        </w:rPr>
        <w:t>t due to the effects of the pandemic on the aviation industry in connection to the global restrictions on air travel. The ultimate magnitude and duration of these adverse impacts on our business will depend on the timing and extent to which the global econ</w:t>
      </w:r>
      <w:r>
        <w:rPr>
          <w:rFonts w:eastAsia="Times New Roman"/>
          <w:color w:val="000000"/>
          <w:sz w:val="20"/>
          <w:szCs w:val="20"/>
        </w:rPr>
        <w:t>omy, and our customers in the aviation, land and marine transportation industries in particular, recover from the current crisis</w:t>
      </w:r>
      <w:r>
        <w:rPr>
          <w:rFonts w:eastAsia="Times New Roman"/>
          <w:color w:val="000000"/>
          <w:sz w:val="20"/>
          <w:szCs w:val="20"/>
        </w:rPr>
        <w:t>.</w:t>
      </w:r>
    </w:p>
    <w:p w:rsidR="00000000" w:rsidRDefault="004D26FD">
      <w:pPr>
        <w:jc w:val="center"/>
        <w:divId w:val="59836033"/>
        <w:rPr>
          <w:rFonts w:eastAsia="Times New Roman"/>
        </w:rPr>
      </w:pPr>
      <w:r>
        <w:rPr>
          <w:rFonts w:eastAsia="Times New Roman"/>
          <w:color w:val="000000"/>
          <w:sz w:val="20"/>
          <w:szCs w:val="20"/>
        </w:rPr>
        <w:t>3</w:t>
      </w:r>
      <w:r>
        <w:rPr>
          <w:rFonts w:eastAsia="Times New Roman"/>
          <w:color w:val="000000"/>
          <w:sz w:val="20"/>
          <w:szCs w:val="20"/>
        </w:rPr>
        <w:t>9</w:t>
      </w:r>
    </w:p>
    <w:p w:rsidR="00000000" w:rsidRDefault="004D26FD">
      <w:pPr>
        <w:rPr>
          <w:rFonts w:eastAsia="Times New Roman"/>
        </w:rPr>
      </w:pPr>
      <w:r>
        <w:rPr>
          <w:rFonts w:eastAsia="Times New Roman"/>
        </w:rPr>
        <w:pict>
          <v:rect id="_x0000_i1067" style="width:0;height:1.5pt" o:hralign="center" o:hrstd="t" o:hr="t" fillcolor="#a0a0a0" stroked="f"/>
        </w:pict>
      </w:r>
    </w:p>
    <w:p w:rsidR="00000000" w:rsidRDefault="004D26FD">
      <w:pPr>
        <w:divId w:val="1373379152"/>
        <w:rPr>
          <w:rFonts w:eastAsia="Times New Roman"/>
        </w:rPr>
      </w:pPr>
    </w:p>
    <w:p w:rsidR="00000000" w:rsidRDefault="004D26FD">
      <w:pPr>
        <w:ind w:firstLine="72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Additionally, our business and that of our customers can be adversely impacted by </w:t>
      </w:r>
      <w:r>
        <w:rPr>
          <w:rFonts w:eastAsia="Times New Roman"/>
          <w:color w:val="000000"/>
          <w:sz w:val="20"/>
          <w:szCs w:val="20"/>
        </w:rPr>
        <w:t>political instability, terrorist activity, piracy, military action, transportation, terminal or pipeline capacity constraints, natural disasters and other weather-related events that disrupt shipping, flight operations, land transportation or the availabil</w:t>
      </w:r>
      <w:r>
        <w:rPr>
          <w:rFonts w:eastAsia="Times New Roman"/>
          <w:color w:val="000000"/>
          <w:sz w:val="20"/>
          <w:szCs w:val="20"/>
        </w:rPr>
        <w:t>ity of fuel, which may negatively impact sales of our products and services. Any additional political or governmental developments or othe</w:t>
      </w:r>
      <w:r>
        <w:rPr>
          <w:rFonts w:eastAsia="Times New Roman"/>
          <w:color w:val="000000"/>
          <w:sz w:val="20"/>
          <w:szCs w:val="20"/>
        </w:rPr>
        <w:t>r</w:t>
      </w:r>
      <w:r>
        <w:rPr>
          <w:rFonts w:ascii="Arial" w:eastAsia="Times New Roman" w:hAnsi="Arial" w:cs="Arial"/>
          <w:color w:val="212529"/>
          <w:sz w:val="20"/>
          <w:szCs w:val="20"/>
        </w:rPr>
        <w:t xml:space="preserve"> </w:t>
      </w:r>
      <w:r>
        <w:rPr>
          <w:rFonts w:eastAsia="Times New Roman"/>
          <w:color w:val="000000"/>
          <w:sz w:val="20"/>
          <w:szCs w:val="20"/>
        </w:rPr>
        <w:t>global health concerns or crises in the countries in which we or our customers operate, could also result in further</w:t>
      </w:r>
      <w:r>
        <w:rPr>
          <w:rFonts w:eastAsia="Times New Roman"/>
          <w:color w:val="000000"/>
          <w:sz w:val="20"/>
          <w:szCs w:val="20"/>
        </w:rPr>
        <w:t xml:space="preserve"> social, economic or labor instability. Accordingly, the effects of any of the foregoing risks and uncertainties on us or our customers could have a material adverse effect on our business, results of operations and financial condition</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Lastly, our busin</w:t>
      </w:r>
      <w:r>
        <w:rPr>
          <w:rFonts w:eastAsia="Times New Roman"/>
          <w:color w:val="000000"/>
          <w:sz w:val="20"/>
          <w:szCs w:val="20"/>
        </w:rPr>
        <w:t>ess could also be adversely affected by merger activity in the aviation, marine or land transportation industries, which may reduce the number of customers that purchase our products and services, as well as the prices we are able to charge for such produc</w:t>
      </w:r>
      <w:r>
        <w:rPr>
          <w:rFonts w:eastAsia="Times New Roman"/>
          <w:color w:val="000000"/>
          <w:sz w:val="20"/>
          <w:szCs w:val="20"/>
        </w:rPr>
        <w:t>ts and services. For example, the shipping and aviation industries have gone through a period of significant consolidation, which has created a concentration of volume among a limited number of larger shipping companies and commercial airlines. Larger ship</w:t>
      </w:r>
      <w:r>
        <w:rPr>
          <w:rFonts w:eastAsia="Times New Roman"/>
          <w:color w:val="000000"/>
          <w:sz w:val="20"/>
          <w:szCs w:val="20"/>
        </w:rPr>
        <w:t>ping companies and airlines often have greater leverage, are more sophisticated purchasers of fuel and have a greater ability to buy directly from major oil companies and suppliers. Accordingly, this can negatively impact our value proposition to these typ</w:t>
      </w:r>
      <w:r>
        <w:rPr>
          <w:rFonts w:eastAsia="Times New Roman"/>
          <w:color w:val="000000"/>
          <w:sz w:val="20"/>
          <w:szCs w:val="20"/>
        </w:rPr>
        <w:t>es of customers and increases the risk of disintermediation</w:t>
      </w:r>
      <w:r>
        <w:rPr>
          <w:rFonts w:eastAsia="Times New Roman"/>
          <w:color w:val="000000"/>
          <w:sz w:val="20"/>
          <w:szCs w:val="20"/>
        </w:rPr>
        <w:t>.</w:t>
      </w:r>
    </w:p>
    <w:p w:rsidR="00000000" w:rsidRDefault="004D26FD">
      <w:pPr>
        <w:jc w:val="both"/>
        <w:rPr>
          <w:rFonts w:eastAsia="Times New Roman"/>
        </w:rPr>
      </w:pPr>
    </w:p>
    <w:p w:rsidR="00000000" w:rsidRDefault="004D26FD">
      <w:pPr>
        <w:jc w:val="both"/>
        <w:rPr>
          <w:rFonts w:eastAsia="Times New Roman"/>
        </w:rPr>
      </w:pPr>
      <w:r>
        <w:rPr>
          <w:rFonts w:eastAsia="Times New Roman"/>
          <w:b/>
          <w:bCs/>
          <w:color w:val="000000"/>
          <w:sz w:val="20"/>
          <w:szCs w:val="20"/>
        </w:rPr>
        <w:t>The COVID-19 pandemic and related global economic slowdown have recently had an adverse impact on our business and, depending on the duration of the pandemic, could have a material adverse effe</w:t>
      </w:r>
      <w:r>
        <w:rPr>
          <w:rFonts w:eastAsia="Times New Roman"/>
          <w:b/>
          <w:bCs/>
          <w:color w:val="000000"/>
          <w:sz w:val="20"/>
          <w:szCs w:val="20"/>
        </w:rPr>
        <w:t>ct on our business, results of operations, financial condition, liquidity and cash flows</w:t>
      </w:r>
      <w:r>
        <w:rPr>
          <w:rFonts w:eastAsia="Times New Roman"/>
          <w:b/>
          <w:bCs/>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 xml:space="preserve">The outbreak of the novel coronavirus (COVID-19), which was declared a pandemic by the World Health Organization in March 2020, has created significant volatility, </w:t>
      </w:r>
      <w:r>
        <w:rPr>
          <w:rFonts w:eastAsia="Times New Roman"/>
          <w:color w:val="000000"/>
          <w:sz w:val="20"/>
          <w:szCs w:val="20"/>
        </w:rPr>
        <w:t>uncertainty and disruption in the global economy. The rapid spread of COVID-19 has caused governments around the world to implement stringent measures to help control the spread of the virus, including quarantines, “stay-at-home” or “shelter-in-place” orde</w:t>
      </w:r>
      <w:r>
        <w:rPr>
          <w:rFonts w:eastAsia="Times New Roman"/>
          <w:color w:val="000000"/>
          <w:sz w:val="20"/>
          <w:szCs w:val="20"/>
        </w:rPr>
        <w:t>rs, social-distancing mandates, travel restrictions, and closures or reduced operations for businesses, governmental agencies, schools and other institutions, among others. While, governments and central banks in several parts of the world have enacted fis</w:t>
      </w:r>
      <w:r>
        <w:rPr>
          <w:rFonts w:eastAsia="Times New Roman"/>
          <w:color w:val="000000"/>
          <w:sz w:val="20"/>
          <w:szCs w:val="20"/>
        </w:rPr>
        <w:t>cal and monetary stimulus policies to counteract the adverse effects of the pandemic, the effectiveness of such actions are still uncertain. Furthermore, the restrictions on travel, “stay-at-home” or “shelter-in-place” orders and business closures led to a</w:t>
      </w:r>
      <w:r>
        <w:rPr>
          <w:rFonts w:eastAsia="Times New Roman"/>
          <w:color w:val="000000"/>
          <w:sz w:val="20"/>
          <w:szCs w:val="20"/>
        </w:rPr>
        <w:t xml:space="preserve"> precipitous decline in fuel prices during the first half of 2020 in response to concerns about demand for fuel, further exacerbated by disagreements regarding crude oil production levels between the OPEC members and other oil producing countries such as R</w:t>
      </w:r>
      <w:r>
        <w:rPr>
          <w:rFonts w:eastAsia="Times New Roman"/>
          <w:color w:val="000000"/>
          <w:sz w:val="20"/>
          <w:szCs w:val="20"/>
        </w:rPr>
        <w:t>ussia, as well as related global storage considerations.</w:t>
      </w:r>
      <w:r>
        <w:rPr>
          <w:rFonts w:eastAsia="Times New Roman"/>
          <w:color w:val="000000"/>
          <w:sz w:val="20"/>
          <w:szCs w:val="20"/>
        </w:rPr>
        <w:t xml:space="preserve"> </w:t>
      </w:r>
    </w:p>
    <w:p w:rsidR="00000000" w:rsidRDefault="004D26FD">
      <w:pPr>
        <w:ind w:firstLine="72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In response to the pandemic and measures taken by applicable governmental authorities, we took prompt action to ensure the safety of our employees and other stakeholders, as well as commenced a nu</w:t>
      </w:r>
      <w:r>
        <w:rPr>
          <w:rFonts w:eastAsia="Times New Roman"/>
          <w:color w:val="000000"/>
          <w:sz w:val="20"/>
          <w:szCs w:val="20"/>
        </w:rPr>
        <w:t xml:space="preserve">mber of initiatives relating to cost reduction, liquidity and operating efficiencies. While the pandemic and associated impacts on economic activity had a limited adverse effect on our results of operations and financial condition during the first quarter </w:t>
      </w:r>
      <w:r>
        <w:rPr>
          <w:rFonts w:eastAsia="Times New Roman"/>
          <w:color w:val="000000"/>
          <w:sz w:val="20"/>
          <w:szCs w:val="20"/>
        </w:rPr>
        <w:t>of 2020, we began to see a sharp decline in demand and related sales volume during the second quarter of 2020, as large sectors of the global economy were adversely impacted by the crisis. As the number of coronavirus cases have significantly increased rec</w:t>
      </w:r>
      <w:r>
        <w:rPr>
          <w:rFonts w:eastAsia="Times New Roman"/>
          <w:color w:val="000000"/>
          <w:sz w:val="20"/>
          <w:szCs w:val="20"/>
        </w:rPr>
        <w:t>ently in various parts of the world, the duration of the pandemic and the ultimate impact on the global economy continues to be uncertain. Accordingly, the extent of the impact of the pandemic on our results of operations for the balance of the year will b</w:t>
      </w:r>
      <w:r>
        <w:rPr>
          <w:rFonts w:eastAsia="Times New Roman"/>
          <w:color w:val="000000"/>
          <w:sz w:val="20"/>
          <w:szCs w:val="20"/>
        </w:rPr>
        <w:t>e dependent on the duration of the pandemic and the extent of the eventual recovery</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Although we are unable to predict the ultimate impact of the COVID-19 pandemic at this time or enumerate all potential risks to our business, given the nature and signif</w:t>
      </w:r>
      <w:r>
        <w:rPr>
          <w:rFonts w:eastAsia="Times New Roman"/>
          <w:color w:val="000000"/>
          <w:sz w:val="20"/>
          <w:szCs w:val="20"/>
        </w:rPr>
        <w:t>icance of the crisis, we believe that in addition to the impacts described above, other current or potential impacts of this unprecedented event include, but are not limited to</w:t>
      </w:r>
      <w:r>
        <w:rPr>
          <w:rFonts w:eastAsia="Times New Roman"/>
          <w:color w:val="000000"/>
          <w:sz w:val="20"/>
          <w:szCs w:val="20"/>
        </w:rPr>
        <w:t>:</w:t>
      </w:r>
    </w:p>
    <w:p w:rsidR="00000000" w:rsidRDefault="004D26FD">
      <w:pPr>
        <w:jc w:val="both"/>
        <w:rPr>
          <w:rFonts w:eastAsia="Times New Roman"/>
        </w:rPr>
      </w:pPr>
    </w:p>
    <w:p w:rsidR="00000000" w:rsidRDefault="004D26FD">
      <w:pPr>
        <w:ind w:hanging="360"/>
        <w:jc w:val="both"/>
        <w:divId w:val="247816387"/>
        <w:rPr>
          <w:rFonts w:eastAsia="Times New Roman"/>
        </w:rPr>
      </w:pPr>
      <w:r>
        <w:rPr>
          <w:rFonts w:eastAsia="Times New Roman"/>
          <w:color w:val="000000"/>
          <w:sz w:val="20"/>
          <w:szCs w:val="20"/>
        </w:rPr>
        <w:t>•</w:t>
      </w:r>
      <w:r>
        <w:rPr>
          <w:rFonts w:eastAsia="Times New Roman"/>
          <w:color w:val="000000"/>
          <w:sz w:val="20"/>
          <w:szCs w:val="20"/>
        </w:rPr>
        <w:t>disruptions in our supply chains due to transportation delays, travel restr</w:t>
      </w:r>
      <w:r>
        <w:rPr>
          <w:rFonts w:eastAsia="Times New Roman"/>
          <w:color w:val="000000"/>
          <w:sz w:val="20"/>
          <w:szCs w:val="20"/>
        </w:rPr>
        <w:t>ictions, cost increases, and closures of businesses or facilities</w:t>
      </w:r>
      <w:r>
        <w:rPr>
          <w:rFonts w:eastAsia="Times New Roman"/>
          <w:color w:val="000000"/>
          <w:sz w:val="20"/>
          <w:szCs w:val="20"/>
        </w:rPr>
        <w:t>;</w:t>
      </w:r>
    </w:p>
    <w:p w:rsidR="00000000" w:rsidRDefault="004D26FD">
      <w:pPr>
        <w:ind w:hanging="360"/>
        <w:jc w:val="both"/>
        <w:divId w:val="811099780"/>
        <w:rPr>
          <w:rFonts w:eastAsia="Times New Roman"/>
        </w:rPr>
      </w:pPr>
      <w:r>
        <w:rPr>
          <w:rFonts w:eastAsia="Times New Roman"/>
          <w:color w:val="000000"/>
          <w:sz w:val="20"/>
          <w:szCs w:val="20"/>
        </w:rPr>
        <w:t>•</w:t>
      </w:r>
      <w:r>
        <w:rPr>
          <w:rFonts w:eastAsia="Times New Roman"/>
          <w:color w:val="000000"/>
          <w:sz w:val="20"/>
          <w:szCs w:val="20"/>
        </w:rPr>
        <w:t>extended periods of reduced demand and low fuel prices that impact our sales volume and related profitability</w:t>
      </w:r>
      <w:r>
        <w:rPr>
          <w:rFonts w:eastAsia="Times New Roman"/>
          <w:color w:val="000000"/>
          <w:sz w:val="20"/>
          <w:szCs w:val="20"/>
        </w:rPr>
        <w:t>;</w:t>
      </w:r>
    </w:p>
    <w:p w:rsidR="00000000" w:rsidRDefault="004D26FD">
      <w:pPr>
        <w:ind w:hanging="360"/>
        <w:jc w:val="both"/>
        <w:divId w:val="1966424253"/>
        <w:rPr>
          <w:rFonts w:eastAsia="Times New Roman"/>
        </w:rPr>
      </w:pPr>
      <w:r>
        <w:rPr>
          <w:rFonts w:eastAsia="Times New Roman"/>
          <w:color w:val="000000"/>
          <w:sz w:val="20"/>
          <w:szCs w:val="20"/>
        </w:rPr>
        <w:t>•</w:t>
      </w:r>
      <w:r>
        <w:rPr>
          <w:rFonts w:eastAsia="Times New Roman"/>
          <w:color w:val="000000"/>
          <w:sz w:val="20"/>
          <w:szCs w:val="20"/>
        </w:rPr>
        <w:t>impacts related to delayed customer payments and payment defaults associated</w:t>
      </w:r>
      <w:r>
        <w:rPr>
          <w:rFonts w:eastAsia="Times New Roman"/>
          <w:color w:val="000000"/>
          <w:sz w:val="20"/>
          <w:szCs w:val="20"/>
        </w:rPr>
        <w:t xml:space="preserve"> with customer liquidity issues and bankruptcies, as well as other liquidity challenges, such as reduced availability under our senior credit facility due to financial covenant restrictions tied to our financial performance</w:t>
      </w:r>
      <w:r>
        <w:rPr>
          <w:rFonts w:eastAsia="Times New Roman"/>
          <w:color w:val="000000"/>
          <w:sz w:val="20"/>
          <w:szCs w:val="20"/>
        </w:rPr>
        <w:t>;</w:t>
      </w:r>
    </w:p>
    <w:p w:rsidR="00000000" w:rsidRDefault="004D26FD">
      <w:pPr>
        <w:ind w:hanging="360"/>
        <w:jc w:val="both"/>
        <w:divId w:val="849177654"/>
        <w:rPr>
          <w:rFonts w:eastAsia="Times New Roman"/>
        </w:rPr>
      </w:pPr>
      <w:r>
        <w:rPr>
          <w:rFonts w:eastAsia="Times New Roman"/>
          <w:color w:val="000000"/>
          <w:sz w:val="20"/>
          <w:szCs w:val="20"/>
        </w:rPr>
        <w:t>•</w:t>
      </w:r>
      <w:r>
        <w:rPr>
          <w:rFonts w:eastAsia="Times New Roman"/>
          <w:color w:val="000000"/>
          <w:sz w:val="20"/>
          <w:szCs w:val="20"/>
        </w:rPr>
        <w:t>losses on hedging transactions</w:t>
      </w:r>
      <w:r>
        <w:rPr>
          <w:rFonts w:eastAsia="Times New Roman"/>
          <w:color w:val="000000"/>
          <w:sz w:val="20"/>
          <w:szCs w:val="20"/>
        </w:rPr>
        <w:t xml:space="preserve"> with customers arising from the sharp decline in fuel prices and their inability to benefit from the reduced cost of fuel due to substantial reductions in their operations;</w:t>
      </w:r>
      <w:r>
        <w:rPr>
          <w:rFonts w:eastAsia="Times New Roman"/>
          <w:color w:val="000000"/>
          <w:sz w:val="20"/>
          <w:szCs w:val="20"/>
        </w:rPr>
        <w:t xml:space="preserve"> </w:t>
      </w:r>
    </w:p>
    <w:p w:rsidR="00000000" w:rsidRDefault="004D26FD">
      <w:pPr>
        <w:ind w:hanging="360"/>
        <w:jc w:val="both"/>
        <w:divId w:val="58940383"/>
        <w:rPr>
          <w:rFonts w:eastAsia="Times New Roman"/>
        </w:rPr>
      </w:pPr>
      <w:r>
        <w:rPr>
          <w:rFonts w:eastAsia="Times New Roman"/>
          <w:color w:val="000000"/>
          <w:sz w:val="20"/>
          <w:szCs w:val="20"/>
        </w:rPr>
        <w:t>•</w:t>
      </w:r>
      <w:r>
        <w:rPr>
          <w:rFonts w:eastAsia="Times New Roman"/>
          <w:color w:val="000000"/>
          <w:sz w:val="20"/>
          <w:szCs w:val="20"/>
        </w:rPr>
        <w:t>disruptions resulting from office and facility closures, reductions in operating</w:t>
      </w:r>
      <w:r>
        <w:rPr>
          <w:rFonts w:eastAsia="Times New Roman"/>
          <w:color w:val="000000"/>
          <w:sz w:val="20"/>
          <w:szCs w:val="20"/>
        </w:rPr>
        <w:t xml:space="preserve"> hours, and changes in operating procedures, including additional cleaning and disinfecting procedures</w:t>
      </w:r>
      <w:r>
        <w:rPr>
          <w:rFonts w:eastAsia="Times New Roman"/>
          <w:color w:val="000000"/>
          <w:sz w:val="20"/>
          <w:szCs w:val="20"/>
        </w:rPr>
        <w:t>;</w:t>
      </w:r>
    </w:p>
    <w:p w:rsidR="00000000" w:rsidRDefault="004D26FD">
      <w:pPr>
        <w:jc w:val="center"/>
        <w:divId w:val="727801249"/>
        <w:rPr>
          <w:rFonts w:eastAsia="Times New Roman"/>
        </w:rPr>
      </w:pPr>
      <w:r>
        <w:rPr>
          <w:rFonts w:eastAsia="Times New Roman"/>
          <w:color w:val="000000"/>
          <w:sz w:val="20"/>
          <w:szCs w:val="20"/>
        </w:rPr>
        <w:t>4</w:t>
      </w:r>
      <w:r>
        <w:rPr>
          <w:rFonts w:eastAsia="Times New Roman"/>
          <w:color w:val="000000"/>
          <w:sz w:val="20"/>
          <w:szCs w:val="20"/>
        </w:rPr>
        <w:t>0</w:t>
      </w:r>
    </w:p>
    <w:p w:rsidR="00000000" w:rsidRDefault="004D26FD">
      <w:pPr>
        <w:rPr>
          <w:rFonts w:eastAsia="Times New Roman"/>
        </w:rPr>
      </w:pPr>
      <w:r>
        <w:rPr>
          <w:rFonts w:eastAsia="Times New Roman"/>
        </w:rPr>
        <w:pict>
          <v:rect id="_x0000_i1068" style="width:0;height:1.5pt" o:hralign="center" o:hrstd="t" o:hr="t" fillcolor="#a0a0a0" stroked="f"/>
        </w:pict>
      </w:r>
    </w:p>
    <w:p w:rsidR="00000000" w:rsidRDefault="004D26FD">
      <w:pPr>
        <w:divId w:val="1486895233"/>
        <w:rPr>
          <w:rFonts w:eastAsia="Times New Roman"/>
        </w:rPr>
      </w:pPr>
    </w:p>
    <w:p w:rsidR="00000000" w:rsidRDefault="004D26FD">
      <w:pPr>
        <w:ind w:hanging="360"/>
        <w:jc w:val="both"/>
        <w:divId w:val="773982802"/>
        <w:rPr>
          <w:rFonts w:eastAsia="Times New Roman"/>
        </w:rPr>
      </w:pPr>
      <w:r>
        <w:rPr>
          <w:rFonts w:eastAsia="Times New Roman"/>
          <w:color w:val="000000"/>
          <w:sz w:val="20"/>
          <w:szCs w:val="20"/>
        </w:rPr>
        <w:t>•</w:t>
      </w:r>
      <w:r>
        <w:rPr>
          <w:rFonts w:eastAsia="Times New Roman"/>
          <w:color w:val="000000"/>
          <w:sz w:val="20"/>
          <w:szCs w:val="20"/>
        </w:rPr>
        <w:t>possible infections or quarantining of our employees which could impact our ability to service our customers or operate our business</w:t>
      </w:r>
      <w:r>
        <w:rPr>
          <w:rFonts w:eastAsia="Times New Roman"/>
          <w:color w:val="000000"/>
          <w:sz w:val="20"/>
          <w:szCs w:val="20"/>
        </w:rPr>
        <w:t>;</w:t>
      </w:r>
    </w:p>
    <w:p w:rsidR="00000000" w:rsidRDefault="004D26FD">
      <w:pPr>
        <w:ind w:hanging="360"/>
        <w:jc w:val="both"/>
        <w:divId w:val="1877037870"/>
        <w:rPr>
          <w:rFonts w:eastAsia="Times New Roman"/>
        </w:rPr>
      </w:pPr>
      <w:r>
        <w:rPr>
          <w:rFonts w:eastAsia="Times New Roman"/>
          <w:color w:val="000000"/>
          <w:sz w:val="20"/>
          <w:szCs w:val="20"/>
        </w:rPr>
        <w:t>•</w:t>
      </w:r>
      <w:r>
        <w:rPr>
          <w:rFonts w:eastAsia="Times New Roman"/>
          <w:color w:val="000000"/>
          <w:sz w:val="20"/>
          <w:szCs w:val="20"/>
        </w:rPr>
        <w:t>increased costs associated with rationalization of our portfolio of businesses and other restructuring activities</w:t>
      </w:r>
      <w:r>
        <w:rPr>
          <w:rFonts w:eastAsia="Times New Roman"/>
          <w:color w:val="000000"/>
          <w:sz w:val="20"/>
          <w:szCs w:val="20"/>
        </w:rPr>
        <w:t>;</w:t>
      </w:r>
    </w:p>
    <w:p w:rsidR="00000000" w:rsidRDefault="004D26FD">
      <w:pPr>
        <w:ind w:hanging="360"/>
        <w:jc w:val="both"/>
        <w:divId w:val="712192271"/>
        <w:rPr>
          <w:rFonts w:eastAsia="Times New Roman"/>
        </w:rPr>
      </w:pPr>
      <w:r>
        <w:rPr>
          <w:rFonts w:eastAsia="Times New Roman"/>
          <w:color w:val="000000"/>
          <w:sz w:val="20"/>
          <w:szCs w:val="20"/>
        </w:rPr>
        <w:t>•</w:t>
      </w:r>
      <w:r>
        <w:rPr>
          <w:rFonts w:eastAsia="Times New Roman"/>
          <w:color w:val="000000"/>
          <w:sz w:val="20"/>
          <w:szCs w:val="20"/>
        </w:rPr>
        <w:t>asset</w:t>
      </w:r>
      <w:r>
        <w:rPr>
          <w:rFonts w:eastAsia="Times New Roman"/>
          <w:color w:val="000000"/>
          <w:sz w:val="20"/>
          <w:szCs w:val="20"/>
        </w:rPr>
        <w:t xml:space="preserve"> impairments, including an impairment of the carrying value of our goodwill, along with other accounting charges if expected future demand for our products and services materially decreases;</w:t>
      </w:r>
      <w:r>
        <w:rPr>
          <w:rFonts w:eastAsia="Times New Roman"/>
          <w:color w:val="000000"/>
          <w:sz w:val="20"/>
          <w:szCs w:val="20"/>
        </w:rPr>
        <w:t xml:space="preserve"> </w:t>
      </w:r>
    </w:p>
    <w:p w:rsidR="00000000" w:rsidRDefault="004D26FD">
      <w:pPr>
        <w:ind w:hanging="360"/>
        <w:jc w:val="both"/>
        <w:divId w:val="619650256"/>
        <w:rPr>
          <w:rFonts w:eastAsia="Times New Roman"/>
        </w:rPr>
      </w:pPr>
      <w:r>
        <w:rPr>
          <w:rFonts w:eastAsia="Times New Roman"/>
          <w:color w:val="000000"/>
          <w:sz w:val="20"/>
          <w:szCs w:val="20"/>
        </w:rPr>
        <w:t>•</w:t>
      </w:r>
      <w:r>
        <w:rPr>
          <w:rFonts w:eastAsia="Times New Roman"/>
          <w:color w:val="000000"/>
          <w:sz w:val="20"/>
          <w:szCs w:val="20"/>
        </w:rPr>
        <w:t xml:space="preserve">volatility in the global financial markets, which could have a </w:t>
      </w:r>
      <w:r>
        <w:rPr>
          <w:rFonts w:eastAsia="Times New Roman"/>
          <w:color w:val="000000"/>
          <w:sz w:val="20"/>
          <w:szCs w:val="20"/>
        </w:rPr>
        <w:t>negative impact on our ability to access capital and additional sources of financing in the future</w:t>
      </w:r>
      <w:r>
        <w:rPr>
          <w:rFonts w:eastAsia="Times New Roman"/>
          <w:color w:val="000000"/>
          <w:sz w:val="20"/>
          <w:szCs w:val="20"/>
        </w:rPr>
        <w:t>;</w:t>
      </w:r>
    </w:p>
    <w:p w:rsidR="00000000" w:rsidRDefault="004D26FD">
      <w:pPr>
        <w:ind w:hanging="360"/>
        <w:jc w:val="both"/>
        <w:divId w:val="1787650519"/>
        <w:rPr>
          <w:rFonts w:eastAsia="Times New Roman"/>
        </w:rPr>
      </w:pPr>
      <w:r>
        <w:rPr>
          <w:rFonts w:eastAsia="Times New Roman"/>
          <w:color w:val="000000"/>
          <w:sz w:val="20"/>
          <w:szCs w:val="20"/>
        </w:rPr>
        <w:t>•</w:t>
      </w:r>
      <w:r>
        <w:rPr>
          <w:rFonts w:eastAsia="Times New Roman"/>
          <w:color w:val="000000"/>
          <w:sz w:val="20"/>
          <w:szCs w:val="20"/>
        </w:rPr>
        <w:t>notices from customers, suppliers and other third parties asserting force majeure or other bases for their non-performance</w:t>
      </w:r>
      <w:r>
        <w:rPr>
          <w:rFonts w:eastAsia="Times New Roman"/>
          <w:color w:val="000000"/>
          <w:sz w:val="20"/>
          <w:szCs w:val="20"/>
        </w:rPr>
        <w:t>;</w:t>
      </w:r>
    </w:p>
    <w:p w:rsidR="00000000" w:rsidRDefault="004D26FD">
      <w:pPr>
        <w:ind w:hanging="360"/>
        <w:jc w:val="both"/>
        <w:divId w:val="732434398"/>
        <w:rPr>
          <w:rFonts w:eastAsia="Times New Roman"/>
        </w:rPr>
      </w:pPr>
      <w:r>
        <w:rPr>
          <w:rFonts w:eastAsia="Times New Roman"/>
          <w:color w:val="000000"/>
          <w:sz w:val="20"/>
          <w:szCs w:val="20"/>
        </w:rPr>
        <w:t>•</w:t>
      </w:r>
      <w:r>
        <w:rPr>
          <w:rFonts w:eastAsia="Times New Roman"/>
          <w:color w:val="000000"/>
          <w:sz w:val="20"/>
          <w:szCs w:val="20"/>
        </w:rPr>
        <w:t>reduction of our global workfo</w:t>
      </w:r>
      <w:r>
        <w:rPr>
          <w:rFonts w:eastAsia="Times New Roman"/>
          <w:color w:val="000000"/>
          <w:sz w:val="20"/>
          <w:szCs w:val="20"/>
        </w:rPr>
        <w:t>rce to adjust to market conditions, including increased costs associated with severance payments, retention issues, and an inability to hire employees when market conditions improve</w:t>
      </w:r>
      <w:r>
        <w:rPr>
          <w:rFonts w:eastAsia="Times New Roman"/>
          <w:color w:val="000000"/>
          <w:sz w:val="20"/>
          <w:szCs w:val="20"/>
        </w:rPr>
        <w:t>;</w:t>
      </w:r>
    </w:p>
    <w:p w:rsidR="00000000" w:rsidRDefault="004D26FD">
      <w:pPr>
        <w:ind w:hanging="360"/>
        <w:jc w:val="both"/>
        <w:divId w:val="1239948927"/>
        <w:rPr>
          <w:rFonts w:eastAsia="Times New Roman"/>
        </w:rPr>
      </w:pPr>
      <w:r>
        <w:rPr>
          <w:rFonts w:eastAsia="Times New Roman"/>
          <w:color w:val="000000"/>
          <w:sz w:val="20"/>
          <w:szCs w:val="20"/>
        </w:rPr>
        <w:t>•</w:t>
      </w:r>
      <w:r>
        <w:rPr>
          <w:rFonts w:eastAsia="Times New Roman"/>
          <w:color w:val="000000"/>
          <w:sz w:val="20"/>
          <w:szCs w:val="20"/>
        </w:rPr>
        <w:t xml:space="preserve">litigation risk and possible loss contingencies related to COVID-19 and </w:t>
      </w:r>
      <w:r>
        <w:rPr>
          <w:rFonts w:eastAsia="Times New Roman"/>
          <w:color w:val="000000"/>
          <w:sz w:val="20"/>
          <w:szCs w:val="20"/>
        </w:rPr>
        <w:t>its impact, including with respect to commercial contracts, employee matters and insurance arrangements</w:t>
      </w:r>
      <w:r>
        <w:rPr>
          <w:rFonts w:eastAsia="Times New Roman"/>
          <w:color w:val="000000"/>
          <w:sz w:val="20"/>
          <w:szCs w:val="20"/>
        </w:rPr>
        <w:t>;</w:t>
      </w:r>
    </w:p>
    <w:p w:rsidR="00000000" w:rsidRDefault="004D26FD">
      <w:pPr>
        <w:ind w:hanging="360"/>
        <w:jc w:val="both"/>
        <w:divId w:val="129330062"/>
        <w:rPr>
          <w:rFonts w:eastAsia="Times New Roman"/>
        </w:rPr>
      </w:pPr>
      <w:r>
        <w:rPr>
          <w:rFonts w:eastAsia="Times New Roman"/>
          <w:color w:val="000000"/>
          <w:sz w:val="20"/>
          <w:szCs w:val="20"/>
        </w:rPr>
        <w:t>•</w:t>
      </w:r>
      <w:r>
        <w:rPr>
          <w:rFonts w:eastAsia="Times New Roman"/>
          <w:color w:val="000000"/>
          <w:sz w:val="20"/>
          <w:szCs w:val="20"/>
        </w:rPr>
        <w:t xml:space="preserve">heightened risk of cybersecurity issues, as digital technologies may become more vulnerable and experience a higher rate of cyber attacks in a remote </w:t>
      </w:r>
      <w:r>
        <w:rPr>
          <w:rFonts w:eastAsia="Times New Roman"/>
          <w:color w:val="000000"/>
          <w:sz w:val="20"/>
          <w:szCs w:val="20"/>
        </w:rPr>
        <w:t>connectivity environment</w:t>
      </w:r>
      <w:r>
        <w:rPr>
          <w:rFonts w:eastAsia="Times New Roman"/>
          <w:color w:val="000000"/>
          <w:sz w:val="20"/>
          <w:szCs w:val="20"/>
        </w:rPr>
        <w:t>;</w:t>
      </w:r>
    </w:p>
    <w:p w:rsidR="00000000" w:rsidRDefault="004D26FD">
      <w:pPr>
        <w:ind w:hanging="360"/>
        <w:jc w:val="both"/>
        <w:divId w:val="1465847552"/>
        <w:rPr>
          <w:rFonts w:eastAsia="Times New Roman"/>
        </w:rPr>
      </w:pPr>
      <w:r>
        <w:rPr>
          <w:rFonts w:eastAsia="Times New Roman"/>
          <w:color w:val="000000"/>
          <w:sz w:val="20"/>
          <w:szCs w:val="20"/>
        </w:rPr>
        <w:t>•</w:t>
      </w:r>
      <w:r>
        <w:rPr>
          <w:rFonts w:eastAsia="Times New Roman"/>
          <w:color w:val="000000"/>
          <w:sz w:val="20"/>
          <w:szCs w:val="20"/>
        </w:rPr>
        <w:t>a need to preserve liquidity, which could result in actions such as a reduction or suspension of our quarterly dividend or stock repurchases; an</w:t>
      </w:r>
      <w:r>
        <w:rPr>
          <w:rFonts w:eastAsia="Times New Roman"/>
          <w:color w:val="000000"/>
          <w:sz w:val="20"/>
          <w:szCs w:val="20"/>
        </w:rPr>
        <w:t>d</w:t>
      </w:r>
    </w:p>
    <w:p w:rsidR="00000000" w:rsidRDefault="004D26FD">
      <w:pPr>
        <w:ind w:hanging="360"/>
        <w:jc w:val="both"/>
        <w:divId w:val="1833450303"/>
        <w:rPr>
          <w:rFonts w:eastAsia="Times New Roman"/>
        </w:rPr>
      </w:pPr>
      <w:r>
        <w:rPr>
          <w:rFonts w:eastAsia="Times New Roman"/>
          <w:color w:val="000000"/>
          <w:sz w:val="20"/>
          <w:szCs w:val="20"/>
        </w:rPr>
        <w:t>•</w:t>
      </w:r>
      <w:r>
        <w:rPr>
          <w:rFonts w:eastAsia="Times New Roman"/>
          <w:color w:val="000000"/>
          <w:sz w:val="20"/>
          <w:szCs w:val="20"/>
        </w:rPr>
        <w:t>a structural shift in the global economy and its demand for fuel and related produ</w:t>
      </w:r>
      <w:r>
        <w:rPr>
          <w:rFonts w:eastAsia="Times New Roman"/>
          <w:color w:val="000000"/>
          <w:sz w:val="20"/>
          <w:szCs w:val="20"/>
        </w:rPr>
        <w:t>cts and services as a result of changes in the way people work, travel and interact, or in connection with a global recession</w:t>
      </w:r>
      <w:r>
        <w:rPr>
          <w:rFonts w:eastAsia="Times New Roman"/>
          <w:color w:val="000000"/>
          <w:sz w:val="20"/>
          <w:szCs w:val="20"/>
        </w:rPr>
        <w:t>.</w:t>
      </w:r>
    </w:p>
    <w:p w:rsidR="00000000" w:rsidRDefault="004D26FD">
      <w:pPr>
        <w:ind w:firstLine="360"/>
        <w:jc w:val="both"/>
        <w:rPr>
          <w:rFonts w:eastAsia="Times New Roman"/>
        </w:rPr>
      </w:pPr>
      <w:r>
        <w:rPr>
          <w:rFonts w:eastAsia="Times New Roman"/>
          <w:color w:val="000000"/>
          <w:sz w:val="20"/>
          <w:szCs w:val="20"/>
        </w:rPr>
        <w:t>We are monitoring and continue to assess the ongoing effects of the COVID-19 pandemic on our businesses and operations. Developme</w:t>
      </w:r>
      <w:r>
        <w:rPr>
          <w:rFonts w:eastAsia="Times New Roman"/>
          <w:color w:val="000000"/>
          <w:sz w:val="20"/>
          <w:szCs w:val="20"/>
        </w:rPr>
        <w:t>nts related to the pandemic have been rapidly changing, and additional impacts and risks may arise that we may not currently foresee. Furthermore, the full extent to which the pandemic may adversely impact us or our results is currently uncertain and diffi</w:t>
      </w:r>
      <w:r>
        <w:rPr>
          <w:rFonts w:eastAsia="Times New Roman"/>
          <w:color w:val="000000"/>
          <w:sz w:val="20"/>
          <w:szCs w:val="20"/>
        </w:rPr>
        <w:t>cult to assess or predict with meaningful precision. We are similarly unable to predict the degree to which the pandemic may ultimately impact our customers, suppliers, and other business partners’ financial condition, but a material effect on these partie</w:t>
      </w:r>
      <w:r>
        <w:rPr>
          <w:rFonts w:eastAsia="Times New Roman"/>
          <w:color w:val="000000"/>
          <w:sz w:val="20"/>
          <w:szCs w:val="20"/>
        </w:rPr>
        <w:t>s could also adversely affect us.</w:t>
      </w:r>
      <w:r>
        <w:rPr>
          <w:rFonts w:eastAsia="Times New Roman"/>
          <w:color w:val="000000"/>
          <w:sz w:val="20"/>
          <w:szCs w:val="20"/>
        </w:rPr>
        <w:t xml:space="preserve"> </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extent to which the pandemic will ultimately impact us will depend on numerous future developments that are highly uncertain, including the severity and duration of the crisis and the extent of any further actions t</w:t>
      </w:r>
      <w:r>
        <w:rPr>
          <w:rFonts w:eastAsia="Times New Roman"/>
          <w:color w:val="000000"/>
          <w:sz w:val="20"/>
          <w:szCs w:val="20"/>
        </w:rPr>
        <w:t>aken by governments in response, the ultimate impact on global economic activity and how quickly, and to what extent, normal economic and operating conditions can resume on a sustainable basis globally, as well as the extent and duration of the effect of t</w:t>
      </w:r>
      <w:r>
        <w:rPr>
          <w:rFonts w:eastAsia="Times New Roman"/>
          <w:color w:val="000000"/>
          <w:sz w:val="20"/>
          <w:szCs w:val="20"/>
        </w:rPr>
        <w:t>he crisis on consumer confidence and spending</w:t>
      </w:r>
      <w:r>
        <w:rPr>
          <w:rFonts w:eastAsia="Times New Roman"/>
          <w:color w:val="000000"/>
          <w:sz w:val="20"/>
          <w:szCs w:val="20"/>
        </w:rPr>
        <w:t>.</w:t>
      </w:r>
    </w:p>
    <w:p w:rsidR="00000000" w:rsidRDefault="004D26FD">
      <w:pPr>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Finally, the effects of COVID-19 may remain prevalent for a significant period of time and may continue to adversely affect our business, results of operations and financial condition even after the outbreak</w:t>
      </w:r>
      <w:r>
        <w:rPr>
          <w:rFonts w:eastAsia="Times New Roman"/>
          <w:color w:val="000000"/>
          <w:sz w:val="20"/>
          <w:szCs w:val="20"/>
        </w:rPr>
        <w:t xml:space="preserve"> has subsided. The pandemic may also have the effect of exacerbating many of the other risks discussed in our 10-K Risk Factors and this 10-Q Report, which could in turn have a material adverse effect on us. Accordingly, the occurrence of one or more the f</w:t>
      </w:r>
      <w:r>
        <w:rPr>
          <w:rFonts w:eastAsia="Times New Roman"/>
          <w:color w:val="000000"/>
          <w:sz w:val="20"/>
          <w:szCs w:val="20"/>
        </w:rPr>
        <w:t>oregoing factors could increase our costs and/or reduce the demand for our products, which could therefore have a material adverse effect on our business, financial condition, results of operations, liquidity and cash flows. For additional information on t</w:t>
      </w:r>
      <w:r>
        <w:rPr>
          <w:rFonts w:eastAsia="Times New Roman"/>
          <w:color w:val="000000"/>
          <w:sz w:val="20"/>
          <w:szCs w:val="20"/>
        </w:rPr>
        <w:t>he impact of the pandemic, see “Management’s Discussion and Analysis of Financial Condition and Results of Operations - Business Overview” and for a discussion of the impact of changes in fuel prices on our business, see the 2019 10-K Risk Factors</w:t>
      </w:r>
      <w:r>
        <w:rPr>
          <w:rFonts w:eastAsia="Times New Roman"/>
          <w:color w:val="000000"/>
          <w:sz w:val="20"/>
          <w:szCs w:val="20"/>
        </w:rPr>
        <w:t>.</w:t>
      </w:r>
    </w:p>
    <w:p w:rsidR="00000000" w:rsidRDefault="004D26FD">
      <w:pPr>
        <w:ind w:firstLine="360"/>
        <w:jc w:val="both"/>
        <w:divId w:val="1815638026"/>
        <w:rPr>
          <w:rFonts w:eastAsia="Times New Roman"/>
        </w:rPr>
      </w:pPr>
    </w:p>
    <w:p w:rsidR="00000000" w:rsidRDefault="004D26FD">
      <w:pPr>
        <w:divId w:val="1764303720"/>
        <w:rPr>
          <w:rFonts w:eastAsia="Times New Roman"/>
        </w:rPr>
      </w:pPr>
    </w:p>
    <w:p w:rsidR="00000000" w:rsidRDefault="004D26FD">
      <w:pPr>
        <w:jc w:val="center"/>
        <w:divId w:val="1798261261"/>
        <w:rPr>
          <w:rFonts w:eastAsia="Times New Roman"/>
        </w:rPr>
      </w:pPr>
      <w:r>
        <w:rPr>
          <w:rFonts w:eastAsia="Times New Roman"/>
          <w:color w:val="000000"/>
          <w:sz w:val="20"/>
          <w:szCs w:val="20"/>
        </w:rPr>
        <w:t>4</w:t>
      </w:r>
      <w:r>
        <w:rPr>
          <w:rFonts w:eastAsia="Times New Roman"/>
          <w:color w:val="000000"/>
          <w:sz w:val="20"/>
          <w:szCs w:val="20"/>
        </w:rPr>
        <w:t>1</w:t>
      </w:r>
    </w:p>
    <w:p w:rsidR="00000000" w:rsidRDefault="004D26FD">
      <w:pPr>
        <w:rPr>
          <w:rFonts w:eastAsia="Times New Roman"/>
        </w:rPr>
      </w:pPr>
      <w:r>
        <w:rPr>
          <w:rFonts w:eastAsia="Times New Roman"/>
        </w:rPr>
        <w:pict>
          <v:rect id="_x0000_i1069" style="width:0;height:1.5pt" o:hralign="center" o:hrstd="t" o:hr="t" fillcolor="#a0a0a0" stroked="f"/>
        </w:pict>
      </w:r>
    </w:p>
    <w:p w:rsidR="00000000" w:rsidRDefault="004D26FD">
      <w:pPr>
        <w:divId w:val="295836924"/>
        <w:rPr>
          <w:rFonts w:eastAsia="Times New Roman"/>
        </w:rPr>
      </w:pPr>
    </w:p>
    <w:p w:rsidR="00000000" w:rsidRDefault="004D26FD">
      <w:pPr>
        <w:ind w:hanging="1080"/>
        <w:divId w:val="1563901686"/>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p>
    <w:p w:rsidR="00000000" w:rsidRDefault="004D26FD">
      <w:pPr>
        <w:ind w:firstLine="720"/>
        <w:divId w:val="1826126551"/>
        <w:rPr>
          <w:rFonts w:eastAsia="Times New Roman"/>
        </w:rPr>
      </w:pPr>
    </w:p>
    <w:p w:rsidR="00000000" w:rsidRDefault="004D26FD">
      <w:pPr>
        <w:ind w:firstLine="360"/>
        <w:jc w:val="both"/>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p w:rsidR="00000000" w:rsidRDefault="004D26FD">
      <w:pPr>
        <w:ind w:firstLine="360"/>
        <w:jc w:val="both"/>
        <w:rPr>
          <w:rFonts w:eastAsia="Times New Roman"/>
        </w:rPr>
      </w:pPr>
    </w:p>
    <w:p w:rsidR="00000000" w:rsidRDefault="004D26FD">
      <w:pPr>
        <w:ind w:firstLine="360"/>
        <w:jc w:val="both"/>
        <w:rPr>
          <w:rFonts w:eastAsia="Times New Roman"/>
        </w:rPr>
      </w:pPr>
      <w:r>
        <w:rPr>
          <w:rFonts w:eastAsia="Times New Roman"/>
          <w:color w:val="000000"/>
          <w:sz w:val="20"/>
          <w:szCs w:val="20"/>
        </w:rPr>
        <w:t>The following table presents information with respect to repurchases of common stock made by us during the quarterly period ended June 30, 2020 (in thousands, except average price paid per share)</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1"/>
        <w:gridCol w:w="1869"/>
        <w:gridCol w:w="41"/>
        <w:gridCol w:w="36"/>
        <w:gridCol w:w="36"/>
        <w:gridCol w:w="36"/>
        <w:gridCol w:w="57"/>
        <w:gridCol w:w="1266"/>
        <w:gridCol w:w="75"/>
        <w:gridCol w:w="36"/>
        <w:gridCol w:w="36"/>
        <w:gridCol w:w="36"/>
        <w:gridCol w:w="116"/>
        <w:gridCol w:w="1250"/>
        <w:gridCol w:w="75"/>
        <w:gridCol w:w="36"/>
        <w:gridCol w:w="36"/>
        <w:gridCol w:w="36"/>
        <w:gridCol w:w="80"/>
        <w:gridCol w:w="1277"/>
        <w:gridCol w:w="79"/>
        <w:gridCol w:w="36"/>
        <w:gridCol w:w="36"/>
        <w:gridCol w:w="36"/>
        <w:gridCol w:w="116"/>
        <w:gridCol w:w="1430"/>
        <w:gridCol w:w="89"/>
      </w:tblGrid>
      <w:tr w:rsidR="00000000">
        <w:trPr>
          <w:divId w:val="1673341140"/>
        </w:trPr>
        <w:tc>
          <w:tcPr>
            <w:tcW w:w="50" w:type="pct"/>
            <w:vAlign w:val="center"/>
            <w:hideMark/>
          </w:tcPr>
          <w:p w:rsidR="00000000" w:rsidRDefault="004D26FD">
            <w:pPr>
              <w:ind w:firstLine="360"/>
              <w:jc w:val="both"/>
              <w:rPr>
                <w:rFonts w:eastAsia="Times New Roman"/>
              </w:rPr>
            </w:pPr>
          </w:p>
        </w:tc>
        <w:tc>
          <w:tcPr>
            <w:tcW w:w="1151"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8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8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8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26" w:type="pct"/>
            <w:vAlign w:val="center"/>
            <w:hideMark/>
          </w:tcPr>
          <w:p w:rsidR="00000000" w:rsidRDefault="004D26FD">
            <w:pPr>
              <w:rPr>
                <w:rFonts w:eastAsia="Times New Roman"/>
                <w:sz w:val="20"/>
                <w:szCs w:val="20"/>
              </w:rPr>
            </w:pPr>
          </w:p>
        </w:tc>
        <w:tc>
          <w:tcPr>
            <w:tcW w:w="5"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8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673341140"/>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16"/>
                <w:szCs w:val="16"/>
              </w:rPr>
              <w:t>Perio</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Total Numbe</w:t>
            </w:r>
            <w:r>
              <w:rPr>
                <w:rFonts w:eastAsia="Times New Roman"/>
                <w:b/>
                <w:bCs/>
                <w:color w:val="000000"/>
                <w:sz w:val="16"/>
                <w:szCs w:val="16"/>
              </w:rPr>
              <w:t>r</w:t>
            </w:r>
          </w:p>
          <w:p w:rsidR="00000000" w:rsidRDefault="004D26FD">
            <w:pPr>
              <w:jc w:val="center"/>
              <w:rPr>
                <w:rFonts w:eastAsia="Times New Roman"/>
              </w:rPr>
            </w:pPr>
            <w:r>
              <w:rPr>
                <w:rFonts w:eastAsia="Times New Roman"/>
                <w:b/>
                <w:bCs/>
                <w:color w:val="000000"/>
                <w:sz w:val="16"/>
                <w:szCs w:val="16"/>
              </w:rPr>
              <w:t>of Share</w:t>
            </w:r>
            <w:r>
              <w:rPr>
                <w:rFonts w:eastAsia="Times New Roman"/>
                <w:b/>
                <w:bCs/>
                <w:color w:val="000000"/>
                <w:sz w:val="16"/>
                <w:szCs w:val="16"/>
              </w:rPr>
              <w:t>s</w:t>
            </w:r>
          </w:p>
          <w:p w:rsidR="00000000" w:rsidRDefault="004D26FD">
            <w:pPr>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color w:val="000000"/>
                <w:sz w:val="16"/>
                <w:szCs w:val="16"/>
              </w:rPr>
              <w:t xml:space="preserve"> </w:t>
            </w:r>
            <w:r>
              <w:rPr>
                <w:rFonts w:eastAsia="Times New Roman"/>
                <w:b/>
                <w:bCs/>
                <w:color w:val="000000"/>
                <w:sz w:val="12"/>
                <w:szCs w:val="12"/>
              </w:rPr>
              <w:t>(1</w:t>
            </w:r>
            <w:r>
              <w:rPr>
                <w:rFonts w:eastAsia="Times New Roman"/>
                <w:b/>
                <w:bCs/>
                <w:color w:val="000000"/>
                <w:sz w:val="12"/>
                <w:szCs w:val="12"/>
              </w:rPr>
              <w:t>)</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Total Number</w:t>
            </w:r>
            <w:r>
              <w:rPr>
                <w:rFonts w:eastAsia="Times New Roman"/>
                <w:b/>
                <w:bCs/>
                <w:color w:val="000000"/>
                <w:sz w:val="16"/>
                <w:szCs w:val="16"/>
              </w:rPr>
              <w:br/>
              <w:t>of Shares Purchased</w:t>
            </w:r>
            <w:r>
              <w:rPr>
                <w:rFonts w:eastAsia="Times New Roman"/>
                <w:b/>
                <w:bCs/>
                <w:color w:val="000000"/>
                <w:sz w:val="16"/>
                <w:szCs w:val="16"/>
              </w:rPr>
              <w:br/>
              <w:t>as Part of Publicly</w:t>
            </w:r>
            <w:r>
              <w:rPr>
                <w:rFonts w:eastAsia="Times New Roman"/>
                <w:b/>
                <w:bCs/>
                <w:color w:val="000000"/>
                <w:sz w:val="16"/>
                <w:szCs w:val="16"/>
              </w:rPr>
              <w:br/>
              <w:t>Announced Plans</w:t>
            </w:r>
            <w:r>
              <w:rPr>
                <w:rFonts w:eastAsia="Times New Roman"/>
                <w:b/>
                <w:bCs/>
                <w:color w:val="000000"/>
                <w:sz w:val="16"/>
                <w:szCs w:val="16"/>
              </w:rPr>
              <w:br/>
              <w:t>or Program</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4D26F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D26FD">
            <w:pPr>
              <w:jc w:val="center"/>
              <w:rPr>
                <w:rFonts w:eastAsia="Times New Roman"/>
              </w:rPr>
            </w:pPr>
            <w:r>
              <w:rPr>
                <w:rFonts w:eastAsia="Times New Roman"/>
                <w:b/>
                <w:bCs/>
                <w:color w:val="000000"/>
                <w:sz w:val="16"/>
                <w:szCs w:val="16"/>
              </w:rPr>
              <w:t>Approximate Dolla</w:t>
            </w:r>
            <w:r>
              <w:rPr>
                <w:rFonts w:eastAsia="Times New Roman"/>
                <w:b/>
                <w:bCs/>
                <w:color w:val="000000"/>
                <w:sz w:val="16"/>
                <w:szCs w:val="16"/>
              </w:rPr>
              <w:t>r</w:t>
            </w:r>
          </w:p>
          <w:p w:rsidR="00000000" w:rsidRDefault="004D26FD">
            <w:pPr>
              <w:jc w:val="center"/>
              <w:rPr>
                <w:rFonts w:eastAsia="Times New Roman"/>
              </w:rPr>
            </w:pPr>
            <w:r>
              <w:rPr>
                <w:rFonts w:eastAsia="Times New Roman"/>
                <w:b/>
                <w:bCs/>
                <w:color w:val="000000"/>
                <w:sz w:val="16"/>
                <w:szCs w:val="16"/>
              </w:rPr>
              <w:t>Value of Shares tha</w:t>
            </w:r>
            <w:r>
              <w:rPr>
                <w:rFonts w:eastAsia="Times New Roman"/>
                <w:b/>
                <w:bCs/>
                <w:color w:val="000000"/>
                <w:sz w:val="16"/>
                <w:szCs w:val="16"/>
              </w:rPr>
              <w:t>t</w:t>
            </w:r>
          </w:p>
          <w:p w:rsidR="00000000" w:rsidRDefault="004D26FD">
            <w:pPr>
              <w:jc w:val="center"/>
              <w:rPr>
                <w:rFonts w:eastAsia="Times New Roman"/>
              </w:rPr>
            </w:pPr>
            <w:r>
              <w:rPr>
                <w:rFonts w:eastAsia="Times New Roman"/>
                <w:b/>
                <w:bCs/>
                <w:color w:val="000000"/>
                <w:sz w:val="16"/>
                <w:szCs w:val="16"/>
              </w:rPr>
              <w:t>May Yet Be Purchase</w:t>
            </w:r>
            <w:r>
              <w:rPr>
                <w:rFonts w:eastAsia="Times New Roman"/>
                <w:b/>
                <w:bCs/>
                <w:color w:val="000000"/>
                <w:sz w:val="16"/>
                <w:szCs w:val="16"/>
              </w:rPr>
              <w:t>d</w:t>
            </w:r>
          </w:p>
          <w:p w:rsidR="00000000" w:rsidRDefault="004D26FD">
            <w:pPr>
              <w:jc w:val="center"/>
              <w:rPr>
                <w:rFonts w:eastAsia="Times New Roman"/>
              </w:rPr>
            </w:pPr>
            <w:r>
              <w:rPr>
                <w:rFonts w:eastAsia="Times New Roman"/>
                <w:b/>
                <w:bCs/>
                <w:color w:val="000000"/>
                <w:sz w:val="16"/>
                <w:szCs w:val="16"/>
              </w:rPr>
              <w:t>Under the Plans o</w:t>
            </w:r>
            <w:r>
              <w:rPr>
                <w:rFonts w:eastAsia="Times New Roman"/>
                <w:b/>
                <w:bCs/>
                <w:color w:val="000000"/>
                <w:sz w:val="16"/>
                <w:szCs w:val="16"/>
              </w:rPr>
              <w:t>r</w:t>
            </w:r>
          </w:p>
          <w:p w:rsidR="00000000" w:rsidRDefault="004D26FD">
            <w:pPr>
              <w:jc w:val="center"/>
              <w:rPr>
                <w:rFonts w:eastAsia="Times New Roman"/>
              </w:rPr>
            </w:pPr>
            <w:r>
              <w:rPr>
                <w:rFonts w:eastAsia="Times New Roman"/>
                <w:b/>
                <w:bCs/>
                <w:color w:val="000000"/>
                <w:sz w:val="16"/>
                <w:szCs w:val="16"/>
              </w:rPr>
              <w:t>Program</w:t>
            </w:r>
            <w:r>
              <w:rPr>
                <w:rFonts w:eastAsia="Times New Roman"/>
                <w:b/>
                <w:bCs/>
                <w:color w:val="000000"/>
                <w:sz w:val="16"/>
                <w:szCs w:val="16"/>
              </w:rPr>
              <w:t>s</w:t>
            </w:r>
            <w:r>
              <w:rPr>
                <w:rFonts w:eastAsia="Times New Roman"/>
                <w:color w:val="000000"/>
                <w:sz w:val="16"/>
                <w:szCs w:val="16"/>
              </w:rPr>
              <w:t xml:space="preserve"> </w:t>
            </w:r>
            <w:r>
              <w:rPr>
                <w:rFonts w:eastAsia="Times New Roman"/>
                <w:b/>
                <w:bCs/>
                <w:color w:val="000000"/>
                <w:sz w:val="12"/>
                <w:szCs w:val="12"/>
              </w:rPr>
              <w:t>(2</w:t>
            </w:r>
            <w:r>
              <w:rPr>
                <w:rFonts w:eastAsia="Times New Roman"/>
                <w:b/>
                <w:bCs/>
                <w:color w:val="000000"/>
                <w:sz w:val="12"/>
                <w:szCs w:val="12"/>
              </w:rPr>
              <w:t>)</w:t>
            </w:r>
          </w:p>
        </w:tc>
      </w:tr>
      <w:tr w:rsidR="00000000">
        <w:trPr>
          <w:divId w:val="167334114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4/1/2020 - 4/30/202</w:t>
            </w:r>
            <w:r>
              <w:rPr>
                <w:rFonts w:eastAsia="Times New Roman"/>
                <w:color w:val="000000"/>
                <w:sz w:val="16"/>
                <w:szCs w:val="16"/>
              </w:rPr>
              <w:t>0</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258,944</w:t>
            </w:r>
            <w:r>
              <w:rPr>
                <w:rFonts w:eastAsia="Times New Roman"/>
                <w:color w:val="000000"/>
                <w:sz w:val="16"/>
                <w:szCs w:val="16"/>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673341140"/>
        </w:trPr>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5/1/2020 - 5/31/202</w:t>
            </w:r>
            <w:r>
              <w:rPr>
                <w:rFonts w:eastAsia="Times New Roman"/>
                <w:color w:val="000000"/>
                <w:sz w:val="16"/>
                <w:szCs w:val="16"/>
              </w:rPr>
              <w:t>0</w:t>
            </w:r>
          </w:p>
        </w:tc>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23.20</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258,944</w:t>
            </w:r>
            <w:r>
              <w:rPr>
                <w:rFonts w:eastAsia="Times New Roman"/>
                <w:color w:val="000000"/>
                <w:sz w:val="16"/>
                <w:szCs w:val="16"/>
              </w:rPr>
              <w:t> </w:t>
            </w:r>
          </w:p>
        </w:tc>
        <w:tc>
          <w:tcPr>
            <w:tcW w:w="0" w:type="auto"/>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673341140"/>
        </w:trPr>
        <w:tc>
          <w:tcPr>
            <w:tcW w:w="0" w:type="auto"/>
            <w:gridSpan w:val="3"/>
            <w:shd w:val="clear" w:color="auto" w:fill="CCEEFF"/>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6/1/2020 - 6/30/202</w:t>
            </w:r>
            <w:r>
              <w:rPr>
                <w:rFonts w:eastAsia="Times New Roman"/>
                <w:color w:val="000000"/>
                <w:sz w:val="16"/>
                <w:szCs w:val="16"/>
              </w:rPr>
              <w:t>0</w:t>
            </w:r>
          </w:p>
        </w:tc>
        <w:tc>
          <w:tcPr>
            <w:tcW w:w="0" w:type="auto"/>
            <w:gridSpan w:val="3"/>
            <w:shd w:val="clear" w:color="auto" w:fill="CCEEFF"/>
            <w:tcMar>
              <w:top w:w="15" w:type="dxa"/>
              <w:left w:w="20" w:type="dxa"/>
              <w:bottom w:w="15" w:type="dxa"/>
              <w:right w:w="20" w:type="dxa"/>
            </w:tcMar>
            <w:vAlign w:val="bottom"/>
            <w:hideMark/>
          </w:tcPr>
          <w:p w:rsidR="00000000" w:rsidRDefault="004D26F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shd w:val="clear" w:color="auto" w:fill="CCEEFF"/>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258,944</w:t>
            </w:r>
            <w:r>
              <w:rPr>
                <w:rFonts w:eastAsia="Times New Roman"/>
                <w:color w:val="000000"/>
                <w:sz w:val="16"/>
                <w:szCs w:val="16"/>
              </w:rPr>
              <w:t> </w:t>
            </w:r>
          </w:p>
        </w:tc>
        <w:tc>
          <w:tcPr>
            <w:tcW w:w="0" w:type="auto"/>
            <w:shd w:val="clear" w:color="auto" w:fill="CCEEFF"/>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r w:rsidR="00000000">
        <w:trPr>
          <w:divId w:val="1673341140"/>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16"/>
                <w:szCs w:val="16"/>
              </w:rPr>
              <w:t>Tota</w:t>
            </w:r>
            <w:r>
              <w:rPr>
                <w:rFonts w:eastAsia="Times New Roman"/>
                <w:color w:val="000000"/>
                <w:sz w:val="16"/>
                <w:szCs w:val="16"/>
              </w:rPr>
              <w:t>l</w:t>
            </w:r>
          </w:p>
        </w:tc>
        <w:tc>
          <w:tcPr>
            <w:tcW w:w="0" w:type="auto"/>
            <w:gridSpan w:val="3"/>
            <w:tcBorders>
              <w:top w:val="single" w:sz="8" w:space="0" w:color="000000"/>
              <w:bottom w:val="double" w:sz="6" w:space="0" w:color="000000"/>
            </w:tcBorders>
            <w:tcMar>
              <w:top w:w="15" w:type="dxa"/>
              <w:left w:w="20" w:type="dxa"/>
              <w:bottom w:w="15" w:type="dxa"/>
              <w:right w:w="20" w:type="dxa"/>
            </w:tcMar>
            <w:vAlign w:val="bottom"/>
            <w:hideMark/>
          </w:tcPr>
          <w:p w:rsidR="00000000" w:rsidRDefault="004D26FD">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3</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23.20</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c>
          <w:tcPr>
            <w:tcW w:w="0" w:type="auto"/>
            <w:gridSpan w:val="3"/>
            <w:tcBorders>
              <w:top w:val="single" w:sz="8" w:space="0" w:color="000000"/>
              <w:bottom w:val="double" w:sz="6" w:space="0" w:color="000000"/>
            </w:tcBorders>
            <w:tcMar>
              <w:top w:w="15" w:type="dxa"/>
              <w:left w:w="20" w:type="dxa"/>
              <w:bottom w:w="15" w:type="dxa"/>
              <w:right w:w="20" w:type="dxa"/>
            </w:tcMar>
            <w:vAlign w:val="bottom"/>
            <w:hideMark/>
          </w:tcPr>
          <w:p w:rsidR="00000000" w:rsidRDefault="004D26FD">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D26FD">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D26FD">
            <w:pPr>
              <w:jc w:val="right"/>
              <w:rPr>
                <w:rFonts w:eastAsia="Times New Roman"/>
              </w:rPr>
            </w:pPr>
            <w:r>
              <w:rPr>
                <w:rFonts w:eastAsia="Times New Roman"/>
                <w:color w:val="000000"/>
                <w:sz w:val="16"/>
                <w:szCs w:val="16"/>
              </w:rPr>
              <w:t>258,944</w:t>
            </w:r>
            <w:r>
              <w:rPr>
                <w:rFonts w:eastAsia="Times New Roman"/>
                <w:color w:val="000000"/>
                <w:sz w:val="16"/>
                <w:szCs w:val="16"/>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D26FD">
            <w:pPr>
              <w:jc w:val="right"/>
              <w:rPr>
                <w:rFonts w:eastAsia="Times New Roman"/>
              </w:rPr>
            </w:pPr>
            <w:r>
              <w:rPr>
                <w:rFonts w:eastAsia="Times New Roman"/>
                <w:color w:val="000000"/>
                <w:sz w:val="16"/>
                <w:szCs w:val="16"/>
              </w:rPr>
              <w:t> </w:t>
            </w:r>
          </w:p>
        </w:tc>
      </w:tr>
    </w:tbl>
    <w:p w:rsidR="00000000" w:rsidRDefault="004D26FD">
      <w:pPr>
        <w:ind w:hanging="360"/>
        <w:jc w:val="both"/>
        <w:divId w:val="1460420525"/>
        <w:rPr>
          <w:rFonts w:eastAsia="Times New Roman"/>
        </w:rPr>
      </w:pPr>
      <w:r>
        <w:rPr>
          <w:rFonts w:eastAsia="Times New Roman"/>
          <w:color w:val="000000"/>
          <w:sz w:val="20"/>
          <w:szCs w:val="20"/>
        </w:rPr>
        <w:t xml:space="preserve">(1) These amounts include shares purchased as part of our publicly announced programs and shares owned and tendered by employees to satisfy the required withholding taxes related to share-based payment awards, which are not deducted </w:t>
      </w:r>
      <w:r>
        <w:rPr>
          <w:rFonts w:eastAsia="Times New Roman"/>
          <w:color w:val="000000"/>
          <w:sz w:val="20"/>
          <w:szCs w:val="20"/>
        </w:rPr>
        <w:t>from shares available to be purchased under publicly announced programs</w:t>
      </w:r>
      <w:r>
        <w:rPr>
          <w:rFonts w:eastAsia="Times New Roman"/>
          <w:color w:val="000000"/>
          <w:sz w:val="20"/>
          <w:szCs w:val="20"/>
        </w:rPr>
        <w:t>.</w:t>
      </w:r>
    </w:p>
    <w:p w:rsidR="00000000" w:rsidRDefault="004D26FD">
      <w:pPr>
        <w:ind w:hanging="360"/>
        <w:jc w:val="both"/>
        <w:divId w:val="1965888642"/>
        <w:rPr>
          <w:rFonts w:eastAsia="Times New Roman"/>
        </w:rPr>
      </w:pPr>
      <w:r>
        <w:rPr>
          <w:rFonts w:eastAsia="Times New Roman"/>
          <w:color w:val="000000"/>
          <w:sz w:val="20"/>
          <w:szCs w:val="20"/>
        </w:rPr>
        <w:t xml:space="preserve">(2) In October 2017, our Board of Directors (the "Board") approved a new common stock repurchase program (the “Repurchase Program”), which replaced the program in place at that time, </w:t>
      </w:r>
      <w:r>
        <w:rPr>
          <w:rFonts w:eastAsia="Times New Roman"/>
          <w:color w:val="000000"/>
          <w:sz w:val="20"/>
          <w:szCs w:val="20"/>
        </w:rPr>
        <w:t>authorizing $100.0 million in common stock repurchases. In May 2019, the Board authorized an increase to the October 2017 repurchase authorization by $100.0 million, bringing the authorized repurchases at that time to $200.0 million. In March 2020, the Boa</w:t>
      </w:r>
      <w:r>
        <w:rPr>
          <w:rFonts w:eastAsia="Times New Roman"/>
          <w:color w:val="000000"/>
          <w:sz w:val="20"/>
          <w:szCs w:val="20"/>
        </w:rPr>
        <w:t>rd approved a new stock repurchase program authorizing $200.0 million in common stock repurchases to begin upon the completion of the October 2017 Repurchase Program. Our repurchase programs do not require a minimum number of shares of common stock to be p</w:t>
      </w:r>
      <w:r>
        <w:rPr>
          <w:rFonts w:eastAsia="Times New Roman"/>
          <w:color w:val="000000"/>
          <w:sz w:val="20"/>
          <w:szCs w:val="20"/>
        </w:rPr>
        <w:t>urchased, have no expiration date and may be suspended or discontinued at any time. As of June 30, 2020, approximately $258.9 million remains available for purchase under our repurchase programs. The timing and amount of shares of common stock to be repurc</w:t>
      </w:r>
      <w:r>
        <w:rPr>
          <w:rFonts w:eastAsia="Times New Roman"/>
          <w:color w:val="000000"/>
          <w:sz w:val="20"/>
          <w:szCs w:val="20"/>
        </w:rPr>
        <w:t>hased under the repurchase programs will depend on market conditions, share price, securities law and other legal requirements and factors</w:t>
      </w:r>
      <w:r>
        <w:rPr>
          <w:rFonts w:eastAsia="Times New Roman"/>
          <w:color w:val="000000"/>
          <w:sz w:val="20"/>
          <w:szCs w:val="20"/>
        </w:rPr>
        <w:t>.</w:t>
      </w:r>
    </w:p>
    <w:p w:rsidR="00000000" w:rsidRDefault="004D26FD">
      <w:pPr>
        <w:jc w:val="center"/>
        <w:divId w:val="1453286968"/>
        <w:rPr>
          <w:rFonts w:eastAsia="Times New Roman"/>
        </w:rPr>
      </w:pPr>
      <w:r>
        <w:rPr>
          <w:rFonts w:eastAsia="Times New Roman"/>
          <w:color w:val="000000"/>
          <w:sz w:val="20"/>
          <w:szCs w:val="20"/>
        </w:rPr>
        <w:t>4</w:t>
      </w:r>
      <w:r>
        <w:rPr>
          <w:rFonts w:eastAsia="Times New Roman"/>
          <w:color w:val="000000"/>
          <w:sz w:val="20"/>
          <w:szCs w:val="20"/>
        </w:rPr>
        <w:t>2</w:t>
      </w:r>
    </w:p>
    <w:p w:rsidR="00000000" w:rsidRDefault="004D26FD">
      <w:pPr>
        <w:rPr>
          <w:rFonts w:eastAsia="Times New Roman"/>
        </w:rPr>
      </w:pPr>
      <w:r>
        <w:rPr>
          <w:rFonts w:eastAsia="Times New Roman"/>
        </w:rPr>
        <w:pict>
          <v:rect id="_x0000_i1070" style="width:0;height:1.5pt" o:hralign="center" o:hrstd="t" o:hr="t" fillcolor="#a0a0a0" stroked="f"/>
        </w:pict>
      </w:r>
    </w:p>
    <w:p w:rsidR="00000000" w:rsidRDefault="004D26FD">
      <w:pPr>
        <w:divId w:val="65077910"/>
        <w:rPr>
          <w:rFonts w:eastAsia="Times New Roman"/>
        </w:rPr>
      </w:pPr>
    </w:p>
    <w:p w:rsidR="00000000" w:rsidRDefault="004D26FD">
      <w:pPr>
        <w:ind w:hanging="1080"/>
        <w:divId w:val="15624508"/>
        <w:rPr>
          <w:rFonts w:eastAsia="Times New Roman"/>
        </w:rPr>
      </w:pPr>
      <w:r>
        <w:rPr>
          <w:rFonts w:eastAsia="Times New Roman"/>
          <w:b/>
          <w:bCs/>
          <w:color w:val="000000"/>
          <w:sz w:val="20"/>
          <w:szCs w:val="20"/>
        </w:rPr>
        <w:t>Item 6.  Exhibit</w:t>
      </w:r>
      <w:r>
        <w:rPr>
          <w:rFonts w:eastAsia="Times New Roman"/>
          <w:b/>
          <w:bCs/>
          <w:color w:val="000000"/>
          <w:sz w:val="20"/>
          <w:szCs w:val="20"/>
        </w:rPr>
        <w:t>s</w:t>
      </w:r>
    </w:p>
    <w:p w:rsidR="00000000" w:rsidRDefault="004D26FD">
      <w:pPr>
        <w:ind w:firstLine="720"/>
        <w:divId w:val="1456219444"/>
        <w:rPr>
          <w:rFonts w:eastAsia="Times New Roman"/>
        </w:rPr>
      </w:pPr>
      <w:r>
        <w:rPr>
          <w:rFonts w:eastAsia="Times New Roman"/>
          <w:color w:val="000000"/>
          <w:sz w:val="16"/>
          <w:szCs w:val="16"/>
        </w:rPr>
        <w:t> </w:t>
      </w:r>
    </w:p>
    <w:p w:rsidR="00000000" w:rsidRDefault="004D26FD">
      <w:pPr>
        <w:ind w:firstLine="360"/>
        <w:jc w:val="both"/>
        <w:rPr>
          <w:rFonts w:eastAsia="Times New Roman"/>
        </w:rPr>
      </w:pPr>
      <w:r>
        <w:rPr>
          <w:rFonts w:eastAsia="Times New Roman"/>
          <w:color w:val="000000"/>
          <w:sz w:val="20"/>
          <w:szCs w:val="20"/>
        </w:rPr>
        <w:t>The exhibits set forth in the following index of exhib</w:t>
      </w:r>
      <w:r>
        <w:rPr>
          <w:rFonts w:eastAsia="Times New Roman"/>
          <w:color w:val="000000"/>
          <w:sz w:val="20"/>
          <w:szCs w:val="20"/>
        </w:rPr>
        <w:t>its are filed as part of this 10-Q Report</w:t>
      </w:r>
      <w:r>
        <w:rPr>
          <w:rFonts w:eastAsia="Times New Roman"/>
          <w:color w:val="000000"/>
          <w:sz w:val="20"/>
          <w:szCs w:val="20"/>
        </w:rPr>
        <w:t>:</w:t>
      </w:r>
    </w:p>
    <w:p w:rsidR="00000000" w:rsidRDefault="004D26FD">
      <w:pPr>
        <w:ind w:firstLine="720"/>
        <w:divId w:val="1451626976"/>
        <w:rPr>
          <w:rFonts w:eastAsia="Times New Roman"/>
        </w:rPr>
      </w:pPr>
      <w:r>
        <w:rPr>
          <w:rFonts w:eastAsia="Times New Roman"/>
          <w:color w:val="000000"/>
          <w:sz w:val="16"/>
          <w:szCs w:val="16"/>
        </w:rPr>
        <w:t> </w:t>
      </w:r>
    </w:p>
    <w:tbl>
      <w:tblPr>
        <w:tblW w:w="4985" w:type="pct"/>
        <w:tblCellMar>
          <w:top w:w="15" w:type="dxa"/>
          <w:left w:w="15" w:type="dxa"/>
          <w:bottom w:w="15" w:type="dxa"/>
          <w:right w:w="15" w:type="dxa"/>
        </w:tblCellMar>
        <w:tblLook w:val="04A0" w:firstRow="1" w:lastRow="0" w:firstColumn="1" w:lastColumn="0" w:noHBand="0" w:noVBand="1"/>
      </w:tblPr>
      <w:tblGrid>
        <w:gridCol w:w="79"/>
        <w:gridCol w:w="348"/>
        <w:gridCol w:w="78"/>
        <w:gridCol w:w="78"/>
        <w:gridCol w:w="358"/>
        <w:gridCol w:w="78"/>
        <w:gridCol w:w="46"/>
        <w:gridCol w:w="92"/>
        <w:gridCol w:w="47"/>
        <w:gridCol w:w="47"/>
        <w:gridCol w:w="5536"/>
        <w:gridCol w:w="47"/>
        <w:gridCol w:w="522"/>
        <w:gridCol w:w="477"/>
        <w:gridCol w:w="448"/>
      </w:tblGrid>
      <w:tr w:rsidR="00000000">
        <w:trPr>
          <w:gridAfter w:val="3"/>
          <w:divId w:val="1214194155"/>
        </w:trPr>
        <w:tc>
          <w:tcPr>
            <w:tcW w:w="50" w:type="pct"/>
            <w:vAlign w:val="center"/>
            <w:hideMark/>
          </w:tcPr>
          <w:p w:rsidR="00000000" w:rsidRDefault="004D26FD">
            <w:pPr>
              <w:ind w:firstLine="720"/>
              <w:rPr>
                <w:rFonts w:eastAsia="Times New Roman"/>
              </w:rPr>
            </w:pPr>
          </w:p>
        </w:tc>
        <w:tc>
          <w:tcPr>
            <w:tcW w:w="222"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29"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83"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4064"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214194155"/>
        </w:trPr>
        <w:tc>
          <w:tcPr>
            <w:tcW w:w="0" w:type="auto"/>
            <w:gridSpan w:val="6"/>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20"/>
                <w:szCs w:val="20"/>
              </w:rPr>
              <w:t>Exhibit No</w:t>
            </w:r>
            <w:r>
              <w:rPr>
                <w:rFonts w:eastAsia="Times New Roman"/>
                <w:b/>
                <w:bCs/>
                <w:color w:val="000000"/>
                <w:sz w:val="20"/>
                <w:szCs w:val="20"/>
              </w:rPr>
              <w:t>.</w:t>
            </w:r>
          </w:p>
        </w:tc>
        <w:tc>
          <w:tcPr>
            <w:tcW w:w="0" w:type="auto"/>
            <w:gridSpan w:val="3"/>
            <w:vAlign w:val="center"/>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b/>
                <w:bCs/>
                <w:color w:val="000000"/>
                <w:sz w:val="20"/>
                <w:szCs w:val="20"/>
              </w:rPr>
              <w:t>Descriptio</w:t>
            </w:r>
            <w:r>
              <w:rPr>
                <w:rFonts w:eastAsia="Times New Roman"/>
                <w:b/>
                <w:bCs/>
                <w:color w:val="000000"/>
                <w:sz w:val="20"/>
                <w:szCs w:val="20"/>
              </w:rPr>
              <w:t>n</w:t>
            </w:r>
          </w:p>
        </w:tc>
      </w:tr>
      <w:tr w:rsidR="00000000">
        <w:trPr>
          <w:divId w:val="1214194155"/>
        </w:trPr>
        <w:tc>
          <w:tcPr>
            <w:tcW w:w="0" w:type="auto"/>
            <w:gridSpan w:val="3"/>
            <w:vAlign w:val="center"/>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r w:rsidR="00000000">
        <w:trPr>
          <w:divId w:val="1214194155"/>
        </w:trPr>
        <w:tc>
          <w:tcPr>
            <w:tcW w:w="0" w:type="auto"/>
            <w:gridSpan w:val="6"/>
            <w:tcBorders>
              <w:top w:val="single" w:sz="8" w:space="0" w:color="000000"/>
            </w:tcBorders>
            <w:tcMar>
              <w:top w:w="30" w:type="dxa"/>
              <w:left w:w="20" w:type="dxa"/>
              <w:bottom w:w="30" w:type="dxa"/>
              <w:right w:w="20" w:type="dxa"/>
            </w:tcMar>
            <w:hideMark/>
          </w:tcPr>
          <w:p w:rsidR="00000000" w:rsidRDefault="004D26FD">
            <w:pPr>
              <w:jc w:val="center"/>
              <w:rPr>
                <w:rFonts w:eastAsia="Times New Roman"/>
              </w:rPr>
            </w:pPr>
            <w:hyperlink r:id="rId5" w:history="1">
              <w:r>
                <w:rPr>
                  <w:rStyle w:val="a3"/>
                  <w:rFonts w:eastAsia="Times New Roman"/>
                  <w:sz w:val="20"/>
                  <w:szCs w:val="20"/>
                </w:rPr>
                <w:t>31.1</w:t>
              </w:r>
            </w:hyperlink>
          </w:p>
        </w:tc>
        <w:tc>
          <w:tcPr>
            <w:tcW w:w="0" w:type="auto"/>
            <w:gridSpan w:val="3"/>
            <w:vAlign w:val="center"/>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Certification of the Chief Executive Officer pursuant to Rule 13a-14(a) or Rule 15d — 14(a)</w:t>
            </w:r>
            <w:r>
              <w:rPr>
                <w:rFonts w:eastAsia="Times New Roman"/>
                <w:color w:val="000000"/>
                <w:sz w:val="20"/>
                <w:szCs w:val="20"/>
              </w:rPr>
              <w:t>.</w:t>
            </w:r>
          </w:p>
        </w:tc>
      </w:tr>
      <w:tr w:rsidR="00000000">
        <w:trPr>
          <w:divId w:val="1214194155"/>
          <w:trHeight w:val="280"/>
        </w:trPr>
        <w:tc>
          <w:tcPr>
            <w:tcW w:w="0" w:type="auto"/>
            <w:gridSpan w:val="6"/>
            <w:tcMar>
              <w:top w:w="15" w:type="dxa"/>
              <w:left w:w="20" w:type="dxa"/>
              <w:bottom w:w="15" w:type="dxa"/>
              <w:right w:w="20" w:type="dxa"/>
            </w:tcMar>
            <w:vAlign w:val="bottom"/>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214194155"/>
        </w:trPr>
        <w:tc>
          <w:tcPr>
            <w:tcW w:w="0" w:type="auto"/>
            <w:gridSpan w:val="6"/>
            <w:tcMar>
              <w:top w:w="30" w:type="dxa"/>
              <w:left w:w="20" w:type="dxa"/>
              <w:bottom w:w="30" w:type="dxa"/>
              <w:right w:w="20" w:type="dxa"/>
            </w:tcMar>
            <w:hideMark/>
          </w:tcPr>
          <w:p w:rsidR="00000000" w:rsidRDefault="004D26FD">
            <w:pPr>
              <w:jc w:val="center"/>
              <w:rPr>
                <w:rFonts w:eastAsia="Times New Roman"/>
              </w:rPr>
            </w:pPr>
            <w:hyperlink r:id="rId6" w:history="1">
              <w:r>
                <w:rPr>
                  <w:rStyle w:val="a3"/>
                  <w:rFonts w:eastAsia="Times New Roman"/>
                  <w:sz w:val="20"/>
                  <w:szCs w:val="20"/>
                </w:rPr>
                <w:t>31.2</w:t>
              </w:r>
            </w:hyperlink>
          </w:p>
        </w:tc>
        <w:tc>
          <w:tcPr>
            <w:tcW w:w="0" w:type="auto"/>
            <w:gridSpan w:val="3"/>
            <w:vAlign w:val="center"/>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Certification of the Chief Financial Officer pursuant to Rule 13a-14(a) or Rule 15d — 14(a)</w:t>
            </w:r>
            <w:r>
              <w:rPr>
                <w:rFonts w:eastAsia="Times New Roman"/>
                <w:color w:val="000000"/>
                <w:sz w:val="20"/>
                <w:szCs w:val="20"/>
              </w:rPr>
              <w:t>.</w:t>
            </w:r>
          </w:p>
        </w:tc>
      </w:tr>
      <w:tr w:rsidR="00000000">
        <w:trPr>
          <w:divId w:val="1214194155"/>
          <w:trHeight w:val="280"/>
        </w:trPr>
        <w:tc>
          <w:tcPr>
            <w:tcW w:w="0" w:type="auto"/>
            <w:gridSpan w:val="6"/>
            <w:tcMar>
              <w:top w:w="15" w:type="dxa"/>
              <w:left w:w="20" w:type="dxa"/>
              <w:bottom w:w="15" w:type="dxa"/>
              <w:right w:w="20" w:type="dxa"/>
            </w:tcMar>
            <w:vAlign w:val="bottom"/>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214194155"/>
        </w:trPr>
        <w:tc>
          <w:tcPr>
            <w:tcW w:w="0" w:type="auto"/>
            <w:gridSpan w:val="6"/>
            <w:tcMar>
              <w:top w:w="30" w:type="dxa"/>
              <w:left w:w="20" w:type="dxa"/>
              <w:bottom w:w="30" w:type="dxa"/>
              <w:right w:w="20" w:type="dxa"/>
            </w:tcMar>
            <w:hideMark/>
          </w:tcPr>
          <w:p w:rsidR="00000000" w:rsidRDefault="004D26FD">
            <w:pPr>
              <w:jc w:val="center"/>
              <w:rPr>
                <w:rFonts w:eastAsia="Times New Roman"/>
              </w:rPr>
            </w:pPr>
            <w:hyperlink r:id="rId7" w:history="1">
              <w:r>
                <w:rPr>
                  <w:rStyle w:val="a3"/>
                  <w:rFonts w:eastAsia="Times New Roman"/>
                  <w:sz w:val="20"/>
                  <w:szCs w:val="20"/>
                </w:rPr>
                <w:t>32.1</w:t>
              </w:r>
            </w:hyperlink>
          </w:p>
        </w:tc>
        <w:tc>
          <w:tcPr>
            <w:tcW w:w="0" w:type="auto"/>
            <w:gridSpan w:val="3"/>
            <w:vAlign w:val="center"/>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rPr>
                <w:rFonts w:eastAsia="Times New Roman"/>
              </w:rPr>
            </w:pPr>
            <w:r>
              <w:rPr>
                <w:rFonts w:eastAsia="Times New Roman"/>
                <w:color w:val="000000"/>
                <w:sz w:val="20"/>
                <w:szCs w:val="20"/>
              </w:rPr>
              <w:t>Certification of Chief Executive Officer and Chief Financial Officer under Section 906 of the Sarbanes-Oxley Act of 2002</w:t>
            </w:r>
            <w:r>
              <w:rPr>
                <w:rFonts w:eastAsia="Times New Roman"/>
                <w:color w:val="000000"/>
                <w:sz w:val="20"/>
                <w:szCs w:val="20"/>
              </w:rPr>
              <w:t>.</w:t>
            </w:r>
          </w:p>
        </w:tc>
      </w:tr>
      <w:tr w:rsidR="00000000">
        <w:trPr>
          <w:divId w:val="1214194155"/>
        </w:trPr>
        <w:tc>
          <w:tcPr>
            <w:tcW w:w="0" w:type="auto"/>
            <w:gridSpan w:val="6"/>
            <w:tcMar>
              <w:top w:w="15" w:type="dxa"/>
              <w:left w:w="20" w:type="dxa"/>
              <w:bottom w:w="15" w:type="dxa"/>
              <w:right w:w="20" w:type="dxa"/>
            </w:tcMar>
            <w:vAlign w:val="bottom"/>
            <w:hideMark/>
          </w:tcPr>
          <w:p w:rsidR="00000000" w:rsidRDefault="004D26FD">
            <w:pPr>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jc w:val="right"/>
              <w:rPr>
                <w:rFonts w:eastAsia="Times New Roman"/>
              </w:rPr>
            </w:pPr>
            <w:r>
              <w:rPr>
                <w:rFonts w:eastAsia="Times New Roman"/>
                <w:color w:val="000000"/>
                <w:sz w:val="20"/>
                <w:szCs w:val="20"/>
              </w:rPr>
              <w:t> </w:t>
            </w:r>
          </w:p>
        </w:tc>
      </w:tr>
      <w:tr w:rsidR="00000000">
        <w:trPr>
          <w:divId w:val="1214194155"/>
        </w:trPr>
        <w:tc>
          <w:tcPr>
            <w:tcW w:w="0" w:type="auto"/>
            <w:gridSpan w:val="6"/>
            <w:tcMar>
              <w:top w:w="30" w:type="dxa"/>
              <w:left w:w="20" w:type="dxa"/>
              <w:bottom w:w="30" w:type="dxa"/>
              <w:right w:w="20" w:type="dxa"/>
            </w:tcMar>
            <w:hideMark/>
          </w:tcPr>
          <w:p w:rsidR="00000000" w:rsidRDefault="004D26FD">
            <w:pPr>
              <w:jc w:val="center"/>
              <w:rPr>
                <w:rFonts w:eastAsia="Times New Roman"/>
              </w:rPr>
            </w:pPr>
            <w:r>
              <w:rPr>
                <w:rFonts w:eastAsia="Times New Roman"/>
                <w:color w:val="000000"/>
                <w:sz w:val="20"/>
                <w:szCs w:val="20"/>
              </w:rPr>
              <w:t>10</w:t>
            </w:r>
            <w:r>
              <w:rPr>
                <w:rFonts w:eastAsia="Times New Roman"/>
                <w:color w:val="000000"/>
                <w:sz w:val="20"/>
                <w:szCs w:val="20"/>
              </w:rPr>
              <w:t>1</w:t>
            </w:r>
          </w:p>
        </w:tc>
        <w:tc>
          <w:tcPr>
            <w:tcW w:w="0" w:type="auto"/>
            <w:gridSpan w:val="3"/>
            <w:vAlign w:val="center"/>
            <w:hideMark/>
          </w:tcPr>
          <w:p w:rsidR="00000000" w:rsidRDefault="004D26F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D26FD">
            <w:pPr>
              <w:jc w:val="both"/>
              <w:rPr>
                <w:rFonts w:eastAsia="Times New Roman"/>
              </w:rPr>
            </w:pPr>
            <w:r>
              <w:rPr>
                <w:rFonts w:eastAsia="Times New Roman"/>
                <w:color w:val="000000"/>
                <w:sz w:val="20"/>
                <w:szCs w:val="20"/>
              </w:rPr>
              <w:t>The following materials from World Fuel Services Corporation’s Quarterly Report on Form 10-Q for the quarter ended June 30, 2020, formatted in XBRL (Extensible Business Reporting Language); (i) Consolidated Balance Sheets, (ii) Consolidated Statements of I</w:t>
            </w:r>
            <w:r>
              <w:rPr>
                <w:rFonts w:eastAsia="Times New Roman"/>
                <w:color w:val="000000"/>
                <w:sz w:val="20"/>
                <w:szCs w:val="20"/>
              </w:rPr>
              <w:t>ncome and Comprehensive Income, (iii) Consolidated Statements of Shareholders’ Equity, (iv) Consolidated Statements of Cash Flows, and (v) Notes to the Consolidated Financial Statements</w:t>
            </w:r>
            <w:r>
              <w:rPr>
                <w:rFonts w:eastAsia="Times New Roman"/>
                <w:color w:val="000000"/>
                <w:sz w:val="20"/>
                <w:szCs w:val="20"/>
              </w:rPr>
              <w:t>.</w:t>
            </w:r>
          </w:p>
        </w:tc>
      </w:tr>
      <w:tr w:rsidR="00000000">
        <w:trPr>
          <w:divId w:val="1214194155"/>
        </w:trPr>
        <w:tc>
          <w:tcPr>
            <w:tcW w:w="0" w:type="auto"/>
            <w:gridSpan w:val="3"/>
            <w:vAlign w:val="center"/>
            <w:hideMark/>
          </w:tcPr>
          <w:p w:rsidR="00000000" w:rsidRDefault="004D26FD">
            <w:pPr>
              <w:jc w:val="both"/>
              <w:rPr>
                <w:rFonts w:eastAsia="Times New Roman"/>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gridSpan w:val="3"/>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c>
          <w:tcPr>
            <w:tcW w:w="0" w:type="auto"/>
            <w:vAlign w:val="center"/>
            <w:hideMark/>
          </w:tcPr>
          <w:p w:rsidR="00000000" w:rsidRDefault="004D26FD">
            <w:pPr>
              <w:rPr>
                <w:rFonts w:eastAsia="Times New Roman"/>
                <w:sz w:val="20"/>
                <w:szCs w:val="20"/>
              </w:rPr>
            </w:pPr>
          </w:p>
        </w:tc>
      </w:tr>
    </w:tbl>
    <w:p w:rsidR="00000000" w:rsidRDefault="004D26FD">
      <w:pPr>
        <w:jc w:val="center"/>
        <w:divId w:val="951791083"/>
        <w:rPr>
          <w:rFonts w:eastAsia="Times New Roman"/>
        </w:rPr>
      </w:pPr>
      <w:r>
        <w:rPr>
          <w:rFonts w:eastAsia="Times New Roman"/>
          <w:color w:val="000000"/>
          <w:sz w:val="20"/>
          <w:szCs w:val="20"/>
        </w:rPr>
        <w:t>4</w:t>
      </w:r>
      <w:r>
        <w:rPr>
          <w:rFonts w:eastAsia="Times New Roman"/>
          <w:color w:val="000000"/>
          <w:sz w:val="20"/>
          <w:szCs w:val="20"/>
        </w:rPr>
        <w:t>3</w:t>
      </w:r>
    </w:p>
    <w:p w:rsidR="00000000" w:rsidRDefault="004D26FD">
      <w:pPr>
        <w:rPr>
          <w:rFonts w:eastAsia="Times New Roman"/>
        </w:rPr>
      </w:pPr>
      <w:r>
        <w:rPr>
          <w:rFonts w:eastAsia="Times New Roman"/>
        </w:rPr>
        <w:pict>
          <v:rect id="_x0000_i1071" style="width:0;height:1.5pt" o:hralign="center" o:hrstd="t" o:hr="t" fillcolor="#a0a0a0" stroked="f"/>
        </w:pict>
      </w:r>
    </w:p>
    <w:p w:rsidR="00000000" w:rsidRDefault="004D26FD">
      <w:pPr>
        <w:divId w:val="719087159"/>
        <w:rPr>
          <w:rFonts w:eastAsia="Times New Roman"/>
        </w:rPr>
      </w:pPr>
    </w:p>
    <w:p w:rsidR="00000000" w:rsidRDefault="004D26FD">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4D26FD">
      <w:pPr>
        <w:ind w:firstLine="720"/>
        <w:jc w:val="center"/>
        <w:rPr>
          <w:rFonts w:eastAsia="Times New Roman"/>
        </w:rPr>
      </w:pPr>
      <w:r>
        <w:rPr>
          <w:rFonts w:eastAsia="Times New Roman"/>
          <w:color w:val="000000"/>
          <w:sz w:val="20"/>
          <w:szCs w:val="20"/>
        </w:rPr>
        <w:t> </w:t>
      </w:r>
    </w:p>
    <w:p w:rsidR="00000000" w:rsidRDefault="004D26FD">
      <w:pPr>
        <w:ind w:firstLine="360"/>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p w:rsidR="00000000" w:rsidRDefault="004D26FD">
      <w:pPr>
        <w:ind w:firstLine="720"/>
        <w:divId w:val="1168062860"/>
        <w:rPr>
          <w:rFonts w:eastAsia="Times New Roman"/>
        </w:rPr>
      </w:pPr>
      <w:r>
        <w:rPr>
          <w:rFonts w:eastAsia="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82"/>
        <w:gridCol w:w="3975"/>
        <w:gridCol w:w="83"/>
        <w:gridCol w:w="83"/>
        <w:gridCol w:w="3975"/>
        <w:gridCol w:w="83"/>
      </w:tblGrid>
      <w:tr w:rsidR="00000000">
        <w:trPr>
          <w:divId w:val="1927882044"/>
        </w:trPr>
        <w:tc>
          <w:tcPr>
            <w:tcW w:w="50" w:type="pct"/>
            <w:vAlign w:val="center"/>
            <w:hideMark/>
          </w:tcPr>
          <w:p w:rsidR="00000000" w:rsidRDefault="004D26FD">
            <w:pPr>
              <w:ind w:firstLine="720"/>
              <w:rPr>
                <w:rFonts w:eastAsia="Times New Roman"/>
              </w:rPr>
            </w:pPr>
          </w:p>
        </w:tc>
        <w:tc>
          <w:tcPr>
            <w:tcW w:w="24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c>
          <w:tcPr>
            <w:tcW w:w="2400" w:type="pct"/>
            <w:vAlign w:val="center"/>
            <w:hideMark/>
          </w:tcPr>
          <w:p w:rsidR="00000000" w:rsidRDefault="004D26FD">
            <w:pPr>
              <w:rPr>
                <w:rFonts w:eastAsia="Times New Roman"/>
                <w:sz w:val="20"/>
                <w:szCs w:val="20"/>
              </w:rPr>
            </w:pPr>
          </w:p>
        </w:tc>
        <w:tc>
          <w:tcPr>
            <w:tcW w:w="50" w:type="pct"/>
            <w:vAlign w:val="center"/>
            <w:hideMark/>
          </w:tcPr>
          <w:p w:rsidR="00000000" w:rsidRDefault="004D26FD">
            <w:pPr>
              <w:rPr>
                <w:rFonts w:eastAsia="Times New Roman"/>
                <w:sz w:val="20"/>
                <w:szCs w:val="20"/>
              </w:rPr>
            </w:pPr>
          </w:p>
        </w:tc>
      </w:tr>
      <w:tr w:rsidR="00000000">
        <w:trPr>
          <w:divId w:val="1927882044"/>
          <w:trHeight w:val="300"/>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927882044"/>
        </w:trPr>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Date: August 3, 202</w:t>
            </w:r>
            <w:r>
              <w:rPr>
                <w:rFonts w:eastAsia="Times New Roman"/>
                <w:color w:val="000000"/>
                <w:sz w:val="20"/>
                <w:szCs w:val="20"/>
              </w:rPr>
              <w:t>0</w:t>
            </w: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World Fuel Services Corporatio</w:t>
            </w:r>
            <w:r>
              <w:rPr>
                <w:rFonts w:eastAsia="Times New Roman"/>
                <w:color w:val="000000"/>
                <w:sz w:val="20"/>
                <w:szCs w:val="20"/>
              </w:rPr>
              <w:t>n</w:t>
            </w:r>
          </w:p>
        </w:tc>
      </w:tr>
      <w:tr w:rsidR="00000000">
        <w:trPr>
          <w:divId w:val="1927882044"/>
          <w:trHeight w:val="280"/>
        </w:trPr>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927882044"/>
          <w:trHeight w:val="280"/>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92788204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/s/ Michael J. Kasba</w:t>
            </w:r>
            <w:r>
              <w:rPr>
                <w:rFonts w:eastAsia="Times New Roman"/>
                <w:color w:val="000000"/>
                <w:sz w:val="20"/>
                <w:szCs w:val="20"/>
              </w:rPr>
              <w:t>r</w:t>
            </w:r>
          </w:p>
        </w:tc>
      </w:tr>
      <w:tr w:rsidR="00000000">
        <w:trPr>
          <w:divId w:val="1927882044"/>
        </w:trPr>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Michael J. Kasba</w:t>
            </w:r>
            <w:r>
              <w:rPr>
                <w:rFonts w:eastAsia="Times New Roman"/>
                <w:color w:val="000000"/>
                <w:sz w:val="20"/>
                <w:szCs w:val="20"/>
              </w:rPr>
              <w:t>r</w:t>
            </w:r>
          </w:p>
        </w:tc>
      </w:tr>
      <w:tr w:rsidR="00000000">
        <w:trPr>
          <w:divId w:val="1927882044"/>
        </w:trPr>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Chairman, President and Chief Executive Office</w:t>
            </w:r>
            <w:r>
              <w:rPr>
                <w:rFonts w:eastAsia="Times New Roman"/>
                <w:color w:val="000000"/>
                <w:sz w:val="20"/>
                <w:szCs w:val="20"/>
              </w:rPr>
              <w:t>r</w:t>
            </w:r>
          </w:p>
        </w:tc>
      </w:tr>
      <w:tr w:rsidR="00000000">
        <w:trPr>
          <w:divId w:val="1927882044"/>
          <w:trHeight w:val="280"/>
        </w:trPr>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927882044"/>
          <w:trHeight w:val="280"/>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r>
      <w:tr w:rsidR="00000000">
        <w:trPr>
          <w:divId w:val="1927882044"/>
        </w:trPr>
        <w:tc>
          <w:tcPr>
            <w:tcW w:w="0" w:type="auto"/>
            <w:gridSpan w:val="3"/>
            <w:tcMar>
              <w:top w:w="15" w:type="dxa"/>
              <w:left w:w="20" w:type="dxa"/>
              <w:bottom w:w="15" w:type="dxa"/>
              <w:right w:w="20" w:type="dxa"/>
            </w:tcMar>
            <w:vAlign w:val="bottom"/>
            <w:hideMark/>
          </w:tcPr>
          <w:p w:rsidR="00000000" w:rsidRDefault="004D26FD">
            <w:pPr>
              <w:rPr>
                <w:rFonts w:eastAsia="Times New Roman"/>
                <w:sz w:val="20"/>
                <w:szCs w:val="20"/>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/s/ Ira M. Birn</w:t>
            </w:r>
            <w:r>
              <w:rPr>
                <w:rFonts w:eastAsia="Times New Roman"/>
                <w:color w:val="000000"/>
                <w:sz w:val="20"/>
                <w:szCs w:val="20"/>
              </w:rPr>
              <w:t>s</w:t>
            </w:r>
          </w:p>
        </w:tc>
      </w:tr>
      <w:tr w:rsidR="00000000">
        <w:trPr>
          <w:divId w:val="1927882044"/>
        </w:trPr>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Ira M. Birn</w:t>
            </w:r>
            <w:r>
              <w:rPr>
                <w:rFonts w:eastAsia="Times New Roman"/>
                <w:color w:val="000000"/>
                <w:sz w:val="20"/>
                <w:szCs w:val="20"/>
              </w:rPr>
              <w:t>s</w:t>
            </w:r>
          </w:p>
        </w:tc>
      </w:tr>
      <w:tr w:rsidR="00000000">
        <w:trPr>
          <w:divId w:val="1927882044"/>
        </w:trPr>
        <w:tc>
          <w:tcPr>
            <w:tcW w:w="0" w:type="auto"/>
            <w:gridSpan w:val="3"/>
            <w:tcMar>
              <w:top w:w="15" w:type="dxa"/>
              <w:left w:w="20" w:type="dxa"/>
              <w:bottom w:w="15" w:type="dxa"/>
              <w:right w:w="20" w:type="dxa"/>
            </w:tcMar>
            <w:vAlign w:val="bottom"/>
            <w:hideMark/>
          </w:tcPr>
          <w:p w:rsidR="00000000" w:rsidRDefault="004D26FD">
            <w:pPr>
              <w:rPr>
                <w:rFonts w:eastAsia="Times New Roman"/>
              </w:rPr>
            </w:pPr>
          </w:p>
        </w:tc>
        <w:tc>
          <w:tcPr>
            <w:tcW w:w="0" w:type="auto"/>
            <w:gridSpan w:val="3"/>
            <w:tcMar>
              <w:top w:w="30" w:type="dxa"/>
              <w:left w:w="20" w:type="dxa"/>
              <w:bottom w:w="30" w:type="dxa"/>
              <w:right w:w="20" w:type="dxa"/>
            </w:tcMar>
            <w:hideMark/>
          </w:tcPr>
          <w:p w:rsidR="00000000" w:rsidRDefault="004D26FD">
            <w:pPr>
              <w:rPr>
                <w:rFonts w:eastAsia="Times New Roman"/>
              </w:rPr>
            </w:pPr>
            <w:r>
              <w:rPr>
                <w:rFonts w:eastAsia="Times New Roman"/>
                <w:color w:val="000000"/>
                <w:sz w:val="20"/>
                <w:szCs w:val="20"/>
              </w:rPr>
              <w:t>Executive Vice President and Chief Financial Office</w:t>
            </w:r>
            <w:r>
              <w:rPr>
                <w:rFonts w:eastAsia="Times New Roman"/>
                <w:color w:val="000000"/>
                <w:sz w:val="20"/>
                <w:szCs w:val="20"/>
              </w:rPr>
              <w:t>r</w:t>
            </w:r>
          </w:p>
        </w:tc>
      </w:tr>
    </w:tbl>
    <w:p w:rsidR="004D26FD" w:rsidRDefault="004D26FD">
      <w:pPr>
        <w:jc w:val="center"/>
        <w:divId w:val="1860579886"/>
        <w:rPr>
          <w:rFonts w:eastAsia="Times New Roman"/>
        </w:rPr>
      </w:pPr>
      <w:r>
        <w:rPr>
          <w:rFonts w:eastAsia="Times New Roman"/>
          <w:color w:val="000000"/>
          <w:sz w:val="20"/>
          <w:szCs w:val="20"/>
        </w:rPr>
        <w:t>4</w:t>
      </w:r>
      <w:r>
        <w:rPr>
          <w:rFonts w:eastAsia="Times New Roman"/>
          <w:color w:val="000000"/>
          <w:sz w:val="20"/>
          <w:szCs w:val="20"/>
        </w:rPr>
        <w:t>4</w:t>
      </w:r>
    </w:p>
    <w:sectPr w:rsidR="004D26F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26FD"/>
    <w:rsid w:val="004D26FD"/>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wfscorp.com/20200630"/>
  <w:attachedSchema w:val="http://www.xbrl.org/2003/linkbase"/>
  <w:attachedSchema w:val="http://www.w3.org/1999/xlink"/>
  <w:attachedSchema w:val="http://fasb.org/srt/2020-01-31"/>
  <w:attachedSchema w:val="http://xbrl.sec.gov/currency/2020-01-31"/>
  <w:attachedSchema w:val="http://www.xbrl.org/2003/iso4217"/>
  <w:attachedSchema w:val="http://xbrl.sec.gov/dei/2019-01-31"/>
  <w:attachedSchema w:val="http://www.xbrl.org/inlineXBRL/transformation/2015-02-26"/>
  <w:attachedSchema w:val="http://www.xbrl.org/2009/utr"/>
  <w:attachedSchema w:val="http://www.xbrl.org/2003/instance"/>
  <w:attachedSchema w:val="http://www.sec.gov/inlineXBRL/transformation/2015-08-31"/>
  <w:attachedSchema w:val="http://fasb.org/us-gaap/2020-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508">
      <w:marLeft w:val="0"/>
      <w:marRight w:val="0"/>
      <w:marTop w:val="0"/>
      <w:marBottom w:val="0"/>
      <w:divBdr>
        <w:top w:val="none" w:sz="0" w:space="0" w:color="auto"/>
        <w:left w:val="none" w:sz="0" w:space="0" w:color="auto"/>
        <w:bottom w:val="none" w:sz="0" w:space="0" w:color="auto"/>
        <w:right w:val="none" w:sz="0" w:space="0" w:color="auto"/>
      </w:divBdr>
    </w:div>
    <w:div w:id="26607836">
      <w:marLeft w:val="0"/>
      <w:marRight w:val="0"/>
      <w:marTop w:val="0"/>
      <w:marBottom w:val="120"/>
      <w:divBdr>
        <w:top w:val="none" w:sz="0" w:space="0" w:color="auto"/>
        <w:left w:val="none" w:sz="0" w:space="0" w:color="auto"/>
        <w:bottom w:val="none" w:sz="0" w:space="0" w:color="auto"/>
        <w:right w:val="none" w:sz="0" w:space="0" w:color="auto"/>
      </w:divBdr>
    </w:div>
    <w:div w:id="34623350">
      <w:marLeft w:val="0"/>
      <w:marRight w:val="0"/>
      <w:marTop w:val="0"/>
      <w:marBottom w:val="0"/>
      <w:divBdr>
        <w:top w:val="none" w:sz="0" w:space="0" w:color="auto"/>
        <w:left w:val="none" w:sz="0" w:space="0" w:color="auto"/>
        <w:bottom w:val="none" w:sz="0" w:space="0" w:color="auto"/>
        <w:right w:val="none" w:sz="0" w:space="0" w:color="auto"/>
      </w:divBdr>
      <w:divsChild>
        <w:div w:id="1988707703">
          <w:marLeft w:val="0"/>
          <w:marRight w:val="0"/>
          <w:marTop w:val="0"/>
          <w:marBottom w:val="0"/>
          <w:divBdr>
            <w:top w:val="none" w:sz="0" w:space="0" w:color="auto"/>
            <w:left w:val="none" w:sz="0" w:space="0" w:color="auto"/>
            <w:bottom w:val="none" w:sz="0" w:space="0" w:color="auto"/>
            <w:right w:val="none" w:sz="0" w:space="0" w:color="auto"/>
          </w:divBdr>
        </w:div>
      </w:divsChild>
    </w:div>
    <w:div w:id="36319708">
      <w:marLeft w:val="0"/>
      <w:marRight w:val="0"/>
      <w:marTop w:val="0"/>
      <w:marBottom w:val="60"/>
      <w:divBdr>
        <w:top w:val="none" w:sz="0" w:space="0" w:color="auto"/>
        <w:left w:val="none" w:sz="0" w:space="0" w:color="auto"/>
        <w:bottom w:val="none" w:sz="0" w:space="0" w:color="auto"/>
        <w:right w:val="none" w:sz="0" w:space="0" w:color="auto"/>
      </w:divBdr>
    </w:div>
    <w:div w:id="36441048">
      <w:marLeft w:val="0"/>
      <w:marRight w:val="0"/>
      <w:marTop w:val="0"/>
      <w:marBottom w:val="0"/>
      <w:divBdr>
        <w:top w:val="none" w:sz="0" w:space="0" w:color="auto"/>
        <w:left w:val="none" w:sz="0" w:space="0" w:color="auto"/>
        <w:bottom w:val="none" w:sz="0" w:space="0" w:color="auto"/>
        <w:right w:val="none" w:sz="0" w:space="0" w:color="auto"/>
      </w:divBdr>
    </w:div>
    <w:div w:id="46731228">
      <w:marLeft w:val="0"/>
      <w:marRight w:val="0"/>
      <w:marTop w:val="0"/>
      <w:marBottom w:val="0"/>
      <w:divBdr>
        <w:top w:val="none" w:sz="0" w:space="0" w:color="auto"/>
        <w:left w:val="none" w:sz="0" w:space="0" w:color="auto"/>
        <w:bottom w:val="none" w:sz="0" w:space="0" w:color="auto"/>
        <w:right w:val="none" w:sz="0" w:space="0" w:color="auto"/>
      </w:divBdr>
    </w:div>
    <w:div w:id="51344482">
      <w:marLeft w:val="0"/>
      <w:marRight w:val="0"/>
      <w:marTop w:val="0"/>
      <w:marBottom w:val="60"/>
      <w:divBdr>
        <w:top w:val="none" w:sz="0" w:space="0" w:color="auto"/>
        <w:left w:val="none" w:sz="0" w:space="0" w:color="auto"/>
        <w:bottom w:val="none" w:sz="0" w:space="0" w:color="auto"/>
        <w:right w:val="none" w:sz="0" w:space="0" w:color="auto"/>
      </w:divBdr>
    </w:div>
    <w:div w:id="58940383">
      <w:marLeft w:val="0"/>
      <w:marRight w:val="0"/>
      <w:marTop w:val="0"/>
      <w:marBottom w:val="120"/>
      <w:divBdr>
        <w:top w:val="none" w:sz="0" w:space="0" w:color="auto"/>
        <w:left w:val="none" w:sz="0" w:space="0" w:color="auto"/>
        <w:bottom w:val="none" w:sz="0" w:space="0" w:color="auto"/>
        <w:right w:val="none" w:sz="0" w:space="0" w:color="auto"/>
      </w:divBdr>
    </w:div>
    <w:div w:id="59207335">
      <w:marLeft w:val="0"/>
      <w:marRight w:val="0"/>
      <w:marTop w:val="0"/>
      <w:marBottom w:val="60"/>
      <w:divBdr>
        <w:top w:val="none" w:sz="0" w:space="0" w:color="auto"/>
        <w:left w:val="none" w:sz="0" w:space="0" w:color="auto"/>
        <w:bottom w:val="none" w:sz="0" w:space="0" w:color="auto"/>
        <w:right w:val="none" w:sz="0" w:space="0" w:color="auto"/>
      </w:divBdr>
    </w:div>
    <w:div w:id="61491695">
      <w:marLeft w:val="0"/>
      <w:marRight w:val="0"/>
      <w:marTop w:val="240"/>
      <w:marBottom w:val="0"/>
      <w:divBdr>
        <w:top w:val="none" w:sz="0" w:space="0" w:color="auto"/>
        <w:left w:val="none" w:sz="0" w:space="0" w:color="auto"/>
        <w:bottom w:val="none" w:sz="0" w:space="0" w:color="auto"/>
        <w:right w:val="none" w:sz="0" w:space="0" w:color="auto"/>
      </w:divBdr>
    </w:div>
    <w:div w:id="65685056">
      <w:marLeft w:val="0"/>
      <w:marRight w:val="0"/>
      <w:marTop w:val="0"/>
      <w:marBottom w:val="0"/>
      <w:divBdr>
        <w:top w:val="none" w:sz="0" w:space="0" w:color="auto"/>
        <w:left w:val="none" w:sz="0" w:space="0" w:color="auto"/>
        <w:bottom w:val="none" w:sz="0" w:space="0" w:color="auto"/>
        <w:right w:val="none" w:sz="0" w:space="0" w:color="auto"/>
      </w:divBdr>
    </w:div>
    <w:div w:id="71241462">
      <w:marLeft w:val="0"/>
      <w:marRight w:val="0"/>
      <w:marTop w:val="0"/>
      <w:marBottom w:val="120"/>
      <w:divBdr>
        <w:top w:val="none" w:sz="0" w:space="0" w:color="auto"/>
        <w:left w:val="none" w:sz="0" w:space="0" w:color="auto"/>
        <w:bottom w:val="none" w:sz="0" w:space="0" w:color="auto"/>
        <w:right w:val="none" w:sz="0" w:space="0" w:color="auto"/>
      </w:divBdr>
    </w:div>
    <w:div w:id="83500993">
      <w:marLeft w:val="0"/>
      <w:marRight w:val="0"/>
      <w:marTop w:val="0"/>
      <w:marBottom w:val="0"/>
      <w:divBdr>
        <w:top w:val="none" w:sz="0" w:space="0" w:color="auto"/>
        <w:left w:val="none" w:sz="0" w:space="0" w:color="auto"/>
        <w:bottom w:val="none" w:sz="0" w:space="0" w:color="auto"/>
        <w:right w:val="none" w:sz="0" w:space="0" w:color="auto"/>
      </w:divBdr>
      <w:divsChild>
        <w:div w:id="578518048">
          <w:marLeft w:val="0"/>
          <w:marRight w:val="0"/>
          <w:marTop w:val="0"/>
          <w:marBottom w:val="0"/>
          <w:divBdr>
            <w:top w:val="none" w:sz="0" w:space="0" w:color="auto"/>
            <w:left w:val="none" w:sz="0" w:space="0" w:color="auto"/>
            <w:bottom w:val="none" w:sz="0" w:space="0" w:color="auto"/>
            <w:right w:val="none" w:sz="0" w:space="0" w:color="auto"/>
          </w:divBdr>
        </w:div>
      </w:divsChild>
    </w:div>
    <w:div w:id="87820320">
      <w:marLeft w:val="0"/>
      <w:marRight w:val="0"/>
      <w:marTop w:val="0"/>
      <w:marBottom w:val="120"/>
      <w:divBdr>
        <w:top w:val="none" w:sz="0" w:space="0" w:color="auto"/>
        <w:left w:val="none" w:sz="0" w:space="0" w:color="auto"/>
        <w:bottom w:val="none" w:sz="0" w:space="0" w:color="auto"/>
        <w:right w:val="none" w:sz="0" w:space="0" w:color="auto"/>
      </w:divBdr>
      <w:divsChild>
        <w:div w:id="1459757924">
          <w:marLeft w:val="0"/>
          <w:marRight w:val="0"/>
          <w:marTop w:val="0"/>
          <w:marBottom w:val="0"/>
          <w:divBdr>
            <w:top w:val="none" w:sz="0" w:space="0" w:color="auto"/>
            <w:left w:val="none" w:sz="0" w:space="0" w:color="auto"/>
            <w:bottom w:val="none" w:sz="0" w:space="0" w:color="auto"/>
            <w:right w:val="none" w:sz="0" w:space="0" w:color="auto"/>
          </w:divBdr>
        </w:div>
      </w:divsChild>
    </w:div>
    <w:div w:id="94788142">
      <w:marLeft w:val="0"/>
      <w:marRight w:val="0"/>
      <w:marTop w:val="0"/>
      <w:marBottom w:val="200"/>
      <w:divBdr>
        <w:top w:val="none" w:sz="0" w:space="0" w:color="auto"/>
        <w:left w:val="none" w:sz="0" w:space="0" w:color="auto"/>
        <w:bottom w:val="none" w:sz="0" w:space="0" w:color="auto"/>
        <w:right w:val="none" w:sz="0" w:space="0" w:color="auto"/>
      </w:divBdr>
    </w:div>
    <w:div w:id="95712373">
      <w:marLeft w:val="0"/>
      <w:marRight w:val="0"/>
      <w:marTop w:val="0"/>
      <w:marBottom w:val="0"/>
      <w:divBdr>
        <w:top w:val="none" w:sz="0" w:space="0" w:color="auto"/>
        <w:left w:val="none" w:sz="0" w:space="0" w:color="auto"/>
        <w:bottom w:val="none" w:sz="0" w:space="0" w:color="auto"/>
        <w:right w:val="none" w:sz="0" w:space="0" w:color="auto"/>
      </w:divBdr>
    </w:div>
    <w:div w:id="98720263">
      <w:marLeft w:val="0"/>
      <w:marRight w:val="0"/>
      <w:marTop w:val="0"/>
      <w:marBottom w:val="0"/>
      <w:divBdr>
        <w:top w:val="none" w:sz="0" w:space="0" w:color="auto"/>
        <w:left w:val="none" w:sz="0" w:space="0" w:color="auto"/>
        <w:bottom w:val="none" w:sz="0" w:space="0" w:color="auto"/>
        <w:right w:val="none" w:sz="0" w:space="0" w:color="auto"/>
      </w:divBdr>
      <w:divsChild>
        <w:div w:id="1352335450">
          <w:marLeft w:val="0"/>
          <w:marRight w:val="0"/>
          <w:marTop w:val="0"/>
          <w:marBottom w:val="0"/>
          <w:divBdr>
            <w:top w:val="none" w:sz="0" w:space="0" w:color="auto"/>
            <w:left w:val="none" w:sz="0" w:space="0" w:color="auto"/>
            <w:bottom w:val="none" w:sz="0" w:space="0" w:color="auto"/>
            <w:right w:val="none" w:sz="0" w:space="0" w:color="auto"/>
          </w:divBdr>
        </w:div>
      </w:divsChild>
    </w:div>
    <w:div w:id="102000136">
      <w:marLeft w:val="0"/>
      <w:marRight w:val="0"/>
      <w:marTop w:val="0"/>
      <w:marBottom w:val="0"/>
      <w:divBdr>
        <w:top w:val="none" w:sz="0" w:space="0" w:color="auto"/>
        <w:left w:val="none" w:sz="0" w:space="0" w:color="auto"/>
        <w:bottom w:val="none" w:sz="0" w:space="0" w:color="auto"/>
        <w:right w:val="none" w:sz="0" w:space="0" w:color="auto"/>
      </w:divBdr>
      <w:divsChild>
        <w:div w:id="1911966825">
          <w:marLeft w:val="0"/>
          <w:marRight w:val="0"/>
          <w:marTop w:val="0"/>
          <w:marBottom w:val="0"/>
          <w:divBdr>
            <w:top w:val="none" w:sz="0" w:space="0" w:color="auto"/>
            <w:left w:val="none" w:sz="0" w:space="0" w:color="auto"/>
            <w:bottom w:val="none" w:sz="0" w:space="0" w:color="auto"/>
            <w:right w:val="none" w:sz="0" w:space="0" w:color="auto"/>
          </w:divBdr>
        </w:div>
      </w:divsChild>
    </w:div>
    <w:div w:id="103620696">
      <w:marLeft w:val="0"/>
      <w:marRight w:val="0"/>
      <w:marTop w:val="0"/>
      <w:marBottom w:val="60"/>
      <w:divBdr>
        <w:top w:val="none" w:sz="0" w:space="0" w:color="auto"/>
        <w:left w:val="none" w:sz="0" w:space="0" w:color="auto"/>
        <w:bottom w:val="none" w:sz="0" w:space="0" w:color="auto"/>
        <w:right w:val="none" w:sz="0" w:space="0" w:color="auto"/>
      </w:divBdr>
    </w:div>
    <w:div w:id="105542528">
      <w:marLeft w:val="0"/>
      <w:marRight w:val="0"/>
      <w:marTop w:val="0"/>
      <w:marBottom w:val="0"/>
      <w:divBdr>
        <w:top w:val="none" w:sz="0" w:space="0" w:color="auto"/>
        <w:left w:val="none" w:sz="0" w:space="0" w:color="auto"/>
        <w:bottom w:val="none" w:sz="0" w:space="0" w:color="auto"/>
        <w:right w:val="none" w:sz="0" w:space="0" w:color="auto"/>
      </w:divBdr>
    </w:div>
    <w:div w:id="111436298">
      <w:marLeft w:val="0"/>
      <w:marRight w:val="0"/>
      <w:marTop w:val="0"/>
      <w:marBottom w:val="240"/>
      <w:divBdr>
        <w:top w:val="none" w:sz="0" w:space="0" w:color="auto"/>
        <w:left w:val="none" w:sz="0" w:space="0" w:color="auto"/>
        <w:bottom w:val="none" w:sz="0" w:space="0" w:color="auto"/>
        <w:right w:val="none" w:sz="0" w:space="0" w:color="auto"/>
      </w:divBdr>
    </w:div>
    <w:div w:id="116802048">
      <w:marLeft w:val="0"/>
      <w:marRight w:val="0"/>
      <w:marTop w:val="0"/>
      <w:marBottom w:val="0"/>
      <w:divBdr>
        <w:top w:val="none" w:sz="0" w:space="0" w:color="auto"/>
        <w:left w:val="none" w:sz="0" w:space="0" w:color="auto"/>
        <w:bottom w:val="none" w:sz="0" w:space="0" w:color="auto"/>
        <w:right w:val="none" w:sz="0" w:space="0" w:color="auto"/>
      </w:divBdr>
    </w:div>
    <w:div w:id="119763972">
      <w:marLeft w:val="0"/>
      <w:marRight w:val="0"/>
      <w:marTop w:val="0"/>
      <w:marBottom w:val="240"/>
      <w:divBdr>
        <w:top w:val="none" w:sz="0" w:space="0" w:color="auto"/>
        <w:left w:val="none" w:sz="0" w:space="0" w:color="auto"/>
        <w:bottom w:val="none" w:sz="0" w:space="0" w:color="auto"/>
        <w:right w:val="none" w:sz="0" w:space="0" w:color="auto"/>
      </w:divBdr>
    </w:div>
    <w:div w:id="123625525">
      <w:marLeft w:val="0"/>
      <w:marRight w:val="0"/>
      <w:marTop w:val="0"/>
      <w:marBottom w:val="0"/>
      <w:divBdr>
        <w:top w:val="none" w:sz="0" w:space="0" w:color="auto"/>
        <w:left w:val="none" w:sz="0" w:space="0" w:color="auto"/>
        <w:bottom w:val="none" w:sz="0" w:space="0" w:color="auto"/>
        <w:right w:val="none" w:sz="0" w:space="0" w:color="auto"/>
      </w:divBdr>
      <w:divsChild>
        <w:div w:id="36046995">
          <w:marLeft w:val="0"/>
          <w:marRight w:val="0"/>
          <w:marTop w:val="0"/>
          <w:marBottom w:val="0"/>
          <w:divBdr>
            <w:top w:val="none" w:sz="0" w:space="0" w:color="auto"/>
            <w:left w:val="none" w:sz="0" w:space="0" w:color="auto"/>
            <w:bottom w:val="none" w:sz="0" w:space="0" w:color="auto"/>
            <w:right w:val="none" w:sz="0" w:space="0" w:color="auto"/>
          </w:divBdr>
        </w:div>
      </w:divsChild>
    </w:div>
    <w:div w:id="129330062">
      <w:marLeft w:val="0"/>
      <w:marRight w:val="0"/>
      <w:marTop w:val="0"/>
      <w:marBottom w:val="120"/>
      <w:divBdr>
        <w:top w:val="none" w:sz="0" w:space="0" w:color="auto"/>
        <w:left w:val="none" w:sz="0" w:space="0" w:color="auto"/>
        <w:bottom w:val="none" w:sz="0" w:space="0" w:color="auto"/>
        <w:right w:val="none" w:sz="0" w:space="0" w:color="auto"/>
      </w:divBdr>
    </w:div>
    <w:div w:id="131601456">
      <w:marLeft w:val="0"/>
      <w:marRight w:val="0"/>
      <w:marTop w:val="0"/>
      <w:marBottom w:val="0"/>
      <w:divBdr>
        <w:top w:val="none" w:sz="0" w:space="0" w:color="auto"/>
        <w:left w:val="none" w:sz="0" w:space="0" w:color="auto"/>
        <w:bottom w:val="none" w:sz="0" w:space="0" w:color="auto"/>
        <w:right w:val="none" w:sz="0" w:space="0" w:color="auto"/>
      </w:divBdr>
    </w:div>
    <w:div w:id="145518102">
      <w:marLeft w:val="0"/>
      <w:marRight w:val="0"/>
      <w:marTop w:val="0"/>
      <w:marBottom w:val="0"/>
      <w:divBdr>
        <w:top w:val="none" w:sz="0" w:space="0" w:color="auto"/>
        <w:left w:val="none" w:sz="0" w:space="0" w:color="auto"/>
        <w:bottom w:val="none" w:sz="0" w:space="0" w:color="auto"/>
        <w:right w:val="none" w:sz="0" w:space="0" w:color="auto"/>
      </w:divBdr>
      <w:divsChild>
        <w:div w:id="1640726507">
          <w:marLeft w:val="0"/>
          <w:marRight w:val="0"/>
          <w:marTop w:val="0"/>
          <w:marBottom w:val="0"/>
          <w:divBdr>
            <w:top w:val="none" w:sz="0" w:space="0" w:color="auto"/>
            <w:left w:val="none" w:sz="0" w:space="0" w:color="auto"/>
            <w:bottom w:val="none" w:sz="0" w:space="0" w:color="auto"/>
            <w:right w:val="none" w:sz="0" w:space="0" w:color="auto"/>
          </w:divBdr>
        </w:div>
      </w:divsChild>
    </w:div>
    <w:div w:id="146242928">
      <w:marLeft w:val="0"/>
      <w:marRight w:val="0"/>
      <w:marTop w:val="0"/>
      <w:marBottom w:val="0"/>
      <w:divBdr>
        <w:top w:val="none" w:sz="0" w:space="0" w:color="auto"/>
        <w:left w:val="none" w:sz="0" w:space="0" w:color="auto"/>
        <w:bottom w:val="none" w:sz="0" w:space="0" w:color="auto"/>
        <w:right w:val="none" w:sz="0" w:space="0" w:color="auto"/>
      </w:divBdr>
    </w:div>
    <w:div w:id="151531544">
      <w:marLeft w:val="0"/>
      <w:marRight w:val="0"/>
      <w:marTop w:val="0"/>
      <w:marBottom w:val="60"/>
      <w:divBdr>
        <w:top w:val="none" w:sz="0" w:space="0" w:color="auto"/>
        <w:left w:val="none" w:sz="0" w:space="0" w:color="auto"/>
        <w:bottom w:val="none" w:sz="0" w:space="0" w:color="auto"/>
        <w:right w:val="none" w:sz="0" w:space="0" w:color="auto"/>
      </w:divBdr>
    </w:div>
    <w:div w:id="163323257">
      <w:marLeft w:val="0"/>
      <w:marRight w:val="0"/>
      <w:marTop w:val="0"/>
      <w:marBottom w:val="120"/>
      <w:divBdr>
        <w:top w:val="none" w:sz="0" w:space="0" w:color="auto"/>
        <w:left w:val="none" w:sz="0" w:space="0" w:color="auto"/>
        <w:bottom w:val="none" w:sz="0" w:space="0" w:color="auto"/>
        <w:right w:val="none" w:sz="0" w:space="0" w:color="auto"/>
      </w:divBdr>
      <w:divsChild>
        <w:div w:id="416368224">
          <w:marLeft w:val="0"/>
          <w:marRight w:val="0"/>
          <w:marTop w:val="0"/>
          <w:marBottom w:val="0"/>
          <w:divBdr>
            <w:top w:val="none" w:sz="0" w:space="0" w:color="auto"/>
            <w:left w:val="none" w:sz="0" w:space="0" w:color="auto"/>
            <w:bottom w:val="none" w:sz="0" w:space="0" w:color="auto"/>
            <w:right w:val="none" w:sz="0" w:space="0" w:color="auto"/>
          </w:divBdr>
        </w:div>
        <w:div w:id="1724256708">
          <w:marLeft w:val="0"/>
          <w:marRight w:val="0"/>
          <w:marTop w:val="0"/>
          <w:marBottom w:val="0"/>
          <w:divBdr>
            <w:top w:val="none" w:sz="0" w:space="0" w:color="auto"/>
            <w:left w:val="none" w:sz="0" w:space="0" w:color="auto"/>
            <w:bottom w:val="none" w:sz="0" w:space="0" w:color="auto"/>
            <w:right w:val="none" w:sz="0" w:space="0" w:color="auto"/>
          </w:divBdr>
        </w:div>
      </w:divsChild>
    </w:div>
    <w:div w:id="168259335">
      <w:marLeft w:val="0"/>
      <w:marRight w:val="0"/>
      <w:marTop w:val="0"/>
      <w:marBottom w:val="60"/>
      <w:divBdr>
        <w:top w:val="none" w:sz="0" w:space="0" w:color="auto"/>
        <w:left w:val="none" w:sz="0" w:space="0" w:color="auto"/>
        <w:bottom w:val="none" w:sz="0" w:space="0" w:color="auto"/>
        <w:right w:val="none" w:sz="0" w:space="0" w:color="auto"/>
      </w:divBdr>
    </w:div>
    <w:div w:id="177084039">
      <w:marLeft w:val="0"/>
      <w:marRight w:val="0"/>
      <w:marTop w:val="0"/>
      <w:marBottom w:val="120"/>
      <w:divBdr>
        <w:top w:val="none" w:sz="0" w:space="0" w:color="auto"/>
        <w:left w:val="none" w:sz="0" w:space="0" w:color="auto"/>
        <w:bottom w:val="none" w:sz="0" w:space="0" w:color="auto"/>
        <w:right w:val="none" w:sz="0" w:space="0" w:color="auto"/>
      </w:divBdr>
    </w:div>
    <w:div w:id="178811925">
      <w:marLeft w:val="0"/>
      <w:marRight w:val="0"/>
      <w:marTop w:val="0"/>
      <w:marBottom w:val="120"/>
      <w:divBdr>
        <w:top w:val="none" w:sz="0" w:space="0" w:color="auto"/>
        <w:left w:val="none" w:sz="0" w:space="0" w:color="auto"/>
        <w:bottom w:val="none" w:sz="0" w:space="0" w:color="auto"/>
        <w:right w:val="none" w:sz="0" w:space="0" w:color="auto"/>
      </w:divBdr>
    </w:div>
    <w:div w:id="190538925">
      <w:marLeft w:val="0"/>
      <w:marRight w:val="0"/>
      <w:marTop w:val="0"/>
      <w:marBottom w:val="120"/>
      <w:divBdr>
        <w:top w:val="none" w:sz="0" w:space="0" w:color="auto"/>
        <w:left w:val="none" w:sz="0" w:space="0" w:color="auto"/>
        <w:bottom w:val="none" w:sz="0" w:space="0" w:color="auto"/>
        <w:right w:val="none" w:sz="0" w:space="0" w:color="auto"/>
      </w:divBdr>
      <w:divsChild>
        <w:div w:id="153880662">
          <w:marLeft w:val="0"/>
          <w:marRight w:val="0"/>
          <w:marTop w:val="0"/>
          <w:marBottom w:val="0"/>
          <w:divBdr>
            <w:top w:val="none" w:sz="0" w:space="0" w:color="auto"/>
            <w:left w:val="none" w:sz="0" w:space="0" w:color="auto"/>
            <w:bottom w:val="none" w:sz="0" w:space="0" w:color="auto"/>
            <w:right w:val="none" w:sz="0" w:space="0" w:color="auto"/>
          </w:divBdr>
        </w:div>
      </w:divsChild>
    </w:div>
    <w:div w:id="194268188">
      <w:marLeft w:val="0"/>
      <w:marRight w:val="0"/>
      <w:marTop w:val="0"/>
      <w:marBottom w:val="0"/>
      <w:divBdr>
        <w:top w:val="none" w:sz="0" w:space="0" w:color="auto"/>
        <w:left w:val="none" w:sz="0" w:space="0" w:color="auto"/>
        <w:bottom w:val="none" w:sz="0" w:space="0" w:color="auto"/>
        <w:right w:val="none" w:sz="0" w:space="0" w:color="auto"/>
      </w:divBdr>
      <w:divsChild>
        <w:div w:id="1569728528">
          <w:marLeft w:val="0"/>
          <w:marRight w:val="0"/>
          <w:marTop w:val="0"/>
          <w:marBottom w:val="0"/>
          <w:divBdr>
            <w:top w:val="none" w:sz="0" w:space="0" w:color="auto"/>
            <w:left w:val="none" w:sz="0" w:space="0" w:color="auto"/>
            <w:bottom w:val="none" w:sz="0" w:space="0" w:color="auto"/>
            <w:right w:val="none" w:sz="0" w:space="0" w:color="auto"/>
          </w:divBdr>
        </w:div>
      </w:divsChild>
    </w:div>
    <w:div w:id="199319125">
      <w:marLeft w:val="0"/>
      <w:marRight w:val="0"/>
      <w:marTop w:val="240"/>
      <w:marBottom w:val="0"/>
      <w:divBdr>
        <w:top w:val="none" w:sz="0" w:space="0" w:color="auto"/>
        <w:left w:val="none" w:sz="0" w:space="0" w:color="auto"/>
        <w:bottom w:val="none" w:sz="0" w:space="0" w:color="auto"/>
        <w:right w:val="none" w:sz="0" w:space="0" w:color="auto"/>
      </w:divBdr>
    </w:div>
    <w:div w:id="199437748">
      <w:marLeft w:val="0"/>
      <w:marRight w:val="0"/>
      <w:marTop w:val="0"/>
      <w:marBottom w:val="0"/>
      <w:divBdr>
        <w:top w:val="none" w:sz="0" w:space="0" w:color="auto"/>
        <w:left w:val="none" w:sz="0" w:space="0" w:color="auto"/>
        <w:bottom w:val="none" w:sz="0" w:space="0" w:color="auto"/>
        <w:right w:val="none" w:sz="0" w:space="0" w:color="auto"/>
      </w:divBdr>
      <w:divsChild>
        <w:div w:id="727801249">
          <w:marLeft w:val="0"/>
          <w:marRight w:val="0"/>
          <w:marTop w:val="0"/>
          <w:marBottom w:val="0"/>
          <w:divBdr>
            <w:top w:val="none" w:sz="0" w:space="0" w:color="auto"/>
            <w:left w:val="none" w:sz="0" w:space="0" w:color="auto"/>
            <w:bottom w:val="none" w:sz="0" w:space="0" w:color="auto"/>
            <w:right w:val="none" w:sz="0" w:space="0" w:color="auto"/>
          </w:divBdr>
        </w:div>
      </w:divsChild>
    </w:div>
    <w:div w:id="205652974">
      <w:marLeft w:val="0"/>
      <w:marRight w:val="0"/>
      <w:marTop w:val="0"/>
      <w:marBottom w:val="120"/>
      <w:divBdr>
        <w:top w:val="none" w:sz="0" w:space="0" w:color="auto"/>
        <w:left w:val="none" w:sz="0" w:space="0" w:color="auto"/>
        <w:bottom w:val="none" w:sz="0" w:space="0" w:color="auto"/>
        <w:right w:val="none" w:sz="0" w:space="0" w:color="auto"/>
      </w:divBdr>
    </w:div>
    <w:div w:id="214202515">
      <w:marLeft w:val="0"/>
      <w:marRight w:val="0"/>
      <w:marTop w:val="0"/>
      <w:marBottom w:val="120"/>
      <w:divBdr>
        <w:top w:val="none" w:sz="0" w:space="0" w:color="auto"/>
        <w:left w:val="none" w:sz="0" w:space="0" w:color="auto"/>
        <w:bottom w:val="none" w:sz="0" w:space="0" w:color="auto"/>
        <w:right w:val="none" w:sz="0" w:space="0" w:color="auto"/>
      </w:divBdr>
    </w:div>
    <w:div w:id="222788767">
      <w:marLeft w:val="0"/>
      <w:marRight w:val="0"/>
      <w:marTop w:val="0"/>
      <w:marBottom w:val="0"/>
      <w:divBdr>
        <w:top w:val="none" w:sz="0" w:space="0" w:color="auto"/>
        <w:left w:val="none" w:sz="0" w:space="0" w:color="auto"/>
        <w:bottom w:val="none" w:sz="0" w:space="0" w:color="auto"/>
        <w:right w:val="none" w:sz="0" w:space="0" w:color="auto"/>
      </w:divBdr>
    </w:div>
    <w:div w:id="224606688">
      <w:marLeft w:val="0"/>
      <w:marRight w:val="0"/>
      <w:marTop w:val="0"/>
      <w:marBottom w:val="0"/>
      <w:divBdr>
        <w:top w:val="none" w:sz="0" w:space="0" w:color="auto"/>
        <w:left w:val="none" w:sz="0" w:space="0" w:color="auto"/>
        <w:bottom w:val="none" w:sz="0" w:space="0" w:color="auto"/>
        <w:right w:val="none" w:sz="0" w:space="0" w:color="auto"/>
      </w:divBdr>
      <w:divsChild>
        <w:div w:id="553663873">
          <w:marLeft w:val="0"/>
          <w:marRight w:val="0"/>
          <w:marTop w:val="0"/>
          <w:marBottom w:val="0"/>
          <w:divBdr>
            <w:top w:val="none" w:sz="0" w:space="0" w:color="auto"/>
            <w:left w:val="none" w:sz="0" w:space="0" w:color="auto"/>
            <w:bottom w:val="none" w:sz="0" w:space="0" w:color="auto"/>
            <w:right w:val="none" w:sz="0" w:space="0" w:color="auto"/>
          </w:divBdr>
        </w:div>
      </w:divsChild>
    </w:div>
    <w:div w:id="234904428">
      <w:marLeft w:val="0"/>
      <w:marRight w:val="0"/>
      <w:marTop w:val="0"/>
      <w:marBottom w:val="0"/>
      <w:divBdr>
        <w:top w:val="none" w:sz="0" w:space="0" w:color="auto"/>
        <w:left w:val="none" w:sz="0" w:space="0" w:color="auto"/>
        <w:bottom w:val="none" w:sz="0" w:space="0" w:color="auto"/>
        <w:right w:val="none" w:sz="0" w:space="0" w:color="auto"/>
      </w:divBdr>
    </w:div>
    <w:div w:id="239220073">
      <w:marLeft w:val="0"/>
      <w:marRight w:val="0"/>
      <w:marTop w:val="0"/>
      <w:marBottom w:val="120"/>
      <w:divBdr>
        <w:top w:val="none" w:sz="0" w:space="0" w:color="auto"/>
        <w:left w:val="none" w:sz="0" w:space="0" w:color="auto"/>
        <w:bottom w:val="none" w:sz="0" w:space="0" w:color="auto"/>
        <w:right w:val="none" w:sz="0" w:space="0" w:color="auto"/>
      </w:divBdr>
    </w:div>
    <w:div w:id="247816387">
      <w:marLeft w:val="0"/>
      <w:marRight w:val="0"/>
      <w:marTop w:val="0"/>
      <w:marBottom w:val="120"/>
      <w:divBdr>
        <w:top w:val="none" w:sz="0" w:space="0" w:color="auto"/>
        <w:left w:val="none" w:sz="0" w:space="0" w:color="auto"/>
        <w:bottom w:val="none" w:sz="0" w:space="0" w:color="auto"/>
        <w:right w:val="none" w:sz="0" w:space="0" w:color="auto"/>
      </w:divBdr>
    </w:div>
    <w:div w:id="250048325">
      <w:marLeft w:val="0"/>
      <w:marRight w:val="0"/>
      <w:marTop w:val="0"/>
      <w:marBottom w:val="240"/>
      <w:divBdr>
        <w:top w:val="none" w:sz="0" w:space="0" w:color="auto"/>
        <w:left w:val="none" w:sz="0" w:space="0" w:color="auto"/>
        <w:bottom w:val="none" w:sz="0" w:space="0" w:color="auto"/>
        <w:right w:val="none" w:sz="0" w:space="0" w:color="auto"/>
      </w:divBdr>
    </w:div>
    <w:div w:id="255140167">
      <w:marLeft w:val="0"/>
      <w:marRight w:val="0"/>
      <w:marTop w:val="0"/>
      <w:marBottom w:val="160"/>
      <w:divBdr>
        <w:top w:val="none" w:sz="0" w:space="0" w:color="auto"/>
        <w:left w:val="none" w:sz="0" w:space="0" w:color="auto"/>
        <w:bottom w:val="none" w:sz="0" w:space="0" w:color="auto"/>
        <w:right w:val="none" w:sz="0" w:space="0" w:color="auto"/>
      </w:divBdr>
    </w:div>
    <w:div w:id="255749767">
      <w:marLeft w:val="0"/>
      <w:marRight w:val="0"/>
      <w:marTop w:val="0"/>
      <w:marBottom w:val="0"/>
      <w:divBdr>
        <w:top w:val="none" w:sz="0" w:space="0" w:color="auto"/>
        <w:left w:val="none" w:sz="0" w:space="0" w:color="auto"/>
        <w:bottom w:val="none" w:sz="0" w:space="0" w:color="auto"/>
        <w:right w:val="none" w:sz="0" w:space="0" w:color="auto"/>
      </w:divBdr>
    </w:div>
    <w:div w:id="264459877">
      <w:marLeft w:val="0"/>
      <w:marRight w:val="0"/>
      <w:marTop w:val="0"/>
      <w:marBottom w:val="0"/>
      <w:divBdr>
        <w:top w:val="none" w:sz="0" w:space="0" w:color="auto"/>
        <w:left w:val="none" w:sz="0" w:space="0" w:color="auto"/>
        <w:bottom w:val="none" w:sz="0" w:space="0" w:color="auto"/>
        <w:right w:val="none" w:sz="0" w:space="0" w:color="auto"/>
      </w:divBdr>
      <w:divsChild>
        <w:div w:id="1453286968">
          <w:marLeft w:val="0"/>
          <w:marRight w:val="0"/>
          <w:marTop w:val="0"/>
          <w:marBottom w:val="0"/>
          <w:divBdr>
            <w:top w:val="none" w:sz="0" w:space="0" w:color="auto"/>
            <w:left w:val="none" w:sz="0" w:space="0" w:color="auto"/>
            <w:bottom w:val="none" w:sz="0" w:space="0" w:color="auto"/>
            <w:right w:val="none" w:sz="0" w:space="0" w:color="auto"/>
          </w:divBdr>
        </w:div>
      </w:divsChild>
    </w:div>
    <w:div w:id="266158378">
      <w:marLeft w:val="0"/>
      <w:marRight w:val="0"/>
      <w:marTop w:val="0"/>
      <w:marBottom w:val="60"/>
      <w:divBdr>
        <w:top w:val="none" w:sz="0" w:space="0" w:color="auto"/>
        <w:left w:val="none" w:sz="0" w:space="0" w:color="auto"/>
        <w:bottom w:val="none" w:sz="0" w:space="0" w:color="auto"/>
        <w:right w:val="none" w:sz="0" w:space="0" w:color="auto"/>
      </w:divBdr>
    </w:div>
    <w:div w:id="293413807">
      <w:marLeft w:val="0"/>
      <w:marRight w:val="0"/>
      <w:marTop w:val="0"/>
      <w:marBottom w:val="0"/>
      <w:divBdr>
        <w:top w:val="none" w:sz="0" w:space="0" w:color="auto"/>
        <w:left w:val="none" w:sz="0" w:space="0" w:color="auto"/>
        <w:bottom w:val="none" w:sz="0" w:space="0" w:color="auto"/>
        <w:right w:val="none" w:sz="0" w:space="0" w:color="auto"/>
      </w:divBdr>
      <w:divsChild>
        <w:div w:id="57175572">
          <w:marLeft w:val="0"/>
          <w:marRight w:val="0"/>
          <w:marTop w:val="0"/>
          <w:marBottom w:val="0"/>
          <w:divBdr>
            <w:top w:val="none" w:sz="0" w:space="0" w:color="auto"/>
            <w:left w:val="none" w:sz="0" w:space="0" w:color="auto"/>
            <w:bottom w:val="none" w:sz="0" w:space="0" w:color="auto"/>
            <w:right w:val="none" w:sz="0" w:space="0" w:color="auto"/>
          </w:divBdr>
        </w:div>
      </w:divsChild>
    </w:div>
    <w:div w:id="306588942">
      <w:marLeft w:val="0"/>
      <w:marRight w:val="0"/>
      <w:marTop w:val="0"/>
      <w:marBottom w:val="120"/>
      <w:divBdr>
        <w:top w:val="none" w:sz="0" w:space="0" w:color="auto"/>
        <w:left w:val="none" w:sz="0" w:space="0" w:color="auto"/>
        <w:bottom w:val="none" w:sz="0" w:space="0" w:color="auto"/>
        <w:right w:val="none" w:sz="0" w:space="0" w:color="auto"/>
      </w:divBdr>
      <w:divsChild>
        <w:div w:id="1762024344">
          <w:marLeft w:val="0"/>
          <w:marRight w:val="0"/>
          <w:marTop w:val="0"/>
          <w:marBottom w:val="0"/>
          <w:divBdr>
            <w:top w:val="none" w:sz="0" w:space="0" w:color="auto"/>
            <w:left w:val="none" w:sz="0" w:space="0" w:color="auto"/>
            <w:bottom w:val="none" w:sz="0" w:space="0" w:color="auto"/>
            <w:right w:val="none" w:sz="0" w:space="0" w:color="auto"/>
          </w:divBdr>
        </w:div>
        <w:div w:id="2066293394">
          <w:marLeft w:val="0"/>
          <w:marRight w:val="0"/>
          <w:marTop w:val="0"/>
          <w:marBottom w:val="0"/>
          <w:divBdr>
            <w:top w:val="none" w:sz="0" w:space="0" w:color="auto"/>
            <w:left w:val="none" w:sz="0" w:space="0" w:color="auto"/>
            <w:bottom w:val="none" w:sz="0" w:space="0" w:color="auto"/>
            <w:right w:val="none" w:sz="0" w:space="0" w:color="auto"/>
          </w:divBdr>
        </w:div>
        <w:div w:id="1248077038">
          <w:marLeft w:val="0"/>
          <w:marRight w:val="0"/>
          <w:marTop w:val="0"/>
          <w:marBottom w:val="0"/>
          <w:divBdr>
            <w:top w:val="none" w:sz="0" w:space="0" w:color="auto"/>
            <w:left w:val="none" w:sz="0" w:space="0" w:color="auto"/>
            <w:bottom w:val="none" w:sz="0" w:space="0" w:color="auto"/>
            <w:right w:val="none" w:sz="0" w:space="0" w:color="auto"/>
          </w:divBdr>
        </w:div>
        <w:div w:id="1668703270">
          <w:marLeft w:val="0"/>
          <w:marRight w:val="0"/>
          <w:marTop w:val="0"/>
          <w:marBottom w:val="0"/>
          <w:divBdr>
            <w:top w:val="none" w:sz="0" w:space="0" w:color="auto"/>
            <w:left w:val="none" w:sz="0" w:space="0" w:color="auto"/>
            <w:bottom w:val="none" w:sz="0" w:space="0" w:color="auto"/>
            <w:right w:val="none" w:sz="0" w:space="0" w:color="auto"/>
          </w:divBdr>
        </w:div>
        <w:div w:id="498274092">
          <w:marLeft w:val="0"/>
          <w:marRight w:val="0"/>
          <w:marTop w:val="0"/>
          <w:marBottom w:val="0"/>
          <w:divBdr>
            <w:top w:val="none" w:sz="0" w:space="0" w:color="auto"/>
            <w:left w:val="none" w:sz="0" w:space="0" w:color="auto"/>
            <w:bottom w:val="none" w:sz="0" w:space="0" w:color="auto"/>
            <w:right w:val="none" w:sz="0" w:space="0" w:color="auto"/>
          </w:divBdr>
        </w:div>
        <w:div w:id="562840290">
          <w:marLeft w:val="0"/>
          <w:marRight w:val="0"/>
          <w:marTop w:val="0"/>
          <w:marBottom w:val="0"/>
          <w:divBdr>
            <w:top w:val="none" w:sz="0" w:space="0" w:color="auto"/>
            <w:left w:val="none" w:sz="0" w:space="0" w:color="auto"/>
            <w:bottom w:val="none" w:sz="0" w:space="0" w:color="auto"/>
            <w:right w:val="none" w:sz="0" w:space="0" w:color="auto"/>
          </w:divBdr>
        </w:div>
        <w:div w:id="2011135374">
          <w:marLeft w:val="0"/>
          <w:marRight w:val="0"/>
          <w:marTop w:val="0"/>
          <w:marBottom w:val="0"/>
          <w:divBdr>
            <w:top w:val="none" w:sz="0" w:space="0" w:color="auto"/>
            <w:left w:val="none" w:sz="0" w:space="0" w:color="auto"/>
            <w:bottom w:val="none" w:sz="0" w:space="0" w:color="auto"/>
            <w:right w:val="none" w:sz="0" w:space="0" w:color="auto"/>
          </w:divBdr>
        </w:div>
        <w:div w:id="1358315872">
          <w:marLeft w:val="0"/>
          <w:marRight w:val="0"/>
          <w:marTop w:val="0"/>
          <w:marBottom w:val="0"/>
          <w:divBdr>
            <w:top w:val="none" w:sz="0" w:space="0" w:color="auto"/>
            <w:left w:val="none" w:sz="0" w:space="0" w:color="auto"/>
            <w:bottom w:val="none" w:sz="0" w:space="0" w:color="auto"/>
            <w:right w:val="none" w:sz="0" w:space="0" w:color="auto"/>
          </w:divBdr>
        </w:div>
        <w:div w:id="142234430">
          <w:marLeft w:val="0"/>
          <w:marRight w:val="0"/>
          <w:marTop w:val="0"/>
          <w:marBottom w:val="0"/>
          <w:divBdr>
            <w:top w:val="none" w:sz="0" w:space="0" w:color="auto"/>
            <w:left w:val="none" w:sz="0" w:space="0" w:color="auto"/>
            <w:bottom w:val="none" w:sz="0" w:space="0" w:color="auto"/>
            <w:right w:val="none" w:sz="0" w:space="0" w:color="auto"/>
          </w:divBdr>
        </w:div>
        <w:div w:id="378015476">
          <w:marLeft w:val="0"/>
          <w:marRight w:val="0"/>
          <w:marTop w:val="0"/>
          <w:marBottom w:val="0"/>
          <w:divBdr>
            <w:top w:val="none" w:sz="0" w:space="0" w:color="auto"/>
            <w:left w:val="none" w:sz="0" w:space="0" w:color="auto"/>
            <w:bottom w:val="none" w:sz="0" w:space="0" w:color="auto"/>
            <w:right w:val="none" w:sz="0" w:space="0" w:color="auto"/>
          </w:divBdr>
        </w:div>
        <w:div w:id="1104424778">
          <w:marLeft w:val="0"/>
          <w:marRight w:val="0"/>
          <w:marTop w:val="0"/>
          <w:marBottom w:val="0"/>
          <w:divBdr>
            <w:top w:val="none" w:sz="0" w:space="0" w:color="auto"/>
            <w:left w:val="none" w:sz="0" w:space="0" w:color="auto"/>
            <w:bottom w:val="none" w:sz="0" w:space="0" w:color="auto"/>
            <w:right w:val="none" w:sz="0" w:space="0" w:color="auto"/>
          </w:divBdr>
        </w:div>
        <w:div w:id="878784027">
          <w:marLeft w:val="0"/>
          <w:marRight w:val="0"/>
          <w:marTop w:val="0"/>
          <w:marBottom w:val="0"/>
          <w:divBdr>
            <w:top w:val="none" w:sz="0" w:space="0" w:color="auto"/>
            <w:left w:val="none" w:sz="0" w:space="0" w:color="auto"/>
            <w:bottom w:val="none" w:sz="0" w:space="0" w:color="auto"/>
            <w:right w:val="none" w:sz="0" w:space="0" w:color="auto"/>
          </w:divBdr>
        </w:div>
        <w:div w:id="1593010926">
          <w:marLeft w:val="0"/>
          <w:marRight w:val="0"/>
          <w:marTop w:val="0"/>
          <w:marBottom w:val="0"/>
          <w:divBdr>
            <w:top w:val="none" w:sz="0" w:space="0" w:color="auto"/>
            <w:left w:val="none" w:sz="0" w:space="0" w:color="auto"/>
            <w:bottom w:val="none" w:sz="0" w:space="0" w:color="auto"/>
            <w:right w:val="none" w:sz="0" w:space="0" w:color="auto"/>
          </w:divBdr>
        </w:div>
        <w:div w:id="1501431669">
          <w:marLeft w:val="0"/>
          <w:marRight w:val="0"/>
          <w:marTop w:val="0"/>
          <w:marBottom w:val="0"/>
          <w:divBdr>
            <w:top w:val="none" w:sz="0" w:space="0" w:color="auto"/>
            <w:left w:val="none" w:sz="0" w:space="0" w:color="auto"/>
            <w:bottom w:val="none" w:sz="0" w:space="0" w:color="auto"/>
            <w:right w:val="none" w:sz="0" w:space="0" w:color="auto"/>
          </w:divBdr>
        </w:div>
        <w:div w:id="342441139">
          <w:marLeft w:val="0"/>
          <w:marRight w:val="0"/>
          <w:marTop w:val="0"/>
          <w:marBottom w:val="0"/>
          <w:divBdr>
            <w:top w:val="none" w:sz="0" w:space="0" w:color="auto"/>
            <w:left w:val="none" w:sz="0" w:space="0" w:color="auto"/>
            <w:bottom w:val="none" w:sz="0" w:space="0" w:color="auto"/>
            <w:right w:val="none" w:sz="0" w:space="0" w:color="auto"/>
          </w:divBdr>
        </w:div>
        <w:div w:id="856696625">
          <w:marLeft w:val="0"/>
          <w:marRight w:val="0"/>
          <w:marTop w:val="0"/>
          <w:marBottom w:val="0"/>
          <w:divBdr>
            <w:top w:val="none" w:sz="0" w:space="0" w:color="auto"/>
            <w:left w:val="none" w:sz="0" w:space="0" w:color="auto"/>
            <w:bottom w:val="none" w:sz="0" w:space="0" w:color="auto"/>
            <w:right w:val="none" w:sz="0" w:space="0" w:color="auto"/>
          </w:divBdr>
        </w:div>
        <w:div w:id="157158240">
          <w:marLeft w:val="0"/>
          <w:marRight w:val="0"/>
          <w:marTop w:val="0"/>
          <w:marBottom w:val="0"/>
          <w:divBdr>
            <w:top w:val="none" w:sz="0" w:space="0" w:color="auto"/>
            <w:left w:val="none" w:sz="0" w:space="0" w:color="auto"/>
            <w:bottom w:val="none" w:sz="0" w:space="0" w:color="auto"/>
            <w:right w:val="none" w:sz="0" w:space="0" w:color="auto"/>
          </w:divBdr>
        </w:div>
        <w:div w:id="2034454621">
          <w:marLeft w:val="0"/>
          <w:marRight w:val="0"/>
          <w:marTop w:val="0"/>
          <w:marBottom w:val="0"/>
          <w:divBdr>
            <w:top w:val="none" w:sz="0" w:space="0" w:color="auto"/>
            <w:left w:val="none" w:sz="0" w:space="0" w:color="auto"/>
            <w:bottom w:val="none" w:sz="0" w:space="0" w:color="auto"/>
            <w:right w:val="none" w:sz="0" w:space="0" w:color="auto"/>
          </w:divBdr>
        </w:div>
        <w:div w:id="478034566">
          <w:marLeft w:val="0"/>
          <w:marRight w:val="0"/>
          <w:marTop w:val="0"/>
          <w:marBottom w:val="0"/>
          <w:divBdr>
            <w:top w:val="none" w:sz="0" w:space="0" w:color="auto"/>
            <w:left w:val="none" w:sz="0" w:space="0" w:color="auto"/>
            <w:bottom w:val="none" w:sz="0" w:space="0" w:color="auto"/>
            <w:right w:val="none" w:sz="0" w:space="0" w:color="auto"/>
          </w:divBdr>
        </w:div>
        <w:div w:id="777455060">
          <w:marLeft w:val="0"/>
          <w:marRight w:val="0"/>
          <w:marTop w:val="0"/>
          <w:marBottom w:val="0"/>
          <w:divBdr>
            <w:top w:val="none" w:sz="0" w:space="0" w:color="auto"/>
            <w:left w:val="none" w:sz="0" w:space="0" w:color="auto"/>
            <w:bottom w:val="none" w:sz="0" w:space="0" w:color="auto"/>
            <w:right w:val="none" w:sz="0" w:space="0" w:color="auto"/>
          </w:divBdr>
        </w:div>
        <w:div w:id="669530202">
          <w:marLeft w:val="0"/>
          <w:marRight w:val="0"/>
          <w:marTop w:val="0"/>
          <w:marBottom w:val="0"/>
          <w:divBdr>
            <w:top w:val="none" w:sz="0" w:space="0" w:color="auto"/>
            <w:left w:val="none" w:sz="0" w:space="0" w:color="auto"/>
            <w:bottom w:val="none" w:sz="0" w:space="0" w:color="auto"/>
            <w:right w:val="none" w:sz="0" w:space="0" w:color="auto"/>
          </w:divBdr>
        </w:div>
        <w:div w:id="1875652977">
          <w:marLeft w:val="0"/>
          <w:marRight w:val="0"/>
          <w:marTop w:val="0"/>
          <w:marBottom w:val="0"/>
          <w:divBdr>
            <w:top w:val="none" w:sz="0" w:space="0" w:color="auto"/>
            <w:left w:val="none" w:sz="0" w:space="0" w:color="auto"/>
            <w:bottom w:val="none" w:sz="0" w:space="0" w:color="auto"/>
            <w:right w:val="none" w:sz="0" w:space="0" w:color="auto"/>
          </w:divBdr>
        </w:div>
        <w:div w:id="1273172415">
          <w:marLeft w:val="0"/>
          <w:marRight w:val="0"/>
          <w:marTop w:val="0"/>
          <w:marBottom w:val="0"/>
          <w:divBdr>
            <w:top w:val="none" w:sz="0" w:space="0" w:color="auto"/>
            <w:left w:val="none" w:sz="0" w:space="0" w:color="auto"/>
            <w:bottom w:val="none" w:sz="0" w:space="0" w:color="auto"/>
            <w:right w:val="none" w:sz="0" w:space="0" w:color="auto"/>
          </w:divBdr>
        </w:div>
        <w:div w:id="1182278412">
          <w:marLeft w:val="0"/>
          <w:marRight w:val="0"/>
          <w:marTop w:val="0"/>
          <w:marBottom w:val="0"/>
          <w:divBdr>
            <w:top w:val="none" w:sz="0" w:space="0" w:color="auto"/>
            <w:left w:val="none" w:sz="0" w:space="0" w:color="auto"/>
            <w:bottom w:val="none" w:sz="0" w:space="0" w:color="auto"/>
            <w:right w:val="none" w:sz="0" w:space="0" w:color="auto"/>
          </w:divBdr>
        </w:div>
        <w:div w:id="442959343">
          <w:marLeft w:val="0"/>
          <w:marRight w:val="0"/>
          <w:marTop w:val="0"/>
          <w:marBottom w:val="0"/>
          <w:divBdr>
            <w:top w:val="none" w:sz="0" w:space="0" w:color="auto"/>
            <w:left w:val="none" w:sz="0" w:space="0" w:color="auto"/>
            <w:bottom w:val="none" w:sz="0" w:space="0" w:color="auto"/>
            <w:right w:val="none" w:sz="0" w:space="0" w:color="auto"/>
          </w:divBdr>
        </w:div>
        <w:div w:id="415250070">
          <w:marLeft w:val="0"/>
          <w:marRight w:val="0"/>
          <w:marTop w:val="0"/>
          <w:marBottom w:val="0"/>
          <w:divBdr>
            <w:top w:val="none" w:sz="0" w:space="0" w:color="auto"/>
            <w:left w:val="none" w:sz="0" w:space="0" w:color="auto"/>
            <w:bottom w:val="none" w:sz="0" w:space="0" w:color="auto"/>
            <w:right w:val="none" w:sz="0" w:space="0" w:color="auto"/>
          </w:divBdr>
        </w:div>
      </w:divsChild>
    </w:div>
    <w:div w:id="313990345">
      <w:marLeft w:val="0"/>
      <w:marRight w:val="0"/>
      <w:marTop w:val="0"/>
      <w:marBottom w:val="0"/>
      <w:divBdr>
        <w:top w:val="none" w:sz="0" w:space="0" w:color="auto"/>
        <w:left w:val="none" w:sz="0" w:space="0" w:color="auto"/>
        <w:bottom w:val="none" w:sz="0" w:space="0" w:color="auto"/>
        <w:right w:val="none" w:sz="0" w:space="0" w:color="auto"/>
      </w:divBdr>
      <w:divsChild>
        <w:div w:id="2029016350">
          <w:marLeft w:val="0"/>
          <w:marRight w:val="0"/>
          <w:marTop w:val="0"/>
          <w:marBottom w:val="0"/>
          <w:divBdr>
            <w:top w:val="none" w:sz="0" w:space="0" w:color="auto"/>
            <w:left w:val="none" w:sz="0" w:space="0" w:color="auto"/>
            <w:bottom w:val="none" w:sz="0" w:space="0" w:color="auto"/>
            <w:right w:val="none" w:sz="0" w:space="0" w:color="auto"/>
          </w:divBdr>
        </w:div>
      </w:divsChild>
    </w:div>
    <w:div w:id="329455588">
      <w:marLeft w:val="0"/>
      <w:marRight w:val="0"/>
      <w:marTop w:val="0"/>
      <w:marBottom w:val="0"/>
      <w:divBdr>
        <w:top w:val="none" w:sz="0" w:space="0" w:color="auto"/>
        <w:left w:val="none" w:sz="0" w:space="0" w:color="auto"/>
        <w:bottom w:val="none" w:sz="0" w:space="0" w:color="auto"/>
        <w:right w:val="none" w:sz="0" w:space="0" w:color="auto"/>
      </w:divBdr>
    </w:div>
    <w:div w:id="330181139">
      <w:marLeft w:val="0"/>
      <w:marRight w:val="0"/>
      <w:marTop w:val="0"/>
      <w:marBottom w:val="0"/>
      <w:divBdr>
        <w:top w:val="none" w:sz="0" w:space="0" w:color="auto"/>
        <w:left w:val="none" w:sz="0" w:space="0" w:color="auto"/>
        <w:bottom w:val="none" w:sz="0" w:space="0" w:color="auto"/>
        <w:right w:val="none" w:sz="0" w:space="0" w:color="auto"/>
      </w:divBdr>
    </w:div>
    <w:div w:id="343485157">
      <w:marLeft w:val="0"/>
      <w:marRight w:val="0"/>
      <w:marTop w:val="0"/>
      <w:marBottom w:val="0"/>
      <w:divBdr>
        <w:top w:val="none" w:sz="0" w:space="0" w:color="auto"/>
        <w:left w:val="none" w:sz="0" w:space="0" w:color="auto"/>
        <w:bottom w:val="none" w:sz="0" w:space="0" w:color="auto"/>
        <w:right w:val="none" w:sz="0" w:space="0" w:color="auto"/>
      </w:divBdr>
      <w:divsChild>
        <w:div w:id="1983002014">
          <w:marLeft w:val="0"/>
          <w:marRight w:val="0"/>
          <w:marTop w:val="0"/>
          <w:marBottom w:val="0"/>
          <w:divBdr>
            <w:top w:val="none" w:sz="0" w:space="0" w:color="auto"/>
            <w:left w:val="none" w:sz="0" w:space="0" w:color="auto"/>
            <w:bottom w:val="none" w:sz="0" w:space="0" w:color="auto"/>
            <w:right w:val="none" w:sz="0" w:space="0" w:color="auto"/>
          </w:divBdr>
        </w:div>
      </w:divsChild>
    </w:div>
    <w:div w:id="355271513">
      <w:marLeft w:val="0"/>
      <w:marRight w:val="0"/>
      <w:marTop w:val="0"/>
      <w:marBottom w:val="60"/>
      <w:divBdr>
        <w:top w:val="none" w:sz="0" w:space="0" w:color="auto"/>
        <w:left w:val="none" w:sz="0" w:space="0" w:color="auto"/>
        <w:bottom w:val="none" w:sz="0" w:space="0" w:color="auto"/>
        <w:right w:val="none" w:sz="0" w:space="0" w:color="auto"/>
      </w:divBdr>
    </w:div>
    <w:div w:id="366418741">
      <w:marLeft w:val="0"/>
      <w:marRight w:val="0"/>
      <w:marTop w:val="300"/>
      <w:marBottom w:val="0"/>
      <w:divBdr>
        <w:top w:val="none" w:sz="0" w:space="0" w:color="auto"/>
        <w:left w:val="none" w:sz="0" w:space="0" w:color="auto"/>
        <w:bottom w:val="none" w:sz="0" w:space="0" w:color="auto"/>
        <w:right w:val="none" w:sz="0" w:space="0" w:color="auto"/>
      </w:divBdr>
    </w:div>
    <w:div w:id="368997623">
      <w:marLeft w:val="0"/>
      <w:marRight w:val="0"/>
      <w:marTop w:val="0"/>
      <w:marBottom w:val="60"/>
      <w:divBdr>
        <w:top w:val="none" w:sz="0" w:space="0" w:color="auto"/>
        <w:left w:val="none" w:sz="0" w:space="0" w:color="auto"/>
        <w:bottom w:val="none" w:sz="0" w:space="0" w:color="auto"/>
        <w:right w:val="none" w:sz="0" w:space="0" w:color="auto"/>
      </w:divBdr>
    </w:div>
    <w:div w:id="370345226">
      <w:marLeft w:val="0"/>
      <w:marRight w:val="0"/>
      <w:marTop w:val="0"/>
      <w:marBottom w:val="0"/>
      <w:divBdr>
        <w:top w:val="none" w:sz="0" w:space="0" w:color="auto"/>
        <w:left w:val="none" w:sz="0" w:space="0" w:color="auto"/>
        <w:bottom w:val="none" w:sz="0" w:space="0" w:color="auto"/>
        <w:right w:val="none" w:sz="0" w:space="0" w:color="auto"/>
      </w:divBdr>
      <w:divsChild>
        <w:div w:id="59836033">
          <w:marLeft w:val="0"/>
          <w:marRight w:val="0"/>
          <w:marTop w:val="0"/>
          <w:marBottom w:val="0"/>
          <w:divBdr>
            <w:top w:val="none" w:sz="0" w:space="0" w:color="auto"/>
            <w:left w:val="none" w:sz="0" w:space="0" w:color="auto"/>
            <w:bottom w:val="none" w:sz="0" w:space="0" w:color="auto"/>
            <w:right w:val="none" w:sz="0" w:space="0" w:color="auto"/>
          </w:divBdr>
        </w:div>
      </w:divsChild>
    </w:div>
    <w:div w:id="374046088">
      <w:marLeft w:val="0"/>
      <w:marRight w:val="0"/>
      <w:marTop w:val="120"/>
      <w:marBottom w:val="0"/>
      <w:divBdr>
        <w:top w:val="none" w:sz="0" w:space="0" w:color="auto"/>
        <w:left w:val="none" w:sz="0" w:space="0" w:color="auto"/>
        <w:bottom w:val="none" w:sz="0" w:space="0" w:color="auto"/>
        <w:right w:val="none" w:sz="0" w:space="0" w:color="auto"/>
      </w:divBdr>
    </w:div>
    <w:div w:id="391660562">
      <w:marLeft w:val="0"/>
      <w:marRight w:val="0"/>
      <w:marTop w:val="0"/>
      <w:marBottom w:val="0"/>
      <w:divBdr>
        <w:top w:val="none" w:sz="0" w:space="0" w:color="auto"/>
        <w:left w:val="none" w:sz="0" w:space="0" w:color="auto"/>
        <w:bottom w:val="none" w:sz="0" w:space="0" w:color="auto"/>
        <w:right w:val="none" w:sz="0" w:space="0" w:color="auto"/>
      </w:divBdr>
      <w:divsChild>
        <w:div w:id="1412236542">
          <w:marLeft w:val="0"/>
          <w:marRight w:val="0"/>
          <w:marTop w:val="0"/>
          <w:marBottom w:val="0"/>
          <w:divBdr>
            <w:top w:val="none" w:sz="0" w:space="0" w:color="auto"/>
            <w:left w:val="none" w:sz="0" w:space="0" w:color="auto"/>
            <w:bottom w:val="none" w:sz="0" w:space="0" w:color="auto"/>
            <w:right w:val="none" w:sz="0" w:space="0" w:color="auto"/>
          </w:divBdr>
        </w:div>
      </w:divsChild>
    </w:div>
    <w:div w:id="405226548">
      <w:marLeft w:val="0"/>
      <w:marRight w:val="0"/>
      <w:marTop w:val="0"/>
      <w:marBottom w:val="120"/>
      <w:divBdr>
        <w:top w:val="none" w:sz="0" w:space="0" w:color="auto"/>
        <w:left w:val="none" w:sz="0" w:space="0" w:color="auto"/>
        <w:bottom w:val="none" w:sz="0" w:space="0" w:color="auto"/>
        <w:right w:val="none" w:sz="0" w:space="0" w:color="auto"/>
      </w:divBdr>
    </w:div>
    <w:div w:id="410614940">
      <w:marLeft w:val="0"/>
      <w:marRight w:val="0"/>
      <w:marTop w:val="0"/>
      <w:marBottom w:val="120"/>
      <w:divBdr>
        <w:top w:val="none" w:sz="0" w:space="0" w:color="auto"/>
        <w:left w:val="none" w:sz="0" w:space="0" w:color="auto"/>
        <w:bottom w:val="none" w:sz="0" w:space="0" w:color="auto"/>
        <w:right w:val="none" w:sz="0" w:space="0" w:color="auto"/>
      </w:divBdr>
    </w:div>
    <w:div w:id="411122981">
      <w:marLeft w:val="0"/>
      <w:marRight w:val="0"/>
      <w:marTop w:val="0"/>
      <w:marBottom w:val="0"/>
      <w:divBdr>
        <w:top w:val="none" w:sz="0" w:space="0" w:color="auto"/>
        <w:left w:val="none" w:sz="0" w:space="0" w:color="auto"/>
        <w:bottom w:val="none" w:sz="0" w:space="0" w:color="auto"/>
        <w:right w:val="none" w:sz="0" w:space="0" w:color="auto"/>
      </w:divBdr>
      <w:divsChild>
        <w:div w:id="1796868994">
          <w:marLeft w:val="0"/>
          <w:marRight w:val="0"/>
          <w:marTop w:val="0"/>
          <w:marBottom w:val="0"/>
          <w:divBdr>
            <w:top w:val="none" w:sz="0" w:space="0" w:color="auto"/>
            <w:left w:val="none" w:sz="0" w:space="0" w:color="auto"/>
            <w:bottom w:val="none" w:sz="0" w:space="0" w:color="auto"/>
            <w:right w:val="none" w:sz="0" w:space="0" w:color="auto"/>
          </w:divBdr>
        </w:div>
      </w:divsChild>
    </w:div>
    <w:div w:id="431248020">
      <w:marLeft w:val="0"/>
      <w:marRight w:val="0"/>
      <w:marTop w:val="0"/>
      <w:marBottom w:val="0"/>
      <w:divBdr>
        <w:top w:val="none" w:sz="0" w:space="0" w:color="auto"/>
        <w:left w:val="none" w:sz="0" w:space="0" w:color="auto"/>
        <w:bottom w:val="none" w:sz="0" w:space="0" w:color="auto"/>
        <w:right w:val="none" w:sz="0" w:space="0" w:color="auto"/>
      </w:divBdr>
      <w:divsChild>
        <w:div w:id="951791083">
          <w:marLeft w:val="0"/>
          <w:marRight w:val="0"/>
          <w:marTop w:val="0"/>
          <w:marBottom w:val="0"/>
          <w:divBdr>
            <w:top w:val="none" w:sz="0" w:space="0" w:color="auto"/>
            <w:left w:val="none" w:sz="0" w:space="0" w:color="auto"/>
            <w:bottom w:val="none" w:sz="0" w:space="0" w:color="auto"/>
            <w:right w:val="none" w:sz="0" w:space="0" w:color="auto"/>
          </w:divBdr>
        </w:div>
      </w:divsChild>
    </w:div>
    <w:div w:id="438917163">
      <w:marLeft w:val="0"/>
      <w:marRight w:val="0"/>
      <w:marTop w:val="0"/>
      <w:marBottom w:val="0"/>
      <w:divBdr>
        <w:top w:val="none" w:sz="0" w:space="0" w:color="auto"/>
        <w:left w:val="none" w:sz="0" w:space="0" w:color="auto"/>
        <w:bottom w:val="none" w:sz="0" w:space="0" w:color="auto"/>
        <w:right w:val="none" w:sz="0" w:space="0" w:color="auto"/>
      </w:divBdr>
    </w:div>
    <w:div w:id="440686364">
      <w:marLeft w:val="0"/>
      <w:marRight w:val="0"/>
      <w:marTop w:val="0"/>
      <w:marBottom w:val="0"/>
      <w:divBdr>
        <w:top w:val="none" w:sz="0" w:space="0" w:color="auto"/>
        <w:left w:val="none" w:sz="0" w:space="0" w:color="auto"/>
        <w:bottom w:val="none" w:sz="0" w:space="0" w:color="auto"/>
        <w:right w:val="none" w:sz="0" w:space="0" w:color="auto"/>
      </w:divBdr>
      <w:divsChild>
        <w:div w:id="492525445">
          <w:marLeft w:val="0"/>
          <w:marRight w:val="0"/>
          <w:marTop w:val="0"/>
          <w:marBottom w:val="0"/>
          <w:divBdr>
            <w:top w:val="none" w:sz="0" w:space="0" w:color="auto"/>
            <w:left w:val="none" w:sz="0" w:space="0" w:color="auto"/>
            <w:bottom w:val="none" w:sz="0" w:space="0" w:color="auto"/>
            <w:right w:val="none" w:sz="0" w:space="0" w:color="auto"/>
          </w:divBdr>
        </w:div>
      </w:divsChild>
    </w:div>
    <w:div w:id="440875576">
      <w:marLeft w:val="0"/>
      <w:marRight w:val="0"/>
      <w:marTop w:val="0"/>
      <w:marBottom w:val="60"/>
      <w:divBdr>
        <w:top w:val="none" w:sz="0" w:space="0" w:color="auto"/>
        <w:left w:val="none" w:sz="0" w:space="0" w:color="auto"/>
        <w:bottom w:val="none" w:sz="0" w:space="0" w:color="auto"/>
        <w:right w:val="none" w:sz="0" w:space="0" w:color="auto"/>
      </w:divBdr>
    </w:div>
    <w:div w:id="441606301">
      <w:marLeft w:val="0"/>
      <w:marRight w:val="0"/>
      <w:marTop w:val="240"/>
      <w:marBottom w:val="0"/>
      <w:divBdr>
        <w:top w:val="none" w:sz="0" w:space="0" w:color="auto"/>
        <w:left w:val="none" w:sz="0" w:space="0" w:color="auto"/>
        <w:bottom w:val="none" w:sz="0" w:space="0" w:color="auto"/>
        <w:right w:val="none" w:sz="0" w:space="0" w:color="auto"/>
      </w:divBdr>
    </w:div>
    <w:div w:id="445081386">
      <w:marLeft w:val="0"/>
      <w:marRight w:val="0"/>
      <w:marTop w:val="0"/>
      <w:marBottom w:val="0"/>
      <w:divBdr>
        <w:top w:val="none" w:sz="0" w:space="0" w:color="auto"/>
        <w:left w:val="none" w:sz="0" w:space="0" w:color="auto"/>
        <w:bottom w:val="none" w:sz="0" w:space="0" w:color="auto"/>
        <w:right w:val="none" w:sz="0" w:space="0" w:color="auto"/>
      </w:divBdr>
    </w:div>
    <w:div w:id="457601833">
      <w:marLeft w:val="0"/>
      <w:marRight w:val="0"/>
      <w:marTop w:val="0"/>
      <w:marBottom w:val="60"/>
      <w:divBdr>
        <w:top w:val="none" w:sz="0" w:space="0" w:color="auto"/>
        <w:left w:val="none" w:sz="0" w:space="0" w:color="auto"/>
        <w:bottom w:val="none" w:sz="0" w:space="0" w:color="auto"/>
        <w:right w:val="none" w:sz="0" w:space="0" w:color="auto"/>
      </w:divBdr>
    </w:div>
    <w:div w:id="457604608">
      <w:marLeft w:val="0"/>
      <w:marRight w:val="0"/>
      <w:marTop w:val="0"/>
      <w:marBottom w:val="0"/>
      <w:divBdr>
        <w:top w:val="none" w:sz="0" w:space="0" w:color="auto"/>
        <w:left w:val="none" w:sz="0" w:space="0" w:color="auto"/>
        <w:bottom w:val="none" w:sz="0" w:space="0" w:color="auto"/>
        <w:right w:val="none" w:sz="0" w:space="0" w:color="auto"/>
      </w:divBdr>
      <w:divsChild>
        <w:div w:id="151652330">
          <w:marLeft w:val="0"/>
          <w:marRight w:val="0"/>
          <w:marTop w:val="0"/>
          <w:marBottom w:val="0"/>
          <w:divBdr>
            <w:top w:val="none" w:sz="0" w:space="0" w:color="auto"/>
            <w:left w:val="none" w:sz="0" w:space="0" w:color="auto"/>
            <w:bottom w:val="none" w:sz="0" w:space="0" w:color="auto"/>
            <w:right w:val="none" w:sz="0" w:space="0" w:color="auto"/>
          </w:divBdr>
        </w:div>
      </w:divsChild>
    </w:div>
    <w:div w:id="465196823">
      <w:marLeft w:val="0"/>
      <w:marRight w:val="0"/>
      <w:marTop w:val="0"/>
      <w:marBottom w:val="0"/>
      <w:divBdr>
        <w:top w:val="none" w:sz="0" w:space="0" w:color="auto"/>
        <w:left w:val="none" w:sz="0" w:space="0" w:color="auto"/>
        <w:bottom w:val="none" w:sz="0" w:space="0" w:color="auto"/>
        <w:right w:val="none" w:sz="0" w:space="0" w:color="auto"/>
      </w:divBdr>
      <w:divsChild>
        <w:div w:id="1860579886">
          <w:marLeft w:val="0"/>
          <w:marRight w:val="0"/>
          <w:marTop w:val="0"/>
          <w:marBottom w:val="0"/>
          <w:divBdr>
            <w:top w:val="none" w:sz="0" w:space="0" w:color="auto"/>
            <w:left w:val="none" w:sz="0" w:space="0" w:color="auto"/>
            <w:bottom w:val="none" w:sz="0" w:space="0" w:color="auto"/>
            <w:right w:val="none" w:sz="0" w:space="0" w:color="auto"/>
          </w:divBdr>
        </w:div>
      </w:divsChild>
    </w:div>
    <w:div w:id="467406458">
      <w:marLeft w:val="0"/>
      <w:marRight w:val="0"/>
      <w:marTop w:val="0"/>
      <w:marBottom w:val="0"/>
      <w:divBdr>
        <w:top w:val="none" w:sz="0" w:space="0" w:color="auto"/>
        <w:left w:val="none" w:sz="0" w:space="0" w:color="auto"/>
        <w:bottom w:val="none" w:sz="0" w:space="0" w:color="auto"/>
        <w:right w:val="none" w:sz="0" w:space="0" w:color="auto"/>
      </w:divBdr>
      <w:divsChild>
        <w:div w:id="1969779153">
          <w:marLeft w:val="0"/>
          <w:marRight w:val="0"/>
          <w:marTop w:val="0"/>
          <w:marBottom w:val="0"/>
          <w:divBdr>
            <w:top w:val="none" w:sz="0" w:space="0" w:color="auto"/>
            <w:left w:val="none" w:sz="0" w:space="0" w:color="auto"/>
            <w:bottom w:val="none" w:sz="0" w:space="0" w:color="auto"/>
            <w:right w:val="none" w:sz="0" w:space="0" w:color="auto"/>
          </w:divBdr>
        </w:div>
      </w:divsChild>
    </w:div>
    <w:div w:id="476339174">
      <w:marLeft w:val="0"/>
      <w:marRight w:val="0"/>
      <w:marTop w:val="0"/>
      <w:marBottom w:val="0"/>
      <w:divBdr>
        <w:top w:val="none" w:sz="0" w:space="0" w:color="auto"/>
        <w:left w:val="none" w:sz="0" w:space="0" w:color="auto"/>
        <w:bottom w:val="none" w:sz="0" w:space="0" w:color="auto"/>
        <w:right w:val="none" w:sz="0" w:space="0" w:color="auto"/>
      </w:divBdr>
    </w:div>
    <w:div w:id="487747785">
      <w:marLeft w:val="0"/>
      <w:marRight w:val="0"/>
      <w:marTop w:val="0"/>
      <w:marBottom w:val="0"/>
      <w:divBdr>
        <w:top w:val="none" w:sz="0" w:space="0" w:color="auto"/>
        <w:left w:val="none" w:sz="0" w:space="0" w:color="auto"/>
        <w:bottom w:val="none" w:sz="0" w:space="0" w:color="auto"/>
        <w:right w:val="none" w:sz="0" w:space="0" w:color="auto"/>
      </w:divBdr>
    </w:div>
    <w:div w:id="495875739">
      <w:marLeft w:val="0"/>
      <w:marRight w:val="0"/>
      <w:marTop w:val="0"/>
      <w:marBottom w:val="0"/>
      <w:divBdr>
        <w:top w:val="none" w:sz="0" w:space="0" w:color="auto"/>
        <w:left w:val="none" w:sz="0" w:space="0" w:color="auto"/>
        <w:bottom w:val="none" w:sz="0" w:space="0" w:color="auto"/>
        <w:right w:val="none" w:sz="0" w:space="0" w:color="auto"/>
      </w:divBdr>
      <w:divsChild>
        <w:div w:id="547500420">
          <w:marLeft w:val="0"/>
          <w:marRight w:val="0"/>
          <w:marTop w:val="0"/>
          <w:marBottom w:val="0"/>
          <w:divBdr>
            <w:top w:val="none" w:sz="0" w:space="0" w:color="auto"/>
            <w:left w:val="none" w:sz="0" w:space="0" w:color="auto"/>
            <w:bottom w:val="none" w:sz="0" w:space="0" w:color="auto"/>
            <w:right w:val="none" w:sz="0" w:space="0" w:color="auto"/>
          </w:divBdr>
        </w:div>
      </w:divsChild>
    </w:div>
    <w:div w:id="498272783">
      <w:marLeft w:val="0"/>
      <w:marRight w:val="0"/>
      <w:marTop w:val="0"/>
      <w:marBottom w:val="0"/>
      <w:divBdr>
        <w:top w:val="none" w:sz="0" w:space="0" w:color="auto"/>
        <w:left w:val="none" w:sz="0" w:space="0" w:color="auto"/>
        <w:bottom w:val="none" w:sz="0" w:space="0" w:color="auto"/>
        <w:right w:val="none" w:sz="0" w:space="0" w:color="auto"/>
      </w:divBdr>
    </w:div>
    <w:div w:id="501508325">
      <w:marLeft w:val="0"/>
      <w:marRight w:val="0"/>
      <w:marTop w:val="0"/>
      <w:marBottom w:val="60"/>
      <w:divBdr>
        <w:top w:val="none" w:sz="0" w:space="0" w:color="auto"/>
        <w:left w:val="none" w:sz="0" w:space="0" w:color="auto"/>
        <w:bottom w:val="none" w:sz="0" w:space="0" w:color="auto"/>
        <w:right w:val="none" w:sz="0" w:space="0" w:color="auto"/>
      </w:divBdr>
    </w:div>
    <w:div w:id="502865929">
      <w:marLeft w:val="0"/>
      <w:marRight w:val="0"/>
      <w:marTop w:val="0"/>
      <w:marBottom w:val="0"/>
      <w:divBdr>
        <w:top w:val="none" w:sz="0" w:space="0" w:color="auto"/>
        <w:left w:val="none" w:sz="0" w:space="0" w:color="auto"/>
        <w:bottom w:val="none" w:sz="0" w:space="0" w:color="auto"/>
        <w:right w:val="none" w:sz="0" w:space="0" w:color="auto"/>
      </w:divBdr>
    </w:div>
    <w:div w:id="516584770">
      <w:marLeft w:val="0"/>
      <w:marRight w:val="0"/>
      <w:marTop w:val="0"/>
      <w:marBottom w:val="0"/>
      <w:divBdr>
        <w:top w:val="none" w:sz="0" w:space="0" w:color="auto"/>
        <w:left w:val="none" w:sz="0" w:space="0" w:color="auto"/>
        <w:bottom w:val="none" w:sz="0" w:space="0" w:color="auto"/>
        <w:right w:val="none" w:sz="0" w:space="0" w:color="auto"/>
      </w:divBdr>
    </w:div>
    <w:div w:id="517429418">
      <w:marLeft w:val="0"/>
      <w:marRight w:val="0"/>
      <w:marTop w:val="0"/>
      <w:marBottom w:val="60"/>
      <w:divBdr>
        <w:top w:val="none" w:sz="0" w:space="0" w:color="auto"/>
        <w:left w:val="none" w:sz="0" w:space="0" w:color="auto"/>
        <w:bottom w:val="none" w:sz="0" w:space="0" w:color="auto"/>
        <w:right w:val="none" w:sz="0" w:space="0" w:color="auto"/>
      </w:divBdr>
    </w:div>
    <w:div w:id="549267083">
      <w:marLeft w:val="0"/>
      <w:marRight w:val="0"/>
      <w:marTop w:val="0"/>
      <w:marBottom w:val="120"/>
      <w:divBdr>
        <w:top w:val="none" w:sz="0" w:space="0" w:color="auto"/>
        <w:left w:val="none" w:sz="0" w:space="0" w:color="auto"/>
        <w:bottom w:val="none" w:sz="0" w:space="0" w:color="auto"/>
        <w:right w:val="none" w:sz="0" w:space="0" w:color="auto"/>
      </w:divBdr>
    </w:div>
    <w:div w:id="574046912">
      <w:marLeft w:val="0"/>
      <w:marRight w:val="0"/>
      <w:marTop w:val="0"/>
      <w:marBottom w:val="0"/>
      <w:divBdr>
        <w:top w:val="none" w:sz="0" w:space="0" w:color="auto"/>
        <w:left w:val="none" w:sz="0" w:space="0" w:color="auto"/>
        <w:bottom w:val="none" w:sz="0" w:space="0" w:color="auto"/>
        <w:right w:val="none" w:sz="0" w:space="0" w:color="auto"/>
      </w:divBdr>
      <w:divsChild>
        <w:div w:id="1489592014">
          <w:marLeft w:val="0"/>
          <w:marRight w:val="0"/>
          <w:marTop w:val="0"/>
          <w:marBottom w:val="0"/>
          <w:divBdr>
            <w:top w:val="none" w:sz="0" w:space="0" w:color="auto"/>
            <w:left w:val="none" w:sz="0" w:space="0" w:color="auto"/>
            <w:bottom w:val="none" w:sz="0" w:space="0" w:color="auto"/>
            <w:right w:val="none" w:sz="0" w:space="0" w:color="auto"/>
          </w:divBdr>
        </w:div>
      </w:divsChild>
    </w:div>
    <w:div w:id="581178523">
      <w:marLeft w:val="0"/>
      <w:marRight w:val="0"/>
      <w:marTop w:val="0"/>
      <w:marBottom w:val="160"/>
      <w:divBdr>
        <w:top w:val="none" w:sz="0" w:space="0" w:color="auto"/>
        <w:left w:val="none" w:sz="0" w:space="0" w:color="auto"/>
        <w:bottom w:val="none" w:sz="0" w:space="0" w:color="auto"/>
        <w:right w:val="none" w:sz="0" w:space="0" w:color="auto"/>
      </w:divBdr>
    </w:div>
    <w:div w:id="586695308">
      <w:marLeft w:val="0"/>
      <w:marRight w:val="0"/>
      <w:marTop w:val="0"/>
      <w:marBottom w:val="120"/>
      <w:divBdr>
        <w:top w:val="none" w:sz="0" w:space="0" w:color="auto"/>
        <w:left w:val="none" w:sz="0" w:space="0" w:color="auto"/>
        <w:bottom w:val="none" w:sz="0" w:space="0" w:color="auto"/>
        <w:right w:val="none" w:sz="0" w:space="0" w:color="auto"/>
      </w:divBdr>
    </w:div>
    <w:div w:id="593131815">
      <w:marLeft w:val="0"/>
      <w:marRight w:val="0"/>
      <w:marTop w:val="0"/>
      <w:marBottom w:val="0"/>
      <w:divBdr>
        <w:top w:val="none" w:sz="0" w:space="0" w:color="auto"/>
        <w:left w:val="none" w:sz="0" w:space="0" w:color="auto"/>
        <w:bottom w:val="none" w:sz="0" w:space="0" w:color="auto"/>
        <w:right w:val="none" w:sz="0" w:space="0" w:color="auto"/>
      </w:divBdr>
    </w:div>
    <w:div w:id="599489173">
      <w:marLeft w:val="0"/>
      <w:marRight w:val="0"/>
      <w:marTop w:val="0"/>
      <w:marBottom w:val="200"/>
      <w:divBdr>
        <w:top w:val="none" w:sz="0" w:space="0" w:color="auto"/>
        <w:left w:val="none" w:sz="0" w:space="0" w:color="auto"/>
        <w:bottom w:val="none" w:sz="0" w:space="0" w:color="auto"/>
        <w:right w:val="none" w:sz="0" w:space="0" w:color="auto"/>
      </w:divBdr>
    </w:div>
    <w:div w:id="619337807">
      <w:marLeft w:val="0"/>
      <w:marRight w:val="0"/>
      <w:marTop w:val="0"/>
      <w:marBottom w:val="0"/>
      <w:divBdr>
        <w:top w:val="none" w:sz="0" w:space="0" w:color="auto"/>
        <w:left w:val="none" w:sz="0" w:space="0" w:color="auto"/>
        <w:bottom w:val="none" w:sz="0" w:space="0" w:color="auto"/>
        <w:right w:val="none" w:sz="0" w:space="0" w:color="auto"/>
      </w:divBdr>
      <w:divsChild>
        <w:div w:id="1963145341">
          <w:marLeft w:val="0"/>
          <w:marRight w:val="0"/>
          <w:marTop w:val="0"/>
          <w:marBottom w:val="0"/>
          <w:divBdr>
            <w:top w:val="none" w:sz="0" w:space="0" w:color="auto"/>
            <w:left w:val="none" w:sz="0" w:space="0" w:color="auto"/>
            <w:bottom w:val="none" w:sz="0" w:space="0" w:color="auto"/>
            <w:right w:val="none" w:sz="0" w:space="0" w:color="auto"/>
          </w:divBdr>
        </w:div>
      </w:divsChild>
    </w:div>
    <w:div w:id="619650256">
      <w:marLeft w:val="0"/>
      <w:marRight w:val="0"/>
      <w:marTop w:val="0"/>
      <w:marBottom w:val="120"/>
      <w:divBdr>
        <w:top w:val="none" w:sz="0" w:space="0" w:color="auto"/>
        <w:left w:val="none" w:sz="0" w:space="0" w:color="auto"/>
        <w:bottom w:val="none" w:sz="0" w:space="0" w:color="auto"/>
        <w:right w:val="none" w:sz="0" w:space="0" w:color="auto"/>
      </w:divBdr>
    </w:div>
    <w:div w:id="619840476">
      <w:marLeft w:val="0"/>
      <w:marRight w:val="0"/>
      <w:marTop w:val="0"/>
      <w:marBottom w:val="0"/>
      <w:divBdr>
        <w:top w:val="none" w:sz="0" w:space="0" w:color="auto"/>
        <w:left w:val="none" w:sz="0" w:space="0" w:color="auto"/>
        <w:bottom w:val="none" w:sz="0" w:space="0" w:color="auto"/>
        <w:right w:val="none" w:sz="0" w:space="0" w:color="auto"/>
      </w:divBdr>
      <w:divsChild>
        <w:div w:id="1941837359">
          <w:marLeft w:val="0"/>
          <w:marRight w:val="0"/>
          <w:marTop w:val="0"/>
          <w:marBottom w:val="0"/>
          <w:divBdr>
            <w:top w:val="none" w:sz="0" w:space="0" w:color="auto"/>
            <w:left w:val="none" w:sz="0" w:space="0" w:color="auto"/>
            <w:bottom w:val="none" w:sz="0" w:space="0" w:color="auto"/>
            <w:right w:val="none" w:sz="0" w:space="0" w:color="auto"/>
          </w:divBdr>
        </w:div>
      </w:divsChild>
    </w:div>
    <w:div w:id="633602776">
      <w:marLeft w:val="0"/>
      <w:marRight w:val="0"/>
      <w:marTop w:val="0"/>
      <w:marBottom w:val="0"/>
      <w:divBdr>
        <w:top w:val="none" w:sz="0" w:space="0" w:color="auto"/>
        <w:left w:val="none" w:sz="0" w:space="0" w:color="auto"/>
        <w:bottom w:val="none" w:sz="0" w:space="0" w:color="auto"/>
        <w:right w:val="none" w:sz="0" w:space="0" w:color="auto"/>
      </w:divBdr>
    </w:div>
    <w:div w:id="635765576">
      <w:marLeft w:val="0"/>
      <w:marRight w:val="0"/>
      <w:marTop w:val="0"/>
      <w:marBottom w:val="0"/>
      <w:divBdr>
        <w:top w:val="none" w:sz="0" w:space="0" w:color="auto"/>
        <w:left w:val="none" w:sz="0" w:space="0" w:color="auto"/>
        <w:bottom w:val="none" w:sz="0" w:space="0" w:color="auto"/>
        <w:right w:val="none" w:sz="0" w:space="0" w:color="auto"/>
      </w:divBdr>
    </w:div>
    <w:div w:id="644627448">
      <w:marLeft w:val="0"/>
      <w:marRight w:val="0"/>
      <w:marTop w:val="0"/>
      <w:marBottom w:val="120"/>
      <w:divBdr>
        <w:top w:val="none" w:sz="0" w:space="0" w:color="auto"/>
        <w:left w:val="none" w:sz="0" w:space="0" w:color="auto"/>
        <w:bottom w:val="none" w:sz="0" w:space="0" w:color="auto"/>
        <w:right w:val="none" w:sz="0" w:space="0" w:color="auto"/>
      </w:divBdr>
    </w:div>
    <w:div w:id="647244568">
      <w:marLeft w:val="0"/>
      <w:marRight w:val="0"/>
      <w:marTop w:val="0"/>
      <w:marBottom w:val="0"/>
      <w:divBdr>
        <w:top w:val="none" w:sz="0" w:space="0" w:color="auto"/>
        <w:left w:val="none" w:sz="0" w:space="0" w:color="auto"/>
        <w:bottom w:val="none" w:sz="0" w:space="0" w:color="auto"/>
        <w:right w:val="none" w:sz="0" w:space="0" w:color="auto"/>
      </w:divBdr>
    </w:div>
    <w:div w:id="662975040">
      <w:marLeft w:val="0"/>
      <w:marRight w:val="0"/>
      <w:marTop w:val="0"/>
      <w:marBottom w:val="0"/>
      <w:divBdr>
        <w:top w:val="none" w:sz="0" w:space="0" w:color="auto"/>
        <w:left w:val="none" w:sz="0" w:space="0" w:color="auto"/>
        <w:bottom w:val="none" w:sz="0" w:space="0" w:color="auto"/>
        <w:right w:val="none" w:sz="0" w:space="0" w:color="auto"/>
      </w:divBdr>
      <w:divsChild>
        <w:div w:id="1335959455">
          <w:marLeft w:val="0"/>
          <w:marRight w:val="0"/>
          <w:marTop w:val="0"/>
          <w:marBottom w:val="0"/>
          <w:divBdr>
            <w:top w:val="none" w:sz="0" w:space="0" w:color="auto"/>
            <w:left w:val="none" w:sz="0" w:space="0" w:color="auto"/>
            <w:bottom w:val="none" w:sz="0" w:space="0" w:color="auto"/>
            <w:right w:val="none" w:sz="0" w:space="0" w:color="auto"/>
          </w:divBdr>
        </w:div>
      </w:divsChild>
    </w:div>
    <w:div w:id="664476725">
      <w:marLeft w:val="0"/>
      <w:marRight w:val="0"/>
      <w:marTop w:val="0"/>
      <w:marBottom w:val="60"/>
      <w:divBdr>
        <w:top w:val="none" w:sz="0" w:space="0" w:color="auto"/>
        <w:left w:val="none" w:sz="0" w:space="0" w:color="auto"/>
        <w:bottom w:val="none" w:sz="0" w:space="0" w:color="auto"/>
        <w:right w:val="none" w:sz="0" w:space="0" w:color="auto"/>
      </w:divBdr>
    </w:div>
    <w:div w:id="680620301">
      <w:marLeft w:val="0"/>
      <w:marRight w:val="0"/>
      <w:marTop w:val="0"/>
      <w:marBottom w:val="0"/>
      <w:divBdr>
        <w:top w:val="none" w:sz="0" w:space="0" w:color="auto"/>
        <w:left w:val="none" w:sz="0" w:space="0" w:color="auto"/>
        <w:bottom w:val="none" w:sz="0" w:space="0" w:color="auto"/>
        <w:right w:val="none" w:sz="0" w:space="0" w:color="auto"/>
      </w:divBdr>
    </w:div>
    <w:div w:id="683677060">
      <w:marLeft w:val="0"/>
      <w:marRight w:val="0"/>
      <w:marTop w:val="0"/>
      <w:marBottom w:val="240"/>
      <w:divBdr>
        <w:top w:val="none" w:sz="0" w:space="0" w:color="auto"/>
        <w:left w:val="none" w:sz="0" w:space="0" w:color="auto"/>
        <w:bottom w:val="none" w:sz="0" w:space="0" w:color="auto"/>
        <w:right w:val="none" w:sz="0" w:space="0" w:color="auto"/>
      </w:divBdr>
    </w:div>
    <w:div w:id="68533199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
      </w:divsChild>
    </w:div>
    <w:div w:id="697319697">
      <w:marLeft w:val="0"/>
      <w:marRight w:val="0"/>
      <w:marTop w:val="0"/>
      <w:marBottom w:val="0"/>
      <w:divBdr>
        <w:top w:val="none" w:sz="0" w:space="0" w:color="auto"/>
        <w:left w:val="none" w:sz="0" w:space="0" w:color="auto"/>
        <w:bottom w:val="none" w:sz="0" w:space="0" w:color="auto"/>
        <w:right w:val="none" w:sz="0" w:space="0" w:color="auto"/>
      </w:divBdr>
      <w:divsChild>
        <w:div w:id="1817457755">
          <w:marLeft w:val="0"/>
          <w:marRight w:val="0"/>
          <w:marTop w:val="0"/>
          <w:marBottom w:val="0"/>
          <w:divBdr>
            <w:top w:val="none" w:sz="0" w:space="0" w:color="auto"/>
            <w:left w:val="none" w:sz="0" w:space="0" w:color="auto"/>
            <w:bottom w:val="none" w:sz="0" w:space="0" w:color="auto"/>
            <w:right w:val="none" w:sz="0" w:space="0" w:color="auto"/>
          </w:divBdr>
        </w:div>
      </w:divsChild>
    </w:div>
    <w:div w:id="705182642">
      <w:marLeft w:val="0"/>
      <w:marRight w:val="0"/>
      <w:marTop w:val="0"/>
      <w:marBottom w:val="0"/>
      <w:divBdr>
        <w:top w:val="none" w:sz="0" w:space="0" w:color="auto"/>
        <w:left w:val="none" w:sz="0" w:space="0" w:color="auto"/>
        <w:bottom w:val="none" w:sz="0" w:space="0" w:color="auto"/>
        <w:right w:val="none" w:sz="0" w:space="0" w:color="auto"/>
      </w:divBdr>
      <w:divsChild>
        <w:div w:id="1813907284">
          <w:marLeft w:val="0"/>
          <w:marRight w:val="0"/>
          <w:marTop w:val="0"/>
          <w:marBottom w:val="0"/>
          <w:divBdr>
            <w:top w:val="none" w:sz="0" w:space="0" w:color="auto"/>
            <w:left w:val="none" w:sz="0" w:space="0" w:color="auto"/>
            <w:bottom w:val="none" w:sz="0" w:space="0" w:color="auto"/>
            <w:right w:val="none" w:sz="0" w:space="0" w:color="auto"/>
          </w:divBdr>
        </w:div>
      </w:divsChild>
    </w:div>
    <w:div w:id="711459224">
      <w:marLeft w:val="0"/>
      <w:marRight w:val="0"/>
      <w:marTop w:val="0"/>
      <w:marBottom w:val="120"/>
      <w:divBdr>
        <w:top w:val="none" w:sz="0" w:space="0" w:color="auto"/>
        <w:left w:val="none" w:sz="0" w:space="0" w:color="auto"/>
        <w:bottom w:val="none" w:sz="0" w:space="0" w:color="auto"/>
        <w:right w:val="none" w:sz="0" w:space="0" w:color="auto"/>
      </w:divBdr>
    </w:div>
    <w:div w:id="712192271">
      <w:marLeft w:val="0"/>
      <w:marRight w:val="0"/>
      <w:marTop w:val="0"/>
      <w:marBottom w:val="120"/>
      <w:divBdr>
        <w:top w:val="none" w:sz="0" w:space="0" w:color="auto"/>
        <w:left w:val="none" w:sz="0" w:space="0" w:color="auto"/>
        <w:bottom w:val="none" w:sz="0" w:space="0" w:color="auto"/>
        <w:right w:val="none" w:sz="0" w:space="0" w:color="auto"/>
      </w:divBdr>
    </w:div>
    <w:div w:id="712727080">
      <w:marLeft w:val="0"/>
      <w:marRight w:val="0"/>
      <w:marTop w:val="0"/>
      <w:marBottom w:val="0"/>
      <w:divBdr>
        <w:top w:val="none" w:sz="0" w:space="0" w:color="auto"/>
        <w:left w:val="none" w:sz="0" w:space="0" w:color="auto"/>
        <w:bottom w:val="none" w:sz="0" w:space="0" w:color="auto"/>
        <w:right w:val="none" w:sz="0" w:space="0" w:color="auto"/>
      </w:divBdr>
      <w:divsChild>
        <w:div w:id="2054423703">
          <w:marLeft w:val="0"/>
          <w:marRight w:val="0"/>
          <w:marTop w:val="0"/>
          <w:marBottom w:val="0"/>
          <w:divBdr>
            <w:top w:val="none" w:sz="0" w:space="0" w:color="auto"/>
            <w:left w:val="none" w:sz="0" w:space="0" w:color="auto"/>
            <w:bottom w:val="none" w:sz="0" w:space="0" w:color="auto"/>
            <w:right w:val="none" w:sz="0" w:space="0" w:color="auto"/>
          </w:divBdr>
        </w:div>
      </w:divsChild>
    </w:div>
    <w:div w:id="716665801">
      <w:marLeft w:val="0"/>
      <w:marRight w:val="0"/>
      <w:marTop w:val="0"/>
      <w:marBottom w:val="0"/>
      <w:divBdr>
        <w:top w:val="none" w:sz="0" w:space="0" w:color="auto"/>
        <w:left w:val="none" w:sz="0" w:space="0" w:color="auto"/>
        <w:bottom w:val="none" w:sz="0" w:space="0" w:color="auto"/>
        <w:right w:val="none" w:sz="0" w:space="0" w:color="auto"/>
      </w:divBdr>
      <w:divsChild>
        <w:div w:id="1824543157">
          <w:marLeft w:val="0"/>
          <w:marRight w:val="0"/>
          <w:marTop w:val="0"/>
          <w:marBottom w:val="0"/>
          <w:divBdr>
            <w:top w:val="none" w:sz="0" w:space="0" w:color="auto"/>
            <w:left w:val="none" w:sz="0" w:space="0" w:color="auto"/>
            <w:bottom w:val="none" w:sz="0" w:space="0" w:color="auto"/>
            <w:right w:val="none" w:sz="0" w:space="0" w:color="auto"/>
          </w:divBdr>
        </w:div>
      </w:divsChild>
    </w:div>
    <w:div w:id="718747094">
      <w:marLeft w:val="0"/>
      <w:marRight w:val="0"/>
      <w:marTop w:val="0"/>
      <w:marBottom w:val="120"/>
      <w:divBdr>
        <w:top w:val="none" w:sz="0" w:space="0" w:color="auto"/>
        <w:left w:val="none" w:sz="0" w:space="0" w:color="auto"/>
        <w:bottom w:val="none" w:sz="0" w:space="0" w:color="auto"/>
        <w:right w:val="none" w:sz="0" w:space="0" w:color="auto"/>
      </w:divBdr>
    </w:div>
    <w:div w:id="722290393">
      <w:marLeft w:val="0"/>
      <w:marRight w:val="0"/>
      <w:marTop w:val="0"/>
      <w:marBottom w:val="0"/>
      <w:divBdr>
        <w:top w:val="none" w:sz="0" w:space="0" w:color="auto"/>
        <w:left w:val="none" w:sz="0" w:space="0" w:color="auto"/>
        <w:bottom w:val="none" w:sz="0" w:space="0" w:color="auto"/>
        <w:right w:val="none" w:sz="0" w:space="0" w:color="auto"/>
      </w:divBdr>
    </w:div>
    <w:div w:id="731778103">
      <w:marLeft w:val="0"/>
      <w:marRight w:val="0"/>
      <w:marTop w:val="0"/>
      <w:marBottom w:val="0"/>
      <w:divBdr>
        <w:top w:val="none" w:sz="0" w:space="0" w:color="auto"/>
        <w:left w:val="none" w:sz="0" w:space="0" w:color="auto"/>
        <w:bottom w:val="none" w:sz="0" w:space="0" w:color="auto"/>
        <w:right w:val="none" w:sz="0" w:space="0" w:color="auto"/>
      </w:divBdr>
      <w:divsChild>
        <w:div w:id="112942881">
          <w:marLeft w:val="0"/>
          <w:marRight w:val="0"/>
          <w:marTop w:val="0"/>
          <w:marBottom w:val="0"/>
          <w:divBdr>
            <w:top w:val="none" w:sz="0" w:space="0" w:color="auto"/>
            <w:left w:val="none" w:sz="0" w:space="0" w:color="auto"/>
            <w:bottom w:val="none" w:sz="0" w:space="0" w:color="auto"/>
            <w:right w:val="none" w:sz="0" w:space="0" w:color="auto"/>
          </w:divBdr>
        </w:div>
      </w:divsChild>
    </w:div>
    <w:div w:id="732434398">
      <w:marLeft w:val="0"/>
      <w:marRight w:val="0"/>
      <w:marTop w:val="0"/>
      <w:marBottom w:val="120"/>
      <w:divBdr>
        <w:top w:val="none" w:sz="0" w:space="0" w:color="auto"/>
        <w:left w:val="none" w:sz="0" w:space="0" w:color="auto"/>
        <w:bottom w:val="none" w:sz="0" w:space="0" w:color="auto"/>
        <w:right w:val="none" w:sz="0" w:space="0" w:color="auto"/>
      </w:divBdr>
    </w:div>
    <w:div w:id="743530231">
      <w:marLeft w:val="0"/>
      <w:marRight w:val="0"/>
      <w:marTop w:val="0"/>
      <w:marBottom w:val="0"/>
      <w:divBdr>
        <w:top w:val="none" w:sz="0" w:space="0" w:color="auto"/>
        <w:left w:val="none" w:sz="0" w:space="0" w:color="auto"/>
        <w:bottom w:val="none" w:sz="0" w:space="0" w:color="auto"/>
        <w:right w:val="none" w:sz="0" w:space="0" w:color="auto"/>
      </w:divBdr>
      <w:divsChild>
        <w:div w:id="41246474">
          <w:marLeft w:val="0"/>
          <w:marRight w:val="0"/>
          <w:marTop w:val="0"/>
          <w:marBottom w:val="0"/>
          <w:divBdr>
            <w:top w:val="none" w:sz="0" w:space="0" w:color="auto"/>
            <w:left w:val="none" w:sz="0" w:space="0" w:color="auto"/>
            <w:bottom w:val="none" w:sz="0" w:space="0" w:color="auto"/>
            <w:right w:val="none" w:sz="0" w:space="0" w:color="auto"/>
          </w:divBdr>
        </w:div>
      </w:divsChild>
    </w:div>
    <w:div w:id="752746605">
      <w:marLeft w:val="0"/>
      <w:marRight w:val="0"/>
      <w:marTop w:val="240"/>
      <w:marBottom w:val="0"/>
      <w:divBdr>
        <w:top w:val="none" w:sz="0" w:space="0" w:color="auto"/>
        <w:left w:val="none" w:sz="0" w:space="0" w:color="auto"/>
        <w:bottom w:val="none" w:sz="0" w:space="0" w:color="auto"/>
        <w:right w:val="none" w:sz="0" w:space="0" w:color="auto"/>
      </w:divBdr>
    </w:div>
    <w:div w:id="753011729">
      <w:marLeft w:val="0"/>
      <w:marRight w:val="0"/>
      <w:marTop w:val="0"/>
      <w:marBottom w:val="0"/>
      <w:divBdr>
        <w:top w:val="none" w:sz="0" w:space="0" w:color="auto"/>
        <w:left w:val="none" w:sz="0" w:space="0" w:color="auto"/>
        <w:bottom w:val="none" w:sz="0" w:space="0" w:color="auto"/>
        <w:right w:val="none" w:sz="0" w:space="0" w:color="auto"/>
      </w:divBdr>
    </w:div>
    <w:div w:id="758328242">
      <w:marLeft w:val="0"/>
      <w:marRight w:val="0"/>
      <w:marTop w:val="0"/>
      <w:marBottom w:val="0"/>
      <w:divBdr>
        <w:top w:val="none" w:sz="0" w:space="0" w:color="auto"/>
        <w:left w:val="none" w:sz="0" w:space="0" w:color="auto"/>
        <w:bottom w:val="none" w:sz="0" w:space="0" w:color="auto"/>
        <w:right w:val="none" w:sz="0" w:space="0" w:color="auto"/>
      </w:divBdr>
      <w:divsChild>
        <w:div w:id="1898856654">
          <w:marLeft w:val="0"/>
          <w:marRight w:val="0"/>
          <w:marTop w:val="0"/>
          <w:marBottom w:val="0"/>
          <w:divBdr>
            <w:top w:val="none" w:sz="0" w:space="0" w:color="auto"/>
            <w:left w:val="none" w:sz="0" w:space="0" w:color="auto"/>
            <w:bottom w:val="none" w:sz="0" w:space="0" w:color="auto"/>
            <w:right w:val="none" w:sz="0" w:space="0" w:color="auto"/>
          </w:divBdr>
        </w:div>
      </w:divsChild>
    </w:div>
    <w:div w:id="764231031">
      <w:marLeft w:val="0"/>
      <w:marRight w:val="0"/>
      <w:marTop w:val="120"/>
      <w:marBottom w:val="0"/>
      <w:divBdr>
        <w:top w:val="none" w:sz="0" w:space="0" w:color="auto"/>
        <w:left w:val="none" w:sz="0" w:space="0" w:color="auto"/>
        <w:bottom w:val="none" w:sz="0" w:space="0" w:color="auto"/>
        <w:right w:val="none" w:sz="0" w:space="0" w:color="auto"/>
      </w:divBdr>
    </w:div>
    <w:div w:id="773982802">
      <w:marLeft w:val="0"/>
      <w:marRight w:val="0"/>
      <w:marTop w:val="0"/>
      <w:marBottom w:val="120"/>
      <w:divBdr>
        <w:top w:val="none" w:sz="0" w:space="0" w:color="auto"/>
        <w:left w:val="none" w:sz="0" w:space="0" w:color="auto"/>
        <w:bottom w:val="none" w:sz="0" w:space="0" w:color="auto"/>
        <w:right w:val="none" w:sz="0" w:space="0" w:color="auto"/>
      </w:divBdr>
    </w:div>
    <w:div w:id="784887047">
      <w:marLeft w:val="0"/>
      <w:marRight w:val="0"/>
      <w:marTop w:val="0"/>
      <w:marBottom w:val="120"/>
      <w:divBdr>
        <w:top w:val="none" w:sz="0" w:space="0" w:color="auto"/>
        <w:left w:val="none" w:sz="0" w:space="0" w:color="auto"/>
        <w:bottom w:val="none" w:sz="0" w:space="0" w:color="auto"/>
        <w:right w:val="none" w:sz="0" w:space="0" w:color="auto"/>
      </w:divBdr>
    </w:div>
    <w:div w:id="788739803">
      <w:marLeft w:val="0"/>
      <w:marRight w:val="0"/>
      <w:marTop w:val="0"/>
      <w:marBottom w:val="0"/>
      <w:divBdr>
        <w:top w:val="none" w:sz="0" w:space="0" w:color="auto"/>
        <w:left w:val="none" w:sz="0" w:space="0" w:color="auto"/>
        <w:bottom w:val="none" w:sz="0" w:space="0" w:color="auto"/>
        <w:right w:val="none" w:sz="0" w:space="0" w:color="auto"/>
      </w:divBdr>
      <w:divsChild>
        <w:div w:id="848636125">
          <w:marLeft w:val="0"/>
          <w:marRight w:val="0"/>
          <w:marTop w:val="0"/>
          <w:marBottom w:val="0"/>
          <w:divBdr>
            <w:top w:val="none" w:sz="0" w:space="0" w:color="auto"/>
            <w:left w:val="none" w:sz="0" w:space="0" w:color="auto"/>
            <w:bottom w:val="none" w:sz="0" w:space="0" w:color="auto"/>
            <w:right w:val="none" w:sz="0" w:space="0" w:color="auto"/>
          </w:divBdr>
        </w:div>
      </w:divsChild>
    </w:div>
    <w:div w:id="795222743">
      <w:marLeft w:val="0"/>
      <w:marRight w:val="0"/>
      <w:marTop w:val="120"/>
      <w:marBottom w:val="0"/>
      <w:divBdr>
        <w:top w:val="none" w:sz="0" w:space="0" w:color="auto"/>
        <w:left w:val="none" w:sz="0" w:space="0" w:color="auto"/>
        <w:bottom w:val="none" w:sz="0" w:space="0" w:color="auto"/>
        <w:right w:val="none" w:sz="0" w:space="0" w:color="auto"/>
      </w:divBdr>
    </w:div>
    <w:div w:id="797143689">
      <w:marLeft w:val="0"/>
      <w:marRight w:val="0"/>
      <w:marTop w:val="0"/>
      <w:marBottom w:val="0"/>
      <w:divBdr>
        <w:top w:val="none" w:sz="0" w:space="0" w:color="auto"/>
        <w:left w:val="none" w:sz="0" w:space="0" w:color="auto"/>
        <w:bottom w:val="none" w:sz="0" w:space="0" w:color="auto"/>
        <w:right w:val="none" w:sz="0" w:space="0" w:color="auto"/>
      </w:divBdr>
      <w:divsChild>
        <w:div w:id="2020424993">
          <w:marLeft w:val="0"/>
          <w:marRight w:val="0"/>
          <w:marTop w:val="0"/>
          <w:marBottom w:val="0"/>
          <w:divBdr>
            <w:top w:val="none" w:sz="0" w:space="0" w:color="auto"/>
            <w:left w:val="none" w:sz="0" w:space="0" w:color="auto"/>
            <w:bottom w:val="none" w:sz="0" w:space="0" w:color="auto"/>
            <w:right w:val="none" w:sz="0" w:space="0" w:color="auto"/>
          </w:divBdr>
          <w:divsChild>
            <w:div w:id="15608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9758">
      <w:marLeft w:val="0"/>
      <w:marRight w:val="0"/>
      <w:marTop w:val="0"/>
      <w:marBottom w:val="0"/>
      <w:divBdr>
        <w:top w:val="none" w:sz="0" w:space="0" w:color="auto"/>
        <w:left w:val="none" w:sz="0" w:space="0" w:color="auto"/>
        <w:bottom w:val="none" w:sz="0" w:space="0" w:color="auto"/>
        <w:right w:val="none" w:sz="0" w:space="0" w:color="auto"/>
      </w:divBdr>
    </w:div>
    <w:div w:id="811099780">
      <w:marLeft w:val="0"/>
      <w:marRight w:val="0"/>
      <w:marTop w:val="0"/>
      <w:marBottom w:val="120"/>
      <w:divBdr>
        <w:top w:val="none" w:sz="0" w:space="0" w:color="auto"/>
        <w:left w:val="none" w:sz="0" w:space="0" w:color="auto"/>
        <w:bottom w:val="none" w:sz="0" w:space="0" w:color="auto"/>
        <w:right w:val="none" w:sz="0" w:space="0" w:color="auto"/>
      </w:divBdr>
    </w:div>
    <w:div w:id="824976380">
      <w:marLeft w:val="0"/>
      <w:marRight w:val="0"/>
      <w:marTop w:val="0"/>
      <w:marBottom w:val="0"/>
      <w:divBdr>
        <w:top w:val="none" w:sz="0" w:space="0" w:color="auto"/>
        <w:left w:val="none" w:sz="0" w:space="0" w:color="auto"/>
        <w:bottom w:val="none" w:sz="0" w:space="0" w:color="auto"/>
        <w:right w:val="none" w:sz="0" w:space="0" w:color="auto"/>
      </w:divBdr>
      <w:divsChild>
        <w:div w:id="1405175901">
          <w:marLeft w:val="0"/>
          <w:marRight w:val="0"/>
          <w:marTop w:val="0"/>
          <w:marBottom w:val="0"/>
          <w:divBdr>
            <w:top w:val="none" w:sz="0" w:space="0" w:color="auto"/>
            <w:left w:val="none" w:sz="0" w:space="0" w:color="auto"/>
            <w:bottom w:val="none" w:sz="0" w:space="0" w:color="auto"/>
            <w:right w:val="none" w:sz="0" w:space="0" w:color="auto"/>
          </w:divBdr>
        </w:div>
      </w:divsChild>
    </w:div>
    <w:div w:id="835919121">
      <w:marLeft w:val="0"/>
      <w:marRight w:val="0"/>
      <w:marTop w:val="0"/>
      <w:marBottom w:val="0"/>
      <w:divBdr>
        <w:top w:val="none" w:sz="0" w:space="0" w:color="auto"/>
        <w:left w:val="none" w:sz="0" w:space="0" w:color="auto"/>
        <w:bottom w:val="none" w:sz="0" w:space="0" w:color="auto"/>
        <w:right w:val="none" w:sz="0" w:space="0" w:color="auto"/>
      </w:divBdr>
      <w:divsChild>
        <w:div w:id="986936086">
          <w:marLeft w:val="0"/>
          <w:marRight w:val="0"/>
          <w:marTop w:val="0"/>
          <w:marBottom w:val="0"/>
          <w:divBdr>
            <w:top w:val="none" w:sz="0" w:space="0" w:color="auto"/>
            <w:left w:val="none" w:sz="0" w:space="0" w:color="auto"/>
            <w:bottom w:val="none" w:sz="0" w:space="0" w:color="auto"/>
            <w:right w:val="none" w:sz="0" w:space="0" w:color="auto"/>
          </w:divBdr>
        </w:div>
      </w:divsChild>
    </w:div>
    <w:div w:id="849177654">
      <w:marLeft w:val="0"/>
      <w:marRight w:val="0"/>
      <w:marTop w:val="0"/>
      <w:marBottom w:val="120"/>
      <w:divBdr>
        <w:top w:val="none" w:sz="0" w:space="0" w:color="auto"/>
        <w:left w:val="none" w:sz="0" w:space="0" w:color="auto"/>
        <w:bottom w:val="none" w:sz="0" w:space="0" w:color="auto"/>
        <w:right w:val="none" w:sz="0" w:space="0" w:color="auto"/>
      </w:divBdr>
    </w:div>
    <w:div w:id="851186809">
      <w:marLeft w:val="0"/>
      <w:marRight w:val="0"/>
      <w:marTop w:val="0"/>
      <w:marBottom w:val="0"/>
      <w:divBdr>
        <w:top w:val="none" w:sz="0" w:space="0" w:color="auto"/>
        <w:left w:val="none" w:sz="0" w:space="0" w:color="auto"/>
        <w:bottom w:val="none" w:sz="0" w:space="0" w:color="auto"/>
        <w:right w:val="none" w:sz="0" w:space="0" w:color="auto"/>
      </w:divBdr>
      <w:divsChild>
        <w:div w:id="65077910">
          <w:marLeft w:val="0"/>
          <w:marRight w:val="0"/>
          <w:marTop w:val="0"/>
          <w:marBottom w:val="0"/>
          <w:divBdr>
            <w:top w:val="none" w:sz="0" w:space="0" w:color="auto"/>
            <w:left w:val="none" w:sz="0" w:space="0" w:color="auto"/>
            <w:bottom w:val="none" w:sz="0" w:space="0" w:color="auto"/>
            <w:right w:val="none" w:sz="0" w:space="0" w:color="auto"/>
          </w:divBdr>
        </w:div>
      </w:divsChild>
    </w:div>
    <w:div w:id="856042020">
      <w:marLeft w:val="0"/>
      <w:marRight w:val="0"/>
      <w:marTop w:val="0"/>
      <w:marBottom w:val="0"/>
      <w:divBdr>
        <w:top w:val="none" w:sz="0" w:space="0" w:color="auto"/>
        <w:left w:val="none" w:sz="0" w:space="0" w:color="auto"/>
        <w:bottom w:val="none" w:sz="0" w:space="0" w:color="auto"/>
        <w:right w:val="none" w:sz="0" w:space="0" w:color="auto"/>
      </w:divBdr>
      <w:divsChild>
        <w:div w:id="1373336602">
          <w:marLeft w:val="0"/>
          <w:marRight w:val="0"/>
          <w:marTop w:val="0"/>
          <w:marBottom w:val="0"/>
          <w:divBdr>
            <w:top w:val="none" w:sz="0" w:space="0" w:color="auto"/>
            <w:left w:val="none" w:sz="0" w:space="0" w:color="auto"/>
            <w:bottom w:val="none" w:sz="0" w:space="0" w:color="auto"/>
            <w:right w:val="none" w:sz="0" w:space="0" w:color="auto"/>
          </w:divBdr>
        </w:div>
      </w:divsChild>
    </w:div>
    <w:div w:id="856163359">
      <w:marLeft w:val="0"/>
      <w:marRight w:val="0"/>
      <w:marTop w:val="0"/>
      <w:marBottom w:val="60"/>
      <w:divBdr>
        <w:top w:val="none" w:sz="0" w:space="0" w:color="auto"/>
        <w:left w:val="none" w:sz="0" w:space="0" w:color="auto"/>
        <w:bottom w:val="none" w:sz="0" w:space="0" w:color="auto"/>
        <w:right w:val="none" w:sz="0" w:space="0" w:color="auto"/>
      </w:divBdr>
    </w:div>
    <w:div w:id="868026160">
      <w:marLeft w:val="0"/>
      <w:marRight w:val="0"/>
      <w:marTop w:val="0"/>
      <w:marBottom w:val="0"/>
      <w:divBdr>
        <w:top w:val="none" w:sz="0" w:space="0" w:color="auto"/>
        <w:left w:val="none" w:sz="0" w:space="0" w:color="auto"/>
        <w:bottom w:val="none" w:sz="0" w:space="0" w:color="auto"/>
        <w:right w:val="none" w:sz="0" w:space="0" w:color="auto"/>
      </w:divBdr>
      <w:divsChild>
        <w:div w:id="22823421">
          <w:marLeft w:val="0"/>
          <w:marRight w:val="0"/>
          <w:marTop w:val="0"/>
          <w:marBottom w:val="0"/>
          <w:divBdr>
            <w:top w:val="none" w:sz="0" w:space="0" w:color="auto"/>
            <w:left w:val="none" w:sz="0" w:space="0" w:color="auto"/>
            <w:bottom w:val="none" w:sz="0" w:space="0" w:color="auto"/>
            <w:right w:val="none" w:sz="0" w:space="0" w:color="auto"/>
          </w:divBdr>
        </w:div>
      </w:divsChild>
    </w:div>
    <w:div w:id="870873275">
      <w:marLeft w:val="0"/>
      <w:marRight w:val="0"/>
      <w:marTop w:val="0"/>
      <w:marBottom w:val="0"/>
      <w:divBdr>
        <w:top w:val="none" w:sz="0" w:space="0" w:color="auto"/>
        <w:left w:val="none" w:sz="0" w:space="0" w:color="auto"/>
        <w:bottom w:val="none" w:sz="0" w:space="0" w:color="auto"/>
        <w:right w:val="none" w:sz="0" w:space="0" w:color="auto"/>
      </w:divBdr>
      <w:divsChild>
        <w:div w:id="347105479">
          <w:marLeft w:val="0"/>
          <w:marRight w:val="0"/>
          <w:marTop w:val="0"/>
          <w:marBottom w:val="0"/>
          <w:divBdr>
            <w:top w:val="none" w:sz="0" w:space="0" w:color="auto"/>
            <w:left w:val="none" w:sz="0" w:space="0" w:color="auto"/>
            <w:bottom w:val="none" w:sz="0" w:space="0" w:color="auto"/>
            <w:right w:val="none" w:sz="0" w:space="0" w:color="auto"/>
          </w:divBdr>
        </w:div>
      </w:divsChild>
    </w:div>
    <w:div w:id="880556526">
      <w:marLeft w:val="0"/>
      <w:marRight w:val="0"/>
      <w:marTop w:val="0"/>
      <w:marBottom w:val="0"/>
      <w:divBdr>
        <w:top w:val="none" w:sz="0" w:space="0" w:color="auto"/>
        <w:left w:val="none" w:sz="0" w:space="0" w:color="auto"/>
        <w:bottom w:val="none" w:sz="0" w:space="0" w:color="auto"/>
        <w:right w:val="none" w:sz="0" w:space="0" w:color="auto"/>
      </w:divBdr>
    </w:div>
    <w:div w:id="882211974">
      <w:marLeft w:val="0"/>
      <w:marRight w:val="0"/>
      <w:marTop w:val="0"/>
      <w:marBottom w:val="60"/>
      <w:divBdr>
        <w:top w:val="none" w:sz="0" w:space="0" w:color="auto"/>
        <w:left w:val="none" w:sz="0" w:space="0" w:color="auto"/>
        <w:bottom w:val="none" w:sz="0" w:space="0" w:color="auto"/>
        <w:right w:val="none" w:sz="0" w:space="0" w:color="auto"/>
      </w:divBdr>
    </w:div>
    <w:div w:id="885988001">
      <w:marLeft w:val="0"/>
      <w:marRight w:val="0"/>
      <w:marTop w:val="0"/>
      <w:marBottom w:val="0"/>
      <w:divBdr>
        <w:top w:val="none" w:sz="0" w:space="0" w:color="auto"/>
        <w:left w:val="none" w:sz="0" w:space="0" w:color="auto"/>
        <w:bottom w:val="none" w:sz="0" w:space="0" w:color="auto"/>
        <w:right w:val="none" w:sz="0" w:space="0" w:color="auto"/>
      </w:divBdr>
      <w:divsChild>
        <w:div w:id="427432316">
          <w:marLeft w:val="0"/>
          <w:marRight w:val="0"/>
          <w:marTop w:val="0"/>
          <w:marBottom w:val="0"/>
          <w:divBdr>
            <w:top w:val="none" w:sz="0" w:space="0" w:color="auto"/>
            <w:left w:val="none" w:sz="0" w:space="0" w:color="auto"/>
            <w:bottom w:val="none" w:sz="0" w:space="0" w:color="auto"/>
            <w:right w:val="none" w:sz="0" w:space="0" w:color="auto"/>
          </w:divBdr>
          <w:divsChild>
            <w:div w:id="4278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6077">
      <w:marLeft w:val="0"/>
      <w:marRight w:val="0"/>
      <w:marTop w:val="0"/>
      <w:marBottom w:val="0"/>
      <w:divBdr>
        <w:top w:val="none" w:sz="0" w:space="0" w:color="auto"/>
        <w:left w:val="none" w:sz="0" w:space="0" w:color="auto"/>
        <w:bottom w:val="none" w:sz="0" w:space="0" w:color="auto"/>
        <w:right w:val="none" w:sz="0" w:space="0" w:color="auto"/>
      </w:divBdr>
    </w:div>
    <w:div w:id="900989350">
      <w:marLeft w:val="0"/>
      <w:marRight w:val="0"/>
      <w:marTop w:val="0"/>
      <w:marBottom w:val="0"/>
      <w:divBdr>
        <w:top w:val="none" w:sz="0" w:space="0" w:color="auto"/>
        <w:left w:val="none" w:sz="0" w:space="0" w:color="auto"/>
        <w:bottom w:val="none" w:sz="0" w:space="0" w:color="auto"/>
        <w:right w:val="none" w:sz="0" w:space="0" w:color="auto"/>
      </w:divBdr>
    </w:div>
    <w:div w:id="903030927">
      <w:marLeft w:val="0"/>
      <w:marRight w:val="0"/>
      <w:marTop w:val="0"/>
      <w:marBottom w:val="60"/>
      <w:divBdr>
        <w:top w:val="none" w:sz="0" w:space="0" w:color="auto"/>
        <w:left w:val="none" w:sz="0" w:space="0" w:color="auto"/>
        <w:bottom w:val="none" w:sz="0" w:space="0" w:color="auto"/>
        <w:right w:val="none" w:sz="0" w:space="0" w:color="auto"/>
      </w:divBdr>
    </w:div>
    <w:div w:id="908878361">
      <w:marLeft w:val="0"/>
      <w:marRight w:val="0"/>
      <w:marTop w:val="0"/>
      <w:marBottom w:val="0"/>
      <w:divBdr>
        <w:top w:val="none" w:sz="0" w:space="0" w:color="auto"/>
        <w:left w:val="none" w:sz="0" w:space="0" w:color="auto"/>
        <w:bottom w:val="none" w:sz="0" w:space="0" w:color="auto"/>
        <w:right w:val="none" w:sz="0" w:space="0" w:color="auto"/>
      </w:divBdr>
      <w:divsChild>
        <w:div w:id="1433472142">
          <w:marLeft w:val="0"/>
          <w:marRight w:val="0"/>
          <w:marTop w:val="0"/>
          <w:marBottom w:val="0"/>
          <w:divBdr>
            <w:top w:val="none" w:sz="0" w:space="0" w:color="auto"/>
            <w:left w:val="none" w:sz="0" w:space="0" w:color="auto"/>
            <w:bottom w:val="none" w:sz="0" w:space="0" w:color="auto"/>
            <w:right w:val="none" w:sz="0" w:space="0" w:color="auto"/>
          </w:divBdr>
        </w:div>
      </w:divsChild>
    </w:div>
    <w:div w:id="919405332">
      <w:marLeft w:val="0"/>
      <w:marRight w:val="0"/>
      <w:marTop w:val="0"/>
      <w:marBottom w:val="0"/>
      <w:divBdr>
        <w:top w:val="none" w:sz="0" w:space="0" w:color="auto"/>
        <w:left w:val="none" w:sz="0" w:space="0" w:color="auto"/>
        <w:bottom w:val="none" w:sz="0" w:space="0" w:color="auto"/>
        <w:right w:val="none" w:sz="0" w:space="0" w:color="auto"/>
      </w:divBdr>
    </w:div>
    <w:div w:id="953094167">
      <w:marLeft w:val="0"/>
      <w:marRight w:val="0"/>
      <w:marTop w:val="0"/>
      <w:marBottom w:val="0"/>
      <w:divBdr>
        <w:top w:val="none" w:sz="0" w:space="0" w:color="auto"/>
        <w:left w:val="none" w:sz="0" w:space="0" w:color="auto"/>
        <w:bottom w:val="none" w:sz="0" w:space="0" w:color="auto"/>
        <w:right w:val="none" w:sz="0" w:space="0" w:color="auto"/>
      </w:divBdr>
      <w:divsChild>
        <w:div w:id="112798291">
          <w:marLeft w:val="0"/>
          <w:marRight w:val="0"/>
          <w:marTop w:val="0"/>
          <w:marBottom w:val="0"/>
          <w:divBdr>
            <w:top w:val="none" w:sz="0" w:space="0" w:color="auto"/>
            <w:left w:val="none" w:sz="0" w:space="0" w:color="auto"/>
            <w:bottom w:val="none" w:sz="0" w:space="0" w:color="auto"/>
            <w:right w:val="none" w:sz="0" w:space="0" w:color="auto"/>
          </w:divBdr>
        </w:div>
      </w:divsChild>
    </w:div>
    <w:div w:id="953514434">
      <w:marLeft w:val="0"/>
      <w:marRight w:val="0"/>
      <w:marTop w:val="0"/>
      <w:marBottom w:val="240"/>
      <w:divBdr>
        <w:top w:val="none" w:sz="0" w:space="0" w:color="auto"/>
        <w:left w:val="none" w:sz="0" w:space="0" w:color="auto"/>
        <w:bottom w:val="none" w:sz="0" w:space="0" w:color="auto"/>
        <w:right w:val="none" w:sz="0" w:space="0" w:color="auto"/>
      </w:divBdr>
    </w:div>
    <w:div w:id="954219420">
      <w:marLeft w:val="0"/>
      <w:marRight w:val="0"/>
      <w:marTop w:val="0"/>
      <w:marBottom w:val="0"/>
      <w:divBdr>
        <w:top w:val="none" w:sz="0" w:space="0" w:color="auto"/>
        <w:left w:val="none" w:sz="0" w:space="0" w:color="auto"/>
        <w:bottom w:val="none" w:sz="0" w:space="0" w:color="auto"/>
        <w:right w:val="none" w:sz="0" w:space="0" w:color="auto"/>
      </w:divBdr>
    </w:div>
    <w:div w:id="970093625">
      <w:marLeft w:val="0"/>
      <w:marRight w:val="0"/>
      <w:marTop w:val="0"/>
      <w:marBottom w:val="160"/>
      <w:divBdr>
        <w:top w:val="none" w:sz="0" w:space="0" w:color="auto"/>
        <w:left w:val="none" w:sz="0" w:space="0" w:color="auto"/>
        <w:bottom w:val="none" w:sz="0" w:space="0" w:color="auto"/>
        <w:right w:val="none" w:sz="0" w:space="0" w:color="auto"/>
      </w:divBdr>
    </w:div>
    <w:div w:id="975333441">
      <w:marLeft w:val="0"/>
      <w:marRight w:val="0"/>
      <w:marTop w:val="0"/>
      <w:marBottom w:val="0"/>
      <w:divBdr>
        <w:top w:val="none" w:sz="0" w:space="0" w:color="auto"/>
        <w:left w:val="none" w:sz="0" w:space="0" w:color="auto"/>
        <w:bottom w:val="none" w:sz="0" w:space="0" w:color="auto"/>
        <w:right w:val="none" w:sz="0" w:space="0" w:color="auto"/>
      </w:divBdr>
      <w:divsChild>
        <w:div w:id="1258782600">
          <w:marLeft w:val="0"/>
          <w:marRight w:val="0"/>
          <w:marTop w:val="0"/>
          <w:marBottom w:val="0"/>
          <w:divBdr>
            <w:top w:val="none" w:sz="0" w:space="0" w:color="auto"/>
            <w:left w:val="none" w:sz="0" w:space="0" w:color="auto"/>
            <w:bottom w:val="none" w:sz="0" w:space="0" w:color="auto"/>
            <w:right w:val="none" w:sz="0" w:space="0" w:color="auto"/>
          </w:divBdr>
        </w:div>
      </w:divsChild>
    </w:div>
    <w:div w:id="986587278">
      <w:marLeft w:val="0"/>
      <w:marRight w:val="0"/>
      <w:marTop w:val="0"/>
      <w:marBottom w:val="0"/>
      <w:divBdr>
        <w:top w:val="none" w:sz="0" w:space="0" w:color="auto"/>
        <w:left w:val="none" w:sz="0" w:space="0" w:color="auto"/>
        <w:bottom w:val="none" w:sz="0" w:space="0" w:color="auto"/>
        <w:right w:val="none" w:sz="0" w:space="0" w:color="auto"/>
      </w:divBdr>
    </w:div>
    <w:div w:id="988943781">
      <w:marLeft w:val="0"/>
      <w:marRight w:val="0"/>
      <w:marTop w:val="0"/>
      <w:marBottom w:val="240"/>
      <w:divBdr>
        <w:top w:val="none" w:sz="0" w:space="0" w:color="auto"/>
        <w:left w:val="none" w:sz="0" w:space="0" w:color="auto"/>
        <w:bottom w:val="none" w:sz="0" w:space="0" w:color="auto"/>
        <w:right w:val="none" w:sz="0" w:space="0" w:color="auto"/>
      </w:divBdr>
    </w:div>
    <w:div w:id="998340399">
      <w:marLeft w:val="0"/>
      <w:marRight w:val="0"/>
      <w:marTop w:val="0"/>
      <w:marBottom w:val="0"/>
      <w:divBdr>
        <w:top w:val="none" w:sz="0" w:space="0" w:color="auto"/>
        <w:left w:val="none" w:sz="0" w:space="0" w:color="auto"/>
        <w:bottom w:val="none" w:sz="0" w:space="0" w:color="auto"/>
        <w:right w:val="none" w:sz="0" w:space="0" w:color="auto"/>
      </w:divBdr>
      <w:divsChild>
        <w:div w:id="1514764538">
          <w:marLeft w:val="0"/>
          <w:marRight w:val="0"/>
          <w:marTop w:val="0"/>
          <w:marBottom w:val="0"/>
          <w:divBdr>
            <w:top w:val="none" w:sz="0" w:space="0" w:color="auto"/>
            <w:left w:val="none" w:sz="0" w:space="0" w:color="auto"/>
            <w:bottom w:val="none" w:sz="0" w:space="0" w:color="auto"/>
            <w:right w:val="none" w:sz="0" w:space="0" w:color="auto"/>
          </w:divBdr>
        </w:div>
      </w:divsChild>
    </w:div>
    <w:div w:id="1005135438">
      <w:marLeft w:val="0"/>
      <w:marRight w:val="0"/>
      <w:marTop w:val="0"/>
      <w:marBottom w:val="240"/>
      <w:divBdr>
        <w:top w:val="none" w:sz="0" w:space="0" w:color="auto"/>
        <w:left w:val="none" w:sz="0" w:space="0" w:color="auto"/>
        <w:bottom w:val="none" w:sz="0" w:space="0" w:color="auto"/>
        <w:right w:val="none" w:sz="0" w:space="0" w:color="auto"/>
      </w:divBdr>
    </w:div>
    <w:div w:id="1006594967">
      <w:marLeft w:val="0"/>
      <w:marRight w:val="0"/>
      <w:marTop w:val="0"/>
      <w:marBottom w:val="0"/>
      <w:divBdr>
        <w:top w:val="none" w:sz="0" w:space="0" w:color="auto"/>
        <w:left w:val="none" w:sz="0" w:space="0" w:color="auto"/>
        <w:bottom w:val="none" w:sz="0" w:space="0" w:color="auto"/>
        <w:right w:val="none" w:sz="0" w:space="0" w:color="auto"/>
      </w:divBdr>
    </w:div>
    <w:div w:id="1012340115">
      <w:marLeft w:val="0"/>
      <w:marRight w:val="0"/>
      <w:marTop w:val="240"/>
      <w:marBottom w:val="0"/>
      <w:divBdr>
        <w:top w:val="none" w:sz="0" w:space="0" w:color="auto"/>
        <w:left w:val="none" w:sz="0" w:space="0" w:color="auto"/>
        <w:bottom w:val="none" w:sz="0" w:space="0" w:color="auto"/>
        <w:right w:val="none" w:sz="0" w:space="0" w:color="auto"/>
      </w:divBdr>
    </w:div>
    <w:div w:id="1013142796">
      <w:marLeft w:val="0"/>
      <w:marRight w:val="0"/>
      <w:marTop w:val="0"/>
      <w:marBottom w:val="60"/>
      <w:divBdr>
        <w:top w:val="none" w:sz="0" w:space="0" w:color="auto"/>
        <w:left w:val="none" w:sz="0" w:space="0" w:color="auto"/>
        <w:bottom w:val="none" w:sz="0" w:space="0" w:color="auto"/>
        <w:right w:val="none" w:sz="0" w:space="0" w:color="auto"/>
      </w:divBdr>
    </w:div>
    <w:div w:id="1014192776">
      <w:marLeft w:val="0"/>
      <w:marRight w:val="0"/>
      <w:marTop w:val="0"/>
      <w:marBottom w:val="0"/>
      <w:divBdr>
        <w:top w:val="none" w:sz="0" w:space="0" w:color="auto"/>
        <w:left w:val="none" w:sz="0" w:space="0" w:color="auto"/>
        <w:bottom w:val="none" w:sz="0" w:space="0" w:color="auto"/>
        <w:right w:val="none" w:sz="0" w:space="0" w:color="auto"/>
      </w:divBdr>
    </w:div>
    <w:div w:id="1019965207">
      <w:marLeft w:val="0"/>
      <w:marRight w:val="0"/>
      <w:marTop w:val="0"/>
      <w:marBottom w:val="240"/>
      <w:divBdr>
        <w:top w:val="none" w:sz="0" w:space="0" w:color="auto"/>
        <w:left w:val="none" w:sz="0" w:space="0" w:color="auto"/>
        <w:bottom w:val="none" w:sz="0" w:space="0" w:color="auto"/>
        <w:right w:val="none" w:sz="0" w:space="0" w:color="auto"/>
      </w:divBdr>
    </w:div>
    <w:div w:id="1029529945">
      <w:marLeft w:val="0"/>
      <w:marRight w:val="0"/>
      <w:marTop w:val="0"/>
      <w:marBottom w:val="0"/>
      <w:divBdr>
        <w:top w:val="none" w:sz="0" w:space="0" w:color="auto"/>
        <w:left w:val="none" w:sz="0" w:space="0" w:color="auto"/>
        <w:bottom w:val="none" w:sz="0" w:space="0" w:color="auto"/>
        <w:right w:val="none" w:sz="0" w:space="0" w:color="auto"/>
      </w:divBdr>
      <w:divsChild>
        <w:div w:id="762534082">
          <w:marLeft w:val="0"/>
          <w:marRight w:val="0"/>
          <w:marTop w:val="0"/>
          <w:marBottom w:val="0"/>
          <w:divBdr>
            <w:top w:val="none" w:sz="0" w:space="0" w:color="auto"/>
            <w:left w:val="none" w:sz="0" w:space="0" w:color="auto"/>
            <w:bottom w:val="none" w:sz="0" w:space="0" w:color="auto"/>
            <w:right w:val="none" w:sz="0" w:space="0" w:color="auto"/>
          </w:divBdr>
        </w:div>
      </w:divsChild>
    </w:div>
    <w:div w:id="1036197872">
      <w:marLeft w:val="0"/>
      <w:marRight w:val="0"/>
      <w:marTop w:val="0"/>
      <w:marBottom w:val="0"/>
      <w:divBdr>
        <w:top w:val="none" w:sz="0" w:space="0" w:color="auto"/>
        <w:left w:val="none" w:sz="0" w:space="0" w:color="auto"/>
        <w:bottom w:val="none" w:sz="0" w:space="0" w:color="auto"/>
        <w:right w:val="none" w:sz="0" w:space="0" w:color="auto"/>
      </w:divBdr>
      <w:divsChild>
        <w:div w:id="1106463264">
          <w:marLeft w:val="0"/>
          <w:marRight w:val="0"/>
          <w:marTop w:val="0"/>
          <w:marBottom w:val="0"/>
          <w:divBdr>
            <w:top w:val="none" w:sz="0" w:space="0" w:color="auto"/>
            <w:left w:val="none" w:sz="0" w:space="0" w:color="auto"/>
            <w:bottom w:val="none" w:sz="0" w:space="0" w:color="auto"/>
            <w:right w:val="none" w:sz="0" w:space="0" w:color="auto"/>
          </w:divBdr>
        </w:div>
      </w:divsChild>
    </w:div>
    <w:div w:id="1037925822">
      <w:marLeft w:val="0"/>
      <w:marRight w:val="0"/>
      <w:marTop w:val="0"/>
      <w:marBottom w:val="0"/>
      <w:divBdr>
        <w:top w:val="none" w:sz="0" w:space="0" w:color="auto"/>
        <w:left w:val="none" w:sz="0" w:space="0" w:color="auto"/>
        <w:bottom w:val="none" w:sz="0" w:space="0" w:color="auto"/>
        <w:right w:val="none" w:sz="0" w:space="0" w:color="auto"/>
      </w:divBdr>
      <w:divsChild>
        <w:div w:id="1381662200">
          <w:marLeft w:val="0"/>
          <w:marRight w:val="0"/>
          <w:marTop w:val="0"/>
          <w:marBottom w:val="0"/>
          <w:divBdr>
            <w:top w:val="none" w:sz="0" w:space="0" w:color="auto"/>
            <w:left w:val="none" w:sz="0" w:space="0" w:color="auto"/>
            <w:bottom w:val="none" w:sz="0" w:space="0" w:color="auto"/>
            <w:right w:val="none" w:sz="0" w:space="0" w:color="auto"/>
          </w:divBdr>
        </w:div>
      </w:divsChild>
    </w:div>
    <w:div w:id="1041133552">
      <w:marLeft w:val="0"/>
      <w:marRight w:val="0"/>
      <w:marTop w:val="0"/>
      <w:marBottom w:val="0"/>
      <w:divBdr>
        <w:top w:val="none" w:sz="0" w:space="0" w:color="auto"/>
        <w:left w:val="none" w:sz="0" w:space="0" w:color="auto"/>
        <w:bottom w:val="none" w:sz="0" w:space="0" w:color="auto"/>
        <w:right w:val="none" w:sz="0" w:space="0" w:color="auto"/>
      </w:divBdr>
    </w:div>
    <w:div w:id="1047145782">
      <w:marLeft w:val="0"/>
      <w:marRight w:val="0"/>
      <w:marTop w:val="240"/>
      <w:marBottom w:val="0"/>
      <w:divBdr>
        <w:top w:val="none" w:sz="0" w:space="0" w:color="auto"/>
        <w:left w:val="none" w:sz="0" w:space="0" w:color="auto"/>
        <w:bottom w:val="none" w:sz="0" w:space="0" w:color="auto"/>
        <w:right w:val="none" w:sz="0" w:space="0" w:color="auto"/>
      </w:divBdr>
    </w:div>
    <w:div w:id="1050688726">
      <w:marLeft w:val="0"/>
      <w:marRight w:val="0"/>
      <w:marTop w:val="0"/>
      <w:marBottom w:val="0"/>
      <w:divBdr>
        <w:top w:val="none" w:sz="0" w:space="0" w:color="auto"/>
        <w:left w:val="none" w:sz="0" w:space="0" w:color="auto"/>
        <w:bottom w:val="none" w:sz="0" w:space="0" w:color="auto"/>
        <w:right w:val="none" w:sz="0" w:space="0" w:color="auto"/>
      </w:divBdr>
    </w:div>
    <w:div w:id="1054045802">
      <w:marLeft w:val="0"/>
      <w:marRight w:val="0"/>
      <w:marTop w:val="0"/>
      <w:marBottom w:val="120"/>
      <w:divBdr>
        <w:top w:val="none" w:sz="0" w:space="0" w:color="auto"/>
        <w:left w:val="none" w:sz="0" w:space="0" w:color="auto"/>
        <w:bottom w:val="none" w:sz="0" w:space="0" w:color="auto"/>
        <w:right w:val="none" w:sz="0" w:space="0" w:color="auto"/>
      </w:divBdr>
    </w:div>
    <w:div w:id="1061515525">
      <w:marLeft w:val="0"/>
      <w:marRight w:val="0"/>
      <w:marTop w:val="0"/>
      <w:marBottom w:val="0"/>
      <w:divBdr>
        <w:top w:val="none" w:sz="0" w:space="0" w:color="auto"/>
        <w:left w:val="none" w:sz="0" w:space="0" w:color="auto"/>
        <w:bottom w:val="none" w:sz="0" w:space="0" w:color="auto"/>
        <w:right w:val="none" w:sz="0" w:space="0" w:color="auto"/>
      </w:divBdr>
    </w:div>
    <w:div w:id="1075781855">
      <w:marLeft w:val="0"/>
      <w:marRight w:val="0"/>
      <w:marTop w:val="0"/>
      <w:marBottom w:val="0"/>
      <w:divBdr>
        <w:top w:val="none" w:sz="0" w:space="0" w:color="auto"/>
        <w:left w:val="none" w:sz="0" w:space="0" w:color="auto"/>
        <w:bottom w:val="none" w:sz="0" w:space="0" w:color="auto"/>
        <w:right w:val="none" w:sz="0" w:space="0" w:color="auto"/>
      </w:divBdr>
      <w:divsChild>
        <w:div w:id="1081945620">
          <w:marLeft w:val="0"/>
          <w:marRight w:val="0"/>
          <w:marTop w:val="0"/>
          <w:marBottom w:val="0"/>
          <w:divBdr>
            <w:top w:val="none" w:sz="0" w:space="0" w:color="auto"/>
            <w:left w:val="none" w:sz="0" w:space="0" w:color="auto"/>
            <w:bottom w:val="none" w:sz="0" w:space="0" w:color="auto"/>
            <w:right w:val="none" w:sz="0" w:space="0" w:color="auto"/>
          </w:divBdr>
        </w:div>
      </w:divsChild>
    </w:div>
    <w:div w:id="1079254706">
      <w:marLeft w:val="0"/>
      <w:marRight w:val="0"/>
      <w:marTop w:val="0"/>
      <w:marBottom w:val="0"/>
      <w:divBdr>
        <w:top w:val="none" w:sz="0" w:space="0" w:color="auto"/>
        <w:left w:val="none" w:sz="0" w:space="0" w:color="auto"/>
        <w:bottom w:val="none" w:sz="0" w:space="0" w:color="auto"/>
        <w:right w:val="none" w:sz="0" w:space="0" w:color="auto"/>
      </w:divBdr>
      <w:divsChild>
        <w:div w:id="913317808">
          <w:marLeft w:val="0"/>
          <w:marRight w:val="0"/>
          <w:marTop w:val="0"/>
          <w:marBottom w:val="0"/>
          <w:divBdr>
            <w:top w:val="none" w:sz="0" w:space="0" w:color="auto"/>
            <w:left w:val="none" w:sz="0" w:space="0" w:color="auto"/>
            <w:bottom w:val="none" w:sz="0" w:space="0" w:color="auto"/>
            <w:right w:val="none" w:sz="0" w:space="0" w:color="auto"/>
          </w:divBdr>
        </w:div>
      </w:divsChild>
    </w:div>
    <w:div w:id="1096443364">
      <w:marLeft w:val="0"/>
      <w:marRight w:val="0"/>
      <w:marTop w:val="0"/>
      <w:marBottom w:val="0"/>
      <w:divBdr>
        <w:top w:val="none" w:sz="0" w:space="0" w:color="auto"/>
        <w:left w:val="none" w:sz="0" w:space="0" w:color="auto"/>
        <w:bottom w:val="none" w:sz="0" w:space="0" w:color="auto"/>
        <w:right w:val="none" w:sz="0" w:space="0" w:color="auto"/>
      </w:divBdr>
      <w:divsChild>
        <w:div w:id="1178037054">
          <w:marLeft w:val="0"/>
          <w:marRight w:val="0"/>
          <w:marTop w:val="0"/>
          <w:marBottom w:val="0"/>
          <w:divBdr>
            <w:top w:val="none" w:sz="0" w:space="0" w:color="auto"/>
            <w:left w:val="none" w:sz="0" w:space="0" w:color="auto"/>
            <w:bottom w:val="none" w:sz="0" w:space="0" w:color="auto"/>
            <w:right w:val="none" w:sz="0" w:space="0" w:color="auto"/>
          </w:divBdr>
        </w:div>
      </w:divsChild>
    </w:div>
    <w:div w:id="1107651825">
      <w:marLeft w:val="0"/>
      <w:marRight w:val="0"/>
      <w:marTop w:val="0"/>
      <w:marBottom w:val="60"/>
      <w:divBdr>
        <w:top w:val="none" w:sz="0" w:space="0" w:color="auto"/>
        <w:left w:val="none" w:sz="0" w:space="0" w:color="auto"/>
        <w:bottom w:val="none" w:sz="0" w:space="0" w:color="auto"/>
        <w:right w:val="none" w:sz="0" w:space="0" w:color="auto"/>
      </w:divBdr>
    </w:div>
    <w:div w:id="1121610322">
      <w:marLeft w:val="0"/>
      <w:marRight w:val="0"/>
      <w:marTop w:val="0"/>
      <w:marBottom w:val="240"/>
      <w:divBdr>
        <w:top w:val="none" w:sz="0" w:space="0" w:color="auto"/>
        <w:left w:val="none" w:sz="0" w:space="0" w:color="auto"/>
        <w:bottom w:val="none" w:sz="0" w:space="0" w:color="auto"/>
        <w:right w:val="none" w:sz="0" w:space="0" w:color="auto"/>
      </w:divBdr>
    </w:div>
    <w:div w:id="1150174546">
      <w:marLeft w:val="0"/>
      <w:marRight w:val="0"/>
      <w:marTop w:val="0"/>
      <w:marBottom w:val="0"/>
      <w:divBdr>
        <w:top w:val="none" w:sz="0" w:space="0" w:color="auto"/>
        <w:left w:val="none" w:sz="0" w:space="0" w:color="auto"/>
        <w:bottom w:val="none" w:sz="0" w:space="0" w:color="auto"/>
        <w:right w:val="none" w:sz="0" w:space="0" w:color="auto"/>
      </w:divBdr>
      <w:divsChild>
        <w:div w:id="1529637787">
          <w:marLeft w:val="0"/>
          <w:marRight w:val="0"/>
          <w:marTop w:val="0"/>
          <w:marBottom w:val="0"/>
          <w:divBdr>
            <w:top w:val="none" w:sz="0" w:space="0" w:color="auto"/>
            <w:left w:val="none" w:sz="0" w:space="0" w:color="auto"/>
            <w:bottom w:val="none" w:sz="0" w:space="0" w:color="auto"/>
            <w:right w:val="none" w:sz="0" w:space="0" w:color="auto"/>
          </w:divBdr>
        </w:div>
      </w:divsChild>
    </w:div>
    <w:div w:id="1152335531">
      <w:marLeft w:val="0"/>
      <w:marRight w:val="0"/>
      <w:marTop w:val="0"/>
      <w:marBottom w:val="0"/>
      <w:divBdr>
        <w:top w:val="none" w:sz="0" w:space="0" w:color="auto"/>
        <w:left w:val="none" w:sz="0" w:space="0" w:color="auto"/>
        <w:bottom w:val="none" w:sz="0" w:space="0" w:color="auto"/>
        <w:right w:val="none" w:sz="0" w:space="0" w:color="auto"/>
      </w:divBdr>
    </w:div>
    <w:div w:id="1158031692">
      <w:marLeft w:val="0"/>
      <w:marRight w:val="0"/>
      <w:marTop w:val="0"/>
      <w:marBottom w:val="120"/>
      <w:divBdr>
        <w:top w:val="none" w:sz="0" w:space="0" w:color="auto"/>
        <w:left w:val="none" w:sz="0" w:space="0" w:color="auto"/>
        <w:bottom w:val="none" w:sz="0" w:space="0" w:color="auto"/>
        <w:right w:val="none" w:sz="0" w:space="0" w:color="auto"/>
      </w:divBdr>
    </w:div>
    <w:div w:id="1168062860">
      <w:marLeft w:val="0"/>
      <w:marRight w:val="0"/>
      <w:marTop w:val="0"/>
      <w:marBottom w:val="0"/>
      <w:divBdr>
        <w:top w:val="none" w:sz="0" w:space="0" w:color="auto"/>
        <w:left w:val="none" w:sz="0" w:space="0" w:color="auto"/>
        <w:bottom w:val="none" w:sz="0" w:space="0" w:color="auto"/>
        <w:right w:val="none" w:sz="0" w:space="0" w:color="auto"/>
      </w:divBdr>
    </w:div>
    <w:div w:id="1181620966">
      <w:marLeft w:val="0"/>
      <w:marRight w:val="0"/>
      <w:marTop w:val="0"/>
      <w:marBottom w:val="0"/>
      <w:divBdr>
        <w:top w:val="none" w:sz="0" w:space="0" w:color="auto"/>
        <w:left w:val="none" w:sz="0" w:space="0" w:color="auto"/>
        <w:bottom w:val="none" w:sz="0" w:space="0" w:color="auto"/>
        <w:right w:val="none" w:sz="0" w:space="0" w:color="auto"/>
      </w:divBdr>
    </w:div>
    <w:div w:id="1195076499">
      <w:marLeft w:val="0"/>
      <w:marRight w:val="0"/>
      <w:marTop w:val="0"/>
      <w:marBottom w:val="120"/>
      <w:divBdr>
        <w:top w:val="none" w:sz="0" w:space="0" w:color="auto"/>
        <w:left w:val="none" w:sz="0" w:space="0" w:color="auto"/>
        <w:bottom w:val="none" w:sz="0" w:space="0" w:color="auto"/>
        <w:right w:val="none" w:sz="0" w:space="0" w:color="auto"/>
      </w:divBdr>
    </w:div>
    <w:div w:id="1196121584">
      <w:marLeft w:val="0"/>
      <w:marRight w:val="0"/>
      <w:marTop w:val="0"/>
      <w:marBottom w:val="240"/>
      <w:divBdr>
        <w:top w:val="none" w:sz="0" w:space="0" w:color="auto"/>
        <w:left w:val="none" w:sz="0" w:space="0" w:color="auto"/>
        <w:bottom w:val="none" w:sz="0" w:space="0" w:color="auto"/>
        <w:right w:val="none" w:sz="0" w:space="0" w:color="auto"/>
      </w:divBdr>
    </w:div>
    <w:div w:id="1211842017">
      <w:marLeft w:val="0"/>
      <w:marRight w:val="0"/>
      <w:marTop w:val="0"/>
      <w:marBottom w:val="60"/>
      <w:divBdr>
        <w:top w:val="none" w:sz="0" w:space="0" w:color="auto"/>
        <w:left w:val="none" w:sz="0" w:space="0" w:color="auto"/>
        <w:bottom w:val="none" w:sz="0" w:space="0" w:color="auto"/>
        <w:right w:val="none" w:sz="0" w:space="0" w:color="auto"/>
      </w:divBdr>
    </w:div>
    <w:div w:id="1214194155">
      <w:marLeft w:val="0"/>
      <w:marRight w:val="0"/>
      <w:marTop w:val="0"/>
      <w:marBottom w:val="120"/>
      <w:divBdr>
        <w:top w:val="none" w:sz="0" w:space="0" w:color="auto"/>
        <w:left w:val="none" w:sz="0" w:space="0" w:color="auto"/>
        <w:bottom w:val="none" w:sz="0" w:space="0" w:color="auto"/>
        <w:right w:val="none" w:sz="0" w:space="0" w:color="auto"/>
      </w:divBdr>
    </w:div>
    <w:div w:id="1238126229">
      <w:marLeft w:val="0"/>
      <w:marRight w:val="0"/>
      <w:marTop w:val="0"/>
      <w:marBottom w:val="0"/>
      <w:divBdr>
        <w:top w:val="none" w:sz="0" w:space="0" w:color="auto"/>
        <w:left w:val="none" w:sz="0" w:space="0" w:color="auto"/>
        <w:bottom w:val="none" w:sz="0" w:space="0" w:color="auto"/>
        <w:right w:val="none" w:sz="0" w:space="0" w:color="auto"/>
      </w:divBdr>
      <w:divsChild>
        <w:div w:id="54357555">
          <w:marLeft w:val="0"/>
          <w:marRight w:val="0"/>
          <w:marTop w:val="0"/>
          <w:marBottom w:val="0"/>
          <w:divBdr>
            <w:top w:val="none" w:sz="0" w:space="0" w:color="auto"/>
            <w:left w:val="none" w:sz="0" w:space="0" w:color="auto"/>
            <w:bottom w:val="none" w:sz="0" w:space="0" w:color="auto"/>
            <w:right w:val="none" w:sz="0" w:space="0" w:color="auto"/>
          </w:divBdr>
        </w:div>
      </w:divsChild>
    </w:div>
    <w:div w:id="1239440709">
      <w:marLeft w:val="0"/>
      <w:marRight w:val="0"/>
      <w:marTop w:val="0"/>
      <w:marBottom w:val="0"/>
      <w:divBdr>
        <w:top w:val="none" w:sz="0" w:space="0" w:color="auto"/>
        <w:left w:val="none" w:sz="0" w:space="0" w:color="auto"/>
        <w:bottom w:val="none" w:sz="0" w:space="0" w:color="auto"/>
        <w:right w:val="none" w:sz="0" w:space="0" w:color="auto"/>
      </w:divBdr>
      <w:divsChild>
        <w:div w:id="74667730">
          <w:marLeft w:val="0"/>
          <w:marRight w:val="0"/>
          <w:marTop w:val="0"/>
          <w:marBottom w:val="0"/>
          <w:divBdr>
            <w:top w:val="none" w:sz="0" w:space="0" w:color="auto"/>
            <w:left w:val="none" w:sz="0" w:space="0" w:color="auto"/>
            <w:bottom w:val="none" w:sz="0" w:space="0" w:color="auto"/>
            <w:right w:val="none" w:sz="0" w:space="0" w:color="auto"/>
          </w:divBdr>
        </w:div>
      </w:divsChild>
    </w:div>
    <w:div w:id="1239948927">
      <w:marLeft w:val="0"/>
      <w:marRight w:val="0"/>
      <w:marTop w:val="0"/>
      <w:marBottom w:val="120"/>
      <w:divBdr>
        <w:top w:val="none" w:sz="0" w:space="0" w:color="auto"/>
        <w:left w:val="none" w:sz="0" w:space="0" w:color="auto"/>
        <w:bottom w:val="none" w:sz="0" w:space="0" w:color="auto"/>
        <w:right w:val="none" w:sz="0" w:space="0" w:color="auto"/>
      </w:divBdr>
    </w:div>
    <w:div w:id="1260791455">
      <w:marLeft w:val="0"/>
      <w:marRight w:val="0"/>
      <w:marTop w:val="0"/>
      <w:marBottom w:val="240"/>
      <w:divBdr>
        <w:top w:val="none" w:sz="0" w:space="0" w:color="auto"/>
        <w:left w:val="none" w:sz="0" w:space="0" w:color="auto"/>
        <w:bottom w:val="none" w:sz="0" w:space="0" w:color="auto"/>
        <w:right w:val="none" w:sz="0" w:space="0" w:color="auto"/>
      </w:divBdr>
    </w:div>
    <w:div w:id="1261573104">
      <w:marLeft w:val="0"/>
      <w:marRight w:val="0"/>
      <w:marTop w:val="0"/>
      <w:marBottom w:val="0"/>
      <w:divBdr>
        <w:top w:val="none" w:sz="0" w:space="0" w:color="auto"/>
        <w:left w:val="none" w:sz="0" w:space="0" w:color="auto"/>
        <w:bottom w:val="none" w:sz="0" w:space="0" w:color="auto"/>
        <w:right w:val="none" w:sz="0" w:space="0" w:color="auto"/>
      </w:divBdr>
      <w:divsChild>
        <w:div w:id="1906064684">
          <w:marLeft w:val="0"/>
          <w:marRight w:val="0"/>
          <w:marTop w:val="0"/>
          <w:marBottom w:val="0"/>
          <w:divBdr>
            <w:top w:val="none" w:sz="0" w:space="0" w:color="auto"/>
            <w:left w:val="none" w:sz="0" w:space="0" w:color="auto"/>
            <w:bottom w:val="none" w:sz="0" w:space="0" w:color="auto"/>
            <w:right w:val="none" w:sz="0" w:space="0" w:color="auto"/>
          </w:divBdr>
        </w:div>
      </w:divsChild>
    </w:div>
    <w:div w:id="1271469269">
      <w:marLeft w:val="0"/>
      <w:marRight w:val="0"/>
      <w:marTop w:val="0"/>
      <w:marBottom w:val="0"/>
      <w:divBdr>
        <w:top w:val="none" w:sz="0" w:space="0" w:color="auto"/>
        <w:left w:val="none" w:sz="0" w:space="0" w:color="auto"/>
        <w:bottom w:val="none" w:sz="0" w:space="0" w:color="auto"/>
        <w:right w:val="none" w:sz="0" w:space="0" w:color="auto"/>
      </w:divBdr>
    </w:div>
    <w:div w:id="1278610168">
      <w:marLeft w:val="0"/>
      <w:marRight w:val="0"/>
      <w:marTop w:val="0"/>
      <w:marBottom w:val="120"/>
      <w:divBdr>
        <w:top w:val="none" w:sz="0" w:space="0" w:color="auto"/>
        <w:left w:val="none" w:sz="0" w:space="0" w:color="auto"/>
        <w:bottom w:val="none" w:sz="0" w:space="0" w:color="auto"/>
        <w:right w:val="none" w:sz="0" w:space="0" w:color="auto"/>
      </w:divBdr>
    </w:div>
    <w:div w:id="1287657440">
      <w:marLeft w:val="0"/>
      <w:marRight w:val="0"/>
      <w:marTop w:val="0"/>
      <w:marBottom w:val="60"/>
      <w:divBdr>
        <w:top w:val="none" w:sz="0" w:space="0" w:color="auto"/>
        <w:left w:val="none" w:sz="0" w:space="0" w:color="auto"/>
        <w:bottom w:val="none" w:sz="0" w:space="0" w:color="auto"/>
        <w:right w:val="none" w:sz="0" w:space="0" w:color="auto"/>
      </w:divBdr>
    </w:div>
    <w:div w:id="1293053125">
      <w:marLeft w:val="0"/>
      <w:marRight w:val="0"/>
      <w:marTop w:val="240"/>
      <w:marBottom w:val="240"/>
      <w:divBdr>
        <w:top w:val="none" w:sz="0" w:space="0" w:color="auto"/>
        <w:left w:val="none" w:sz="0" w:space="0" w:color="auto"/>
        <w:bottom w:val="none" w:sz="0" w:space="0" w:color="auto"/>
        <w:right w:val="none" w:sz="0" w:space="0" w:color="auto"/>
      </w:divBdr>
    </w:div>
    <w:div w:id="1296258196">
      <w:marLeft w:val="0"/>
      <w:marRight w:val="0"/>
      <w:marTop w:val="0"/>
      <w:marBottom w:val="120"/>
      <w:divBdr>
        <w:top w:val="none" w:sz="0" w:space="0" w:color="auto"/>
        <w:left w:val="none" w:sz="0" w:space="0" w:color="auto"/>
        <w:bottom w:val="none" w:sz="0" w:space="0" w:color="auto"/>
        <w:right w:val="none" w:sz="0" w:space="0" w:color="auto"/>
      </w:divBdr>
    </w:div>
    <w:div w:id="1300650893">
      <w:marLeft w:val="0"/>
      <w:marRight w:val="0"/>
      <w:marTop w:val="0"/>
      <w:marBottom w:val="0"/>
      <w:divBdr>
        <w:top w:val="none" w:sz="0" w:space="0" w:color="auto"/>
        <w:left w:val="none" w:sz="0" w:space="0" w:color="auto"/>
        <w:bottom w:val="none" w:sz="0" w:space="0" w:color="auto"/>
        <w:right w:val="none" w:sz="0" w:space="0" w:color="auto"/>
      </w:divBdr>
    </w:div>
    <w:div w:id="1310014216">
      <w:marLeft w:val="0"/>
      <w:marRight w:val="0"/>
      <w:marTop w:val="0"/>
      <w:marBottom w:val="200"/>
      <w:divBdr>
        <w:top w:val="none" w:sz="0" w:space="0" w:color="auto"/>
        <w:left w:val="none" w:sz="0" w:space="0" w:color="auto"/>
        <w:bottom w:val="none" w:sz="0" w:space="0" w:color="auto"/>
        <w:right w:val="none" w:sz="0" w:space="0" w:color="auto"/>
      </w:divBdr>
    </w:div>
    <w:div w:id="1313679102">
      <w:marLeft w:val="0"/>
      <w:marRight w:val="0"/>
      <w:marTop w:val="0"/>
      <w:marBottom w:val="0"/>
      <w:divBdr>
        <w:top w:val="none" w:sz="0" w:space="0" w:color="auto"/>
        <w:left w:val="none" w:sz="0" w:space="0" w:color="auto"/>
        <w:bottom w:val="none" w:sz="0" w:space="0" w:color="auto"/>
        <w:right w:val="none" w:sz="0" w:space="0" w:color="auto"/>
      </w:divBdr>
    </w:div>
    <w:div w:id="1314260528">
      <w:marLeft w:val="0"/>
      <w:marRight w:val="0"/>
      <w:marTop w:val="0"/>
      <w:marBottom w:val="120"/>
      <w:divBdr>
        <w:top w:val="none" w:sz="0" w:space="0" w:color="auto"/>
        <w:left w:val="none" w:sz="0" w:space="0" w:color="auto"/>
        <w:bottom w:val="none" w:sz="0" w:space="0" w:color="auto"/>
        <w:right w:val="none" w:sz="0" w:space="0" w:color="auto"/>
      </w:divBdr>
    </w:div>
    <w:div w:id="1314988090">
      <w:marLeft w:val="0"/>
      <w:marRight w:val="0"/>
      <w:marTop w:val="0"/>
      <w:marBottom w:val="0"/>
      <w:divBdr>
        <w:top w:val="none" w:sz="0" w:space="0" w:color="auto"/>
        <w:left w:val="none" w:sz="0" w:space="0" w:color="auto"/>
        <w:bottom w:val="none" w:sz="0" w:space="0" w:color="auto"/>
        <w:right w:val="none" w:sz="0" w:space="0" w:color="auto"/>
      </w:divBdr>
      <w:divsChild>
        <w:div w:id="1568807633">
          <w:marLeft w:val="0"/>
          <w:marRight w:val="0"/>
          <w:marTop w:val="0"/>
          <w:marBottom w:val="0"/>
          <w:divBdr>
            <w:top w:val="none" w:sz="0" w:space="0" w:color="auto"/>
            <w:left w:val="none" w:sz="0" w:space="0" w:color="auto"/>
            <w:bottom w:val="none" w:sz="0" w:space="0" w:color="auto"/>
            <w:right w:val="none" w:sz="0" w:space="0" w:color="auto"/>
          </w:divBdr>
        </w:div>
      </w:divsChild>
    </w:div>
    <w:div w:id="1320692710">
      <w:marLeft w:val="0"/>
      <w:marRight w:val="0"/>
      <w:marTop w:val="0"/>
      <w:marBottom w:val="60"/>
      <w:divBdr>
        <w:top w:val="none" w:sz="0" w:space="0" w:color="auto"/>
        <w:left w:val="none" w:sz="0" w:space="0" w:color="auto"/>
        <w:bottom w:val="none" w:sz="0" w:space="0" w:color="auto"/>
        <w:right w:val="none" w:sz="0" w:space="0" w:color="auto"/>
      </w:divBdr>
    </w:div>
    <w:div w:id="1340959634">
      <w:marLeft w:val="0"/>
      <w:marRight w:val="0"/>
      <w:marTop w:val="0"/>
      <w:marBottom w:val="200"/>
      <w:divBdr>
        <w:top w:val="none" w:sz="0" w:space="0" w:color="auto"/>
        <w:left w:val="none" w:sz="0" w:space="0" w:color="auto"/>
        <w:bottom w:val="none" w:sz="0" w:space="0" w:color="auto"/>
        <w:right w:val="none" w:sz="0" w:space="0" w:color="auto"/>
      </w:divBdr>
    </w:div>
    <w:div w:id="1343312491">
      <w:marLeft w:val="0"/>
      <w:marRight w:val="0"/>
      <w:marTop w:val="0"/>
      <w:marBottom w:val="0"/>
      <w:divBdr>
        <w:top w:val="none" w:sz="0" w:space="0" w:color="auto"/>
        <w:left w:val="none" w:sz="0" w:space="0" w:color="auto"/>
        <w:bottom w:val="none" w:sz="0" w:space="0" w:color="auto"/>
        <w:right w:val="none" w:sz="0" w:space="0" w:color="auto"/>
      </w:divBdr>
      <w:divsChild>
        <w:div w:id="1369909953">
          <w:marLeft w:val="0"/>
          <w:marRight w:val="0"/>
          <w:marTop w:val="0"/>
          <w:marBottom w:val="0"/>
          <w:divBdr>
            <w:top w:val="none" w:sz="0" w:space="0" w:color="auto"/>
            <w:left w:val="none" w:sz="0" w:space="0" w:color="auto"/>
            <w:bottom w:val="none" w:sz="0" w:space="0" w:color="auto"/>
            <w:right w:val="none" w:sz="0" w:space="0" w:color="auto"/>
          </w:divBdr>
          <w:divsChild>
            <w:div w:id="10774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811">
      <w:marLeft w:val="0"/>
      <w:marRight w:val="0"/>
      <w:marTop w:val="0"/>
      <w:marBottom w:val="0"/>
      <w:divBdr>
        <w:top w:val="none" w:sz="0" w:space="0" w:color="auto"/>
        <w:left w:val="none" w:sz="0" w:space="0" w:color="auto"/>
        <w:bottom w:val="none" w:sz="0" w:space="0" w:color="auto"/>
        <w:right w:val="none" w:sz="0" w:space="0" w:color="auto"/>
      </w:divBdr>
      <w:divsChild>
        <w:div w:id="1969698492">
          <w:marLeft w:val="0"/>
          <w:marRight w:val="0"/>
          <w:marTop w:val="0"/>
          <w:marBottom w:val="0"/>
          <w:divBdr>
            <w:top w:val="none" w:sz="0" w:space="0" w:color="auto"/>
            <w:left w:val="none" w:sz="0" w:space="0" w:color="auto"/>
            <w:bottom w:val="none" w:sz="0" w:space="0" w:color="auto"/>
            <w:right w:val="none" w:sz="0" w:space="0" w:color="auto"/>
          </w:divBdr>
        </w:div>
      </w:divsChild>
    </w:div>
    <w:div w:id="1355425597">
      <w:marLeft w:val="0"/>
      <w:marRight w:val="0"/>
      <w:marTop w:val="0"/>
      <w:marBottom w:val="0"/>
      <w:divBdr>
        <w:top w:val="none" w:sz="0" w:space="0" w:color="auto"/>
        <w:left w:val="none" w:sz="0" w:space="0" w:color="auto"/>
        <w:bottom w:val="none" w:sz="0" w:space="0" w:color="auto"/>
        <w:right w:val="none" w:sz="0" w:space="0" w:color="auto"/>
      </w:divBdr>
      <w:divsChild>
        <w:div w:id="2014338120">
          <w:marLeft w:val="0"/>
          <w:marRight w:val="0"/>
          <w:marTop w:val="0"/>
          <w:marBottom w:val="0"/>
          <w:divBdr>
            <w:top w:val="none" w:sz="0" w:space="0" w:color="auto"/>
            <w:left w:val="none" w:sz="0" w:space="0" w:color="auto"/>
            <w:bottom w:val="none" w:sz="0" w:space="0" w:color="auto"/>
            <w:right w:val="none" w:sz="0" w:space="0" w:color="auto"/>
          </w:divBdr>
        </w:div>
      </w:divsChild>
    </w:div>
    <w:div w:id="1369259932">
      <w:marLeft w:val="0"/>
      <w:marRight w:val="0"/>
      <w:marTop w:val="240"/>
      <w:marBottom w:val="0"/>
      <w:divBdr>
        <w:top w:val="none" w:sz="0" w:space="0" w:color="auto"/>
        <w:left w:val="none" w:sz="0" w:space="0" w:color="auto"/>
        <w:bottom w:val="none" w:sz="0" w:space="0" w:color="auto"/>
        <w:right w:val="none" w:sz="0" w:space="0" w:color="auto"/>
      </w:divBdr>
    </w:div>
    <w:div w:id="1370229250">
      <w:marLeft w:val="0"/>
      <w:marRight w:val="0"/>
      <w:marTop w:val="0"/>
      <w:marBottom w:val="160"/>
      <w:divBdr>
        <w:top w:val="none" w:sz="0" w:space="0" w:color="auto"/>
        <w:left w:val="none" w:sz="0" w:space="0" w:color="auto"/>
        <w:bottom w:val="none" w:sz="0" w:space="0" w:color="auto"/>
        <w:right w:val="none" w:sz="0" w:space="0" w:color="auto"/>
      </w:divBdr>
    </w:div>
    <w:div w:id="1374844784">
      <w:marLeft w:val="0"/>
      <w:marRight w:val="0"/>
      <w:marTop w:val="0"/>
      <w:marBottom w:val="120"/>
      <w:divBdr>
        <w:top w:val="none" w:sz="0" w:space="0" w:color="auto"/>
        <w:left w:val="none" w:sz="0" w:space="0" w:color="auto"/>
        <w:bottom w:val="none" w:sz="0" w:space="0" w:color="auto"/>
        <w:right w:val="none" w:sz="0" w:space="0" w:color="auto"/>
      </w:divBdr>
    </w:div>
    <w:div w:id="1377119758">
      <w:marLeft w:val="0"/>
      <w:marRight w:val="0"/>
      <w:marTop w:val="0"/>
      <w:marBottom w:val="120"/>
      <w:divBdr>
        <w:top w:val="none" w:sz="0" w:space="0" w:color="auto"/>
        <w:left w:val="none" w:sz="0" w:space="0" w:color="auto"/>
        <w:bottom w:val="none" w:sz="0" w:space="0" w:color="auto"/>
        <w:right w:val="none" w:sz="0" w:space="0" w:color="auto"/>
      </w:divBdr>
    </w:div>
    <w:div w:id="1381202148">
      <w:marLeft w:val="0"/>
      <w:marRight w:val="0"/>
      <w:marTop w:val="0"/>
      <w:marBottom w:val="240"/>
      <w:divBdr>
        <w:top w:val="none" w:sz="0" w:space="0" w:color="auto"/>
        <w:left w:val="none" w:sz="0" w:space="0" w:color="auto"/>
        <w:bottom w:val="none" w:sz="0" w:space="0" w:color="auto"/>
        <w:right w:val="none" w:sz="0" w:space="0" w:color="auto"/>
      </w:divBdr>
    </w:div>
    <w:div w:id="1407190743">
      <w:marLeft w:val="0"/>
      <w:marRight w:val="0"/>
      <w:marTop w:val="0"/>
      <w:marBottom w:val="0"/>
      <w:divBdr>
        <w:top w:val="none" w:sz="0" w:space="0" w:color="auto"/>
        <w:left w:val="none" w:sz="0" w:space="0" w:color="auto"/>
        <w:bottom w:val="none" w:sz="0" w:space="0" w:color="auto"/>
        <w:right w:val="none" w:sz="0" w:space="0" w:color="auto"/>
      </w:divBdr>
    </w:div>
    <w:div w:id="1415055506">
      <w:marLeft w:val="0"/>
      <w:marRight w:val="0"/>
      <w:marTop w:val="0"/>
      <w:marBottom w:val="0"/>
      <w:divBdr>
        <w:top w:val="none" w:sz="0" w:space="0" w:color="auto"/>
        <w:left w:val="none" w:sz="0" w:space="0" w:color="auto"/>
        <w:bottom w:val="none" w:sz="0" w:space="0" w:color="auto"/>
        <w:right w:val="none" w:sz="0" w:space="0" w:color="auto"/>
      </w:divBdr>
      <w:divsChild>
        <w:div w:id="684943072">
          <w:marLeft w:val="0"/>
          <w:marRight w:val="0"/>
          <w:marTop w:val="0"/>
          <w:marBottom w:val="0"/>
          <w:divBdr>
            <w:top w:val="none" w:sz="0" w:space="0" w:color="auto"/>
            <w:left w:val="none" w:sz="0" w:space="0" w:color="auto"/>
            <w:bottom w:val="none" w:sz="0" w:space="0" w:color="auto"/>
            <w:right w:val="none" w:sz="0" w:space="0" w:color="auto"/>
          </w:divBdr>
        </w:div>
      </w:divsChild>
    </w:div>
    <w:div w:id="1416784833">
      <w:marLeft w:val="0"/>
      <w:marRight w:val="0"/>
      <w:marTop w:val="0"/>
      <w:marBottom w:val="60"/>
      <w:divBdr>
        <w:top w:val="none" w:sz="0" w:space="0" w:color="auto"/>
        <w:left w:val="none" w:sz="0" w:space="0" w:color="auto"/>
        <w:bottom w:val="none" w:sz="0" w:space="0" w:color="auto"/>
        <w:right w:val="none" w:sz="0" w:space="0" w:color="auto"/>
      </w:divBdr>
    </w:div>
    <w:div w:id="1417551933">
      <w:marLeft w:val="0"/>
      <w:marRight w:val="0"/>
      <w:marTop w:val="0"/>
      <w:marBottom w:val="120"/>
      <w:divBdr>
        <w:top w:val="none" w:sz="0" w:space="0" w:color="auto"/>
        <w:left w:val="none" w:sz="0" w:space="0" w:color="auto"/>
        <w:bottom w:val="none" w:sz="0" w:space="0" w:color="auto"/>
        <w:right w:val="none" w:sz="0" w:space="0" w:color="auto"/>
      </w:divBdr>
    </w:div>
    <w:div w:id="1417628832">
      <w:marLeft w:val="0"/>
      <w:marRight w:val="0"/>
      <w:marTop w:val="0"/>
      <w:marBottom w:val="240"/>
      <w:divBdr>
        <w:top w:val="none" w:sz="0" w:space="0" w:color="auto"/>
        <w:left w:val="none" w:sz="0" w:space="0" w:color="auto"/>
        <w:bottom w:val="none" w:sz="0" w:space="0" w:color="auto"/>
        <w:right w:val="none" w:sz="0" w:space="0" w:color="auto"/>
      </w:divBdr>
    </w:div>
    <w:div w:id="1418748637">
      <w:marLeft w:val="0"/>
      <w:marRight w:val="0"/>
      <w:marTop w:val="0"/>
      <w:marBottom w:val="0"/>
      <w:divBdr>
        <w:top w:val="none" w:sz="0" w:space="0" w:color="auto"/>
        <w:left w:val="none" w:sz="0" w:space="0" w:color="auto"/>
        <w:bottom w:val="none" w:sz="0" w:space="0" w:color="auto"/>
        <w:right w:val="none" w:sz="0" w:space="0" w:color="auto"/>
      </w:divBdr>
    </w:div>
    <w:div w:id="1419059225">
      <w:marLeft w:val="0"/>
      <w:marRight w:val="0"/>
      <w:marTop w:val="0"/>
      <w:marBottom w:val="0"/>
      <w:divBdr>
        <w:top w:val="none" w:sz="0" w:space="0" w:color="auto"/>
        <w:left w:val="none" w:sz="0" w:space="0" w:color="auto"/>
        <w:bottom w:val="none" w:sz="0" w:space="0" w:color="auto"/>
        <w:right w:val="none" w:sz="0" w:space="0" w:color="auto"/>
      </w:divBdr>
    </w:div>
    <w:div w:id="1426727588">
      <w:marLeft w:val="0"/>
      <w:marRight w:val="0"/>
      <w:marTop w:val="0"/>
      <w:marBottom w:val="120"/>
      <w:divBdr>
        <w:top w:val="none" w:sz="0" w:space="0" w:color="auto"/>
        <w:left w:val="none" w:sz="0" w:space="0" w:color="auto"/>
        <w:bottom w:val="none" w:sz="0" w:space="0" w:color="auto"/>
        <w:right w:val="none" w:sz="0" w:space="0" w:color="auto"/>
      </w:divBdr>
    </w:div>
    <w:div w:id="1427993005">
      <w:marLeft w:val="0"/>
      <w:marRight w:val="0"/>
      <w:marTop w:val="300"/>
      <w:marBottom w:val="0"/>
      <w:divBdr>
        <w:top w:val="none" w:sz="0" w:space="0" w:color="auto"/>
        <w:left w:val="none" w:sz="0" w:space="0" w:color="auto"/>
        <w:bottom w:val="none" w:sz="0" w:space="0" w:color="auto"/>
        <w:right w:val="none" w:sz="0" w:space="0" w:color="auto"/>
      </w:divBdr>
    </w:div>
    <w:div w:id="1431854953">
      <w:marLeft w:val="0"/>
      <w:marRight w:val="0"/>
      <w:marTop w:val="0"/>
      <w:marBottom w:val="120"/>
      <w:divBdr>
        <w:top w:val="none" w:sz="0" w:space="0" w:color="auto"/>
        <w:left w:val="none" w:sz="0" w:space="0" w:color="auto"/>
        <w:bottom w:val="none" w:sz="0" w:space="0" w:color="auto"/>
        <w:right w:val="none" w:sz="0" w:space="0" w:color="auto"/>
      </w:divBdr>
    </w:div>
    <w:div w:id="1442993483">
      <w:marLeft w:val="0"/>
      <w:marRight w:val="0"/>
      <w:marTop w:val="0"/>
      <w:marBottom w:val="0"/>
      <w:divBdr>
        <w:top w:val="none" w:sz="0" w:space="0" w:color="auto"/>
        <w:left w:val="none" w:sz="0" w:space="0" w:color="auto"/>
        <w:bottom w:val="none" w:sz="0" w:space="0" w:color="auto"/>
        <w:right w:val="none" w:sz="0" w:space="0" w:color="auto"/>
      </w:divBdr>
      <w:divsChild>
        <w:div w:id="1486895233">
          <w:marLeft w:val="0"/>
          <w:marRight w:val="0"/>
          <w:marTop w:val="0"/>
          <w:marBottom w:val="0"/>
          <w:divBdr>
            <w:top w:val="none" w:sz="0" w:space="0" w:color="auto"/>
            <w:left w:val="none" w:sz="0" w:space="0" w:color="auto"/>
            <w:bottom w:val="none" w:sz="0" w:space="0" w:color="auto"/>
            <w:right w:val="none" w:sz="0" w:space="0" w:color="auto"/>
          </w:divBdr>
        </w:div>
      </w:divsChild>
    </w:div>
    <w:div w:id="1448811809">
      <w:marLeft w:val="0"/>
      <w:marRight w:val="0"/>
      <w:marTop w:val="0"/>
      <w:marBottom w:val="0"/>
      <w:divBdr>
        <w:top w:val="none" w:sz="0" w:space="0" w:color="auto"/>
        <w:left w:val="none" w:sz="0" w:space="0" w:color="auto"/>
        <w:bottom w:val="none" w:sz="0" w:space="0" w:color="auto"/>
        <w:right w:val="none" w:sz="0" w:space="0" w:color="auto"/>
      </w:divBdr>
      <w:divsChild>
        <w:div w:id="812526610">
          <w:marLeft w:val="0"/>
          <w:marRight w:val="0"/>
          <w:marTop w:val="0"/>
          <w:marBottom w:val="0"/>
          <w:divBdr>
            <w:top w:val="none" w:sz="0" w:space="0" w:color="auto"/>
            <w:left w:val="none" w:sz="0" w:space="0" w:color="auto"/>
            <w:bottom w:val="none" w:sz="0" w:space="0" w:color="auto"/>
            <w:right w:val="none" w:sz="0" w:space="0" w:color="auto"/>
          </w:divBdr>
        </w:div>
      </w:divsChild>
    </w:div>
    <w:div w:id="1449423438">
      <w:marLeft w:val="0"/>
      <w:marRight w:val="0"/>
      <w:marTop w:val="0"/>
      <w:marBottom w:val="0"/>
      <w:divBdr>
        <w:top w:val="none" w:sz="0" w:space="0" w:color="auto"/>
        <w:left w:val="none" w:sz="0" w:space="0" w:color="auto"/>
        <w:bottom w:val="none" w:sz="0" w:space="0" w:color="auto"/>
        <w:right w:val="none" w:sz="0" w:space="0" w:color="auto"/>
      </w:divBdr>
    </w:div>
    <w:div w:id="1451626976">
      <w:marLeft w:val="0"/>
      <w:marRight w:val="0"/>
      <w:marTop w:val="0"/>
      <w:marBottom w:val="0"/>
      <w:divBdr>
        <w:top w:val="none" w:sz="0" w:space="0" w:color="auto"/>
        <w:left w:val="none" w:sz="0" w:space="0" w:color="auto"/>
        <w:bottom w:val="none" w:sz="0" w:space="0" w:color="auto"/>
        <w:right w:val="none" w:sz="0" w:space="0" w:color="auto"/>
      </w:divBdr>
    </w:div>
    <w:div w:id="1456219444">
      <w:marLeft w:val="0"/>
      <w:marRight w:val="0"/>
      <w:marTop w:val="0"/>
      <w:marBottom w:val="0"/>
      <w:divBdr>
        <w:top w:val="none" w:sz="0" w:space="0" w:color="auto"/>
        <w:left w:val="none" w:sz="0" w:space="0" w:color="auto"/>
        <w:bottom w:val="none" w:sz="0" w:space="0" w:color="auto"/>
        <w:right w:val="none" w:sz="0" w:space="0" w:color="auto"/>
      </w:divBdr>
    </w:div>
    <w:div w:id="1459226073">
      <w:marLeft w:val="0"/>
      <w:marRight w:val="0"/>
      <w:marTop w:val="0"/>
      <w:marBottom w:val="0"/>
      <w:divBdr>
        <w:top w:val="none" w:sz="0" w:space="0" w:color="auto"/>
        <w:left w:val="none" w:sz="0" w:space="0" w:color="auto"/>
        <w:bottom w:val="none" w:sz="0" w:space="0" w:color="auto"/>
        <w:right w:val="none" w:sz="0" w:space="0" w:color="auto"/>
      </w:divBdr>
      <w:divsChild>
        <w:div w:id="1552112065">
          <w:marLeft w:val="0"/>
          <w:marRight w:val="0"/>
          <w:marTop w:val="0"/>
          <w:marBottom w:val="0"/>
          <w:divBdr>
            <w:top w:val="none" w:sz="0" w:space="0" w:color="auto"/>
            <w:left w:val="none" w:sz="0" w:space="0" w:color="auto"/>
            <w:bottom w:val="none" w:sz="0" w:space="0" w:color="auto"/>
            <w:right w:val="none" w:sz="0" w:space="0" w:color="auto"/>
          </w:divBdr>
          <w:divsChild>
            <w:div w:id="1965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0525">
      <w:marLeft w:val="0"/>
      <w:marRight w:val="0"/>
      <w:marTop w:val="200"/>
      <w:marBottom w:val="0"/>
      <w:divBdr>
        <w:top w:val="none" w:sz="0" w:space="0" w:color="auto"/>
        <w:left w:val="none" w:sz="0" w:space="0" w:color="auto"/>
        <w:bottom w:val="none" w:sz="0" w:space="0" w:color="auto"/>
        <w:right w:val="none" w:sz="0" w:space="0" w:color="auto"/>
      </w:divBdr>
    </w:div>
    <w:div w:id="1465847552">
      <w:marLeft w:val="0"/>
      <w:marRight w:val="0"/>
      <w:marTop w:val="0"/>
      <w:marBottom w:val="120"/>
      <w:divBdr>
        <w:top w:val="none" w:sz="0" w:space="0" w:color="auto"/>
        <w:left w:val="none" w:sz="0" w:space="0" w:color="auto"/>
        <w:bottom w:val="none" w:sz="0" w:space="0" w:color="auto"/>
        <w:right w:val="none" w:sz="0" w:space="0" w:color="auto"/>
      </w:divBdr>
    </w:div>
    <w:div w:id="1466850252">
      <w:marLeft w:val="0"/>
      <w:marRight w:val="0"/>
      <w:marTop w:val="260"/>
      <w:marBottom w:val="0"/>
      <w:divBdr>
        <w:top w:val="none" w:sz="0" w:space="0" w:color="auto"/>
        <w:left w:val="none" w:sz="0" w:space="0" w:color="auto"/>
        <w:bottom w:val="none" w:sz="0" w:space="0" w:color="auto"/>
        <w:right w:val="none" w:sz="0" w:space="0" w:color="auto"/>
      </w:divBdr>
    </w:div>
    <w:div w:id="1484347800">
      <w:marLeft w:val="0"/>
      <w:marRight w:val="0"/>
      <w:marTop w:val="0"/>
      <w:marBottom w:val="240"/>
      <w:divBdr>
        <w:top w:val="none" w:sz="0" w:space="0" w:color="auto"/>
        <w:left w:val="none" w:sz="0" w:space="0" w:color="auto"/>
        <w:bottom w:val="none" w:sz="0" w:space="0" w:color="auto"/>
        <w:right w:val="none" w:sz="0" w:space="0" w:color="auto"/>
      </w:divBdr>
    </w:div>
    <w:div w:id="1498035552">
      <w:marLeft w:val="0"/>
      <w:marRight w:val="0"/>
      <w:marTop w:val="0"/>
      <w:marBottom w:val="0"/>
      <w:divBdr>
        <w:top w:val="none" w:sz="0" w:space="0" w:color="auto"/>
        <w:left w:val="none" w:sz="0" w:space="0" w:color="auto"/>
        <w:bottom w:val="none" w:sz="0" w:space="0" w:color="auto"/>
        <w:right w:val="none" w:sz="0" w:space="0" w:color="auto"/>
      </w:divBdr>
    </w:div>
    <w:div w:id="1498039640">
      <w:marLeft w:val="0"/>
      <w:marRight w:val="0"/>
      <w:marTop w:val="0"/>
      <w:marBottom w:val="120"/>
      <w:divBdr>
        <w:top w:val="none" w:sz="0" w:space="0" w:color="auto"/>
        <w:left w:val="none" w:sz="0" w:space="0" w:color="auto"/>
        <w:bottom w:val="none" w:sz="0" w:space="0" w:color="auto"/>
        <w:right w:val="none" w:sz="0" w:space="0" w:color="auto"/>
      </w:divBdr>
      <w:divsChild>
        <w:div w:id="1770005418">
          <w:marLeft w:val="0"/>
          <w:marRight w:val="0"/>
          <w:marTop w:val="0"/>
          <w:marBottom w:val="0"/>
          <w:divBdr>
            <w:top w:val="none" w:sz="0" w:space="0" w:color="auto"/>
            <w:left w:val="none" w:sz="0" w:space="0" w:color="auto"/>
            <w:bottom w:val="none" w:sz="0" w:space="0" w:color="auto"/>
            <w:right w:val="none" w:sz="0" w:space="0" w:color="auto"/>
          </w:divBdr>
        </w:div>
        <w:div w:id="817574273">
          <w:marLeft w:val="0"/>
          <w:marRight w:val="0"/>
          <w:marTop w:val="0"/>
          <w:marBottom w:val="0"/>
          <w:divBdr>
            <w:top w:val="none" w:sz="0" w:space="0" w:color="auto"/>
            <w:left w:val="none" w:sz="0" w:space="0" w:color="auto"/>
            <w:bottom w:val="none" w:sz="0" w:space="0" w:color="auto"/>
            <w:right w:val="none" w:sz="0" w:space="0" w:color="auto"/>
          </w:divBdr>
        </w:div>
        <w:div w:id="1182359702">
          <w:marLeft w:val="0"/>
          <w:marRight w:val="0"/>
          <w:marTop w:val="0"/>
          <w:marBottom w:val="0"/>
          <w:divBdr>
            <w:top w:val="none" w:sz="0" w:space="0" w:color="auto"/>
            <w:left w:val="none" w:sz="0" w:space="0" w:color="auto"/>
            <w:bottom w:val="none" w:sz="0" w:space="0" w:color="auto"/>
            <w:right w:val="none" w:sz="0" w:space="0" w:color="auto"/>
          </w:divBdr>
        </w:div>
      </w:divsChild>
    </w:div>
    <w:div w:id="1498573896">
      <w:marLeft w:val="0"/>
      <w:marRight w:val="0"/>
      <w:marTop w:val="0"/>
      <w:marBottom w:val="0"/>
      <w:divBdr>
        <w:top w:val="none" w:sz="0" w:space="0" w:color="auto"/>
        <w:left w:val="none" w:sz="0" w:space="0" w:color="auto"/>
        <w:bottom w:val="none" w:sz="0" w:space="0" w:color="auto"/>
        <w:right w:val="none" w:sz="0" w:space="0" w:color="auto"/>
      </w:divBdr>
    </w:div>
    <w:div w:id="1509444774">
      <w:marLeft w:val="0"/>
      <w:marRight w:val="0"/>
      <w:marTop w:val="0"/>
      <w:marBottom w:val="0"/>
      <w:divBdr>
        <w:top w:val="none" w:sz="0" w:space="0" w:color="auto"/>
        <w:left w:val="none" w:sz="0" w:space="0" w:color="auto"/>
        <w:bottom w:val="none" w:sz="0" w:space="0" w:color="auto"/>
        <w:right w:val="none" w:sz="0" w:space="0" w:color="auto"/>
      </w:divBdr>
      <w:divsChild>
        <w:div w:id="1047803410">
          <w:marLeft w:val="0"/>
          <w:marRight w:val="0"/>
          <w:marTop w:val="0"/>
          <w:marBottom w:val="0"/>
          <w:divBdr>
            <w:top w:val="none" w:sz="0" w:space="0" w:color="auto"/>
            <w:left w:val="none" w:sz="0" w:space="0" w:color="auto"/>
            <w:bottom w:val="none" w:sz="0" w:space="0" w:color="auto"/>
            <w:right w:val="none" w:sz="0" w:space="0" w:color="auto"/>
          </w:divBdr>
        </w:div>
      </w:divsChild>
    </w:div>
    <w:div w:id="1513689776">
      <w:marLeft w:val="0"/>
      <w:marRight w:val="0"/>
      <w:marTop w:val="0"/>
      <w:marBottom w:val="0"/>
      <w:divBdr>
        <w:top w:val="none" w:sz="0" w:space="0" w:color="auto"/>
        <w:left w:val="none" w:sz="0" w:space="0" w:color="auto"/>
        <w:bottom w:val="none" w:sz="0" w:space="0" w:color="auto"/>
        <w:right w:val="none" w:sz="0" w:space="0" w:color="auto"/>
      </w:divBdr>
      <w:divsChild>
        <w:div w:id="2000303207">
          <w:marLeft w:val="0"/>
          <w:marRight w:val="0"/>
          <w:marTop w:val="0"/>
          <w:marBottom w:val="0"/>
          <w:divBdr>
            <w:top w:val="none" w:sz="0" w:space="0" w:color="auto"/>
            <w:left w:val="none" w:sz="0" w:space="0" w:color="auto"/>
            <w:bottom w:val="none" w:sz="0" w:space="0" w:color="auto"/>
            <w:right w:val="none" w:sz="0" w:space="0" w:color="auto"/>
          </w:divBdr>
        </w:div>
      </w:divsChild>
    </w:div>
    <w:div w:id="1517161041">
      <w:marLeft w:val="0"/>
      <w:marRight w:val="0"/>
      <w:marTop w:val="0"/>
      <w:marBottom w:val="0"/>
      <w:divBdr>
        <w:top w:val="none" w:sz="0" w:space="0" w:color="auto"/>
        <w:left w:val="none" w:sz="0" w:space="0" w:color="auto"/>
        <w:bottom w:val="none" w:sz="0" w:space="0" w:color="auto"/>
        <w:right w:val="none" w:sz="0" w:space="0" w:color="auto"/>
      </w:divBdr>
    </w:div>
    <w:div w:id="1518739738">
      <w:marLeft w:val="0"/>
      <w:marRight w:val="0"/>
      <w:marTop w:val="0"/>
      <w:marBottom w:val="0"/>
      <w:divBdr>
        <w:top w:val="none" w:sz="0" w:space="0" w:color="auto"/>
        <w:left w:val="none" w:sz="0" w:space="0" w:color="auto"/>
        <w:bottom w:val="none" w:sz="0" w:space="0" w:color="auto"/>
        <w:right w:val="none" w:sz="0" w:space="0" w:color="auto"/>
      </w:divBdr>
      <w:divsChild>
        <w:div w:id="1761368002">
          <w:marLeft w:val="0"/>
          <w:marRight w:val="0"/>
          <w:marTop w:val="0"/>
          <w:marBottom w:val="0"/>
          <w:divBdr>
            <w:top w:val="none" w:sz="0" w:space="0" w:color="auto"/>
            <w:left w:val="none" w:sz="0" w:space="0" w:color="auto"/>
            <w:bottom w:val="none" w:sz="0" w:space="0" w:color="auto"/>
            <w:right w:val="none" w:sz="0" w:space="0" w:color="auto"/>
          </w:divBdr>
        </w:div>
      </w:divsChild>
    </w:div>
    <w:div w:id="1521166695">
      <w:marLeft w:val="0"/>
      <w:marRight w:val="0"/>
      <w:marTop w:val="0"/>
      <w:marBottom w:val="0"/>
      <w:divBdr>
        <w:top w:val="none" w:sz="0" w:space="0" w:color="auto"/>
        <w:left w:val="none" w:sz="0" w:space="0" w:color="auto"/>
        <w:bottom w:val="none" w:sz="0" w:space="0" w:color="auto"/>
        <w:right w:val="none" w:sz="0" w:space="0" w:color="auto"/>
      </w:divBdr>
    </w:div>
    <w:div w:id="1536239224">
      <w:marLeft w:val="0"/>
      <w:marRight w:val="0"/>
      <w:marTop w:val="0"/>
      <w:marBottom w:val="0"/>
      <w:divBdr>
        <w:top w:val="none" w:sz="0" w:space="0" w:color="auto"/>
        <w:left w:val="none" w:sz="0" w:space="0" w:color="auto"/>
        <w:bottom w:val="none" w:sz="0" w:space="0" w:color="auto"/>
        <w:right w:val="none" w:sz="0" w:space="0" w:color="auto"/>
      </w:divBdr>
    </w:div>
    <w:div w:id="1542590277">
      <w:marLeft w:val="0"/>
      <w:marRight w:val="0"/>
      <w:marTop w:val="0"/>
      <w:marBottom w:val="120"/>
      <w:divBdr>
        <w:top w:val="none" w:sz="0" w:space="0" w:color="auto"/>
        <w:left w:val="none" w:sz="0" w:space="0" w:color="auto"/>
        <w:bottom w:val="none" w:sz="0" w:space="0" w:color="auto"/>
        <w:right w:val="none" w:sz="0" w:space="0" w:color="auto"/>
      </w:divBdr>
    </w:div>
    <w:div w:id="1544752315">
      <w:marLeft w:val="0"/>
      <w:marRight w:val="0"/>
      <w:marTop w:val="0"/>
      <w:marBottom w:val="120"/>
      <w:divBdr>
        <w:top w:val="none" w:sz="0" w:space="0" w:color="auto"/>
        <w:left w:val="none" w:sz="0" w:space="0" w:color="auto"/>
        <w:bottom w:val="none" w:sz="0" w:space="0" w:color="auto"/>
        <w:right w:val="none" w:sz="0" w:space="0" w:color="auto"/>
      </w:divBdr>
    </w:div>
    <w:div w:id="1547062974">
      <w:marLeft w:val="0"/>
      <w:marRight w:val="0"/>
      <w:marTop w:val="120"/>
      <w:marBottom w:val="0"/>
      <w:divBdr>
        <w:top w:val="none" w:sz="0" w:space="0" w:color="auto"/>
        <w:left w:val="none" w:sz="0" w:space="0" w:color="auto"/>
        <w:bottom w:val="none" w:sz="0" w:space="0" w:color="auto"/>
        <w:right w:val="none" w:sz="0" w:space="0" w:color="auto"/>
      </w:divBdr>
    </w:div>
    <w:div w:id="1547175877">
      <w:marLeft w:val="0"/>
      <w:marRight w:val="0"/>
      <w:marTop w:val="0"/>
      <w:marBottom w:val="200"/>
      <w:divBdr>
        <w:top w:val="none" w:sz="0" w:space="0" w:color="auto"/>
        <w:left w:val="none" w:sz="0" w:space="0" w:color="auto"/>
        <w:bottom w:val="none" w:sz="0" w:space="0" w:color="auto"/>
        <w:right w:val="none" w:sz="0" w:space="0" w:color="auto"/>
      </w:divBdr>
    </w:div>
    <w:div w:id="1563901686">
      <w:marLeft w:val="0"/>
      <w:marRight w:val="0"/>
      <w:marTop w:val="0"/>
      <w:marBottom w:val="0"/>
      <w:divBdr>
        <w:top w:val="none" w:sz="0" w:space="0" w:color="auto"/>
        <w:left w:val="none" w:sz="0" w:space="0" w:color="auto"/>
        <w:bottom w:val="none" w:sz="0" w:space="0" w:color="auto"/>
        <w:right w:val="none" w:sz="0" w:space="0" w:color="auto"/>
      </w:divBdr>
    </w:div>
    <w:div w:id="1568805738">
      <w:marLeft w:val="0"/>
      <w:marRight w:val="0"/>
      <w:marTop w:val="0"/>
      <w:marBottom w:val="240"/>
      <w:divBdr>
        <w:top w:val="none" w:sz="0" w:space="0" w:color="auto"/>
        <w:left w:val="none" w:sz="0" w:space="0" w:color="auto"/>
        <w:bottom w:val="none" w:sz="0" w:space="0" w:color="auto"/>
        <w:right w:val="none" w:sz="0" w:space="0" w:color="auto"/>
      </w:divBdr>
    </w:div>
    <w:div w:id="1578974720">
      <w:marLeft w:val="0"/>
      <w:marRight w:val="0"/>
      <w:marTop w:val="0"/>
      <w:marBottom w:val="200"/>
      <w:divBdr>
        <w:top w:val="none" w:sz="0" w:space="0" w:color="auto"/>
        <w:left w:val="none" w:sz="0" w:space="0" w:color="auto"/>
        <w:bottom w:val="none" w:sz="0" w:space="0" w:color="auto"/>
        <w:right w:val="none" w:sz="0" w:space="0" w:color="auto"/>
      </w:divBdr>
    </w:div>
    <w:div w:id="1579247523">
      <w:marLeft w:val="0"/>
      <w:marRight w:val="0"/>
      <w:marTop w:val="0"/>
      <w:marBottom w:val="0"/>
      <w:divBdr>
        <w:top w:val="none" w:sz="0" w:space="0" w:color="auto"/>
        <w:left w:val="none" w:sz="0" w:space="0" w:color="auto"/>
        <w:bottom w:val="none" w:sz="0" w:space="0" w:color="auto"/>
        <w:right w:val="none" w:sz="0" w:space="0" w:color="auto"/>
      </w:divBdr>
    </w:div>
    <w:div w:id="1579514546">
      <w:marLeft w:val="0"/>
      <w:marRight w:val="0"/>
      <w:marTop w:val="0"/>
      <w:marBottom w:val="0"/>
      <w:divBdr>
        <w:top w:val="none" w:sz="0" w:space="0" w:color="auto"/>
        <w:left w:val="none" w:sz="0" w:space="0" w:color="auto"/>
        <w:bottom w:val="none" w:sz="0" w:space="0" w:color="auto"/>
        <w:right w:val="none" w:sz="0" w:space="0" w:color="auto"/>
      </w:divBdr>
    </w:div>
    <w:div w:id="1585605272">
      <w:marLeft w:val="0"/>
      <w:marRight w:val="0"/>
      <w:marTop w:val="0"/>
      <w:marBottom w:val="0"/>
      <w:divBdr>
        <w:top w:val="none" w:sz="0" w:space="0" w:color="auto"/>
        <w:left w:val="none" w:sz="0" w:space="0" w:color="auto"/>
        <w:bottom w:val="none" w:sz="0" w:space="0" w:color="auto"/>
        <w:right w:val="none" w:sz="0" w:space="0" w:color="auto"/>
      </w:divBdr>
    </w:div>
    <w:div w:id="1585919991">
      <w:marLeft w:val="0"/>
      <w:marRight w:val="0"/>
      <w:marTop w:val="0"/>
      <w:marBottom w:val="0"/>
      <w:divBdr>
        <w:top w:val="none" w:sz="0" w:space="0" w:color="auto"/>
        <w:left w:val="none" w:sz="0" w:space="0" w:color="auto"/>
        <w:bottom w:val="none" w:sz="0" w:space="0" w:color="auto"/>
        <w:right w:val="none" w:sz="0" w:space="0" w:color="auto"/>
      </w:divBdr>
    </w:div>
    <w:div w:id="1590308660">
      <w:marLeft w:val="0"/>
      <w:marRight w:val="0"/>
      <w:marTop w:val="0"/>
      <w:marBottom w:val="0"/>
      <w:divBdr>
        <w:top w:val="none" w:sz="0" w:space="0" w:color="auto"/>
        <w:left w:val="none" w:sz="0" w:space="0" w:color="auto"/>
        <w:bottom w:val="none" w:sz="0" w:space="0" w:color="auto"/>
        <w:right w:val="none" w:sz="0" w:space="0" w:color="auto"/>
      </w:divBdr>
      <w:divsChild>
        <w:div w:id="2031105721">
          <w:marLeft w:val="0"/>
          <w:marRight w:val="0"/>
          <w:marTop w:val="0"/>
          <w:marBottom w:val="0"/>
          <w:divBdr>
            <w:top w:val="none" w:sz="0" w:space="0" w:color="auto"/>
            <w:left w:val="none" w:sz="0" w:space="0" w:color="auto"/>
            <w:bottom w:val="none" w:sz="0" w:space="0" w:color="auto"/>
            <w:right w:val="none" w:sz="0" w:space="0" w:color="auto"/>
          </w:divBdr>
        </w:div>
      </w:divsChild>
    </w:div>
    <w:div w:id="1601404899">
      <w:marLeft w:val="0"/>
      <w:marRight w:val="0"/>
      <w:marTop w:val="0"/>
      <w:marBottom w:val="0"/>
      <w:divBdr>
        <w:top w:val="none" w:sz="0" w:space="0" w:color="auto"/>
        <w:left w:val="none" w:sz="0" w:space="0" w:color="auto"/>
        <w:bottom w:val="none" w:sz="0" w:space="0" w:color="auto"/>
        <w:right w:val="none" w:sz="0" w:space="0" w:color="auto"/>
      </w:divBdr>
      <w:divsChild>
        <w:div w:id="1487890765">
          <w:marLeft w:val="0"/>
          <w:marRight w:val="0"/>
          <w:marTop w:val="0"/>
          <w:marBottom w:val="0"/>
          <w:divBdr>
            <w:top w:val="none" w:sz="0" w:space="0" w:color="auto"/>
            <w:left w:val="none" w:sz="0" w:space="0" w:color="auto"/>
            <w:bottom w:val="none" w:sz="0" w:space="0" w:color="auto"/>
            <w:right w:val="none" w:sz="0" w:space="0" w:color="auto"/>
          </w:divBdr>
        </w:div>
      </w:divsChild>
    </w:div>
    <w:div w:id="1614357366">
      <w:marLeft w:val="0"/>
      <w:marRight w:val="0"/>
      <w:marTop w:val="0"/>
      <w:marBottom w:val="0"/>
      <w:divBdr>
        <w:top w:val="none" w:sz="0" w:space="0" w:color="auto"/>
        <w:left w:val="none" w:sz="0" w:space="0" w:color="auto"/>
        <w:bottom w:val="none" w:sz="0" w:space="0" w:color="auto"/>
        <w:right w:val="none" w:sz="0" w:space="0" w:color="auto"/>
      </w:divBdr>
      <w:divsChild>
        <w:div w:id="561910838">
          <w:marLeft w:val="0"/>
          <w:marRight w:val="0"/>
          <w:marTop w:val="0"/>
          <w:marBottom w:val="0"/>
          <w:divBdr>
            <w:top w:val="none" w:sz="0" w:space="0" w:color="auto"/>
            <w:left w:val="none" w:sz="0" w:space="0" w:color="auto"/>
            <w:bottom w:val="none" w:sz="0" w:space="0" w:color="auto"/>
            <w:right w:val="none" w:sz="0" w:space="0" w:color="auto"/>
          </w:divBdr>
        </w:div>
      </w:divsChild>
    </w:div>
    <w:div w:id="1622958088">
      <w:marLeft w:val="0"/>
      <w:marRight w:val="0"/>
      <w:marTop w:val="0"/>
      <w:marBottom w:val="0"/>
      <w:divBdr>
        <w:top w:val="none" w:sz="0" w:space="0" w:color="auto"/>
        <w:left w:val="none" w:sz="0" w:space="0" w:color="auto"/>
        <w:bottom w:val="none" w:sz="0" w:space="0" w:color="auto"/>
        <w:right w:val="none" w:sz="0" w:space="0" w:color="auto"/>
      </w:divBdr>
      <w:divsChild>
        <w:div w:id="719087159">
          <w:marLeft w:val="0"/>
          <w:marRight w:val="0"/>
          <w:marTop w:val="0"/>
          <w:marBottom w:val="0"/>
          <w:divBdr>
            <w:top w:val="none" w:sz="0" w:space="0" w:color="auto"/>
            <w:left w:val="none" w:sz="0" w:space="0" w:color="auto"/>
            <w:bottom w:val="none" w:sz="0" w:space="0" w:color="auto"/>
            <w:right w:val="none" w:sz="0" w:space="0" w:color="auto"/>
          </w:divBdr>
        </w:div>
      </w:divsChild>
    </w:div>
    <w:div w:id="1632591908">
      <w:marLeft w:val="0"/>
      <w:marRight w:val="0"/>
      <w:marTop w:val="0"/>
      <w:marBottom w:val="120"/>
      <w:divBdr>
        <w:top w:val="none" w:sz="0" w:space="0" w:color="auto"/>
        <w:left w:val="none" w:sz="0" w:space="0" w:color="auto"/>
        <w:bottom w:val="none" w:sz="0" w:space="0" w:color="auto"/>
        <w:right w:val="none" w:sz="0" w:space="0" w:color="auto"/>
      </w:divBdr>
    </w:div>
    <w:div w:id="1639072616">
      <w:marLeft w:val="0"/>
      <w:marRight w:val="0"/>
      <w:marTop w:val="0"/>
      <w:marBottom w:val="120"/>
      <w:divBdr>
        <w:top w:val="none" w:sz="0" w:space="0" w:color="auto"/>
        <w:left w:val="none" w:sz="0" w:space="0" w:color="auto"/>
        <w:bottom w:val="none" w:sz="0" w:space="0" w:color="auto"/>
        <w:right w:val="none" w:sz="0" w:space="0" w:color="auto"/>
      </w:divBdr>
    </w:div>
    <w:div w:id="1641568292">
      <w:marLeft w:val="0"/>
      <w:marRight w:val="0"/>
      <w:marTop w:val="0"/>
      <w:marBottom w:val="0"/>
      <w:divBdr>
        <w:top w:val="none" w:sz="0" w:space="0" w:color="auto"/>
        <w:left w:val="none" w:sz="0" w:space="0" w:color="auto"/>
        <w:bottom w:val="none" w:sz="0" w:space="0" w:color="auto"/>
        <w:right w:val="none" w:sz="0" w:space="0" w:color="auto"/>
      </w:divBdr>
    </w:div>
    <w:div w:id="1644384460">
      <w:marLeft w:val="0"/>
      <w:marRight w:val="0"/>
      <w:marTop w:val="0"/>
      <w:marBottom w:val="0"/>
      <w:divBdr>
        <w:top w:val="none" w:sz="0" w:space="0" w:color="auto"/>
        <w:left w:val="none" w:sz="0" w:space="0" w:color="auto"/>
        <w:bottom w:val="none" w:sz="0" w:space="0" w:color="auto"/>
        <w:right w:val="none" w:sz="0" w:space="0" w:color="auto"/>
      </w:divBdr>
    </w:div>
    <w:div w:id="1649364195">
      <w:marLeft w:val="0"/>
      <w:marRight w:val="0"/>
      <w:marTop w:val="0"/>
      <w:marBottom w:val="60"/>
      <w:divBdr>
        <w:top w:val="none" w:sz="0" w:space="0" w:color="auto"/>
        <w:left w:val="none" w:sz="0" w:space="0" w:color="auto"/>
        <w:bottom w:val="none" w:sz="0" w:space="0" w:color="auto"/>
        <w:right w:val="none" w:sz="0" w:space="0" w:color="auto"/>
      </w:divBdr>
    </w:div>
    <w:div w:id="1671761788">
      <w:marLeft w:val="0"/>
      <w:marRight w:val="0"/>
      <w:marTop w:val="0"/>
      <w:marBottom w:val="0"/>
      <w:divBdr>
        <w:top w:val="none" w:sz="0" w:space="0" w:color="auto"/>
        <w:left w:val="none" w:sz="0" w:space="0" w:color="auto"/>
        <w:bottom w:val="none" w:sz="0" w:space="0" w:color="auto"/>
        <w:right w:val="none" w:sz="0" w:space="0" w:color="auto"/>
      </w:divBdr>
      <w:divsChild>
        <w:div w:id="2022781027">
          <w:marLeft w:val="0"/>
          <w:marRight w:val="0"/>
          <w:marTop w:val="0"/>
          <w:marBottom w:val="0"/>
          <w:divBdr>
            <w:top w:val="none" w:sz="0" w:space="0" w:color="auto"/>
            <w:left w:val="none" w:sz="0" w:space="0" w:color="auto"/>
            <w:bottom w:val="none" w:sz="0" w:space="0" w:color="auto"/>
            <w:right w:val="none" w:sz="0" w:space="0" w:color="auto"/>
          </w:divBdr>
        </w:div>
      </w:divsChild>
    </w:div>
    <w:div w:id="1673341140">
      <w:marLeft w:val="0"/>
      <w:marRight w:val="0"/>
      <w:marTop w:val="0"/>
      <w:marBottom w:val="120"/>
      <w:divBdr>
        <w:top w:val="none" w:sz="0" w:space="0" w:color="auto"/>
        <w:left w:val="none" w:sz="0" w:space="0" w:color="auto"/>
        <w:bottom w:val="none" w:sz="0" w:space="0" w:color="auto"/>
        <w:right w:val="none" w:sz="0" w:space="0" w:color="auto"/>
      </w:divBdr>
    </w:div>
    <w:div w:id="1685085288">
      <w:marLeft w:val="0"/>
      <w:marRight w:val="0"/>
      <w:marTop w:val="0"/>
      <w:marBottom w:val="60"/>
      <w:divBdr>
        <w:top w:val="none" w:sz="0" w:space="0" w:color="auto"/>
        <w:left w:val="none" w:sz="0" w:space="0" w:color="auto"/>
        <w:bottom w:val="none" w:sz="0" w:space="0" w:color="auto"/>
        <w:right w:val="none" w:sz="0" w:space="0" w:color="auto"/>
      </w:divBdr>
    </w:div>
    <w:div w:id="1700885545">
      <w:marLeft w:val="0"/>
      <w:marRight w:val="0"/>
      <w:marTop w:val="0"/>
      <w:marBottom w:val="0"/>
      <w:divBdr>
        <w:top w:val="none" w:sz="0" w:space="0" w:color="auto"/>
        <w:left w:val="none" w:sz="0" w:space="0" w:color="auto"/>
        <w:bottom w:val="none" w:sz="0" w:space="0" w:color="auto"/>
        <w:right w:val="none" w:sz="0" w:space="0" w:color="auto"/>
      </w:divBdr>
      <w:divsChild>
        <w:div w:id="610942025">
          <w:marLeft w:val="0"/>
          <w:marRight w:val="0"/>
          <w:marTop w:val="0"/>
          <w:marBottom w:val="0"/>
          <w:divBdr>
            <w:top w:val="none" w:sz="0" w:space="0" w:color="auto"/>
            <w:left w:val="none" w:sz="0" w:space="0" w:color="auto"/>
            <w:bottom w:val="none" w:sz="0" w:space="0" w:color="auto"/>
            <w:right w:val="none" w:sz="0" w:space="0" w:color="auto"/>
          </w:divBdr>
        </w:div>
      </w:divsChild>
    </w:div>
    <w:div w:id="1722438575">
      <w:marLeft w:val="0"/>
      <w:marRight w:val="0"/>
      <w:marTop w:val="0"/>
      <w:marBottom w:val="0"/>
      <w:divBdr>
        <w:top w:val="none" w:sz="0" w:space="0" w:color="auto"/>
        <w:left w:val="none" w:sz="0" w:space="0" w:color="auto"/>
        <w:bottom w:val="none" w:sz="0" w:space="0" w:color="auto"/>
        <w:right w:val="none" w:sz="0" w:space="0" w:color="auto"/>
      </w:divBdr>
      <w:divsChild>
        <w:div w:id="15624849">
          <w:marLeft w:val="0"/>
          <w:marRight w:val="0"/>
          <w:marTop w:val="0"/>
          <w:marBottom w:val="0"/>
          <w:divBdr>
            <w:top w:val="none" w:sz="0" w:space="0" w:color="auto"/>
            <w:left w:val="none" w:sz="0" w:space="0" w:color="auto"/>
            <w:bottom w:val="none" w:sz="0" w:space="0" w:color="auto"/>
            <w:right w:val="none" w:sz="0" w:space="0" w:color="auto"/>
          </w:divBdr>
        </w:div>
      </w:divsChild>
    </w:div>
    <w:div w:id="1727102885">
      <w:marLeft w:val="0"/>
      <w:marRight w:val="0"/>
      <w:marTop w:val="0"/>
      <w:marBottom w:val="60"/>
      <w:divBdr>
        <w:top w:val="none" w:sz="0" w:space="0" w:color="auto"/>
        <w:left w:val="none" w:sz="0" w:space="0" w:color="auto"/>
        <w:bottom w:val="none" w:sz="0" w:space="0" w:color="auto"/>
        <w:right w:val="none" w:sz="0" w:space="0" w:color="auto"/>
      </w:divBdr>
    </w:div>
    <w:div w:id="1727755025">
      <w:marLeft w:val="0"/>
      <w:marRight w:val="0"/>
      <w:marTop w:val="0"/>
      <w:marBottom w:val="0"/>
      <w:divBdr>
        <w:top w:val="none" w:sz="0" w:space="0" w:color="auto"/>
        <w:left w:val="none" w:sz="0" w:space="0" w:color="auto"/>
        <w:bottom w:val="none" w:sz="0" w:space="0" w:color="auto"/>
        <w:right w:val="none" w:sz="0" w:space="0" w:color="auto"/>
      </w:divBdr>
      <w:divsChild>
        <w:div w:id="2122064948">
          <w:marLeft w:val="0"/>
          <w:marRight w:val="0"/>
          <w:marTop w:val="0"/>
          <w:marBottom w:val="0"/>
          <w:divBdr>
            <w:top w:val="none" w:sz="0" w:space="0" w:color="auto"/>
            <w:left w:val="none" w:sz="0" w:space="0" w:color="auto"/>
            <w:bottom w:val="none" w:sz="0" w:space="0" w:color="auto"/>
            <w:right w:val="none" w:sz="0" w:space="0" w:color="auto"/>
          </w:divBdr>
          <w:divsChild>
            <w:div w:id="6356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74">
      <w:marLeft w:val="0"/>
      <w:marRight w:val="0"/>
      <w:marTop w:val="0"/>
      <w:marBottom w:val="240"/>
      <w:divBdr>
        <w:top w:val="none" w:sz="0" w:space="0" w:color="auto"/>
        <w:left w:val="none" w:sz="0" w:space="0" w:color="auto"/>
        <w:bottom w:val="none" w:sz="0" w:space="0" w:color="auto"/>
        <w:right w:val="none" w:sz="0" w:space="0" w:color="auto"/>
      </w:divBdr>
    </w:div>
    <w:div w:id="1736733819">
      <w:marLeft w:val="0"/>
      <w:marRight w:val="0"/>
      <w:marTop w:val="0"/>
      <w:marBottom w:val="120"/>
      <w:divBdr>
        <w:top w:val="none" w:sz="0" w:space="0" w:color="auto"/>
        <w:left w:val="none" w:sz="0" w:space="0" w:color="auto"/>
        <w:bottom w:val="none" w:sz="0" w:space="0" w:color="auto"/>
        <w:right w:val="none" w:sz="0" w:space="0" w:color="auto"/>
      </w:divBdr>
    </w:div>
    <w:div w:id="1740251820">
      <w:marLeft w:val="0"/>
      <w:marRight w:val="0"/>
      <w:marTop w:val="0"/>
      <w:marBottom w:val="0"/>
      <w:divBdr>
        <w:top w:val="none" w:sz="0" w:space="0" w:color="auto"/>
        <w:left w:val="none" w:sz="0" w:space="0" w:color="auto"/>
        <w:bottom w:val="none" w:sz="0" w:space="0" w:color="auto"/>
        <w:right w:val="none" w:sz="0" w:space="0" w:color="auto"/>
      </w:divBdr>
      <w:divsChild>
        <w:div w:id="2141922052">
          <w:marLeft w:val="0"/>
          <w:marRight w:val="0"/>
          <w:marTop w:val="0"/>
          <w:marBottom w:val="0"/>
          <w:divBdr>
            <w:top w:val="none" w:sz="0" w:space="0" w:color="auto"/>
            <w:left w:val="none" w:sz="0" w:space="0" w:color="auto"/>
            <w:bottom w:val="none" w:sz="0" w:space="0" w:color="auto"/>
            <w:right w:val="none" w:sz="0" w:space="0" w:color="auto"/>
          </w:divBdr>
        </w:div>
      </w:divsChild>
    </w:div>
    <w:div w:id="1746104798">
      <w:marLeft w:val="0"/>
      <w:marRight w:val="0"/>
      <w:marTop w:val="0"/>
      <w:marBottom w:val="0"/>
      <w:divBdr>
        <w:top w:val="none" w:sz="0" w:space="0" w:color="auto"/>
        <w:left w:val="none" w:sz="0" w:space="0" w:color="auto"/>
        <w:bottom w:val="none" w:sz="0" w:space="0" w:color="auto"/>
        <w:right w:val="none" w:sz="0" w:space="0" w:color="auto"/>
      </w:divBdr>
    </w:div>
    <w:div w:id="1762679846">
      <w:marLeft w:val="0"/>
      <w:marRight w:val="0"/>
      <w:marTop w:val="0"/>
      <w:marBottom w:val="0"/>
      <w:divBdr>
        <w:top w:val="none" w:sz="0" w:space="0" w:color="auto"/>
        <w:left w:val="none" w:sz="0" w:space="0" w:color="auto"/>
        <w:bottom w:val="none" w:sz="0" w:space="0" w:color="auto"/>
        <w:right w:val="none" w:sz="0" w:space="0" w:color="auto"/>
      </w:divBdr>
      <w:divsChild>
        <w:div w:id="644428389">
          <w:marLeft w:val="0"/>
          <w:marRight w:val="0"/>
          <w:marTop w:val="0"/>
          <w:marBottom w:val="0"/>
          <w:divBdr>
            <w:top w:val="none" w:sz="0" w:space="0" w:color="auto"/>
            <w:left w:val="none" w:sz="0" w:space="0" w:color="auto"/>
            <w:bottom w:val="none" w:sz="0" w:space="0" w:color="auto"/>
            <w:right w:val="none" w:sz="0" w:space="0" w:color="auto"/>
          </w:divBdr>
        </w:div>
      </w:divsChild>
    </w:div>
    <w:div w:id="1764303720">
      <w:marLeft w:val="0"/>
      <w:marRight w:val="0"/>
      <w:marTop w:val="0"/>
      <w:marBottom w:val="0"/>
      <w:divBdr>
        <w:top w:val="none" w:sz="0" w:space="0" w:color="auto"/>
        <w:left w:val="none" w:sz="0" w:space="0" w:color="auto"/>
        <w:bottom w:val="none" w:sz="0" w:space="0" w:color="auto"/>
        <w:right w:val="none" w:sz="0" w:space="0" w:color="auto"/>
      </w:divBdr>
    </w:div>
    <w:div w:id="1777674141">
      <w:marLeft w:val="0"/>
      <w:marRight w:val="0"/>
      <w:marTop w:val="0"/>
      <w:marBottom w:val="240"/>
      <w:divBdr>
        <w:top w:val="none" w:sz="0" w:space="0" w:color="auto"/>
        <w:left w:val="none" w:sz="0" w:space="0" w:color="auto"/>
        <w:bottom w:val="none" w:sz="0" w:space="0" w:color="auto"/>
        <w:right w:val="none" w:sz="0" w:space="0" w:color="auto"/>
      </w:divBdr>
    </w:div>
    <w:div w:id="1784223830">
      <w:marLeft w:val="0"/>
      <w:marRight w:val="0"/>
      <w:marTop w:val="0"/>
      <w:marBottom w:val="0"/>
      <w:divBdr>
        <w:top w:val="none" w:sz="0" w:space="0" w:color="auto"/>
        <w:left w:val="none" w:sz="0" w:space="0" w:color="auto"/>
        <w:bottom w:val="none" w:sz="0" w:space="0" w:color="auto"/>
        <w:right w:val="none" w:sz="0" w:space="0" w:color="auto"/>
      </w:divBdr>
    </w:div>
    <w:div w:id="1787650519">
      <w:marLeft w:val="0"/>
      <w:marRight w:val="0"/>
      <w:marTop w:val="0"/>
      <w:marBottom w:val="120"/>
      <w:divBdr>
        <w:top w:val="none" w:sz="0" w:space="0" w:color="auto"/>
        <w:left w:val="none" w:sz="0" w:space="0" w:color="auto"/>
        <w:bottom w:val="none" w:sz="0" w:space="0" w:color="auto"/>
        <w:right w:val="none" w:sz="0" w:space="0" w:color="auto"/>
      </w:divBdr>
    </w:div>
    <w:div w:id="1809008486">
      <w:marLeft w:val="0"/>
      <w:marRight w:val="0"/>
      <w:marTop w:val="0"/>
      <w:marBottom w:val="0"/>
      <w:divBdr>
        <w:top w:val="none" w:sz="0" w:space="0" w:color="auto"/>
        <w:left w:val="none" w:sz="0" w:space="0" w:color="auto"/>
        <w:bottom w:val="none" w:sz="0" w:space="0" w:color="auto"/>
        <w:right w:val="none" w:sz="0" w:space="0" w:color="auto"/>
      </w:divBdr>
    </w:div>
    <w:div w:id="1812483094">
      <w:marLeft w:val="0"/>
      <w:marRight w:val="0"/>
      <w:marTop w:val="0"/>
      <w:marBottom w:val="120"/>
      <w:divBdr>
        <w:top w:val="none" w:sz="0" w:space="0" w:color="auto"/>
        <w:left w:val="none" w:sz="0" w:space="0" w:color="auto"/>
        <w:bottom w:val="none" w:sz="0" w:space="0" w:color="auto"/>
        <w:right w:val="none" w:sz="0" w:space="0" w:color="auto"/>
      </w:divBdr>
    </w:div>
    <w:div w:id="1812864288">
      <w:marLeft w:val="0"/>
      <w:marRight w:val="0"/>
      <w:marTop w:val="0"/>
      <w:marBottom w:val="60"/>
      <w:divBdr>
        <w:top w:val="none" w:sz="0" w:space="0" w:color="auto"/>
        <w:left w:val="none" w:sz="0" w:space="0" w:color="auto"/>
        <w:bottom w:val="none" w:sz="0" w:space="0" w:color="auto"/>
        <w:right w:val="none" w:sz="0" w:space="0" w:color="auto"/>
      </w:divBdr>
    </w:div>
    <w:div w:id="1815638026">
      <w:marLeft w:val="0"/>
      <w:marRight w:val="0"/>
      <w:marTop w:val="0"/>
      <w:marBottom w:val="200"/>
      <w:divBdr>
        <w:top w:val="none" w:sz="0" w:space="0" w:color="auto"/>
        <w:left w:val="none" w:sz="0" w:space="0" w:color="auto"/>
        <w:bottom w:val="none" w:sz="0" w:space="0" w:color="auto"/>
        <w:right w:val="none" w:sz="0" w:space="0" w:color="auto"/>
      </w:divBdr>
    </w:div>
    <w:div w:id="1821456517">
      <w:marLeft w:val="0"/>
      <w:marRight w:val="0"/>
      <w:marTop w:val="0"/>
      <w:marBottom w:val="240"/>
      <w:divBdr>
        <w:top w:val="none" w:sz="0" w:space="0" w:color="auto"/>
        <w:left w:val="none" w:sz="0" w:space="0" w:color="auto"/>
        <w:bottom w:val="none" w:sz="0" w:space="0" w:color="auto"/>
        <w:right w:val="none" w:sz="0" w:space="0" w:color="auto"/>
      </w:divBdr>
    </w:div>
    <w:div w:id="1823426382">
      <w:marLeft w:val="0"/>
      <w:marRight w:val="0"/>
      <w:marTop w:val="0"/>
      <w:marBottom w:val="0"/>
      <w:divBdr>
        <w:top w:val="none" w:sz="0" w:space="0" w:color="auto"/>
        <w:left w:val="none" w:sz="0" w:space="0" w:color="auto"/>
        <w:bottom w:val="none" w:sz="0" w:space="0" w:color="auto"/>
        <w:right w:val="none" w:sz="0" w:space="0" w:color="auto"/>
      </w:divBdr>
      <w:divsChild>
        <w:div w:id="1373379152">
          <w:marLeft w:val="0"/>
          <w:marRight w:val="0"/>
          <w:marTop w:val="0"/>
          <w:marBottom w:val="0"/>
          <w:divBdr>
            <w:top w:val="none" w:sz="0" w:space="0" w:color="auto"/>
            <w:left w:val="none" w:sz="0" w:space="0" w:color="auto"/>
            <w:bottom w:val="none" w:sz="0" w:space="0" w:color="auto"/>
            <w:right w:val="none" w:sz="0" w:space="0" w:color="auto"/>
          </w:divBdr>
        </w:div>
      </w:divsChild>
    </w:div>
    <w:div w:id="1826126551">
      <w:marLeft w:val="0"/>
      <w:marRight w:val="0"/>
      <w:marTop w:val="0"/>
      <w:marBottom w:val="0"/>
      <w:divBdr>
        <w:top w:val="none" w:sz="0" w:space="0" w:color="auto"/>
        <w:left w:val="none" w:sz="0" w:space="0" w:color="auto"/>
        <w:bottom w:val="none" w:sz="0" w:space="0" w:color="auto"/>
        <w:right w:val="none" w:sz="0" w:space="0" w:color="auto"/>
      </w:divBdr>
    </w:div>
    <w:div w:id="1832484247">
      <w:marLeft w:val="0"/>
      <w:marRight w:val="0"/>
      <w:marTop w:val="0"/>
      <w:marBottom w:val="240"/>
      <w:divBdr>
        <w:top w:val="none" w:sz="0" w:space="0" w:color="auto"/>
        <w:left w:val="none" w:sz="0" w:space="0" w:color="auto"/>
        <w:bottom w:val="none" w:sz="0" w:space="0" w:color="auto"/>
        <w:right w:val="none" w:sz="0" w:space="0" w:color="auto"/>
      </w:divBdr>
    </w:div>
    <w:div w:id="1833450303">
      <w:marLeft w:val="0"/>
      <w:marRight w:val="0"/>
      <w:marTop w:val="0"/>
      <w:marBottom w:val="120"/>
      <w:divBdr>
        <w:top w:val="none" w:sz="0" w:space="0" w:color="auto"/>
        <w:left w:val="none" w:sz="0" w:space="0" w:color="auto"/>
        <w:bottom w:val="none" w:sz="0" w:space="0" w:color="auto"/>
        <w:right w:val="none" w:sz="0" w:space="0" w:color="auto"/>
      </w:divBdr>
    </w:div>
    <w:div w:id="1834103233">
      <w:marLeft w:val="0"/>
      <w:marRight w:val="0"/>
      <w:marTop w:val="0"/>
      <w:marBottom w:val="0"/>
      <w:divBdr>
        <w:top w:val="none" w:sz="0" w:space="0" w:color="auto"/>
        <w:left w:val="none" w:sz="0" w:space="0" w:color="auto"/>
        <w:bottom w:val="none" w:sz="0" w:space="0" w:color="auto"/>
        <w:right w:val="none" w:sz="0" w:space="0" w:color="auto"/>
      </w:divBdr>
    </w:div>
    <w:div w:id="1843352797">
      <w:marLeft w:val="0"/>
      <w:marRight w:val="0"/>
      <w:marTop w:val="0"/>
      <w:marBottom w:val="120"/>
      <w:divBdr>
        <w:top w:val="none" w:sz="0" w:space="0" w:color="auto"/>
        <w:left w:val="none" w:sz="0" w:space="0" w:color="auto"/>
        <w:bottom w:val="none" w:sz="0" w:space="0" w:color="auto"/>
        <w:right w:val="none" w:sz="0" w:space="0" w:color="auto"/>
      </w:divBdr>
    </w:div>
    <w:div w:id="1856386648">
      <w:marLeft w:val="0"/>
      <w:marRight w:val="0"/>
      <w:marTop w:val="0"/>
      <w:marBottom w:val="0"/>
      <w:divBdr>
        <w:top w:val="none" w:sz="0" w:space="0" w:color="auto"/>
        <w:left w:val="none" w:sz="0" w:space="0" w:color="auto"/>
        <w:bottom w:val="none" w:sz="0" w:space="0" w:color="auto"/>
        <w:right w:val="none" w:sz="0" w:space="0" w:color="auto"/>
      </w:divBdr>
    </w:div>
    <w:div w:id="1858616683">
      <w:marLeft w:val="0"/>
      <w:marRight w:val="0"/>
      <w:marTop w:val="0"/>
      <w:marBottom w:val="60"/>
      <w:divBdr>
        <w:top w:val="none" w:sz="0" w:space="0" w:color="auto"/>
        <w:left w:val="none" w:sz="0" w:space="0" w:color="auto"/>
        <w:bottom w:val="none" w:sz="0" w:space="0" w:color="auto"/>
        <w:right w:val="none" w:sz="0" w:space="0" w:color="auto"/>
      </w:divBdr>
    </w:div>
    <w:div w:id="1874492878">
      <w:marLeft w:val="0"/>
      <w:marRight w:val="0"/>
      <w:marTop w:val="0"/>
      <w:marBottom w:val="160"/>
      <w:divBdr>
        <w:top w:val="none" w:sz="0" w:space="0" w:color="auto"/>
        <w:left w:val="none" w:sz="0" w:space="0" w:color="auto"/>
        <w:bottom w:val="none" w:sz="0" w:space="0" w:color="auto"/>
        <w:right w:val="none" w:sz="0" w:space="0" w:color="auto"/>
      </w:divBdr>
    </w:div>
    <w:div w:id="1874533550">
      <w:marLeft w:val="0"/>
      <w:marRight w:val="0"/>
      <w:marTop w:val="0"/>
      <w:marBottom w:val="0"/>
      <w:divBdr>
        <w:top w:val="none" w:sz="0" w:space="0" w:color="auto"/>
        <w:left w:val="none" w:sz="0" w:space="0" w:color="auto"/>
        <w:bottom w:val="none" w:sz="0" w:space="0" w:color="auto"/>
        <w:right w:val="none" w:sz="0" w:space="0" w:color="auto"/>
      </w:divBdr>
      <w:divsChild>
        <w:div w:id="261761687">
          <w:marLeft w:val="0"/>
          <w:marRight w:val="0"/>
          <w:marTop w:val="0"/>
          <w:marBottom w:val="0"/>
          <w:divBdr>
            <w:top w:val="none" w:sz="0" w:space="0" w:color="auto"/>
            <w:left w:val="none" w:sz="0" w:space="0" w:color="auto"/>
            <w:bottom w:val="none" w:sz="0" w:space="0" w:color="auto"/>
            <w:right w:val="none" w:sz="0" w:space="0" w:color="auto"/>
          </w:divBdr>
        </w:div>
      </w:divsChild>
    </w:div>
    <w:div w:id="1877037870">
      <w:marLeft w:val="0"/>
      <w:marRight w:val="0"/>
      <w:marTop w:val="0"/>
      <w:marBottom w:val="120"/>
      <w:divBdr>
        <w:top w:val="none" w:sz="0" w:space="0" w:color="auto"/>
        <w:left w:val="none" w:sz="0" w:space="0" w:color="auto"/>
        <w:bottom w:val="none" w:sz="0" w:space="0" w:color="auto"/>
        <w:right w:val="none" w:sz="0" w:space="0" w:color="auto"/>
      </w:divBdr>
    </w:div>
    <w:div w:id="1878855398">
      <w:marLeft w:val="0"/>
      <w:marRight w:val="0"/>
      <w:marTop w:val="0"/>
      <w:marBottom w:val="120"/>
      <w:divBdr>
        <w:top w:val="none" w:sz="0" w:space="0" w:color="auto"/>
        <w:left w:val="none" w:sz="0" w:space="0" w:color="auto"/>
        <w:bottom w:val="none" w:sz="0" w:space="0" w:color="auto"/>
        <w:right w:val="none" w:sz="0" w:space="0" w:color="auto"/>
      </w:divBdr>
    </w:div>
    <w:div w:id="1879052523">
      <w:marLeft w:val="0"/>
      <w:marRight w:val="0"/>
      <w:marTop w:val="0"/>
      <w:marBottom w:val="0"/>
      <w:divBdr>
        <w:top w:val="none" w:sz="0" w:space="0" w:color="auto"/>
        <w:left w:val="none" w:sz="0" w:space="0" w:color="auto"/>
        <w:bottom w:val="none" w:sz="0" w:space="0" w:color="auto"/>
        <w:right w:val="none" w:sz="0" w:space="0" w:color="auto"/>
      </w:divBdr>
    </w:div>
    <w:div w:id="1894345583">
      <w:marLeft w:val="0"/>
      <w:marRight w:val="0"/>
      <w:marTop w:val="0"/>
      <w:marBottom w:val="0"/>
      <w:divBdr>
        <w:top w:val="none" w:sz="0" w:space="0" w:color="auto"/>
        <w:left w:val="none" w:sz="0" w:space="0" w:color="auto"/>
        <w:bottom w:val="none" w:sz="0" w:space="0" w:color="auto"/>
        <w:right w:val="none" w:sz="0" w:space="0" w:color="auto"/>
      </w:divBdr>
      <w:divsChild>
        <w:div w:id="2133740272">
          <w:marLeft w:val="0"/>
          <w:marRight w:val="0"/>
          <w:marTop w:val="0"/>
          <w:marBottom w:val="0"/>
          <w:divBdr>
            <w:top w:val="none" w:sz="0" w:space="0" w:color="auto"/>
            <w:left w:val="none" w:sz="0" w:space="0" w:color="auto"/>
            <w:bottom w:val="none" w:sz="0" w:space="0" w:color="auto"/>
            <w:right w:val="none" w:sz="0" w:space="0" w:color="auto"/>
          </w:divBdr>
        </w:div>
      </w:divsChild>
    </w:div>
    <w:div w:id="1896044007">
      <w:marLeft w:val="0"/>
      <w:marRight w:val="0"/>
      <w:marTop w:val="0"/>
      <w:marBottom w:val="120"/>
      <w:divBdr>
        <w:top w:val="none" w:sz="0" w:space="0" w:color="auto"/>
        <w:left w:val="none" w:sz="0" w:space="0" w:color="auto"/>
        <w:bottom w:val="none" w:sz="0" w:space="0" w:color="auto"/>
        <w:right w:val="none" w:sz="0" w:space="0" w:color="auto"/>
      </w:divBdr>
    </w:div>
    <w:div w:id="1905410920">
      <w:marLeft w:val="0"/>
      <w:marRight w:val="0"/>
      <w:marTop w:val="0"/>
      <w:marBottom w:val="200"/>
      <w:divBdr>
        <w:top w:val="none" w:sz="0" w:space="0" w:color="auto"/>
        <w:left w:val="none" w:sz="0" w:space="0" w:color="auto"/>
        <w:bottom w:val="none" w:sz="0" w:space="0" w:color="auto"/>
        <w:right w:val="none" w:sz="0" w:space="0" w:color="auto"/>
      </w:divBdr>
    </w:div>
    <w:div w:id="1908614648">
      <w:marLeft w:val="0"/>
      <w:marRight w:val="0"/>
      <w:marTop w:val="0"/>
      <w:marBottom w:val="240"/>
      <w:divBdr>
        <w:top w:val="none" w:sz="0" w:space="0" w:color="auto"/>
        <w:left w:val="none" w:sz="0" w:space="0" w:color="auto"/>
        <w:bottom w:val="none" w:sz="0" w:space="0" w:color="auto"/>
        <w:right w:val="none" w:sz="0" w:space="0" w:color="auto"/>
      </w:divBdr>
    </w:div>
    <w:div w:id="1910071270">
      <w:marLeft w:val="0"/>
      <w:marRight w:val="0"/>
      <w:marTop w:val="0"/>
      <w:marBottom w:val="0"/>
      <w:divBdr>
        <w:top w:val="none" w:sz="0" w:space="0" w:color="auto"/>
        <w:left w:val="none" w:sz="0" w:space="0" w:color="auto"/>
        <w:bottom w:val="none" w:sz="0" w:space="0" w:color="auto"/>
        <w:right w:val="none" w:sz="0" w:space="0" w:color="auto"/>
      </w:divBdr>
    </w:div>
    <w:div w:id="1925995751">
      <w:marLeft w:val="0"/>
      <w:marRight w:val="0"/>
      <w:marTop w:val="0"/>
      <w:marBottom w:val="0"/>
      <w:divBdr>
        <w:top w:val="none" w:sz="0" w:space="0" w:color="auto"/>
        <w:left w:val="none" w:sz="0" w:space="0" w:color="auto"/>
        <w:bottom w:val="none" w:sz="0" w:space="0" w:color="auto"/>
        <w:right w:val="none" w:sz="0" w:space="0" w:color="auto"/>
      </w:divBdr>
      <w:divsChild>
        <w:div w:id="1217089815">
          <w:marLeft w:val="0"/>
          <w:marRight w:val="0"/>
          <w:marTop w:val="0"/>
          <w:marBottom w:val="0"/>
          <w:divBdr>
            <w:top w:val="none" w:sz="0" w:space="0" w:color="auto"/>
            <w:left w:val="none" w:sz="0" w:space="0" w:color="auto"/>
            <w:bottom w:val="none" w:sz="0" w:space="0" w:color="auto"/>
            <w:right w:val="none" w:sz="0" w:space="0" w:color="auto"/>
          </w:divBdr>
        </w:div>
      </w:divsChild>
    </w:div>
    <w:div w:id="1926718879">
      <w:marLeft w:val="0"/>
      <w:marRight w:val="0"/>
      <w:marTop w:val="0"/>
      <w:marBottom w:val="60"/>
      <w:divBdr>
        <w:top w:val="none" w:sz="0" w:space="0" w:color="auto"/>
        <w:left w:val="none" w:sz="0" w:space="0" w:color="auto"/>
        <w:bottom w:val="none" w:sz="0" w:space="0" w:color="auto"/>
        <w:right w:val="none" w:sz="0" w:space="0" w:color="auto"/>
      </w:divBdr>
    </w:div>
    <w:div w:id="1927882044">
      <w:marLeft w:val="0"/>
      <w:marRight w:val="0"/>
      <w:marTop w:val="0"/>
      <w:marBottom w:val="120"/>
      <w:divBdr>
        <w:top w:val="none" w:sz="0" w:space="0" w:color="auto"/>
        <w:left w:val="none" w:sz="0" w:space="0" w:color="auto"/>
        <w:bottom w:val="none" w:sz="0" w:space="0" w:color="auto"/>
        <w:right w:val="none" w:sz="0" w:space="0" w:color="auto"/>
      </w:divBdr>
    </w:div>
    <w:div w:id="1959070832">
      <w:marLeft w:val="0"/>
      <w:marRight w:val="0"/>
      <w:marTop w:val="0"/>
      <w:marBottom w:val="200"/>
      <w:divBdr>
        <w:top w:val="none" w:sz="0" w:space="0" w:color="auto"/>
        <w:left w:val="none" w:sz="0" w:space="0" w:color="auto"/>
        <w:bottom w:val="none" w:sz="0" w:space="0" w:color="auto"/>
        <w:right w:val="none" w:sz="0" w:space="0" w:color="auto"/>
      </w:divBdr>
    </w:div>
    <w:div w:id="1959333040">
      <w:marLeft w:val="0"/>
      <w:marRight w:val="0"/>
      <w:marTop w:val="0"/>
      <w:marBottom w:val="0"/>
      <w:divBdr>
        <w:top w:val="none" w:sz="0" w:space="0" w:color="auto"/>
        <w:left w:val="none" w:sz="0" w:space="0" w:color="auto"/>
        <w:bottom w:val="none" w:sz="0" w:space="0" w:color="auto"/>
        <w:right w:val="none" w:sz="0" w:space="0" w:color="auto"/>
      </w:divBdr>
      <w:divsChild>
        <w:div w:id="1589462611">
          <w:marLeft w:val="0"/>
          <w:marRight w:val="0"/>
          <w:marTop w:val="0"/>
          <w:marBottom w:val="0"/>
          <w:divBdr>
            <w:top w:val="none" w:sz="0" w:space="0" w:color="auto"/>
            <w:left w:val="none" w:sz="0" w:space="0" w:color="auto"/>
            <w:bottom w:val="none" w:sz="0" w:space="0" w:color="auto"/>
            <w:right w:val="none" w:sz="0" w:space="0" w:color="auto"/>
          </w:divBdr>
        </w:div>
      </w:divsChild>
    </w:div>
    <w:div w:id="1964385571">
      <w:marLeft w:val="0"/>
      <w:marRight w:val="0"/>
      <w:marTop w:val="0"/>
      <w:marBottom w:val="120"/>
      <w:divBdr>
        <w:top w:val="none" w:sz="0" w:space="0" w:color="auto"/>
        <w:left w:val="none" w:sz="0" w:space="0" w:color="auto"/>
        <w:bottom w:val="none" w:sz="0" w:space="0" w:color="auto"/>
        <w:right w:val="none" w:sz="0" w:space="0" w:color="auto"/>
      </w:divBdr>
    </w:div>
    <w:div w:id="1965888642">
      <w:marLeft w:val="0"/>
      <w:marRight w:val="0"/>
      <w:marTop w:val="200"/>
      <w:marBottom w:val="0"/>
      <w:divBdr>
        <w:top w:val="none" w:sz="0" w:space="0" w:color="auto"/>
        <w:left w:val="none" w:sz="0" w:space="0" w:color="auto"/>
        <w:bottom w:val="none" w:sz="0" w:space="0" w:color="auto"/>
        <w:right w:val="none" w:sz="0" w:space="0" w:color="auto"/>
      </w:divBdr>
    </w:div>
    <w:div w:id="1966424253">
      <w:marLeft w:val="0"/>
      <w:marRight w:val="0"/>
      <w:marTop w:val="0"/>
      <w:marBottom w:val="120"/>
      <w:divBdr>
        <w:top w:val="none" w:sz="0" w:space="0" w:color="auto"/>
        <w:left w:val="none" w:sz="0" w:space="0" w:color="auto"/>
        <w:bottom w:val="none" w:sz="0" w:space="0" w:color="auto"/>
        <w:right w:val="none" w:sz="0" w:space="0" w:color="auto"/>
      </w:divBdr>
    </w:div>
    <w:div w:id="1974407694">
      <w:marLeft w:val="0"/>
      <w:marRight w:val="0"/>
      <w:marTop w:val="0"/>
      <w:marBottom w:val="120"/>
      <w:divBdr>
        <w:top w:val="none" w:sz="0" w:space="0" w:color="auto"/>
        <w:left w:val="none" w:sz="0" w:space="0" w:color="auto"/>
        <w:bottom w:val="none" w:sz="0" w:space="0" w:color="auto"/>
        <w:right w:val="none" w:sz="0" w:space="0" w:color="auto"/>
      </w:divBdr>
      <w:divsChild>
        <w:div w:id="1207521667">
          <w:marLeft w:val="0"/>
          <w:marRight w:val="0"/>
          <w:marTop w:val="0"/>
          <w:marBottom w:val="0"/>
          <w:divBdr>
            <w:top w:val="none" w:sz="0" w:space="0" w:color="auto"/>
            <w:left w:val="none" w:sz="0" w:space="0" w:color="auto"/>
            <w:bottom w:val="none" w:sz="0" w:space="0" w:color="auto"/>
            <w:right w:val="none" w:sz="0" w:space="0" w:color="auto"/>
          </w:divBdr>
        </w:div>
      </w:divsChild>
    </w:div>
    <w:div w:id="1983339532">
      <w:marLeft w:val="0"/>
      <w:marRight w:val="0"/>
      <w:marTop w:val="300"/>
      <w:marBottom w:val="160"/>
      <w:divBdr>
        <w:top w:val="none" w:sz="0" w:space="0" w:color="auto"/>
        <w:left w:val="none" w:sz="0" w:space="0" w:color="auto"/>
        <w:bottom w:val="none" w:sz="0" w:space="0" w:color="auto"/>
        <w:right w:val="none" w:sz="0" w:space="0" w:color="auto"/>
      </w:divBdr>
    </w:div>
    <w:div w:id="1993831115">
      <w:marLeft w:val="0"/>
      <w:marRight w:val="0"/>
      <w:marTop w:val="0"/>
      <w:marBottom w:val="0"/>
      <w:divBdr>
        <w:top w:val="none" w:sz="0" w:space="0" w:color="auto"/>
        <w:left w:val="none" w:sz="0" w:space="0" w:color="auto"/>
        <w:bottom w:val="none" w:sz="0" w:space="0" w:color="auto"/>
        <w:right w:val="none" w:sz="0" w:space="0" w:color="auto"/>
      </w:divBdr>
      <w:divsChild>
        <w:div w:id="1611469822">
          <w:marLeft w:val="0"/>
          <w:marRight w:val="0"/>
          <w:marTop w:val="0"/>
          <w:marBottom w:val="0"/>
          <w:divBdr>
            <w:top w:val="none" w:sz="0" w:space="0" w:color="auto"/>
            <w:left w:val="none" w:sz="0" w:space="0" w:color="auto"/>
            <w:bottom w:val="none" w:sz="0" w:space="0" w:color="auto"/>
            <w:right w:val="none" w:sz="0" w:space="0" w:color="auto"/>
          </w:divBdr>
        </w:div>
      </w:divsChild>
    </w:div>
    <w:div w:id="1997948613">
      <w:marLeft w:val="0"/>
      <w:marRight w:val="0"/>
      <w:marTop w:val="0"/>
      <w:marBottom w:val="0"/>
      <w:divBdr>
        <w:top w:val="none" w:sz="0" w:space="0" w:color="auto"/>
        <w:left w:val="none" w:sz="0" w:space="0" w:color="auto"/>
        <w:bottom w:val="none" w:sz="0" w:space="0" w:color="auto"/>
        <w:right w:val="none" w:sz="0" w:space="0" w:color="auto"/>
      </w:divBdr>
    </w:div>
    <w:div w:id="2013486990">
      <w:marLeft w:val="0"/>
      <w:marRight w:val="0"/>
      <w:marTop w:val="0"/>
      <w:marBottom w:val="240"/>
      <w:divBdr>
        <w:top w:val="none" w:sz="0" w:space="0" w:color="auto"/>
        <w:left w:val="none" w:sz="0" w:space="0" w:color="auto"/>
        <w:bottom w:val="none" w:sz="0" w:space="0" w:color="auto"/>
        <w:right w:val="none" w:sz="0" w:space="0" w:color="auto"/>
      </w:divBdr>
    </w:div>
    <w:div w:id="2015449003">
      <w:marLeft w:val="0"/>
      <w:marRight w:val="0"/>
      <w:marTop w:val="0"/>
      <w:marBottom w:val="240"/>
      <w:divBdr>
        <w:top w:val="none" w:sz="0" w:space="0" w:color="auto"/>
        <w:left w:val="none" w:sz="0" w:space="0" w:color="auto"/>
        <w:bottom w:val="none" w:sz="0" w:space="0" w:color="auto"/>
        <w:right w:val="none" w:sz="0" w:space="0" w:color="auto"/>
      </w:divBdr>
    </w:div>
    <w:div w:id="2021351059">
      <w:marLeft w:val="0"/>
      <w:marRight w:val="0"/>
      <w:marTop w:val="0"/>
      <w:marBottom w:val="60"/>
      <w:divBdr>
        <w:top w:val="none" w:sz="0" w:space="0" w:color="auto"/>
        <w:left w:val="none" w:sz="0" w:space="0" w:color="auto"/>
        <w:bottom w:val="none" w:sz="0" w:space="0" w:color="auto"/>
        <w:right w:val="none" w:sz="0" w:space="0" w:color="auto"/>
      </w:divBdr>
    </w:div>
    <w:div w:id="2025012200">
      <w:marLeft w:val="0"/>
      <w:marRight w:val="0"/>
      <w:marTop w:val="0"/>
      <w:marBottom w:val="120"/>
      <w:divBdr>
        <w:top w:val="none" w:sz="0" w:space="0" w:color="auto"/>
        <w:left w:val="none" w:sz="0" w:space="0" w:color="auto"/>
        <w:bottom w:val="none" w:sz="0" w:space="0" w:color="auto"/>
        <w:right w:val="none" w:sz="0" w:space="0" w:color="auto"/>
      </w:divBdr>
    </w:div>
    <w:div w:id="2025015842">
      <w:marLeft w:val="0"/>
      <w:marRight w:val="0"/>
      <w:marTop w:val="0"/>
      <w:marBottom w:val="0"/>
      <w:divBdr>
        <w:top w:val="none" w:sz="0" w:space="0" w:color="auto"/>
        <w:left w:val="none" w:sz="0" w:space="0" w:color="auto"/>
        <w:bottom w:val="none" w:sz="0" w:space="0" w:color="auto"/>
        <w:right w:val="none" w:sz="0" w:space="0" w:color="auto"/>
      </w:divBdr>
      <w:divsChild>
        <w:div w:id="1798261261">
          <w:marLeft w:val="0"/>
          <w:marRight w:val="0"/>
          <w:marTop w:val="0"/>
          <w:marBottom w:val="0"/>
          <w:divBdr>
            <w:top w:val="none" w:sz="0" w:space="0" w:color="auto"/>
            <w:left w:val="none" w:sz="0" w:space="0" w:color="auto"/>
            <w:bottom w:val="none" w:sz="0" w:space="0" w:color="auto"/>
            <w:right w:val="none" w:sz="0" w:space="0" w:color="auto"/>
          </w:divBdr>
        </w:div>
      </w:divsChild>
    </w:div>
    <w:div w:id="2025815566">
      <w:marLeft w:val="0"/>
      <w:marRight w:val="0"/>
      <w:marTop w:val="0"/>
      <w:marBottom w:val="0"/>
      <w:divBdr>
        <w:top w:val="none" w:sz="0" w:space="0" w:color="auto"/>
        <w:left w:val="none" w:sz="0" w:space="0" w:color="auto"/>
        <w:bottom w:val="none" w:sz="0" w:space="0" w:color="auto"/>
        <w:right w:val="none" w:sz="0" w:space="0" w:color="auto"/>
      </w:divBdr>
      <w:divsChild>
        <w:div w:id="1527789518">
          <w:marLeft w:val="0"/>
          <w:marRight w:val="0"/>
          <w:marTop w:val="0"/>
          <w:marBottom w:val="0"/>
          <w:divBdr>
            <w:top w:val="none" w:sz="0" w:space="0" w:color="auto"/>
            <w:left w:val="none" w:sz="0" w:space="0" w:color="auto"/>
            <w:bottom w:val="none" w:sz="0" w:space="0" w:color="auto"/>
            <w:right w:val="none" w:sz="0" w:space="0" w:color="auto"/>
          </w:divBdr>
        </w:div>
      </w:divsChild>
    </w:div>
    <w:div w:id="2034767725">
      <w:marLeft w:val="0"/>
      <w:marRight w:val="0"/>
      <w:marTop w:val="0"/>
      <w:marBottom w:val="60"/>
      <w:divBdr>
        <w:top w:val="none" w:sz="0" w:space="0" w:color="auto"/>
        <w:left w:val="none" w:sz="0" w:space="0" w:color="auto"/>
        <w:bottom w:val="none" w:sz="0" w:space="0" w:color="auto"/>
        <w:right w:val="none" w:sz="0" w:space="0" w:color="auto"/>
      </w:divBdr>
    </w:div>
    <w:div w:id="2036299813">
      <w:marLeft w:val="0"/>
      <w:marRight w:val="0"/>
      <w:marTop w:val="0"/>
      <w:marBottom w:val="0"/>
      <w:divBdr>
        <w:top w:val="none" w:sz="0" w:space="0" w:color="auto"/>
        <w:left w:val="none" w:sz="0" w:space="0" w:color="auto"/>
        <w:bottom w:val="none" w:sz="0" w:space="0" w:color="auto"/>
        <w:right w:val="none" w:sz="0" w:space="0" w:color="auto"/>
      </w:divBdr>
      <w:divsChild>
        <w:div w:id="1835603869">
          <w:marLeft w:val="0"/>
          <w:marRight w:val="0"/>
          <w:marTop w:val="0"/>
          <w:marBottom w:val="0"/>
          <w:divBdr>
            <w:top w:val="none" w:sz="0" w:space="0" w:color="auto"/>
            <w:left w:val="none" w:sz="0" w:space="0" w:color="auto"/>
            <w:bottom w:val="none" w:sz="0" w:space="0" w:color="auto"/>
            <w:right w:val="none" w:sz="0" w:space="0" w:color="auto"/>
          </w:divBdr>
        </w:div>
      </w:divsChild>
    </w:div>
    <w:div w:id="2038190494">
      <w:marLeft w:val="0"/>
      <w:marRight w:val="0"/>
      <w:marTop w:val="0"/>
      <w:marBottom w:val="120"/>
      <w:divBdr>
        <w:top w:val="none" w:sz="0" w:space="0" w:color="auto"/>
        <w:left w:val="none" w:sz="0" w:space="0" w:color="auto"/>
        <w:bottom w:val="none" w:sz="0" w:space="0" w:color="auto"/>
        <w:right w:val="none" w:sz="0" w:space="0" w:color="auto"/>
      </w:divBdr>
    </w:div>
    <w:div w:id="2040350034">
      <w:marLeft w:val="0"/>
      <w:marRight w:val="0"/>
      <w:marTop w:val="0"/>
      <w:marBottom w:val="60"/>
      <w:divBdr>
        <w:top w:val="none" w:sz="0" w:space="0" w:color="auto"/>
        <w:left w:val="none" w:sz="0" w:space="0" w:color="auto"/>
        <w:bottom w:val="none" w:sz="0" w:space="0" w:color="auto"/>
        <w:right w:val="none" w:sz="0" w:space="0" w:color="auto"/>
      </w:divBdr>
    </w:div>
    <w:div w:id="2043944565">
      <w:marLeft w:val="0"/>
      <w:marRight w:val="0"/>
      <w:marTop w:val="0"/>
      <w:marBottom w:val="0"/>
      <w:divBdr>
        <w:top w:val="none" w:sz="0" w:space="0" w:color="auto"/>
        <w:left w:val="none" w:sz="0" w:space="0" w:color="auto"/>
        <w:bottom w:val="none" w:sz="0" w:space="0" w:color="auto"/>
        <w:right w:val="none" w:sz="0" w:space="0" w:color="auto"/>
      </w:divBdr>
    </w:div>
    <w:div w:id="2045135803">
      <w:marLeft w:val="0"/>
      <w:marRight w:val="0"/>
      <w:marTop w:val="0"/>
      <w:marBottom w:val="0"/>
      <w:divBdr>
        <w:top w:val="none" w:sz="0" w:space="0" w:color="auto"/>
        <w:left w:val="none" w:sz="0" w:space="0" w:color="auto"/>
        <w:bottom w:val="none" w:sz="0" w:space="0" w:color="auto"/>
        <w:right w:val="none" w:sz="0" w:space="0" w:color="auto"/>
      </w:divBdr>
      <w:divsChild>
        <w:div w:id="295836924">
          <w:marLeft w:val="0"/>
          <w:marRight w:val="0"/>
          <w:marTop w:val="0"/>
          <w:marBottom w:val="0"/>
          <w:divBdr>
            <w:top w:val="none" w:sz="0" w:space="0" w:color="auto"/>
            <w:left w:val="none" w:sz="0" w:space="0" w:color="auto"/>
            <w:bottom w:val="none" w:sz="0" w:space="0" w:color="auto"/>
            <w:right w:val="none" w:sz="0" w:space="0" w:color="auto"/>
          </w:divBdr>
        </w:div>
      </w:divsChild>
    </w:div>
    <w:div w:id="2053261616">
      <w:marLeft w:val="0"/>
      <w:marRight w:val="0"/>
      <w:marTop w:val="0"/>
      <w:marBottom w:val="120"/>
      <w:divBdr>
        <w:top w:val="none" w:sz="0" w:space="0" w:color="auto"/>
        <w:left w:val="none" w:sz="0" w:space="0" w:color="auto"/>
        <w:bottom w:val="none" w:sz="0" w:space="0" w:color="auto"/>
        <w:right w:val="none" w:sz="0" w:space="0" w:color="auto"/>
      </w:divBdr>
    </w:div>
    <w:div w:id="2061588551">
      <w:marLeft w:val="0"/>
      <w:marRight w:val="0"/>
      <w:marTop w:val="0"/>
      <w:marBottom w:val="0"/>
      <w:divBdr>
        <w:top w:val="none" w:sz="0" w:space="0" w:color="auto"/>
        <w:left w:val="none" w:sz="0" w:space="0" w:color="auto"/>
        <w:bottom w:val="none" w:sz="0" w:space="0" w:color="auto"/>
        <w:right w:val="none" w:sz="0" w:space="0" w:color="auto"/>
      </w:divBdr>
      <w:divsChild>
        <w:div w:id="1603488806">
          <w:marLeft w:val="0"/>
          <w:marRight w:val="0"/>
          <w:marTop w:val="0"/>
          <w:marBottom w:val="0"/>
          <w:divBdr>
            <w:top w:val="none" w:sz="0" w:space="0" w:color="auto"/>
            <w:left w:val="none" w:sz="0" w:space="0" w:color="auto"/>
            <w:bottom w:val="none" w:sz="0" w:space="0" w:color="auto"/>
            <w:right w:val="none" w:sz="0" w:space="0" w:color="auto"/>
          </w:divBdr>
        </w:div>
      </w:divsChild>
    </w:div>
    <w:div w:id="2071145749">
      <w:marLeft w:val="0"/>
      <w:marRight w:val="0"/>
      <w:marTop w:val="0"/>
      <w:marBottom w:val="120"/>
      <w:divBdr>
        <w:top w:val="none" w:sz="0" w:space="0" w:color="auto"/>
        <w:left w:val="none" w:sz="0" w:space="0" w:color="auto"/>
        <w:bottom w:val="none" w:sz="0" w:space="0" w:color="auto"/>
        <w:right w:val="none" w:sz="0" w:space="0" w:color="auto"/>
      </w:divBdr>
    </w:div>
    <w:div w:id="2076662849">
      <w:marLeft w:val="0"/>
      <w:marRight w:val="0"/>
      <w:marTop w:val="0"/>
      <w:marBottom w:val="0"/>
      <w:divBdr>
        <w:top w:val="none" w:sz="0" w:space="0" w:color="auto"/>
        <w:left w:val="none" w:sz="0" w:space="0" w:color="auto"/>
        <w:bottom w:val="none" w:sz="0" w:space="0" w:color="auto"/>
        <w:right w:val="none" w:sz="0" w:space="0" w:color="auto"/>
      </w:divBdr>
    </w:div>
    <w:div w:id="2085249845">
      <w:marLeft w:val="0"/>
      <w:marRight w:val="0"/>
      <w:marTop w:val="0"/>
      <w:marBottom w:val="0"/>
      <w:divBdr>
        <w:top w:val="none" w:sz="0" w:space="0" w:color="auto"/>
        <w:left w:val="none" w:sz="0" w:space="0" w:color="auto"/>
        <w:bottom w:val="none" w:sz="0" w:space="0" w:color="auto"/>
        <w:right w:val="none" w:sz="0" w:space="0" w:color="auto"/>
      </w:divBdr>
      <w:divsChild>
        <w:div w:id="1913005068">
          <w:marLeft w:val="0"/>
          <w:marRight w:val="0"/>
          <w:marTop w:val="0"/>
          <w:marBottom w:val="0"/>
          <w:divBdr>
            <w:top w:val="none" w:sz="0" w:space="0" w:color="auto"/>
            <w:left w:val="none" w:sz="0" w:space="0" w:color="auto"/>
            <w:bottom w:val="none" w:sz="0" w:space="0" w:color="auto"/>
            <w:right w:val="none" w:sz="0" w:space="0" w:color="auto"/>
          </w:divBdr>
        </w:div>
      </w:divsChild>
    </w:div>
    <w:div w:id="2099591973">
      <w:marLeft w:val="0"/>
      <w:marRight w:val="0"/>
      <w:marTop w:val="260"/>
      <w:marBottom w:val="0"/>
      <w:divBdr>
        <w:top w:val="none" w:sz="0" w:space="0" w:color="auto"/>
        <w:left w:val="none" w:sz="0" w:space="0" w:color="auto"/>
        <w:bottom w:val="none" w:sz="0" w:space="0" w:color="auto"/>
        <w:right w:val="none" w:sz="0" w:space="0" w:color="auto"/>
      </w:divBdr>
    </w:div>
    <w:div w:id="2105107404">
      <w:marLeft w:val="0"/>
      <w:marRight w:val="0"/>
      <w:marTop w:val="240"/>
      <w:marBottom w:val="120"/>
      <w:divBdr>
        <w:top w:val="none" w:sz="0" w:space="0" w:color="auto"/>
        <w:left w:val="none" w:sz="0" w:space="0" w:color="auto"/>
        <w:bottom w:val="none" w:sz="0" w:space="0" w:color="auto"/>
        <w:right w:val="none" w:sz="0" w:space="0" w:color="auto"/>
      </w:divBdr>
    </w:div>
    <w:div w:id="2110542316">
      <w:marLeft w:val="0"/>
      <w:marRight w:val="0"/>
      <w:marTop w:val="0"/>
      <w:marBottom w:val="0"/>
      <w:divBdr>
        <w:top w:val="none" w:sz="0" w:space="0" w:color="auto"/>
        <w:left w:val="none" w:sz="0" w:space="0" w:color="auto"/>
        <w:bottom w:val="none" w:sz="0" w:space="0" w:color="auto"/>
        <w:right w:val="none" w:sz="0" w:space="0" w:color="auto"/>
      </w:divBdr>
    </w:div>
    <w:div w:id="2114083834">
      <w:marLeft w:val="0"/>
      <w:marRight w:val="0"/>
      <w:marTop w:val="0"/>
      <w:marBottom w:val="240"/>
      <w:divBdr>
        <w:top w:val="none" w:sz="0" w:space="0" w:color="auto"/>
        <w:left w:val="none" w:sz="0" w:space="0" w:color="auto"/>
        <w:bottom w:val="none" w:sz="0" w:space="0" w:color="auto"/>
        <w:right w:val="none" w:sz="0" w:space="0" w:color="auto"/>
      </w:divBdr>
    </w:div>
    <w:div w:id="2120102794">
      <w:marLeft w:val="0"/>
      <w:marRight w:val="0"/>
      <w:marTop w:val="120"/>
      <w:marBottom w:val="0"/>
      <w:divBdr>
        <w:top w:val="none" w:sz="0" w:space="0" w:color="auto"/>
        <w:left w:val="none" w:sz="0" w:space="0" w:color="auto"/>
        <w:bottom w:val="none" w:sz="0" w:space="0" w:color="auto"/>
        <w:right w:val="none" w:sz="0" w:space="0" w:color="auto"/>
      </w:divBdr>
    </w:div>
    <w:div w:id="2126002945">
      <w:marLeft w:val="0"/>
      <w:marRight w:val="0"/>
      <w:marTop w:val="240"/>
      <w:marBottom w:val="120"/>
      <w:divBdr>
        <w:top w:val="none" w:sz="0" w:space="0" w:color="auto"/>
        <w:left w:val="none" w:sz="0" w:space="0" w:color="auto"/>
        <w:bottom w:val="none" w:sz="0" w:space="0" w:color="auto"/>
        <w:right w:val="none" w:sz="0" w:space="0" w:color="auto"/>
      </w:divBdr>
    </w:div>
    <w:div w:id="2127574747">
      <w:marLeft w:val="0"/>
      <w:marRight w:val="0"/>
      <w:marTop w:val="0"/>
      <w:marBottom w:val="60"/>
      <w:divBdr>
        <w:top w:val="none" w:sz="0" w:space="0" w:color="auto"/>
        <w:left w:val="none" w:sz="0" w:space="0" w:color="auto"/>
        <w:bottom w:val="none" w:sz="0" w:space="0" w:color="auto"/>
        <w:right w:val="none" w:sz="0" w:space="0" w:color="auto"/>
      </w:divBdr>
    </w:div>
    <w:div w:id="2131121196">
      <w:marLeft w:val="0"/>
      <w:marRight w:val="0"/>
      <w:marTop w:val="0"/>
      <w:marBottom w:val="0"/>
      <w:divBdr>
        <w:top w:val="none" w:sz="0" w:space="0" w:color="auto"/>
        <w:left w:val="none" w:sz="0" w:space="0" w:color="auto"/>
        <w:bottom w:val="none" w:sz="0" w:space="0" w:color="auto"/>
        <w:right w:val="none" w:sz="0" w:space="0" w:color="auto"/>
      </w:divBdr>
      <w:divsChild>
        <w:div w:id="417753132">
          <w:marLeft w:val="0"/>
          <w:marRight w:val="0"/>
          <w:marTop w:val="0"/>
          <w:marBottom w:val="0"/>
          <w:divBdr>
            <w:top w:val="none" w:sz="0" w:space="0" w:color="auto"/>
            <w:left w:val="none" w:sz="0" w:space="0" w:color="auto"/>
            <w:bottom w:val="none" w:sz="0" w:space="0" w:color="auto"/>
            <w:right w:val="none" w:sz="0" w:space="0" w:color="auto"/>
          </w:divBdr>
        </w:div>
      </w:divsChild>
    </w:div>
    <w:div w:id="2144955793">
      <w:marLeft w:val="0"/>
      <w:marRight w:val="0"/>
      <w:marTop w:val="0"/>
      <w:marBottom w:val="0"/>
      <w:divBdr>
        <w:top w:val="none" w:sz="0" w:space="0" w:color="auto"/>
        <w:left w:val="none" w:sz="0" w:space="0" w:color="auto"/>
        <w:bottom w:val="none" w:sz="0" w:space="0" w:color="auto"/>
        <w:right w:val="none" w:sz="0" w:space="0" w:color="auto"/>
      </w:divBdr>
      <w:divsChild>
        <w:div w:id="241524329">
          <w:marLeft w:val="0"/>
          <w:marRight w:val="0"/>
          <w:marTop w:val="0"/>
          <w:marBottom w:val="0"/>
          <w:divBdr>
            <w:top w:val="none" w:sz="0" w:space="0" w:color="auto"/>
            <w:left w:val="none" w:sz="0" w:space="0" w:color="auto"/>
            <w:bottom w:val="none" w:sz="0" w:space="0" w:color="auto"/>
            <w:right w:val="none" w:sz="0" w:space="0" w:color="auto"/>
          </w:divBdr>
          <w:divsChild>
            <w:div w:id="242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168">
      <w:marLeft w:val="0"/>
      <w:marRight w:val="0"/>
      <w:marTop w:val="0"/>
      <w:marBottom w:val="0"/>
      <w:divBdr>
        <w:top w:val="none" w:sz="0" w:space="0" w:color="auto"/>
        <w:left w:val="none" w:sz="0" w:space="0" w:color="auto"/>
        <w:bottom w:val="none" w:sz="0" w:space="0" w:color="auto"/>
        <w:right w:val="none" w:sz="0" w:space="0" w:color="auto"/>
      </w:divBdr>
      <w:divsChild>
        <w:div w:id="948007083">
          <w:marLeft w:val="0"/>
          <w:marRight w:val="0"/>
          <w:marTop w:val="0"/>
          <w:marBottom w:val="0"/>
          <w:divBdr>
            <w:top w:val="none" w:sz="0" w:space="0" w:color="auto"/>
            <w:left w:val="none" w:sz="0" w:space="0" w:color="auto"/>
            <w:bottom w:val="none" w:sz="0" w:space="0" w:color="auto"/>
            <w:right w:val="none" w:sz="0" w:space="0" w:color="auto"/>
          </w:divBdr>
        </w:div>
      </w:divsChild>
    </w:div>
    <w:div w:id="2146964212">
      <w:marLeft w:val="0"/>
      <w:marRight w:val="0"/>
      <w:marTop w:val="0"/>
      <w:marBottom w:val="0"/>
      <w:divBdr>
        <w:top w:val="none" w:sz="0" w:space="0" w:color="auto"/>
        <w:left w:val="none" w:sz="0" w:space="0" w:color="auto"/>
        <w:bottom w:val="none" w:sz="0" w:space="0" w:color="auto"/>
        <w:right w:val="none" w:sz="0" w:space="0" w:color="auto"/>
      </w:divBdr>
      <w:divsChild>
        <w:div w:id="447626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0q2ex321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0q2ex312ng.htm" TargetMode="External"/><Relationship Id="rId5" Type="http://schemas.openxmlformats.org/officeDocument/2006/relationships/hyperlink" Target="a2020q2ex311ng.htm" TargetMode="External"/><Relationship Id="rId4" Type="http://schemas.openxmlformats.org/officeDocument/2006/relationships/image" Target="file:///E:\projects\LLMs\new_data_collection\data_new\htm\WORLD%20KINECT%20CORP\int-20200630_g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28982</Words>
  <Characters>165202</Characters>
  <Application>Microsoft Office Word</Application>
  <DocSecurity>0</DocSecurity>
  <Lines>1376</Lines>
  <Paragraphs>387</Paragraphs>
  <ScaleCrop>false</ScaleCrop>
  <Company/>
  <LinksUpToDate>false</LinksUpToDate>
  <CharactersWithSpaces>193797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int-20200630</dc:title>
  <dc:subject/>
  <dc:creator>Chongjian.Yue</dc:creator>
  <cp:keywords/>
  <dc:description/>
  <cp:lastModifiedBy>Yue Chongjian</cp:lastModifiedBy>
  <cp:revision>1</cp:revision>
  <dcterms:created xsi:type="dcterms:W3CDTF">2024-01-04T16:05:00Z</dcterms:created>
  <dcterms:modified xsi:type="dcterms:W3CDTF">2024-01-04T16:05:00Z</dcterms:modified>
</cp:coreProperties>
</file>